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791.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8.xml" ContentType="application/vnd.openxmlformats-officedocument.wordprocessingml.footer+xml"/>
  <Override PartName="/word/footer723.xml" ContentType="application/vnd.openxmlformats-officedocument.wordprocessingml.footer+xml"/>
  <Override PartName="/word/footer685.xml" ContentType="application/vnd.openxmlformats-officedocument.wordprocessingml.footer+xml"/>
  <Override PartName="/word/footer549.xml" ContentType="application/vnd.openxmlformats-officedocument.wordprocessingml.footer+xml"/>
  <Override PartName="/word/footer724.xml" ContentType="application/vnd.openxmlformats-officedocument.wordprocessingml.footer+xml"/>
  <Override PartName="/word/footer686.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697.xml" ContentType="application/vnd.openxmlformats-officedocument.wordprocessingml.footer+xml"/>
  <Override PartName="/word/footer728.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698.xml" ContentType="application/vnd.openxmlformats-officedocument.wordprocessingml.footer+xml"/>
  <Override PartName="/word/footer729.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699.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721.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732.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733.xml" ContentType="application/vnd.openxmlformats-officedocument.wordprocessingml.footer+xml"/>
  <Override PartName="/word/footer559.xml" ContentType="application/vnd.openxmlformats-officedocument.wordprocessingml.footer+xml"/>
  <Override PartName="/word/footer696.xml" ContentType="application/vnd.openxmlformats-officedocument.wordprocessingml.footer+xml"/>
  <Override PartName="/word/footer734.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738.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739.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730.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731.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747.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618.xml" ContentType="application/vnd.openxmlformats-officedocument.wordprocessingml.footer+xml"/>
  <Override PartName="/word/footer748.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619.xml" ContentType="application/vnd.openxmlformats-officedocument.wordprocessingml.footer+xml"/>
  <Override PartName="/word/footer749.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740.xml" ContentType="application/vnd.openxmlformats-officedocument.wordprocessingml.footer+xml"/>
  <Override PartName="/word/footer603.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77.xml" ContentType="application/vnd.openxmlformats-officedocument.wordprocessingml.footer+xml"/>
  <Override PartName="/word/footer752.xml" ContentType="application/vnd.openxmlformats-officedocument.wordprocessingml.footer+xml"/>
  <Override PartName="/word/footer615.xml" ContentType="application/vnd.openxmlformats-officedocument.wordprocessingml.footer+xml"/>
  <Override PartName="/word/footer579.xml" ContentType="application/vnd.openxmlformats-officedocument.wordprocessingml.footer+xml"/>
  <Override PartName="/word/footer754.xml" ContentType="application/vnd.openxmlformats-officedocument.wordprocessingml.footer+xml"/>
  <Override PartName="/word/footer617.xml" ContentType="application/vnd.openxmlformats-officedocument.wordprocessingml.footer+xml"/>
  <Override PartName="/word/footer757.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628.xml" ContentType="application/vnd.openxmlformats-officedocument.wordprocessingml.footer+xml"/>
  <Override PartName="/word/footer75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629.xml" ContentType="application/vnd.openxmlformats-officedocument.wordprocessingml.footer+xml"/>
  <Override PartName="/word/footer759.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750.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751.xml" ContentType="application/vnd.openxmlformats-officedocument.wordprocessingml.footer+xml"/>
  <Override PartName="/word/footer614.xml" ContentType="application/vnd.openxmlformats-officedocument.wordprocessingml.footer+xml"/>
  <Override PartName="/word/footer587.xml" ContentType="application/vnd.openxmlformats-officedocument.wordprocessingml.footer+xml"/>
  <Override PartName="/word/footer762.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8.xml" ContentType="application/vnd.openxmlformats-officedocument.wordprocessingml.footer+xml"/>
  <Override PartName="/word/footer763.xml" ContentType="application/vnd.openxmlformats-officedocument.wordprocessingml.footer+xml"/>
  <Override PartName="/word/footer626.xml" ContentType="application/vnd.openxmlformats-officedocument.wordprocessingml.footer+xml"/>
  <Override PartName="/word/footer589.xml" ContentType="application/vnd.openxmlformats-officedocument.wordprocessingml.footer+xml"/>
  <Override PartName="/word/footer764.xml" ContentType="application/vnd.openxmlformats-officedocument.wordprocessingml.footer+xml"/>
  <Override PartName="/word/footer627.xml" ContentType="application/vnd.openxmlformats-officedocument.wordprocessingml.footer+xml"/>
  <Override PartName="/word/footer767.xml" ContentType="application/vnd.openxmlformats-officedocument.wordprocessingml.footer+xml"/>
  <Override PartName="/word/footer582.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638.xml" ContentType="application/vnd.openxmlformats-officedocument.wordprocessingml.footer+xml"/>
  <Override PartName="/word/footer768.xml" ContentType="application/vnd.openxmlformats-officedocument.wordprocessingml.footer+xml"/>
  <Override PartName="/word/footer583.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639.xml" ContentType="application/vnd.openxmlformats-officedocument.wordprocessingml.footer+xml"/>
  <Override PartName="/word/footer769.xml" ContentType="application/vnd.openxmlformats-officedocument.wordprocessingml.footer+xml"/>
  <Override PartName="/word/footer584.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5.xml" ContentType="application/vnd.openxmlformats-officedocument.wordprocessingml.footer+xml"/>
  <Override PartName="/word/footer760.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86.xml" ContentType="application/vnd.openxmlformats-officedocument.wordprocessingml.footer+xml"/>
  <Override PartName="/word/footer761.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5.xml" ContentType="application/vnd.openxmlformats-officedocument.wordprocessingml.footer+xml"/>
  <Override PartName="/word/footer770.xml" ContentType="application/vnd.openxmlformats-officedocument.wordprocessingml.footer+xml"/>
  <Override PartName="/word/footer597.xml" ContentType="application/vnd.openxmlformats-officedocument.wordprocessingml.footer+xml"/>
  <Override PartName="/word/footer772.xml" ContentType="application/vnd.openxmlformats-officedocument.wordprocessingml.footer+xml"/>
  <Override PartName="/word/footer635.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713.xml" ContentType="application/vnd.openxmlformats-officedocument.wordprocessingml.footer+xml"/>
  <Override PartName="/word/footer675.xml" ContentType="application/vnd.openxmlformats-officedocument.wordprocessingml.footer+xml"/>
  <Override PartName="/word/footer671.xml" ContentType="application/vnd.openxmlformats-officedocument.wordprocessingml.footer+xml"/>
  <Override PartName="/word/footer701.xml" ContentType="application/vnd.openxmlformats-officedocument.wordprocessingml.footer+xml"/>
  <Override PartName="/word/footer663.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714.xml" ContentType="application/vnd.openxmlformats-officedocument.wordprocessingml.footer+xml"/>
  <Override PartName="/word/footer676.xml" ContentType="application/vnd.openxmlformats-officedocument.wordprocessingml.footer+xml"/>
  <Override PartName="/word/footer539.xml" ContentType="application/vnd.openxmlformats-officedocument.wordprocessingml.footer+xml"/>
  <Override PartName="/word/footer746.xml" ContentType="application/vnd.openxmlformats-officedocument.wordprocessingml.footer+xml"/>
  <Override PartName="/word/footer561.xml" ContentType="application/vnd.openxmlformats-officedocument.wordprocessingml.footer+xml"/>
  <Override PartName="/word/footer755.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598.xml" ContentType="application/vnd.openxmlformats-officedocument.wordprocessingml.footer+xml"/>
  <Override PartName="/word/footer773.xml" ContentType="application/vnd.openxmlformats-officedocument.wordprocessingml.footer+xml"/>
  <Override PartName="/word/footer636.xml" ContentType="application/vnd.openxmlformats-officedocument.wordprocessingml.footer+xml"/>
  <Override PartName="/word/footer756.xml" ContentType="application/vnd.openxmlformats-officedocument.wordprocessingml.footer+xml"/>
  <Override PartName="/word/footer571.xml" ContentType="application/vnd.openxmlformats-officedocument.wordprocessingml.footer+xml"/>
  <Override PartName="/word/footer702.xml" ContentType="application/vnd.openxmlformats-officedocument.wordprocessingml.footer+xml"/>
  <Override PartName="/word/footer664.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703.xml" ContentType="application/vnd.openxmlformats-officedocument.wordprocessingml.footer+xml"/>
  <Override PartName="/word/footer665.xml" ContentType="application/vnd.openxmlformats-officedocument.wordprocessingml.footer+xml"/>
  <Override PartName="/word/footer771.xml" ContentType="application/vnd.openxmlformats-officedocument.wordprocessingml.footer+xml"/>
  <Override PartName="/word/footer596.xml" ContentType="application/vnd.openxmlformats-officedocument.wordprocessingml.footer+xml"/>
  <Override PartName="/word/footer677.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667.xml" ContentType="application/vnd.openxmlformats-officedocument.wordprocessingml.footer+xml"/>
  <Override PartName="/word/footer765.xml" ContentType="application/vnd.openxmlformats-officedocument.wordprocessingml.footer+xml"/>
  <Override PartName="/word/footer580.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668.xml" ContentType="application/vnd.openxmlformats-officedocument.wordprocessingml.footer+xml"/>
  <Override PartName="/word/footer766.xml" ContentType="application/vnd.openxmlformats-officedocument.wordprocessingml.footer+xml"/>
  <Override PartName="/word/footer581.xml" ContentType="application/vnd.openxmlformats-officedocument.wordprocessingml.footer+xml"/>
  <Override PartName="/word/footer774.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745.xml" ContentType="application/vnd.openxmlformats-officedocument.wordprocessingml.footer+xml"/>
  <Override PartName="/word/footer560.xml" ContentType="application/vnd.openxmlformats-officedocument.wordprocessingml.footer+xml"/>
  <Override PartName="/word/footer753.xml" ContentType="application/vnd.openxmlformats-officedocument.wordprocessingml.footer+xml"/>
  <Override PartName="/word/footer616.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789.xml" ContentType="application/vnd.openxmlformats-officedocument.wordprocessingml.footer+xml"/>
  <Override PartName="/word/footer658.xml" ContentType="application/vnd.openxmlformats-officedocument.wordprocessingml.footer+xml"/>
  <Override PartName="/word/footer657.xml" ContentType="application/vnd.openxmlformats-officedocument.wordprocessingml.footer+xml"/>
  <Override PartName="/word/footer656.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648.xml" ContentType="application/vnd.openxmlformats-officedocument.wordprocessingml.footer+xml"/>
  <Override PartName="/word/footer647.xml" ContentType="application/vnd.openxmlformats-officedocument.wordprocessingml.footer+xml"/>
  <Override PartName="/word/footer646.xml" ContentType="application/vnd.openxmlformats-officedocument.wordprocessingml.footer+xml"/>
  <Override PartName="/word/footer670.xml" ContentType="application/vnd.openxmlformats-officedocument.wordprocessingml.footer+xml"/>
  <Override PartName="/word/footer661.xml" ContentType="application/vnd.openxmlformats-officedocument.wordprocessingml.footer+xml"/>
  <Override PartName="/word/footer660.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52.xml" ContentType="application/vnd.openxmlformats-officedocument.wordprocessingml.footer+xml"/>
  <Override PartName="/word/footer651.xml" ContentType="application/vnd.openxmlformats-officedocument.wordprocessingml.footer+xml"/>
  <Override PartName="/word/footer650.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41.xml" ContentType="application/vnd.openxmlformats-officedocument.wordprocessingml.footer+xml"/>
  <Override PartName="/word/footer230.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788.xml" ContentType="application/vnd.openxmlformats-officedocument.wordprocessingml.footer+xml"/>
  <Override PartName="/word/footer309.xml" ContentType="application/vnd.openxmlformats-officedocument.wordprocessingml.footer+xml"/>
  <Override PartName="/word/footer787.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78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الدرر الأصولیة فی موسوعة فقه الخلاف</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192979_1051229030">
            <w:r>
              <w:rPr>
                <w:webHidden/>
                <w:rStyle w:val="IndexLink"/>
                <w:rtl w:val="true"/>
              </w:rPr>
              <w:t>هوية الكتاب</w:t>
            </w:r>
            <w:r>
              <w:rPr>
                <w:rStyle w:val="IndexLink"/>
                <w:rtl w:val="true"/>
              </w:rPr>
              <w:tab/>
            </w:r>
            <w:r>
              <w:rPr>
                <w:rStyle w:val="IndexLink"/>
              </w:rPr>
              <w:t>10</w:t>
            </w:r>
          </w:hyperlink>
        </w:p>
        <w:p>
          <w:pPr>
            <w:pStyle w:val="Contents2"/>
            <w:tabs>
              <w:tab w:val="clear" w:pos="8743"/>
              <w:tab w:val="right" w:pos="9026" w:leader="dot"/>
            </w:tabs>
            <w:rPr/>
          </w:pPr>
          <w:hyperlink w:anchor="__RefHeading___Toc8192981_1051229030">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8192983_1051229030">
            <w:r>
              <w:rPr>
                <w:webHidden/>
                <w:rStyle w:val="IndexLink"/>
                <w:rtl w:val="true"/>
              </w:rPr>
              <w:t>المقدمة</w:t>
            </w:r>
            <w:r>
              <w:rPr>
                <w:rStyle w:val="IndexLink"/>
                <w:rtl w:val="true"/>
              </w:rPr>
              <w:tab/>
            </w:r>
            <w:r>
              <w:rPr>
                <w:rStyle w:val="IndexLink"/>
              </w:rPr>
              <w:t>12</w:t>
            </w:r>
          </w:hyperlink>
        </w:p>
        <w:p>
          <w:pPr>
            <w:pStyle w:val="Contents2"/>
            <w:tabs>
              <w:tab w:val="clear" w:pos="8743"/>
              <w:tab w:val="right" w:pos="9026" w:leader="dot"/>
            </w:tabs>
            <w:rPr/>
          </w:pPr>
          <w:hyperlink w:anchor="__RefHeading___Toc8192985_1051229030">
            <w:r>
              <w:rPr>
                <w:webHidden/>
                <w:rStyle w:val="IndexLink"/>
                <w:rtl w:val="true"/>
              </w:rPr>
              <w:t xml:space="preserve">تسمية علم </w:t>
            </w:r>
            <w:r>
              <w:rPr>
                <w:rStyle w:val="IndexLink"/>
                <w:rtl w:val="true"/>
              </w:rPr>
              <w:t>(</w:t>
            </w:r>
            <w:r>
              <w:rPr>
                <w:rStyle w:val="IndexLink"/>
                <w:rtl w:val="true"/>
              </w:rPr>
              <w:t>أصول الفقه</w:t>
            </w:r>
            <w:r>
              <w:rPr>
                <w:rStyle w:val="IndexLink"/>
                <w:rtl w:val="true"/>
              </w:rPr>
              <w:t>)</w:t>
              <w:tab/>
            </w:r>
            <w:r>
              <w:rPr>
                <w:rStyle w:val="IndexLink"/>
              </w:rPr>
              <w:t>16</w:t>
            </w:r>
          </w:hyperlink>
        </w:p>
        <w:p>
          <w:pPr>
            <w:pStyle w:val="Contents2"/>
            <w:tabs>
              <w:tab w:val="clear" w:pos="8743"/>
              <w:tab w:val="right" w:pos="9026" w:leader="dot"/>
            </w:tabs>
            <w:rPr/>
          </w:pPr>
          <w:hyperlink w:anchor="__RefHeading___Toc8192987_1051229030">
            <w:r>
              <w:rPr>
                <w:webHidden/>
                <w:rStyle w:val="IndexLink"/>
                <w:rtl w:val="true"/>
              </w:rPr>
              <w:t>سانحة</w:t>
            </w:r>
            <w:r>
              <w:rPr>
                <w:rStyle w:val="IndexLink"/>
                <w:rtl w:val="true"/>
              </w:rPr>
              <w:t xml:space="preserve">: </w:t>
            </w:r>
            <w:r>
              <w:rPr>
                <w:rStyle w:val="IndexLink"/>
                <w:rtl w:val="true"/>
              </w:rPr>
              <w:t xml:space="preserve">في تسمية علم </w:t>
            </w:r>
            <w:r>
              <w:rPr>
                <w:rStyle w:val="IndexLink"/>
                <w:rtl w:val="true"/>
              </w:rPr>
              <w:t>(</w:t>
            </w:r>
            <w:r>
              <w:rPr>
                <w:rStyle w:val="IndexLink"/>
                <w:rtl w:val="true"/>
              </w:rPr>
              <w:t>اصول الفقه</w:t>
            </w:r>
            <w:r>
              <w:rPr>
                <w:rStyle w:val="IndexLink"/>
                <w:rtl w:val="true"/>
              </w:rPr>
              <w:t>)</w:t>
              <w:tab/>
            </w:r>
            <w:r>
              <w:rPr>
                <w:rStyle w:val="IndexLink"/>
              </w:rPr>
              <w:t>16</w:t>
            </w:r>
          </w:hyperlink>
        </w:p>
        <w:p>
          <w:pPr>
            <w:pStyle w:val="Contents2"/>
            <w:tabs>
              <w:tab w:val="clear" w:pos="8743"/>
              <w:tab w:val="right" w:pos="9026" w:leader="dot"/>
            </w:tabs>
            <w:rPr/>
          </w:pPr>
          <w:hyperlink w:anchor="__RefHeading___Toc8192989_1051229030">
            <w:r>
              <w:rPr>
                <w:webHidden/>
                <w:rStyle w:val="IndexLink"/>
                <w:rtl w:val="true"/>
              </w:rPr>
              <w:t>الفصل الأول</w:t>
            </w:r>
            <w:r>
              <w:rPr>
                <w:rStyle w:val="IndexLink"/>
                <w:rtl w:val="true"/>
              </w:rPr>
              <w:t xml:space="preserve">: </w:t>
            </w:r>
            <w:r>
              <w:rPr>
                <w:rStyle w:val="IndexLink"/>
                <w:rtl w:val="true"/>
              </w:rPr>
              <w:t>المطالب الأصولية المفصلة</w:t>
            </w:r>
            <w:r>
              <w:rPr>
                <w:rStyle w:val="IndexLink"/>
                <w:rtl w:val="true"/>
              </w:rPr>
              <w:tab/>
            </w:r>
            <w:r>
              <w:rPr>
                <w:rStyle w:val="IndexLink"/>
              </w:rPr>
              <w:t>18</w:t>
            </w:r>
          </w:hyperlink>
        </w:p>
        <w:p>
          <w:pPr>
            <w:pStyle w:val="Contents3"/>
            <w:tabs>
              <w:tab w:val="clear" w:pos="8459"/>
              <w:tab w:val="right" w:pos="9026" w:leader="dot"/>
            </w:tabs>
            <w:rPr/>
          </w:pPr>
          <w:hyperlink w:anchor="__RefHeading___Toc8192991_1051229030">
            <w:r>
              <w:rPr>
                <w:webHidden/>
                <w:rStyle w:val="IndexLink"/>
                <w:rtl w:val="true"/>
              </w:rPr>
              <w:t>اشارة</w:t>
            </w:r>
            <w:r>
              <w:rPr>
                <w:rStyle w:val="IndexLink"/>
                <w:rtl w:val="true"/>
              </w:rPr>
              <w:tab/>
            </w:r>
            <w:r>
              <w:rPr>
                <w:rStyle w:val="IndexLink"/>
              </w:rPr>
              <w:t>18</w:t>
            </w:r>
          </w:hyperlink>
        </w:p>
        <w:p>
          <w:pPr>
            <w:pStyle w:val="Contents3"/>
            <w:tabs>
              <w:tab w:val="clear" w:pos="8459"/>
              <w:tab w:val="right" w:pos="9026" w:leader="dot"/>
            </w:tabs>
            <w:rPr/>
          </w:pPr>
          <w:hyperlink w:anchor="__RefHeading___Toc8192993_1051229030">
            <w:r>
              <w:rPr>
                <w:webHidden/>
                <w:rStyle w:val="IndexLink"/>
                <w:rtl w:val="true"/>
              </w:rPr>
              <w:t>المطلب الأول</w:t>
            </w:r>
            <w:r>
              <w:rPr>
                <w:rStyle w:val="IndexLink"/>
                <w:rtl w:val="true"/>
              </w:rPr>
              <w:t xml:space="preserve">: </w:t>
            </w:r>
            <w:r>
              <w:rPr>
                <w:rStyle w:val="IndexLink"/>
                <w:rtl w:val="true"/>
              </w:rPr>
              <w:t>حقيقة الوجوب الكفائي</w:t>
            </w:r>
            <w:r>
              <w:rPr>
                <w:rStyle w:val="IndexLink"/>
                <w:rtl w:val="true"/>
              </w:rPr>
              <w:tab/>
            </w:r>
            <w:r>
              <w:rPr>
                <w:rStyle w:val="IndexLink"/>
              </w:rPr>
              <w:t>20</w:t>
            </w:r>
          </w:hyperlink>
        </w:p>
        <w:p>
          <w:pPr>
            <w:pStyle w:val="Contents4"/>
            <w:tabs>
              <w:tab w:val="clear" w:pos="8176"/>
              <w:tab w:val="right" w:pos="9026" w:leader="dot"/>
            </w:tabs>
            <w:rPr/>
          </w:pPr>
          <w:hyperlink w:anchor="__RefHeading___Toc8192995_1051229030">
            <w:r>
              <w:rPr>
                <w:webHidden/>
                <w:rStyle w:val="IndexLink"/>
                <w:rtl w:val="true"/>
              </w:rPr>
              <w:t>اشارة</w:t>
            </w:r>
            <w:r>
              <w:rPr>
                <w:rStyle w:val="IndexLink"/>
                <w:rtl w:val="true"/>
              </w:rPr>
              <w:tab/>
            </w:r>
            <w:r>
              <w:rPr>
                <w:rStyle w:val="IndexLink"/>
              </w:rPr>
              <w:t>20</w:t>
            </w:r>
          </w:hyperlink>
        </w:p>
        <w:p>
          <w:pPr>
            <w:pStyle w:val="Contents4"/>
            <w:tabs>
              <w:tab w:val="clear" w:pos="8176"/>
              <w:tab w:val="right" w:pos="9026" w:leader="dot"/>
            </w:tabs>
            <w:rPr/>
          </w:pPr>
          <w:hyperlink w:anchor="__RefHeading___Toc8192997_1051229030">
            <w:r>
              <w:rPr>
                <w:webHidden/>
                <w:rStyle w:val="IndexLink"/>
                <w:rtl w:val="true"/>
              </w:rPr>
              <w:t>القول المختار</w:t>
            </w:r>
            <w:r>
              <w:rPr>
                <w:rStyle w:val="IndexLink"/>
                <w:rtl w:val="true"/>
              </w:rPr>
              <w:t>:</w:t>
              <w:tab/>
            </w:r>
            <w:r>
              <w:rPr>
                <w:rStyle w:val="IndexLink"/>
              </w:rPr>
              <w:t>59</w:t>
            </w:r>
          </w:hyperlink>
        </w:p>
        <w:p>
          <w:pPr>
            <w:pStyle w:val="Contents4"/>
            <w:tabs>
              <w:tab w:val="clear" w:pos="8176"/>
              <w:tab w:val="right" w:pos="9026" w:leader="dot"/>
            </w:tabs>
            <w:rPr/>
          </w:pPr>
          <w:hyperlink w:anchor="__RefHeading___Toc8192999_1051229030">
            <w:r>
              <w:rPr>
                <w:webHidden/>
                <w:rStyle w:val="IndexLink"/>
                <w:rtl w:val="true"/>
              </w:rPr>
              <w:t>ملحق فيه فائدتان</w:t>
            </w:r>
            <w:r>
              <w:rPr>
                <w:rStyle w:val="IndexLink"/>
                <w:rtl w:val="true"/>
              </w:rPr>
              <w:t>:</w:t>
              <w:tab/>
            </w:r>
            <w:r>
              <w:rPr>
                <w:rStyle w:val="IndexLink"/>
              </w:rPr>
              <w:t>60</w:t>
            </w:r>
          </w:hyperlink>
        </w:p>
        <w:p>
          <w:pPr>
            <w:pStyle w:val="Contents4"/>
            <w:tabs>
              <w:tab w:val="clear" w:pos="8176"/>
              <w:tab w:val="right" w:pos="9026" w:leader="dot"/>
            </w:tabs>
            <w:rPr/>
          </w:pPr>
          <w:hyperlink w:anchor="__RefHeading___Toc8193001_1051229030">
            <w:r>
              <w:rPr>
                <w:webHidden/>
                <w:rStyle w:val="IndexLink"/>
                <w:rtl w:val="true"/>
              </w:rPr>
              <w:t>مقتضى الأصل عند الشك في العينية والكفائية</w:t>
            </w:r>
            <w:r>
              <w:rPr>
                <w:rStyle w:val="IndexLink"/>
                <w:rtl w:val="true"/>
              </w:rPr>
              <w:tab/>
            </w:r>
            <w:r>
              <w:rPr>
                <w:rStyle w:val="IndexLink"/>
              </w:rPr>
              <w:t>63</w:t>
            </w:r>
          </w:hyperlink>
        </w:p>
        <w:p>
          <w:pPr>
            <w:pStyle w:val="Contents4"/>
            <w:tabs>
              <w:tab w:val="clear" w:pos="8176"/>
              <w:tab w:val="right" w:pos="9026" w:leader="dot"/>
            </w:tabs>
            <w:rPr/>
          </w:pPr>
          <w:hyperlink w:anchor="__RefHeading___Toc8193003_1051229030">
            <w:r>
              <w:rPr>
                <w:webHidden/>
                <w:rStyle w:val="IndexLink"/>
                <w:rtl w:val="true"/>
              </w:rPr>
              <w:t>(</w:t>
            </w:r>
            <w:r>
              <w:rPr>
                <w:rStyle w:val="IndexLink"/>
                <w:rtl w:val="true"/>
              </w:rPr>
              <w:t>المقام الأول</w:t>
            </w:r>
            <w:r>
              <w:rPr>
                <w:rStyle w:val="IndexLink"/>
                <w:rtl w:val="true"/>
              </w:rPr>
              <w:t xml:space="preserve">) </w:t>
            </w:r>
            <w:r>
              <w:rPr>
                <w:rStyle w:val="IndexLink"/>
                <w:rtl w:val="true"/>
              </w:rPr>
              <w:t>مقتضى الأصل اللفظي</w:t>
            </w:r>
            <w:r>
              <w:rPr>
                <w:rStyle w:val="IndexLink"/>
                <w:rtl w:val="true"/>
              </w:rPr>
              <w:t>:</w:t>
              <w:tab/>
            </w:r>
            <w:r>
              <w:rPr>
                <w:rStyle w:val="IndexLink"/>
              </w:rPr>
              <w:t>63</w:t>
            </w:r>
          </w:hyperlink>
        </w:p>
        <w:p>
          <w:pPr>
            <w:pStyle w:val="Contents4"/>
            <w:tabs>
              <w:tab w:val="clear" w:pos="8176"/>
              <w:tab w:val="right" w:pos="9026" w:leader="dot"/>
            </w:tabs>
            <w:rPr/>
          </w:pPr>
          <w:hyperlink w:anchor="__RefHeading___Toc8193005_1051229030">
            <w:r>
              <w:rPr>
                <w:webHidden/>
                <w:rStyle w:val="IndexLink"/>
                <w:rtl w:val="true"/>
              </w:rPr>
              <w:t>احتمال آخر في المقام</w:t>
            </w:r>
            <w:r>
              <w:rPr>
                <w:rStyle w:val="IndexLink"/>
                <w:rtl w:val="true"/>
              </w:rPr>
              <w:t>:</w:t>
              <w:tab/>
            </w:r>
            <w:r>
              <w:rPr>
                <w:rStyle w:val="IndexLink"/>
              </w:rPr>
              <w:t>65</w:t>
            </w:r>
          </w:hyperlink>
        </w:p>
        <w:p>
          <w:pPr>
            <w:pStyle w:val="Contents4"/>
            <w:tabs>
              <w:tab w:val="clear" w:pos="8176"/>
              <w:tab w:val="right" w:pos="9026" w:leader="dot"/>
            </w:tabs>
            <w:rPr/>
          </w:pPr>
          <w:hyperlink w:anchor="__RefHeading___Toc8193007_1051229030">
            <w:r>
              <w:rPr>
                <w:webHidden/>
                <w:rStyle w:val="IndexLink"/>
                <w:rtl w:val="true"/>
              </w:rPr>
              <w:t>(</w:t>
            </w:r>
            <w:r>
              <w:rPr>
                <w:rStyle w:val="IndexLink"/>
                <w:rtl w:val="true"/>
              </w:rPr>
              <w:t>الأصل الأول</w:t>
            </w:r>
            <w:r>
              <w:rPr>
                <w:rStyle w:val="IndexLink"/>
                <w:rtl w:val="true"/>
              </w:rPr>
              <w:t xml:space="preserve">: </w:t>
            </w:r>
            <w:r>
              <w:rPr>
                <w:rStyle w:val="IndexLink"/>
                <w:rtl w:val="true"/>
              </w:rPr>
              <w:t>الاستصحاب</w:t>
            </w:r>
            <w:r>
              <w:rPr>
                <w:rStyle w:val="IndexLink"/>
                <w:rtl w:val="true"/>
              </w:rPr>
              <w:t>):</w:t>
              <w:tab/>
            </w:r>
            <w:r>
              <w:rPr>
                <w:rStyle w:val="IndexLink"/>
              </w:rPr>
              <w:t>69</w:t>
            </w:r>
          </w:hyperlink>
        </w:p>
        <w:p>
          <w:pPr>
            <w:pStyle w:val="Contents4"/>
            <w:tabs>
              <w:tab w:val="clear" w:pos="8176"/>
              <w:tab w:val="right" w:pos="9026" w:leader="dot"/>
            </w:tabs>
            <w:rPr/>
          </w:pPr>
          <w:hyperlink w:anchor="__RefHeading___Toc8193009_1051229030">
            <w:r>
              <w:rPr>
                <w:webHidden/>
                <w:rStyle w:val="IndexLink"/>
                <w:rtl w:val="true"/>
              </w:rPr>
              <w:t>وجه لمنع جريان الاستصحاب</w:t>
            </w:r>
            <w:r>
              <w:rPr>
                <w:rStyle w:val="IndexLink"/>
                <w:rtl w:val="true"/>
              </w:rPr>
              <w:t>:</w:t>
              <w:tab/>
            </w:r>
            <w:r>
              <w:rPr>
                <w:rStyle w:val="IndexLink"/>
              </w:rPr>
              <w:t>72</w:t>
            </w:r>
          </w:hyperlink>
        </w:p>
        <w:p>
          <w:pPr>
            <w:pStyle w:val="Contents4"/>
            <w:tabs>
              <w:tab w:val="clear" w:pos="8176"/>
              <w:tab w:val="right" w:pos="9026" w:leader="dot"/>
            </w:tabs>
            <w:rPr/>
          </w:pPr>
          <w:hyperlink w:anchor="__RefHeading___Toc8193011_1051229030">
            <w:r>
              <w:rPr>
                <w:webHidden/>
                <w:rStyle w:val="IndexLink"/>
                <w:rtl w:val="true"/>
              </w:rPr>
              <w:t>تقريبان آخران للاستصحاب</w:t>
            </w:r>
            <w:r>
              <w:rPr>
                <w:rStyle w:val="IndexLink"/>
                <w:rtl w:val="true"/>
              </w:rPr>
              <w:t>:</w:t>
              <w:tab/>
            </w:r>
            <w:r>
              <w:rPr>
                <w:rStyle w:val="IndexLink"/>
              </w:rPr>
              <w:t>73</w:t>
            </w:r>
          </w:hyperlink>
        </w:p>
        <w:p>
          <w:pPr>
            <w:pStyle w:val="Contents4"/>
            <w:tabs>
              <w:tab w:val="clear" w:pos="8176"/>
              <w:tab w:val="right" w:pos="9026" w:leader="dot"/>
            </w:tabs>
            <w:rPr/>
          </w:pPr>
          <w:hyperlink w:anchor="__RefHeading___Toc8193013_1051229030">
            <w:r>
              <w:rPr>
                <w:webHidden/>
                <w:rStyle w:val="IndexLink"/>
                <w:rtl w:val="true"/>
              </w:rPr>
              <w:t>(</w:t>
            </w:r>
            <w:r>
              <w:rPr>
                <w:rStyle w:val="IndexLink"/>
                <w:rtl w:val="true"/>
              </w:rPr>
              <w:t>الثاني</w:t>
            </w:r>
            <w:r>
              <w:rPr>
                <w:rStyle w:val="IndexLink"/>
                <w:rtl w:val="true"/>
              </w:rPr>
              <w:t xml:space="preserve">: </w:t>
            </w:r>
            <w:r>
              <w:rPr>
                <w:rStyle w:val="IndexLink"/>
                <w:rtl w:val="true"/>
              </w:rPr>
              <w:t>قاعدة الاشتغال</w:t>
            </w:r>
            <w:r>
              <w:rPr>
                <w:rStyle w:val="IndexLink"/>
                <w:rtl w:val="true"/>
              </w:rPr>
              <w:t>):</w:t>
              <w:tab/>
            </w:r>
            <w:r>
              <w:rPr>
                <w:rStyle w:val="IndexLink"/>
              </w:rPr>
              <w:t>81</w:t>
            </w:r>
          </w:hyperlink>
        </w:p>
        <w:p>
          <w:pPr>
            <w:pStyle w:val="Contents4"/>
            <w:tabs>
              <w:tab w:val="clear" w:pos="8176"/>
              <w:tab w:val="right" w:pos="9026" w:leader="dot"/>
            </w:tabs>
            <w:rPr/>
          </w:pPr>
          <w:hyperlink w:anchor="__RefHeading___Toc8193015_1051229030">
            <w:r>
              <w:rPr>
                <w:webHidden/>
                <w:rStyle w:val="IndexLink"/>
                <w:rtl w:val="true"/>
              </w:rPr>
              <w:t>(</w:t>
            </w:r>
            <w:r>
              <w:rPr>
                <w:rStyle w:val="IndexLink"/>
                <w:rtl w:val="true"/>
              </w:rPr>
              <w:t>الثالث</w:t>
            </w:r>
            <w:r>
              <w:rPr>
                <w:rStyle w:val="IndexLink"/>
                <w:rtl w:val="true"/>
              </w:rPr>
              <w:t xml:space="preserve">: </w:t>
            </w:r>
            <w:r>
              <w:rPr>
                <w:rStyle w:val="IndexLink"/>
                <w:rtl w:val="true"/>
              </w:rPr>
              <w:t>أصالة البراءة</w:t>
            </w:r>
            <w:r>
              <w:rPr>
                <w:rStyle w:val="IndexLink"/>
                <w:rtl w:val="true"/>
              </w:rPr>
              <w:t>):</w:t>
              <w:tab/>
            </w:r>
            <w:r>
              <w:rPr>
                <w:rStyle w:val="IndexLink"/>
              </w:rPr>
              <w:t>83</w:t>
            </w:r>
          </w:hyperlink>
        </w:p>
        <w:p>
          <w:pPr>
            <w:pStyle w:val="Contents3"/>
            <w:tabs>
              <w:tab w:val="clear" w:pos="8459"/>
              <w:tab w:val="right" w:pos="9026" w:leader="dot"/>
            </w:tabs>
            <w:rPr/>
          </w:pPr>
          <w:hyperlink w:anchor="__RefHeading___Toc8193017_1051229030">
            <w:r>
              <w:rPr>
                <w:webHidden/>
                <w:rStyle w:val="IndexLink"/>
                <w:rtl w:val="true"/>
              </w:rPr>
              <w:t>المطلب الثاني</w:t>
            </w:r>
            <w:r>
              <w:rPr>
                <w:rStyle w:val="IndexLink"/>
                <w:rtl w:val="true"/>
              </w:rPr>
              <w:t xml:space="preserve">: </w:t>
            </w:r>
            <w:r>
              <w:rPr>
                <w:rStyle w:val="IndexLink"/>
                <w:rtl w:val="true"/>
              </w:rPr>
              <w:t>الدوران بين التخصص والتخصيص</w:t>
            </w:r>
            <w:r>
              <w:rPr>
                <w:rStyle w:val="IndexLink"/>
                <w:rtl w:val="true"/>
              </w:rPr>
              <w:tab/>
            </w:r>
            <w:r>
              <w:rPr>
                <w:rStyle w:val="IndexLink"/>
              </w:rPr>
              <w:t>85</w:t>
            </w:r>
          </w:hyperlink>
        </w:p>
        <w:p>
          <w:pPr>
            <w:pStyle w:val="Contents4"/>
            <w:tabs>
              <w:tab w:val="clear" w:pos="8176"/>
              <w:tab w:val="right" w:pos="9026" w:leader="dot"/>
            </w:tabs>
            <w:rPr/>
          </w:pPr>
          <w:hyperlink w:anchor="__RefHeading___Toc8193019_1051229030">
            <w:r>
              <w:rPr>
                <w:webHidden/>
                <w:rStyle w:val="IndexLink"/>
                <w:rtl w:val="true"/>
              </w:rPr>
              <w:t>اشارة</w:t>
            </w:r>
            <w:r>
              <w:rPr>
                <w:rStyle w:val="IndexLink"/>
                <w:rtl w:val="true"/>
              </w:rPr>
              <w:tab/>
            </w:r>
            <w:r>
              <w:rPr>
                <w:rStyle w:val="IndexLink"/>
              </w:rPr>
              <w:t>85</w:t>
            </w:r>
          </w:hyperlink>
        </w:p>
        <w:p>
          <w:pPr>
            <w:pStyle w:val="Contents4"/>
            <w:tabs>
              <w:tab w:val="clear" w:pos="8176"/>
              <w:tab w:val="right" w:pos="9026" w:leader="dot"/>
            </w:tabs>
            <w:rPr/>
          </w:pPr>
          <w:hyperlink w:anchor="__RefHeading___Toc8193021_1051229030">
            <w:r>
              <w:rPr>
                <w:webHidden/>
                <w:rStyle w:val="IndexLink"/>
                <w:rtl w:val="true"/>
              </w:rPr>
              <w:t>الرأي المختار</w:t>
            </w:r>
            <w:r>
              <w:rPr>
                <w:rStyle w:val="IndexLink"/>
                <w:rtl w:val="true"/>
              </w:rPr>
              <w:tab/>
            </w:r>
            <w:r>
              <w:rPr>
                <w:rStyle w:val="IndexLink"/>
              </w:rPr>
              <w:t>92</w:t>
            </w:r>
          </w:hyperlink>
        </w:p>
        <w:p>
          <w:pPr>
            <w:pStyle w:val="Contents3"/>
            <w:tabs>
              <w:tab w:val="clear" w:pos="8459"/>
              <w:tab w:val="right" w:pos="9026" w:leader="dot"/>
            </w:tabs>
            <w:rPr/>
          </w:pPr>
          <w:hyperlink w:anchor="__RefHeading___Toc8193023_1051229030">
            <w:r>
              <w:rPr>
                <w:webHidden/>
                <w:rStyle w:val="IndexLink"/>
                <w:rtl w:val="true"/>
              </w:rPr>
              <w:t>المطلب الثالث</w:t>
            </w:r>
            <w:r>
              <w:rPr>
                <w:rStyle w:val="IndexLink"/>
                <w:rtl w:val="true"/>
              </w:rPr>
              <w:t xml:space="preserve">: </w:t>
            </w:r>
            <w:r>
              <w:rPr>
                <w:rStyle w:val="IndexLink"/>
                <w:rtl w:val="true"/>
              </w:rPr>
              <w:t>التسامح في ادلة السنن</w:t>
            </w:r>
            <w:r>
              <w:rPr>
                <w:rStyle w:val="IndexLink"/>
                <w:rtl w:val="true"/>
              </w:rPr>
              <w:tab/>
            </w:r>
            <w:r>
              <w:rPr>
                <w:rStyle w:val="IndexLink"/>
              </w:rPr>
              <w:t>96</w:t>
            </w:r>
          </w:hyperlink>
        </w:p>
        <w:p>
          <w:pPr>
            <w:pStyle w:val="Contents4"/>
            <w:tabs>
              <w:tab w:val="clear" w:pos="8176"/>
              <w:tab w:val="right" w:pos="9026" w:leader="dot"/>
            </w:tabs>
            <w:rPr/>
          </w:pPr>
          <w:hyperlink w:anchor="__RefHeading___Toc8193025_1051229030">
            <w:r>
              <w:rPr>
                <w:webHidden/>
                <w:rStyle w:val="IndexLink"/>
                <w:rtl w:val="true"/>
              </w:rPr>
              <w:t>اشارة</w:t>
            </w:r>
            <w:r>
              <w:rPr>
                <w:rStyle w:val="IndexLink"/>
                <w:rtl w:val="true"/>
              </w:rPr>
              <w:tab/>
            </w:r>
            <w:r>
              <w:rPr>
                <w:rStyle w:val="IndexLink"/>
              </w:rPr>
              <w:t>96</w:t>
            </w:r>
          </w:hyperlink>
        </w:p>
        <w:p>
          <w:pPr>
            <w:pStyle w:val="Contents4"/>
            <w:tabs>
              <w:tab w:val="clear" w:pos="8176"/>
              <w:tab w:val="right" w:pos="9026" w:leader="dot"/>
            </w:tabs>
            <w:rPr/>
          </w:pPr>
          <w:hyperlink w:anchor="__RefHeading___Toc8193027_1051229030">
            <w:r>
              <w:rPr>
                <w:webHidden/>
                <w:rStyle w:val="IndexLink"/>
                <w:rtl w:val="true"/>
              </w:rPr>
              <w:t xml:space="preserve">تنبيهات في مفاد أخبار </w:t>
            </w:r>
            <w:r>
              <w:rPr>
                <w:rStyle w:val="IndexLink"/>
                <w:rtl w:val="true"/>
              </w:rPr>
              <w:t>(</w:t>
            </w:r>
            <w:r>
              <w:rPr>
                <w:rStyle w:val="IndexLink"/>
                <w:rtl w:val="true"/>
              </w:rPr>
              <w:t>من بلغ</w:t>
            </w:r>
            <w:r>
              <w:rPr>
                <w:rStyle w:val="IndexLink"/>
                <w:rtl w:val="true"/>
              </w:rPr>
              <w:t>)</w:t>
              <w:tab/>
            </w:r>
            <w:r>
              <w:rPr>
                <w:rStyle w:val="IndexLink"/>
              </w:rPr>
              <w:t>96</w:t>
            </w:r>
          </w:hyperlink>
        </w:p>
        <w:p>
          <w:pPr>
            <w:pStyle w:val="Contents3"/>
            <w:tabs>
              <w:tab w:val="clear" w:pos="8459"/>
              <w:tab w:val="right" w:pos="9026" w:leader="dot"/>
            </w:tabs>
            <w:rPr/>
          </w:pPr>
          <w:hyperlink w:anchor="__RefHeading___Toc8193029_1051229030">
            <w:r>
              <w:rPr>
                <w:webHidden/>
                <w:rStyle w:val="IndexLink"/>
                <w:rtl w:val="true"/>
              </w:rPr>
              <w:t>المطلب الرابع</w:t>
            </w:r>
            <w:r>
              <w:rPr>
                <w:rStyle w:val="IndexLink"/>
                <w:rtl w:val="true"/>
              </w:rPr>
              <w:t xml:space="preserve">: </w:t>
            </w:r>
            <w:r>
              <w:rPr>
                <w:rStyle w:val="IndexLink"/>
                <w:rtl w:val="true"/>
              </w:rPr>
              <w:t>التفصيل في حجية الاستصحاب بين الشك في الرافع والشك في المقتضي</w:t>
            </w:r>
            <w:r>
              <w:rPr>
                <w:rStyle w:val="IndexLink"/>
                <w:rtl w:val="true"/>
              </w:rPr>
              <w:tab/>
            </w:r>
            <w:r>
              <w:rPr>
                <w:rStyle w:val="IndexLink"/>
              </w:rPr>
              <w:t>105</w:t>
            </w:r>
          </w:hyperlink>
        </w:p>
        <w:p>
          <w:pPr>
            <w:pStyle w:val="Contents2"/>
            <w:tabs>
              <w:tab w:val="clear" w:pos="8743"/>
              <w:tab w:val="right" w:pos="9026" w:leader="dot"/>
            </w:tabs>
            <w:rPr/>
          </w:pPr>
          <w:hyperlink w:anchor="__RefHeading___Toc8193031_1051229030">
            <w:r>
              <w:rPr>
                <w:webHidden/>
                <w:rStyle w:val="IndexLink"/>
                <w:rtl w:val="true"/>
              </w:rPr>
              <w:t>الفصل الثاني</w:t>
            </w:r>
            <w:r>
              <w:rPr>
                <w:rStyle w:val="IndexLink"/>
                <w:rtl w:val="true"/>
              </w:rPr>
              <w:t xml:space="preserve">: </w:t>
            </w:r>
            <w:r>
              <w:rPr>
                <w:rStyle w:val="IndexLink"/>
                <w:rtl w:val="true"/>
              </w:rPr>
              <w:t>المباني والتطبيقات الأصولية</w:t>
            </w:r>
            <w:r>
              <w:rPr>
                <w:rStyle w:val="IndexLink"/>
                <w:rtl w:val="true"/>
              </w:rPr>
              <w:tab/>
            </w:r>
            <w:r>
              <w:rPr>
                <w:rStyle w:val="IndexLink"/>
              </w:rPr>
              <w:t>120</w:t>
            </w:r>
          </w:hyperlink>
        </w:p>
        <w:p>
          <w:pPr>
            <w:pStyle w:val="Contents3"/>
            <w:tabs>
              <w:tab w:val="clear" w:pos="8459"/>
              <w:tab w:val="right" w:pos="9026" w:leader="dot"/>
            </w:tabs>
            <w:rPr/>
          </w:pPr>
          <w:hyperlink w:anchor="__RefHeading___Toc8193033_1051229030">
            <w:r>
              <w:rPr>
                <w:webHidden/>
                <w:rStyle w:val="IndexLink"/>
                <w:rtl w:val="true"/>
              </w:rPr>
              <w:t>الفصل الثاني</w:t>
            </w:r>
            <w:r>
              <w:rPr>
                <w:rStyle w:val="IndexLink"/>
                <w:rtl w:val="true"/>
              </w:rPr>
              <w:t xml:space="preserve">: </w:t>
            </w:r>
            <w:r>
              <w:rPr>
                <w:rStyle w:val="IndexLink"/>
                <w:rtl w:val="true"/>
              </w:rPr>
              <w:t>المباني والتطبيقات الأصولية</w:t>
            </w:r>
            <w:r>
              <w:rPr>
                <w:rStyle w:val="IndexLink"/>
                <w:rtl w:val="true"/>
              </w:rPr>
              <w:tab/>
            </w:r>
            <w:r>
              <w:rPr>
                <w:rStyle w:val="IndexLink"/>
              </w:rPr>
              <w:t>120</w:t>
            </w:r>
          </w:hyperlink>
        </w:p>
        <w:p>
          <w:pPr>
            <w:pStyle w:val="Contents3"/>
            <w:tabs>
              <w:tab w:val="clear" w:pos="8459"/>
              <w:tab w:val="right" w:pos="9026" w:leader="dot"/>
            </w:tabs>
            <w:rPr/>
          </w:pPr>
          <w:hyperlink w:anchor="__RefHeading___Toc8193035_1051229030">
            <w:r>
              <w:rPr>
                <w:webHidden/>
                <w:rStyle w:val="IndexLink"/>
                <w:rtl w:val="true"/>
              </w:rPr>
              <w:t>تمهيد المطالب الأصولية</w:t>
            </w:r>
            <w:r>
              <w:rPr>
                <w:rStyle w:val="IndexLink"/>
                <w:rtl w:val="true"/>
              </w:rPr>
              <w:tab/>
            </w:r>
            <w:r>
              <w:rPr>
                <w:rStyle w:val="IndexLink"/>
              </w:rPr>
              <w:t>121</w:t>
            </w:r>
          </w:hyperlink>
        </w:p>
        <w:p>
          <w:pPr>
            <w:pStyle w:val="Contents4"/>
            <w:tabs>
              <w:tab w:val="clear" w:pos="8176"/>
              <w:tab w:val="right" w:pos="9026" w:leader="dot"/>
            </w:tabs>
            <w:rPr/>
          </w:pPr>
          <w:hyperlink w:anchor="__RefHeading___Toc8193037_1051229030">
            <w:r>
              <w:rPr>
                <w:webHidden/>
                <w:rStyle w:val="IndexLink"/>
                <w:rtl w:val="true"/>
              </w:rPr>
              <w:t>اشارة</w:t>
            </w:r>
            <w:r>
              <w:rPr>
                <w:rStyle w:val="IndexLink"/>
                <w:rtl w:val="true"/>
              </w:rPr>
              <w:tab/>
            </w:r>
            <w:r>
              <w:rPr>
                <w:rStyle w:val="IndexLink"/>
              </w:rPr>
              <w:t>121</w:t>
            </w:r>
          </w:hyperlink>
        </w:p>
        <w:p>
          <w:pPr>
            <w:pStyle w:val="Contents4"/>
            <w:tabs>
              <w:tab w:val="clear" w:pos="8176"/>
              <w:tab w:val="right" w:pos="9026" w:leader="dot"/>
            </w:tabs>
            <w:rPr/>
          </w:pPr>
          <w:hyperlink w:anchor="__RefHeading___Toc8193039_1051229030">
            <w:r>
              <w:rPr>
                <w:webHidden/>
                <w:rStyle w:val="IndexLink"/>
                <w:rtl w:val="true"/>
              </w:rPr>
              <w:t>أولا</w:t>
            </w:r>
            <w:r>
              <w:rPr>
                <w:rStyle w:val="IndexLink"/>
                <w:rtl w:val="true"/>
              </w:rPr>
              <w:t xml:space="preserve">: </w:t>
            </w:r>
            <w:r>
              <w:rPr>
                <w:rStyle w:val="IndexLink"/>
                <w:rtl w:val="true"/>
              </w:rPr>
              <w:t>الحكم الشرعي</w:t>
            </w:r>
            <w:r>
              <w:rPr>
                <w:rStyle w:val="IndexLink"/>
                <w:rtl w:val="true"/>
              </w:rPr>
              <w:tab/>
            </w:r>
            <w:r>
              <w:rPr>
                <w:rStyle w:val="IndexLink"/>
              </w:rPr>
              <w:t>122</w:t>
            </w:r>
          </w:hyperlink>
        </w:p>
        <w:p>
          <w:pPr>
            <w:pStyle w:val="Contents5"/>
            <w:tabs>
              <w:tab w:val="clear" w:pos="7892"/>
              <w:tab w:val="right" w:pos="9026" w:leader="dot"/>
            </w:tabs>
            <w:rPr/>
          </w:pPr>
          <w:hyperlink w:anchor="__RefHeading___Toc8193041_1051229030">
            <w:r>
              <w:rPr>
                <w:webHidden/>
                <w:rStyle w:val="IndexLink"/>
                <w:rtl w:val="true"/>
              </w:rPr>
              <w:t>اشارة</w:t>
            </w:r>
            <w:r>
              <w:rPr>
                <w:rStyle w:val="IndexLink"/>
                <w:rtl w:val="true"/>
              </w:rPr>
              <w:tab/>
            </w:r>
            <w:r>
              <w:rPr>
                <w:rStyle w:val="IndexLink"/>
              </w:rPr>
              <w:t>122</w:t>
            </w:r>
          </w:hyperlink>
        </w:p>
        <w:p>
          <w:pPr>
            <w:pStyle w:val="Contents5"/>
            <w:tabs>
              <w:tab w:val="clear" w:pos="7892"/>
              <w:tab w:val="right" w:pos="9026" w:leader="dot"/>
            </w:tabs>
            <w:rPr/>
          </w:pPr>
          <w:hyperlink w:anchor="__RefHeading___Toc8193043_1051229030">
            <w:r>
              <w:rPr>
                <w:webHidden/>
                <w:rStyle w:val="IndexLink"/>
                <w:rtl w:val="true"/>
              </w:rPr>
              <w:t>المسألة الأولى</w:t>
            </w:r>
            <w:r>
              <w:rPr>
                <w:rStyle w:val="IndexLink"/>
                <w:rtl w:val="true"/>
              </w:rPr>
              <w:t xml:space="preserve">: </w:t>
            </w:r>
            <w:r>
              <w:rPr>
                <w:rStyle w:val="IndexLink"/>
                <w:rtl w:val="true"/>
              </w:rPr>
              <w:t xml:space="preserve">انحاء أوامر ونواهي المعصومين </w:t>
            </w:r>
            <w:r>
              <w:rPr>
                <w:rStyle w:val="IndexLink"/>
                <w:rtl w:val="true"/>
              </w:rPr>
              <w:t>(</w:t>
            </w:r>
            <w:r>
              <w:rPr>
                <w:rStyle w:val="IndexLink"/>
                <w:rtl w:val="true"/>
              </w:rPr>
              <w:t>علیهم السلام</w:t>
            </w:r>
            <w:r>
              <w:rPr>
                <w:rStyle w:val="IndexLink"/>
                <w:rtl w:val="true"/>
              </w:rPr>
              <w:t>).</w:t>
              <w:tab/>
            </w:r>
            <w:r>
              <w:rPr>
                <w:rStyle w:val="IndexLink"/>
              </w:rPr>
              <w:t>123</w:t>
            </w:r>
          </w:hyperlink>
        </w:p>
        <w:p>
          <w:pPr>
            <w:pStyle w:val="Contents5"/>
            <w:tabs>
              <w:tab w:val="clear" w:pos="7892"/>
              <w:tab w:val="right" w:pos="9026" w:leader="dot"/>
            </w:tabs>
            <w:rPr/>
          </w:pPr>
          <w:hyperlink w:anchor="__RefHeading___Toc8193045_1051229030">
            <w:r>
              <w:rPr>
                <w:webHidden/>
                <w:rStyle w:val="IndexLink"/>
                <w:rtl w:val="true"/>
              </w:rPr>
              <w:t>المسألة الثانية</w:t>
            </w:r>
            <w:r>
              <w:rPr>
                <w:rStyle w:val="IndexLink"/>
                <w:rtl w:val="true"/>
              </w:rPr>
              <w:t xml:space="preserve">: </w:t>
            </w:r>
            <w:r>
              <w:rPr>
                <w:rStyle w:val="IndexLink"/>
                <w:rtl w:val="true"/>
              </w:rPr>
              <w:t>إلزامية بعض الافعال ضمن فعل مستحب</w:t>
            </w:r>
            <w:r>
              <w:rPr>
                <w:rStyle w:val="IndexLink"/>
                <w:rtl w:val="true"/>
              </w:rPr>
              <w:t>.</w:t>
              <w:tab/>
            </w:r>
            <w:r>
              <w:rPr>
                <w:rStyle w:val="IndexLink"/>
              </w:rPr>
              <w:t>129</w:t>
            </w:r>
          </w:hyperlink>
        </w:p>
        <w:p>
          <w:pPr>
            <w:pStyle w:val="Contents5"/>
            <w:tabs>
              <w:tab w:val="clear" w:pos="7892"/>
              <w:tab w:val="right" w:pos="9026" w:leader="dot"/>
            </w:tabs>
            <w:rPr/>
          </w:pPr>
          <w:hyperlink w:anchor="__RefHeading___Toc8193047_1051229030">
            <w:r>
              <w:rPr>
                <w:webHidden/>
                <w:rStyle w:val="IndexLink"/>
                <w:rtl w:val="true"/>
              </w:rPr>
              <w:t>المسألة الثالثة</w:t>
            </w:r>
            <w:r>
              <w:rPr>
                <w:rStyle w:val="IndexLink"/>
                <w:rtl w:val="true"/>
              </w:rPr>
              <w:t xml:space="preserve">: </w:t>
            </w:r>
            <w:r>
              <w:rPr>
                <w:rStyle w:val="IndexLink"/>
                <w:rtl w:val="true"/>
              </w:rPr>
              <w:t>الكراهة بالمعنى الاعم</w:t>
            </w:r>
            <w:r>
              <w:rPr>
                <w:rStyle w:val="IndexLink"/>
                <w:rtl w:val="true"/>
              </w:rPr>
              <w:t>.</w:t>
              <w:tab/>
            </w:r>
            <w:r>
              <w:rPr>
                <w:rStyle w:val="IndexLink"/>
              </w:rPr>
              <w:t>130</w:t>
            </w:r>
          </w:hyperlink>
        </w:p>
        <w:p>
          <w:pPr>
            <w:pStyle w:val="Contents6"/>
            <w:tabs>
              <w:tab w:val="clear" w:pos="7609"/>
              <w:tab w:val="right" w:pos="9026" w:leader="dot"/>
            </w:tabs>
            <w:rPr/>
          </w:pPr>
          <w:hyperlink w:anchor="__RefHeading___Toc8193049_1051229030">
            <w:r>
              <w:rPr>
                <w:webHidden/>
                <w:rStyle w:val="IndexLink"/>
                <w:rtl w:val="true"/>
              </w:rPr>
              <w:t>اشارة</w:t>
            </w:r>
            <w:r>
              <w:rPr>
                <w:rStyle w:val="IndexLink"/>
                <w:rtl w:val="true"/>
              </w:rPr>
              <w:tab/>
            </w:r>
            <w:r>
              <w:rPr>
                <w:rStyle w:val="IndexLink"/>
              </w:rPr>
              <w:t>130</w:t>
            </w:r>
          </w:hyperlink>
        </w:p>
        <w:p>
          <w:pPr>
            <w:pStyle w:val="Contents6"/>
            <w:tabs>
              <w:tab w:val="clear" w:pos="7609"/>
              <w:tab w:val="right" w:pos="9026" w:leader="dot"/>
            </w:tabs>
            <w:rPr/>
          </w:pPr>
          <w:hyperlink w:anchor="__RefHeading___Toc8193051_1051229030">
            <w:r>
              <w:rPr>
                <w:webHidden/>
                <w:rStyle w:val="IndexLink"/>
                <w:rtl w:val="true"/>
              </w:rPr>
              <w:t>ونشير هنا إلى فوائد مرتبطة بالمسألة</w:t>
            </w:r>
            <w:r>
              <w:rPr>
                <w:rStyle w:val="IndexLink"/>
                <w:rtl w:val="true"/>
              </w:rPr>
              <w:t>:</w:t>
              <w:tab/>
            </w:r>
            <w:r>
              <w:rPr>
                <w:rStyle w:val="IndexLink"/>
              </w:rPr>
              <w:t>130</w:t>
            </w:r>
          </w:hyperlink>
        </w:p>
        <w:p>
          <w:pPr>
            <w:pStyle w:val="Contents5"/>
            <w:tabs>
              <w:tab w:val="clear" w:pos="7892"/>
              <w:tab w:val="right" w:pos="9026" w:leader="dot"/>
            </w:tabs>
            <w:rPr/>
          </w:pPr>
          <w:hyperlink w:anchor="__RefHeading___Toc8193053_1051229030">
            <w:r>
              <w:rPr>
                <w:webHidden/>
                <w:rStyle w:val="IndexLink"/>
                <w:rtl w:val="true"/>
              </w:rPr>
              <w:t>المسألة الرابعة</w:t>
            </w:r>
            <w:r>
              <w:rPr>
                <w:rStyle w:val="IndexLink"/>
                <w:rtl w:val="true"/>
              </w:rPr>
              <w:t xml:space="preserve">: </w:t>
            </w:r>
            <w:r>
              <w:rPr>
                <w:rStyle w:val="IndexLink"/>
                <w:rtl w:val="true"/>
              </w:rPr>
              <w:t>مدخلية العلم بإرادة المولى في تنجيز الحكم</w:t>
            </w:r>
            <w:r>
              <w:rPr>
                <w:rStyle w:val="IndexLink"/>
                <w:rtl w:val="true"/>
              </w:rPr>
              <w:t>.</w:t>
              <w:tab/>
            </w:r>
            <w:r>
              <w:rPr>
                <w:rStyle w:val="IndexLink"/>
              </w:rPr>
              <w:t>131</w:t>
            </w:r>
          </w:hyperlink>
        </w:p>
        <w:p>
          <w:pPr>
            <w:pStyle w:val="Contents5"/>
            <w:tabs>
              <w:tab w:val="clear" w:pos="7892"/>
              <w:tab w:val="right" w:pos="9026" w:leader="dot"/>
            </w:tabs>
            <w:rPr/>
          </w:pPr>
          <w:hyperlink w:anchor="__RefHeading___Toc8193055_1051229030">
            <w:r>
              <w:rPr>
                <w:webHidden/>
                <w:rStyle w:val="IndexLink"/>
                <w:rtl w:val="true"/>
              </w:rPr>
              <w:t>المسألة الخامسة</w:t>
            </w:r>
            <w:r>
              <w:rPr>
                <w:rStyle w:val="IndexLink"/>
                <w:rtl w:val="true"/>
              </w:rPr>
              <w:t xml:space="preserve">: </w:t>
            </w:r>
            <w:r>
              <w:rPr>
                <w:rStyle w:val="IndexLink"/>
                <w:rtl w:val="true"/>
              </w:rPr>
              <w:t>سقوط الوجوب لا يثبت الاستحباب</w:t>
            </w:r>
            <w:r>
              <w:rPr>
                <w:rStyle w:val="IndexLink"/>
                <w:rtl w:val="true"/>
              </w:rPr>
              <w:t>.</w:t>
              <w:tab/>
            </w:r>
            <w:r>
              <w:rPr>
                <w:rStyle w:val="IndexLink"/>
              </w:rPr>
              <w:t>133</w:t>
            </w:r>
          </w:hyperlink>
        </w:p>
        <w:p>
          <w:pPr>
            <w:pStyle w:val="Contents5"/>
            <w:tabs>
              <w:tab w:val="clear" w:pos="7892"/>
              <w:tab w:val="right" w:pos="9026" w:leader="dot"/>
            </w:tabs>
            <w:rPr/>
          </w:pPr>
          <w:hyperlink w:anchor="__RefHeading___Toc8193057_1051229030">
            <w:r>
              <w:rPr>
                <w:webHidden/>
                <w:rStyle w:val="IndexLink"/>
                <w:rtl w:val="true"/>
              </w:rPr>
              <w:t>المسألة السادسة</w:t>
            </w:r>
            <w:r>
              <w:rPr>
                <w:rStyle w:val="IndexLink"/>
                <w:rtl w:val="true"/>
              </w:rPr>
              <w:t xml:space="preserve">: </w:t>
            </w:r>
            <w:r>
              <w:rPr>
                <w:rStyle w:val="IndexLink"/>
                <w:rtl w:val="true"/>
              </w:rPr>
              <w:t>دلالة الأوامر على الاحكام الوضعية</w:t>
            </w:r>
            <w:r>
              <w:rPr>
                <w:rStyle w:val="IndexLink"/>
                <w:rtl w:val="true"/>
              </w:rPr>
              <w:t>.</w:t>
              <w:tab/>
            </w:r>
            <w:r>
              <w:rPr>
                <w:rStyle w:val="IndexLink"/>
              </w:rPr>
              <w:t>135</w:t>
            </w:r>
          </w:hyperlink>
        </w:p>
        <w:p>
          <w:pPr>
            <w:pStyle w:val="Contents5"/>
            <w:tabs>
              <w:tab w:val="clear" w:pos="7892"/>
              <w:tab w:val="right" w:pos="9026" w:leader="dot"/>
            </w:tabs>
            <w:rPr/>
          </w:pPr>
          <w:hyperlink w:anchor="__RefHeading___Toc8193059_1051229030">
            <w:r>
              <w:rPr>
                <w:webHidden/>
                <w:rStyle w:val="IndexLink"/>
                <w:rtl w:val="true"/>
              </w:rPr>
              <w:t>المسألة السابعة</w:t>
            </w:r>
            <w:r>
              <w:rPr>
                <w:rStyle w:val="IndexLink"/>
                <w:rtl w:val="true"/>
              </w:rPr>
              <w:t xml:space="preserve">: </w:t>
            </w:r>
            <w:r>
              <w:rPr>
                <w:rStyle w:val="IndexLink"/>
                <w:rtl w:val="true"/>
              </w:rPr>
              <w:t>الاستحباب والكراهة الوضعيان</w:t>
            </w:r>
            <w:r>
              <w:rPr>
                <w:rStyle w:val="IndexLink"/>
                <w:rtl w:val="true"/>
              </w:rPr>
              <w:t>.</w:t>
              <w:tab/>
            </w:r>
            <w:r>
              <w:rPr>
                <w:rStyle w:val="IndexLink"/>
              </w:rPr>
              <w:t>136</w:t>
            </w:r>
          </w:hyperlink>
        </w:p>
        <w:p>
          <w:pPr>
            <w:pStyle w:val="Contents6"/>
            <w:tabs>
              <w:tab w:val="clear" w:pos="7609"/>
              <w:tab w:val="right" w:pos="9026" w:leader="dot"/>
            </w:tabs>
            <w:rPr/>
          </w:pPr>
          <w:hyperlink w:anchor="__RefHeading___Toc8193061_1051229030">
            <w:r>
              <w:rPr>
                <w:webHidden/>
                <w:rStyle w:val="IndexLink"/>
                <w:rtl w:val="true"/>
              </w:rPr>
              <w:t>اشارة</w:t>
            </w:r>
            <w:r>
              <w:rPr>
                <w:rStyle w:val="IndexLink"/>
                <w:rtl w:val="true"/>
              </w:rPr>
              <w:tab/>
            </w:r>
            <w:r>
              <w:rPr>
                <w:rStyle w:val="IndexLink"/>
              </w:rPr>
              <w:t>136</w:t>
            </w:r>
          </w:hyperlink>
        </w:p>
        <w:p>
          <w:pPr>
            <w:pStyle w:val="Contents6"/>
            <w:tabs>
              <w:tab w:val="clear" w:pos="7609"/>
              <w:tab w:val="right" w:pos="9026" w:leader="dot"/>
            </w:tabs>
            <w:rPr/>
          </w:pPr>
          <w:hyperlink w:anchor="__RefHeading___Toc8193063_1051229030">
            <w:r>
              <w:rPr>
                <w:webHidden/>
                <w:rStyle w:val="IndexLink"/>
                <w:rtl w:val="true"/>
              </w:rPr>
              <w:t>الاستحباب الوضعي</w:t>
            </w:r>
            <w:r>
              <w:rPr>
                <w:rStyle w:val="IndexLink"/>
                <w:rtl w:val="true"/>
              </w:rPr>
              <w:tab/>
            </w:r>
            <w:r>
              <w:rPr>
                <w:rStyle w:val="IndexLink"/>
              </w:rPr>
              <w:t>136</w:t>
            </w:r>
          </w:hyperlink>
        </w:p>
        <w:p>
          <w:pPr>
            <w:pStyle w:val="Contents6"/>
            <w:tabs>
              <w:tab w:val="clear" w:pos="7609"/>
              <w:tab w:val="right" w:pos="9026" w:leader="dot"/>
            </w:tabs>
            <w:rPr/>
          </w:pPr>
          <w:hyperlink w:anchor="__RefHeading___Toc8193065_1051229030">
            <w:r>
              <w:rPr>
                <w:webHidden/>
                <w:rStyle w:val="IndexLink"/>
                <w:rtl w:val="true"/>
              </w:rPr>
              <w:t>الكراهة الوضعية</w:t>
            </w:r>
            <w:r>
              <w:rPr>
                <w:rStyle w:val="IndexLink"/>
                <w:rtl w:val="true"/>
              </w:rPr>
              <w:tab/>
            </w:r>
            <w:r>
              <w:rPr>
                <w:rStyle w:val="IndexLink"/>
              </w:rPr>
              <w:t>138</w:t>
            </w:r>
          </w:hyperlink>
        </w:p>
        <w:p>
          <w:pPr>
            <w:pStyle w:val="Contents5"/>
            <w:tabs>
              <w:tab w:val="clear" w:pos="7892"/>
              <w:tab w:val="right" w:pos="9026" w:leader="dot"/>
            </w:tabs>
            <w:rPr/>
          </w:pPr>
          <w:hyperlink w:anchor="__RefHeading___Toc8193067_1051229030">
            <w:r>
              <w:rPr>
                <w:webHidden/>
                <w:rStyle w:val="IndexLink"/>
                <w:rtl w:val="true"/>
              </w:rPr>
              <w:t>المسألة الثامنة</w:t>
            </w:r>
            <w:r>
              <w:rPr>
                <w:rStyle w:val="IndexLink"/>
                <w:rtl w:val="true"/>
              </w:rPr>
              <w:t xml:space="preserve">: </w:t>
            </w:r>
            <w:r>
              <w:rPr>
                <w:rStyle w:val="IndexLink"/>
                <w:rtl w:val="true"/>
              </w:rPr>
              <w:t>الفرق بين الفساد والبطلان</w:t>
            </w:r>
            <w:r>
              <w:rPr>
                <w:rStyle w:val="IndexLink"/>
                <w:rtl w:val="true"/>
              </w:rPr>
              <w:t>.</w:t>
              <w:tab/>
            </w:r>
            <w:r>
              <w:rPr>
                <w:rStyle w:val="IndexLink"/>
              </w:rPr>
              <w:t>139</w:t>
            </w:r>
          </w:hyperlink>
        </w:p>
        <w:p>
          <w:pPr>
            <w:pStyle w:val="Contents5"/>
            <w:tabs>
              <w:tab w:val="clear" w:pos="7892"/>
              <w:tab w:val="right" w:pos="9026" w:leader="dot"/>
            </w:tabs>
            <w:rPr/>
          </w:pPr>
          <w:hyperlink w:anchor="__RefHeading___Toc8193069_1051229030">
            <w:r>
              <w:rPr>
                <w:webHidden/>
                <w:rStyle w:val="IndexLink"/>
                <w:rtl w:val="true"/>
              </w:rPr>
              <w:t>المسألة التاسعة</w:t>
            </w:r>
            <w:r>
              <w:rPr>
                <w:rStyle w:val="IndexLink"/>
                <w:rtl w:val="true"/>
              </w:rPr>
              <w:t xml:space="preserve">: </w:t>
            </w:r>
            <w:r>
              <w:rPr>
                <w:rStyle w:val="IndexLink"/>
                <w:rtl w:val="true"/>
              </w:rPr>
              <w:t>بقاء الوجوب حتى مع انعدام موضوعه</w:t>
            </w:r>
            <w:r>
              <w:rPr>
                <w:rStyle w:val="IndexLink"/>
                <w:rtl w:val="true"/>
              </w:rPr>
              <w:t>.</w:t>
              <w:tab/>
            </w:r>
            <w:r>
              <w:rPr>
                <w:rStyle w:val="IndexLink"/>
              </w:rPr>
              <w:t>139</w:t>
            </w:r>
          </w:hyperlink>
        </w:p>
        <w:p>
          <w:pPr>
            <w:pStyle w:val="Contents5"/>
            <w:tabs>
              <w:tab w:val="clear" w:pos="7892"/>
              <w:tab w:val="right" w:pos="9026" w:leader="dot"/>
            </w:tabs>
            <w:rPr/>
          </w:pPr>
          <w:hyperlink w:anchor="__RefHeading___Toc8193071_1051229030">
            <w:r>
              <w:rPr>
                <w:webHidden/>
                <w:rStyle w:val="IndexLink"/>
                <w:rtl w:val="true"/>
              </w:rPr>
              <w:t>المسألة العاشرة</w:t>
            </w:r>
            <w:r>
              <w:rPr>
                <w:rStyle w:val="IndexLink"/>
                <w:rtl w:val="true"/>
              </w:rPr>
              <w:t xml:space="preserve">: </w:t>
            </w:r>
            <w:r>
              <w:rPr>
                <w:rStyle w:val="IndexLink"/>
                <w:rtl w:val="true"/>
              </w:rPr>
              <w:t>تأثير الزمان والمكان على الحكم الشرعي</w:t>
            </w:r>
            <w:r>
              <w:rPr>
                <w:rStyle w:val="IndexLink"/>
                <w:rtl w:val="true"/>
              </w:rPr>
              <w:t>.</w:t>
              <w:tab/>
            </w:r>
            <w:r>
              <w:rPr>
                <w:rStyle w:val="IndexLink"/>
              </w:rPr>
              <w:t>140</w:t>
            </w:r>
          </w:hyperlink>
        </w:p>
        <w:p>
          <w:pPr>
            <w:pStyle w:val="Contents5"/>
            <w:tabs>
              <w:tab w:val="clear" w:pos="7892"/>
              <w:tab w:val="right" w:pos="9026" w:leader="dot"/>
            </w:tabs>
            <w:rPr/>
          </w:pPr>
          <w:hyperlink w:anchor="__RefHeading___Toc8193073_1051229030">
            <w:r>
              <w:rPr>
                <w:webHidden/>
                <w:rStyle w:val="IndexLink"/>
                <w:rtl w:val="true"/>
              </w:rPr>
              <w:t>المسألة الحادية عشرة</w:t>
            </w:r>
            <w:r>
              <w:rPr>
                <w:rStyle w:val="IndexLink"/>
                <w:rtl w:val="true"/>
              </w:rPr>
              <w:t xml:space="preserve">: </w:t>
            </w:r>
            <w:r>
              <w:rPr>
                <w:rStyle w:val="IndexLink"/>
                <w:rtl w:val="true"/>
              </w:rPr>
              <w:t>جعل الاحكام على نحو القضية الحقيقية</w:t>
            </w:r>
            <w:r>
              <w:rPr>
                <w:rStyle w:val="IndexLink"/>
                <w:rtl w:val="true"/>
              </w:rPr>
              <w:t>.</w:t>
              <w:tab/>
            </w:r>
            <w:r>
              <w:rPr>
                <w:rStyle w:val="IndexLink"/>
              </w:rPr>
              <w:t>143</w:t>
            </w:r>
          </w:hyperlink>
        </w:p>
        <w:p>
          <w:pPr>
            <w:pStyle w:val="Contents5"/>
            <w:tabs>
              <w:tab w:val="clear" w:pos="7892"/>
              <w:tab w:val="right" w:pos="9026" w:leader="dot"/>
            </w:tabs>
            <w:rPr/>
          </w:pPr>
          <w:hyperlink w:anchor="__RefHeading___Toc8193075_1051229030">
            <w:r>
              <w:rPr>
                <w:webHidden/>
                <w:rStyle w:val="IndexLink"/>
                <w:rtl w:val="true"/>
              </w:rPr>
              <w:t>المسألة الثانية عشرة</w:t>
            </w:r>
            <w:r>
              <w:rPr>
                <w:rStyle w:val="IndexLink"/>
                <w:rtl w:val="true"/>
              </w:rPr>
              <w:t xml:space="preserve">: </w:t>
            </w:r>
            <w:r>
              <w:rPr>
                <w:rStyle w:val="IndexLink"/>
                <w:rtl w:val="true"/>
              </w:rPr>
              <w:t>فتوى الفقيه وحكم الحاكم الشرعي</w:t>
            </w:r>
            <w:r>
              <w:rPr>
                <w:rStyle w:val="IndexLink"/>
                <w:rtl w:val="true"/>
              </w:rPr>
              <w:t>.</w:t>
              <w:tab/>
            </w:r>
            <w:r>
              <w:rPr>
                <w:rStyle w:val="IndexLink"/>
              </w:rPr>
              <w:t>144</w:t>
            </w:r>
          </w:hyperlink>
        </w:p>
        <w:p>
          <w:pPr>
            <w:pStyle w:val="Contents5"/>
            <w:tabs>
              <w:tab w:val="clear" w:pos="7892"/>
              <w:tab w:val="right" w:pos="9026" w:leader="dot"/>
            </w:tabs>
            <w:rPr/>
          </w:pPr>
          <w:hyperlink w:anchor="__RefHeading___Toc8193077_1051229030">
            <w:r>
              <w:rPr>
                <w:webHidden/>
                <w:rStyle w:val="IndexLink"/>
                <w:rtl w:val="true"/>
              </w:rPr>
              <w:t>المسألة الثالثة عشرة</w:t>
            </w:r>
            <w:r>
              <w:rPr>
                <w:rStyle w:val="IndexLink"/>
                <w:rtl w:val="true"/>
              </w:rPr>
              <w:t xml:space="preserve">: </w:t>
            </w:r>
            <w:r>
              <w:rPr>
                <w:rStyle w:val="IndexLink"/>
                <w:rtl w:val="true"/>
              </w:rPr>
              <w:t>احكام الولي الفقيه</w:t>
            </w:r>
            <w:r>
              <w:rPr>
                <w:rStyle w:val="IndexLink"/>
                <w:rtl w:val="true"/>
              </w:rPr>
              <w:t>.</w:t>
              <w:tab/>
            </w:r>
            <w:r>
              <w:rPr>
                <w:rStyle w:val="IndexLink"/>
              </w:rPr>
              <w:t>149</w:t>
            </w:r>
          </w:hyperlink>
        </w:p>
        <w:p>
          <w:pPr>
            <w:pStyle w:val="Contents5"/>
            <w:tabs>
              <w:tab w:val="clear" w:pos="7892"/>
              <w:tab w:val="right" w:pos="9026" w:leader="dot"/>
            </w:tabs>
            <w:rPr/>
          </w:pPr>
          <w:hyperlink w:anchor="__RefHeading___Toc8193079_1051229030">
            <w:r>
              <w:rPr>
                <w:webHidden/>
                <w:rStyle w:val="IndexLink"/>
                <w:rtl w:val="true"/>
              </w:rPr>
              <w:t>المسألة الرابعة عشرة</w:t>
            </w:r>
            <w:r>
              <w:rPr>
                <w:rStyle w:val="IndexLink"/>
                <w:rtl w:val="true"/>
              </w:rPr>
              <w:t xml:space="preserve">: </w:t>
            </w:r>
            <w:r>
              <w:rPr>
                <w:rStyle w:val="IndexLink"/>
                <w:rtl w:val="true"/>
              </w:rPr>
              <w:t>حدود ولاية الفقيه</w:t>
            </w:r>
            <w:r>
              <w:rPr>
                <w:rStyle w:val="IndexLink"/>
                <w:rtl w:val="true"/>
              </w:rPr>
              <w:t>.</w:t>
              <w:tab/>
            </w:r>
            <w:r>
              <w:rPr>
                <w:rStyle w:val="IndexLink"/>
              </w:rPr>
              <w:t>158</w:t>
            </w:r>
          </w:hyperlink>
        </w:p>
        <w:p>
          <w:pPr>
            <w:pStyle w:val="Contents5"/>
            <w:tabs>
              <w:tab w:val="clear" w:pos="7892"/>
              <w:tab w:val="right" w:pos="9026" w:leader="dot"/>
            </w:tabs>
            <w:rPr/>
          </w:pPr>
          <w:hyperlink w:anchor="__RefHeading___Toc8193081_1051229030">
            <w:r>
              <w:rPr>
                <w:webHidden/>
                <w:rStyle w:val="IndexLink"/>
                <w:rtl w:val="true"/>
              </w:rPr>
              <w:t>المسألة الخامسة عشرة</w:t>
            </w:r>
            <w:r>
              <w:rPr>
                <w:rStyle w:val="IndexLink"/>
                <w:rtl w:val="true"/>
              </w:rPr>
              <w:t xml:space="preserve">: </w:t>
            </w:r>
            <w:r>
              <w:rPr>
                <w:rStyle w:val="IndexLink"/>
                <w:rtl w:val="true"/>
              </w:rPr>
              <w:t>موارد اعمال ولاية الفقيه</w:t>
            </w:r>
            <w:r>
              <w:rPr>
                <w:rStyle w:val="IndexLink"/>
                <w:rtl w:val="true"/>
              </w:rPr>
              <w:t>.</w:t>
              <w:tab/>
            </w:r>
            <w:r>
              <w:rPr>
                <w:rStyle w:val="IndexLink"/>
              </w:rPr>
              <w:t>165</w:t>
            </w:r>
          </w:hyperlink>
        </w:p>
        <w:p>
          <w:pPr>
            <w:pStyle w:val="Contents6"/>
            <w:tabs>
              <w:tab w:val="clear" w:pos="7609"/>
              <w:tab w:val="right" w:pos="9026" w:leader="dot"/>
            </w:tabs>
            <w:rPr/>
          </w:pPr>
          <w:hyperlink w:anchor="__RefHeading___Toc8193083_1051229030">
            <w:r>
              <w:rPr>
                <w:webHidden/>
                <w:rStyle w:val="IndexLink"/>
                <w:rtl w:val="true"/>
              </w:rPr>
              <w:t>اشارة</w:t>
            </w:r>
            <w:r>
              <w:rPr>
                <w:rStyle w:val="IndexLink"/>
                <w:rtl w:val="true"/>
              </w:rPr>
              <w:tab/>
            </w:r>
            <w:r>
              <w:rPr>
                <w:rStyle w:val="IndexLink"/>
              </w:rPr>
              <w:t>165</w:t>
            </w:r>
          </w:hyperlink>
        </w:p>
        <w:p>
          <w:pPr>
            <w:pStyle w:val="Contents6"/>
            <w:tabs>
              <w:tab w:val="clear" w:pos="7609"/>
              <w:tab w:val="right" w:pos="9026" w:leader="dot"/>
            </w:tabs>
            <w:rPr/>
          </w:pPr>
          <w:hyperlink w:anchor="__RefHeading___Toc8193085_1051229030">
            <w:r>
              <w:rPr>
                <w:webHidden/>
                <w:rStyle w:val="IndexLink"/>
                <w:rtl w:val="true"/>
              </w:rPr>
              <w:t>موارد إعمال ولاية الفقيه</w:t>
            </w:r>
            <w:r>
              <w:rPr>
                <w:rStyle w:val="IndexLink"/>
                <w:rtl w:val="true"/>
              </w:rPr>
              <w:t>:</w:t>
              <w:tab/>
            </w:r>
            <w:r>
              <w:rPr>
                <w:rStyle w:val="IndexLink"/>
              </w:rPr>
              <w:t>165</w:t>
            </w:r>
          </w:hyperlink>
        </w:p>
        <w:p>
          <w:pPr>
            <w:pStyle w:val="Contents5"/>
            <w:tabs>
              <w:tab w:val="clear" w:pos="7892"/>
              <w:tab w:val="right" w:pos="9026" w:leader="dot"/>
            </w:tabs>
            <w:rPr/>
          </w:pPr>
          <w:hyperlink w:anchor="__RefHeading___Toc8193087_1051229030">
            <w:r>
              <w:rPr>
                <w:webHidden/>
                <w:rStyle w:val="IndexLink"/>
                <w:rtl w:val="true"/>
              </w:rPr>
              <w:t>المسألة السادسة عشرة</w:t>
            </w:r>
            <w:r>
              <w:rPr>
                <w:rStyle w:val="IndexLink"/>
                <w:rtl w:val="true"/>
              </w:rPr>
              <w:t xml:space="preserve">: </w:t>
            </w:r>
            <w:r>
              <w:rPr>
                <w:rStyle w:val="IndexLink"/>
                <w:rtl w:val="true"/>
              </w:rPr>
              <w:t>شروط إنفاذ الفقيه لولايته</w:t>
            </w:r>
            <w:r>
              <w:rPr>
                <w:rStyle w:val="IndexLink"/>
                <w:rtl w:val="true"/>
              </w:rPr>
              <w:t>.</w:t>
              <w:tab/>
            </w:r>
            <w:r>
              <w:rPr>
                <w:rStyle w:val="IndexLink"/>
              </w:rPr>
              <w:t>170</w:t>
            </w:r>
          </w:hyperlink>
        </w:p>
        <w:p>
          <w:pPr>
            <w:pStyle w:val="Contents5"/>
            <w:tabs>
              <w:tab w:val="clear" w:pos="7892"/>
              <w:tab w:val="right" w:pos="9026" w:leader="dot"/>
            </w:tabs>
            <w:rPr/>
          </w:pPr>
          <w:hyperlink w:anchor="__RefHeading___Toc8193089_1051229030">
            <w:r>
              <w:rPr>
                <w:webHidden/>
                <w:rStyle w:val="IndexLink"/>
                <w:rtl w:val="true"/>
              </w:rPr>
              <w:t>المسألة السابعة عشرة</w:t>
            </w:r>
            <w:r>
              <w:rPr>
                <w:rStyle w:val="IndexLink"/>
                <w:rtl w:val="true"/>
              </w:rPr>
              <w:t xml:space="preserve">: </w:t>
            </w:r>
            <w:r>
              <w:rPr>
                <w:rStyle w:val="IndexLink"/>
                <w:rtl w:val="true"/>
              </w:rPr>
              <w:t>احكام الحاكم الشرعي</w:t>
            </w:r>
            <w:r>
              <w:rPr>
                <w:rStyle w:val="IndexLink"/>
                <w:rtl w:val="true"/>
              </w:rPr>
              <w:t>.</w:t>
              <w:tab/>
            </w:r>
            <w:r>
              <w:rPr>
                <w:rStyle w:val="IndexLink"/>
              </w:rPr>
              <w:t>173</w:t>
            </w:r>
          </w:hyperlink>
        </w:p>
        <w:p>
          <w:pPr>
            <w:pStyle w:val="Contents5"/>
            <w:tabs>
              <w:tab w:val="clear" w:pos="7892"/>
              <w:tab w:val="right" w:pos="9026" w:leader="dot"/>
            </w:tabs>
            <w:rPr/>
          </w:pPr>
          <w:hyperlink w:anchor="__RefHeading___Toc8193091_1051229030">
            <w:r>
              <w:rPr>
                <w:webHidden/>
                <w:rStyle w:val="IndexLink"/>
                <w:rtl w:val="true"/>
              </w:rPr>
              <w:t>أنواع الحكم بثبوت الهلال</w:t>
            </w:r>
            <w:r>
              <w:rPr>
                <w:rStyle w:val="IndexLink"/>
                <w:rtl w:val="true"/>
              </w:rPr>
              <w:t>:</w:t>
              <w:tab/>
            </w:r>
            <w:r>
              <w:rPr>
                <w:rStyle w:val="IndexLink"/>
              </w:rPr>
              <w:t>174</w:t>
            </w:r>
          </w:hyperlink>
        </w:p>
        <w:p>
          <w:pPr>
            <w:pStyle w:val="Contents4"/>
            <w:tabs>
              <w:tab w:val="clear" w:pos="8176"/>
              <w:tab w:val="right" w:pos="9026" w:leader="dot"/>
            </w:tabs>
            <w:rPr/>
          </w:pPr>
          <w:hyperlink w:anchor="__RefHeading___Toc8193093_1051229030">
            <w:r>
              <w:rPr>
                <w:webHidden/>
                <w:rStyle w:val="IndexLink"/>
                <w:rtl w:val="true"/>
              </w:rPr>
              <w:t>ثانيًا</w:t>
            </w:r>
            <w:r>
              <w:rPr>
                <w:rStyle w:val="IndexLink"/>
                <w:rtl w:val="true"/>
              </w:rPr>
              <w:t xml:space="preserve">: </w:t>
            </w:r>
            <w:r>
              <w:rPr>
                <w:rStyle w:val="IndexLink"/>
                <w:rtl w:val="true"/>
              </w:rPr>
              <w:t>التقية</w:t>
            </w:r>
            <w:r>
              <w:rPr>
                <w:rStyle w:val="IndexLink"/>
                <w:rtl w:val="true"/>
              </w:rPr>
              <w:tab/>
            </w:r>
            <w:r>
              <w:rPr>
                <w:rStyle w:val="IndexLink"/>
              </w:rPr>
              <w:t>179</w:t>
            </w:r>
          </w:hyperlink>
        </w:p>
        <w:p>
          <w:pPr>
            <w:pStyle w:val="Contents5"/>
            <w:tabs>
              <w:tab w:val="clear" w:pos="7892"/>
              <w:tab w:val="right" w:pos="9026" w:leader="dot"/>
            </w:tabs>
            <w:rPr/>
          </w:pPr>
          <w:hyperlink w:anchor="__RefHeading___Toc8193095_1051229030">
            <w:r>
              <w:rPr>
                <w:webHidden/>
                <w:rStyle w:val="IndexLink"/>
                <w:rtl w:val="true"/>
              </w:rPr>
              <w:t>اشارة</w:t>
            </w:r>
            <w:r>
              <w:rPr>
                <w:rStyle w:val="IndexLink"/>
                <w:rtl w:val="true"/>
              </w:rPr>
              <w:tab/>
            </w:r>
            <w:r>
              <w:rPr>
                <w:rStyle w:val="IndexLink"/>
              </w:rPr>
              <w:t>179</w:t>
            </w:r>
          </w:hyperlink>
        </w:p>
        <w:p>
          <w:pPr>
            <w:pStyle w:val="Contents5"/>
            <w:tabs>
              <w:tab w:val="clear" w:pos="7892"/>
              <w:tab w:val="right" w:pos="9026" w:leader="dot"/>
            </w:tabs>
            <w:rPr/>
          </w:pPr>
          <w:hyperlink w:anchor="__RefHeading___Toc8193097_1051229030">
            <w:r>
              <w:rPr>
                <w:webHidden/>
                <w:rStyle w:val="IndexLink"/>
                <w:rtl w:val="true"/>
              </w:rPr>
              <w:t>المسألة الثانية</w:t>
            </w:r>
            <w:r>
              <w:rPr>
                <w:rStyle w:val="IndexLink"/>
                <w:rtl w:val="true"/>
              </w:rPr>
              <w:t xml:space="preserve">: </w:t>
            </w:r>
            <w:r>
              <w:rPr>
                <w:rStyle w:val="IndexLink"/>
                <w:rtl w:val="true"/>
              </w:rPr>
              <w:t>إلقاء الخلاف بين الشيعة</w:t>
            </w:r>
            <w:r>
              <w:rPr>
                <w:rStyle w:val="IndexLink"/>
                <w:rtl w:val="true"/>
              </w:rPr>
              <w:t>.</w:t>
              <w:tab/>
            </w:r>
            <w:r>
              <w:rPr>
                <w:rStyle w:val="IndexLink"/>
              </w:rPr>
              <w:t>181</w:t>
            </w:r>
          </w:hyperlink>
        </w:p>
        <w:p>
          <w:pPr>
            <w:pStyle w:val="Contents5"/>
            <w:tabs>
              <w:tab w:val="clear" w:pos="7892"/>
              <w:tab w:val="right" w:pos="9026" w:leader="dot"/>
            </w:tabs>
            <w:rPr/>
          </w:pPr>
          <w:hyperlink w:anchor="__RefHeading___Toc8193099_1051229030">
            <w:r>
              <w:rPr>
                <w:webHidden/>
                <w:rStyle w:val="IndexLink"/>
                <w:rtl w:val="true"/>
              </w:rPr>
              <w:t>المسألة الثالثة</w:t>
            </w:r>
            <w:r>
              <w:rPr>
                <w:rStyle w:val="IndexLink"/>
                <w:rtl w:val="true"/>
              </w:rPr>
              <w:t xml:space="preserve">: </w:t>
            </w:r>
            <w:r>
              <w:rPr>
                <w:rStyle w:val="IndexLink"/>
                <w:rtl w:val="true"/>
              </w:rPr>
              <w:t>معايير صدور الخبر تقية</w:t>
            </w:r>
            <w:r>
              <w:rPr>
                <w:rStyle w:val="IndexLink"/>
                <w:rtl w:val="true"/>
              </w:rPr>
              <w:t>.</w:t>
              <w:tab/>
            </w:r>
            <w:r>
              <w:rPr>
                <w:rStyle w:val="IndexLink"/>
              </w:rPr>
              <w:t>183</w:t>
            </w:r>
          </w:hyperlink>
        </w:p>
        <w:p>
          <w:pPr>
            <w:pStyle w:val="Contents5"/>
            <w:tabs>
              <w:tab w:val="clear" w:pos="7892"/>
              <w:tab w:val="right" w:pos="9026" w:leader="dot"/>
            </w:tabs>
            <w:rPr/>
          </w:pPr>
          <w:hyperlink w:anchor="__RefHeading___Toc8193101_1051229030">
            <w:r>
              <w:rPr>
                <w:webHidden/>
                <w:rStyle w:val="IndexLink"/>
                <w:rtl w:val="true"/>
              </w:rPr>
              <w:t>ونص كلام سماحته هناك هو</w:t>
            </w:r>
            <w:r>
              <w:rPr>
                <w:rStyle w:val="IndexLink"/>
                <w:rtl w:val="true"/>
              </w:rPr>
              <w:t>:</w:t>
              <w:tab/>
            </w:r>
            <w:r>
              <w:rPr>
                <w:rStyle w:val="IndexLink"/>
              </w:rPr>
              <w:t>183</w:t>
            </w:r>
          </w:hyperlink>
        </w:p>
        <w:p>
          <w:pPr>
            <w:pStyle w:val="Contents5"/>
            <w:tabs>
              <w:tab w:val="clear" w:pos="7892"/>
              <w:tab w:val="right" w:pos="9026" w:leader="dot"/>
            </w:tabs>
            <w:rPr/>
          </w:pPr>
          <w:hyperlink w:anchor="__RefHeading___Toc8193103_1051229030">
            <w:r>
              <w:rPr>
                <w:webHidden/>
                <w:rStyle w:val="IndexLink"/>
                <w:rtl w:val="true"/>
              </w:rPr>
              <w:t>المسألة الرابعة</w:t>
            </w:r>
            <w:r>
              <w:rPr>
                <w:rStyle w:val="IndexLink"/>
                <w:rtl w:val="true"/>
              </w:rPr>
              <w:t xml:space="preserve">: </w:t>
            </w:r>
            <w:r>
              <w:rPr>
                <w:rStyle w:val="IndexLink"/>
                <w:rtl w:val="true"/>
              </w:rPr>
              <w:t>لا تقية في تحديد الموضوعات الخارجية</w:t>
            </w:r>
            <w:r>
              <w:rPr>
                <w:rStyle w:val="IndexLink"/>
                <w:rtl w:val="true"/>
              </w:rPr>
              <w:t>.</w:t>
              <w:tab/>
            </w:r>
            <w:r>
              <w:rPr>
                <w:rStyle w:val="IndexLink"/>
              </w:rPr>
              <w:t>194</w:t>
            </w:r>
          </w:hyperlink>
        </w:p>
        <w:p>
          <w:pPr>
            <w:pStyle w:val="Contents5"/>
            <w:tabs>
              <w:tab w:val="clear" w:pos="7892"/>
              <w:tab w:val="right" w:pos="9026" w:leader="dot"/>
            </w:tabs>
            <w:rPr/>
          </w:pPr>
          <w:hyperlink w:anchor="__RefHeading___Toc8193105_1051229030">
            <w:r>
              <w:rPr>
                <w:webHidden/>
                <w:rStyle w:val="IndexLink"/>
                <w:rtl w:val="true"/>
              </w:rPr>
              <w:t>المسألة الخامسة</w:t>
            </w:r>
            <w:r>
              <w:rPr>
                <w:rStyle w:val="IndexLink"/>
                <w:rtl w:val="true"/>
              </w:rPr>
              <w:t xml:space="preserve">: </w:t>
            </w:r>
            <w:r>
              <w:rPr>
                <w:rStyle w:val="IndexLink"/>
                <w:rtl w:val="true"/>
              </w:rPr>
              <w:t>معنى اخر للتقية</w:t>
            </w:r>
            <w:r>
              <w:rPr>
                <w:rStyle w:val="IndexLink"/>
                <w:rtl w:val="true"/>
              </w:rPr>
              <w:t>.</w:t>
              <w:tab/>
            </w:r>
            <w:r>
              <w:rPr>
                <w:rStyle w:val="IndexLink"/>
              </w:rPr>
              <w:t>196</w:t>
            </w:r>
          </w:hyperlink>
        </w:p>
        <w:p>
          <w:pPr>
            <w:pStyle w:val="Contents4"/>
            <w:tabs>
              <w:tab w:val="clear" w:pos="8176"/>
              <w:tab w:val="right" w:pos="9026" w:leader="dot"/>
            </w:tabs>
            <w:rPr/>
          </w:pPr>
          <w:hyperlink w:anchor="__RefHeading___Toc8193107_1051229030">
            <w:r>
              <w:rPr>
                <w:webHidden/>
                <w:rStyle w:val="IndexLink"/>
                <w:rtl w:val="true"/>
              </w:rPr>
              <w:t>ثالثاً</w:t>
            </w:r>
            <w:r>
              <w:rPr>
                <w:rStyle w:val="IndexLink"/>
                <w:rtl w:val="true"/>
              </w:rPr>
              <w:t xml:space="preserve">: </w:t>
            </w:r>
            <w:r>
              <w:rPr>
                <w:rStyle w:val="IndexLink"/>
                <w:rtl w:val="true"/>
              </w:rPr>
              <w:t>تبعية الدلالة الالتزامية للمطابقية</w:t>
            </w:r>
            <w:r>
              <w:rPr>
                <w:rStyle w:val="IndexLink"/>
                <w:rtl w:val="true"/>
              </w:rPr>
              <w:tab/>
            </w:r>
            <w:r>
              <w:rPr>
                <w:rStyle w:val="IndexLink"/>
              </w:rPr>
              <w:t>198</w:t>
            </w:r>
          </w:hyperlink>
        </w:p>
        <w:p>
          <w:pPr>
            <w:pStyle w:val="Contents4"/>
            <w:tabs>
              <w:tab w:val="clear" w:pos="8176"/>
              <w:tab w:val="right" w:pos="9026" w:leader="dot"/>
            </w:tabs>
            <w:rPr/>
          </w:pPr>
          <w:hyperlink w:anchor="__RefHeading___Toc8193109_1051229030">
            <w:r>
              <w:rPr>
                <w:webHidden/>
                <w:rStyle w:val="IndexLink"/>
                <w:rtl w:val="true"/>
              </w:rPr>
              <w:t>رابعًا</w:t>
            </w:r>
            <w:r>
              <w:rPr>
                <w:rStyle w:val="IndexLink"/>
                <w:rtl w:val="true"/>
              </w:rPr>
              <w:t xml:space="preserve">: </w:t>
            </w:r>
            <w:r>
              <w:rPr>
                <w:rStyle w:val="IndexLink"/>
                <w:rtl w:val="true"/>
              </w:rPr>
              <w:t>حجية الاكتشافات العلمية</w:t>
            </w:r>
            <w:r>
              <w:rPr>
                <w:rStyle w:val="IndexLink"/>
                <w:rtl w:val="true"/>
              </w:rPr>
              <w:tab/>
            </w:r>
            <w:r>
              <w:rPr>
                <w:rStyle w:val="IndexLink"/>
              </w:rPr>
              <w:t>205</w:t>
            </w:r>
          </w:hyperlink>
        </w:p>
        <w:p>
          <w:pPr>
            <w:pStyle w:val="Contents4"/>
            <w:tabs>
              <w:tab w:val="clear" w:pos="8176"/>
              <w:tab w:val="right" w:pos="9026" w:leader="dot"/>
            </w:tabs>
            <w:rPr/>
          </w:pPr>
          <w:hyperlink w:anchor="__RefHeading___Toc8193111_1051229030">
            <w:r>
              <w:rPr>
                <w:webHidden/>
                <w:rStyle w:val="IndexLink"/>
                <w:rtl w:val="true"/>
              </w:rPr>
              <w:t>خامسًا</w:t>
            </w:r>
            <w:r>
              <w:rPr>
                <w:rStyle w:val="IndexLink"/>
                <w:rtl w:val="true"/>
              </w:rPr>
              <w:t xml:space="preserve">: </w:t>
            </w:r>
            <w:r>
              <w:rPr>
                <w:rStyle w:val="IndexLink"/>
                <w:rtl w:val="true"/>
              </w:rPr>
              <w:t>رجوع المجتهد الى مجتهد اخر</w:t>
            </w:r>
            <w:r>
              <w:rPr>
                <w:rStyle w:val="IndexLink"/>
                <w:rtl w:val="true"/>
              </w:rPr>
              <w:tab/>
            </w:r>
            <w:r>
              <w:rPr>
                <w:rStyle w:val="IndexLink"/>
              </w:rPr>
              <w:t>211</w:t>
            </w:r>
          </w:hyperlink>
        </w:p>
        <w:p>
          <w:pPr>
            <w:pStyle w:val="Contents4"/>
            <w:tabs>
              <w:tab w:val="clear" w:pos="8176"/>
              <w:tab w:val="right" w:pos="9026" w:leader="dot"/>
            </w:tabs>
            <w:rPr/>
          </w:pPr>
          <w:hyperlink w:anchor="__RefHeading___Toc8193113_1051229030">
            <w:r>
              <w:rPr>
                <w:webHidden/>
                <w:rStyle w:val="IndexLink"/>
                <w:rtl w:val="true"/>
              </w:rPr>
              <w:t>سادسًا</w:t>
            </w:r>
            <w:r>
              <w:rPr>
                <w:rStyle w:val="IndexLink"/>
                <w:rtl w:val="true"/>
              </w:rPr>
              <w:t xml:space="preserve">: </w:t>
            </w:r>
            <w:r>
              <w:rPr>
                <w:rStyle w:val="IndexLink"/>
                <w:rtl w:val="true"/>
              </w:rPr>
              <w:t>تصرف الشارع في الحقائق التكوينية والعرفية</w:t>
            </w:r>
            <w:r>
              <w:rPr>
                <w:rStyle w:val="IndexLink"/>
                <w:rtl w:val="true"/>
              </w:rPr>
              <w:tab/>
            </w:r>
            <w:r>
              <w:rPr>
                <w:rStyle w:val="IndexLink"/>
              </w:rPr>
              <w:t>212</w:t>
            </w:r>
          </w:hyperlink>
        </w:p>
        <w:p>
          <w:pPr>
            <w:pStyle w:val="Contents4"/>
            <w:tabs>
              <w:tab w:val="clear" w:pos="8176"/>
              <w:tab w:val="right" w:pos="9026" w:leader="dot"/>
            </w:tabs>
            <w:rPr/>
          </w:pPr>
          <w:hyperlink w:anchor="__RefHeading___Toc8193115_1051229030">
            <w:r>
              <w:rPr>
                <w:webHidden/>
                <w:rStyle w:val="IndexLink"/>
                <w:rtl w:val="true"/>
              </w:rPr>
              <w:t>سابعًا</w:t>
            </w:r>
            <w:r>
              <w:rPr>
                <w:rStyle w:val="IndexLink"/>
                <w:rtl w:val="true"/>
              </w:rPr>
              <w:t xml:space="preserve">: </w:t>
            </w:r>
            <w:r>
              <w:rPr>
                <w:rStyle w:val="IndexLink"/>
                <w:rtl w:val="true"/>
              </w:rPr>
              <w:t>معنى حديث لا ضرر</w:t>
            </w:r>
            <w:r>
              <w:rPr>
                <w:rStyle w:val="IndexLink"/>
                <w:rtl w:val="true"/>
              </w:rPr>
              <w:t>.</w:t>
              <w:tab/>
            </w:r>
            <w:r>
              <w:rPr>
                <w:rStyle w:val="IndexLink"/>
              </w:rPr>
              <w:t>213</w:t>
            </w:r>
          </w:hyperlink>
        </w:p>
        <w:p>
          <w:pPr>
            <w:pStyle w:val="Contents5"/>
            <w:tabs>
              <w:tab w:val="clear" w:pos="7892"/>
              <w:tab w:val="right" w:pos="9026" w:leader="dot"/>
            </w:tabs>
            <w:rPr/>
          </w:pPr>
          <w:hyperlink w:anchor="__RefHeading___Toc8193117_1051229030">
            <w:r>
              <w:rPr>
                <w:webHidden/>
                <w:rStyle w:val="IndexLink"/>
                <w:rtl w:val="true"/>
              </w:rPr>
              <w:t>اشارة</w:t>
            </w:r>
            <w:r>
              <w:rPr>
                <w:rStyle w:val="IndexLink"/>
                <w:rtl w:val="true"/>
              </w:rPr>
              <w:tab/>
            </w:r>
            <w:r>
              <w:rPr>
                <w:rStyle w:val="IndexLink"/>
              </w:rPr>
              <w:t>213</w:t>
            </w:r>
          </w:hyperlink>
        </w:p>
        <w:p>
          <w:pPr>
            <w:pStyle w:val="Contents5"/>
            <w:tabs>
              <w:tab w:val="clear" w:pos="7892"/>
              <w:tab w:val="right" w:pos="9026" w:leader="dot"/>
            </w:tabs>
            <w:rPr/>
          </w:pPr>
          <w:hyperlink w:anchor="__RefHeading___Toc8193119_1051229030">
            <w:r>
              <w:rPr>
                <w:webHidden/>
                <w:rStyle w:val="IndexLink"/>
                <w:rtl w:val="true"/>
              </w:rPr>
              <w:t>القيد الثاني</w:t>
            </w:r>
            <w:r>
              <w:rPr>
                <w:rStyle w:val="IndexLink"/>
                <w:rtl w:val="true"/>
              </w:rPr>
              <w:t xml:space="preserve">: </w:t>
            </w:r>
            <w:r>
              <w:rPr>
                <w:rStyle w:val="IndexLink"/>
                <w:rtl w:val="true"/>
              </w:rPr>
              <w:t>حرمة الإضرار بالبدن</w:t>
            </w:r>
            <w:r>
              <w:rPr>
                <w:rStyle w:val="IndexLink"/>
                <w:rtl w:val="true"/>
              </w:rPr>
              <w:tab/>
            </w:r>
            <w:r>
              <w:rPr>
                <w:rStyle w:val="IndexLink"/>
              </w:rPr>
              <w:t>213</w:t>
            </w:r>
          </w:hyperlink>
        </w:p>
        <w:p>
          <w:pPr>
            <w:pStyle w:val="Contents4"/>
            <w:tabs>
              <w:tab w:val="clear" w:pos="8176"/>
              <w:tab w:val="right" w:pos="9026" w:leader="dot"/>
            </w:tabs>
            <w:rPr/>
          </w:pPr>
          <w:hyperlink w:anchor="__RefHeading___Toc8193121_1051229030">
            <w:r>
              <w:rPr>
                <w:webHidden/>
                <w:rStyle w:val="IndexLink"/>
                <w:rtl w:val="true"/>
              </w:rPr>
              <w:t>ثامنًا</w:t>
            </w:r>
            <w:r>
              <w:rPr>
                <w:rStyle w:val="IndexLink"/>
                <w:rtl w:val="true"/>
              </w:rPr>
              <w:t xml:space="preserve">: </w:t>
            </w:r>
            <w:r>
              <w:rPr>
                <w:rStyle w:val="IndexLink"/>
                <w:rtl w:val="true"/>
              </w:rPr>
              <w:t>المباشرة والتسبيب</w:t>
            </w:r>
            <w:r>
              <w:rPr>
                <w:rStyle w:val="IndexLink"/>
                <w:rtl w:val="true"/>
              </w:rPr>
              <w:tab/>
            </w:r>
            <w:r>
              <w:rPr>
                <w:rStyle w:val="IndexLink"/>
              </w:rPr>
              <w:t>218</w:t>
            </w:r>
          </w:hyperlink>
        </w:p>
        <w:p>
          <w:pPr>
            <w:pStyle w:val="Contents4"/>
            <w:tabs>
              <w:tab w:val="clear" w:pos="8176"/>
              <w:tab w:val="right" w:pos="9026" w:leader="dot"/>
            </w:tabs>
            <w:rPr/>
          </w:pPr>
          <w:hyperlink w:anchor="__RefHeading___Toc8193123_1051229030">
            <w:r>
              <w:rPr>
                <w:webHidden/>
                <w:rStyle w:val="IndexLink"/>
                <w:rtl w:val="true"/>
              </w:rPr>
              <w:t>تاسعًا</w:t>
            </w:r>
            <w:r>
              <w:rPr>
                <w:rStyle w:val="IndexLink"/>
                <w:rtl w:val="true"/>
              </w:rPr>
              <w:t xml:space="preserve">: </w:t>
            </w:r>
            <w:r>
              <w:rPr>
                <w:rStyle w:val="IndexLink"/>
                <w:rtl w:val="true"/>
              </w:rPr>
              <w:t>الحقيقة الشرعية</w:t>
            </w:r>
            <w:r>
              <w:rPr>
                <w:rStyle w:val="IndexLink"/>
                <w:rtl w:val="true"/>
              </w:rPr>
              <w:tab/>
            </w:r>
            <w:r>
              <w:rPr>
                <w:rStyle w:val="IndexLink"/>
              </w:rPr>
              <w:t>219</w:t>
            </w:r>
          </w:hyperlink>
        </w:p>
        <w:p>
          <w:pPr>
            <w:pStyle w:val="Contents4"/>
            <w:tabs>
              <w:tab w:val="clear" w:pos="8176"/>
              <w:tab w:val="right" w:pos="9026" w:leader="dot"/>
            </w:tabs>
            <w:rPr/>
          </w:pPr>
          <w:hyperlink w:anchor="__RefHeading___Toc8193125_1051229030">
            <w:r>
              <w:rPr>
                <w:webHidden/>
                <w:rStyle w:val="IndexLink"/>
                <w:rtl w:val="true"/>
              </w:rPr>
              <w:t>عاشرًا</w:t>
            </w:r>
            <w:r>
              <w:rPr>
                <w:rStyle w:val="IndexLink"/>
                <w:rtl w:val="true"/>
              </w:rPr>
              <w:t xml:space="preserve">: </w:t>
            </w:r>
            <w:r>
              <w:rPr>
                <w:rStyle w:val="IndexLink"/>
                <w:rtl w:val="true"/>
              </w:rPr>
              <w:t>الصحيح والأعم</w:t>
            </w:r>
            <w:r>
              <w:rPr>
                <w:rStyle w:val="IndexLink"/>
                <w:rtl w:val="true"/>
              </w:rPr>
              <w:tab/>
            </w:r>
            <w:r>
              <w:rPr>
                <w:rStyle w:val="IndexLink"/>
              </w:rPr>
              <w:t>224</w:t>
            </w:r>
          </w:hyperlink>
        </w:p>
        <w:p>
          <w:pPr>
            <w:pStyle w:val="Contents4"/>
            <w:tabs>
              <w:tab w:val="clear" w:pos="8176"/>
              <w:tab w:val="right" w:pos="9026" w:leader="dot"/>
            </w:tabs>
            <w:rPr/>
          </w:pPr>
          <w:hyperlink w:anchor="__RefHeading___Toc8193127_1051229030">
            <w:r>
              <w:rPr>
                <w:webHidden/>
                <w:rStyle w:val="IndexLink"/>
                <w:rtl w:val="true"/>
              </w:rPr>
              <w:t>حادي عشر</w:t>
            </w:r>
            <w:r>
              <w:rPr>
                <w:rStyle w:val="IndexLink"/>
                <w:rtl w:val="true"/>
              </w:rPr>
              <w:t xml:space="preserve">: </w:t>
            </w:r>
            <w:r>
              <w:rPr>
                <w:rStyle w:val="IndexLink"/>
                <w:rtl w:val="true"/>
              </w:rPr>
              <w:t>استعمال اللفظ في اكثر من معنى</w:t>
            </w:r>
            <w:r>
              <w:rPr>
                <w:rStyle w:val="IndexLink"/>
                <w:rtl w:val="true"/>
              </w:rPr>
              <w:tab/>
            </w:r>
            <w:r>
              <w:rPr>
                <w:rStyle w:val="IndexLink"/>
              </w:rPr>
              <w:t>226</w:t>
            </w:r>
          </w:hyperlink>
        </w:p>
        <w:p>
          <w:pPr>
            <w:pStyle w:val="Contents4"/>
            <w:tabs>
              <w:tab w:val="clear" w:pos="8176"/>
              <w:tab w:val="right" w:pos="9026" w:leader="dot"/>
            </w:tabs>
            <w:rPr/>
          </w:pPr>
          <w:hyperlink w:anchor="__RefHeading___Toc8193129_1051229030">
            <w:r>
              <w:rPr>
                <w:webHidden/>
                <w:rStyle w:val="IndexLink"/>
                <w:rtl w:val="true"/>
              </w:rPr>
              <w:t>ثاني عشر</w:t>
            </w:r>
            <w:r>
              <w:rPr>
                <w:rStyle w:val="IndexLink"/>
                <w:rtl w:val="true"/>
              </w:rPr>
              <w:t xml:space="preserve">: </w:t>
            </w:r>
            <w:r>
              <w:rPr>
                <w:rStyle w:val="IndexLink"/>
                <w:rtl w:val="true"/>
              </w:rPr>
              <w:t>القاعدة العامة للاستنباط</w:t>
            </w:r>
            <w:r>
              <w:rPr>
                <w:rStyle w:val="IndexLink"/>
                <w:rtl w:val="true"/>
              </w:rPr>
              <w:tab/>
            </w:r>
            <w:r>
              <w:rPr>
                <w:rStyle w:val="IndexLink"/>
              </w:rPr>
              <w:t>228</w:t>
            </w:r>
          </w:hyperlink>
        </w:p>
        <w:p>
          <w:pPr>
            <w:pStyle w:val="Contents5"/>
            <w:tabs>
              <w:tab w:val="clear" w:pos="7892"/>
              <w:tab w:val="right" w:pos="9026" w:leader="dot"/>
            </w:tabs>
            <w:rPr/>
          </w:pPr>
          <w:hyperlink w:anchor="__RefHeading___Toc8193131_1051229030">
            <w:r>
              <w:rPr>
                <w:webHidden/>
                <w:rStyle w:val="IndexLink"/>
                <w:rtl w:val="true"/>
              </w:rPr>
              <w:t>اشارة</w:t>
            </w:r>
            <w:r>
              <w:rPr>
                <w:rStyle w:val="IndexLink"/>
                <w:rtl w:val="true"/>
              </w:rPr>
              <w:tab/>
            </w:r>
            <w:r>
              <w:rPr>
                <w:rStyle w:val="IndexLink"/>
              </w:rPr>
              <w:t>228</w:t>
            </w:r>
          </w:hyperlink>
        </w:p>
        <w:p>
          <w:pPr>
            <w:pStyle w:val="Contents5"/>
            <w:tabs>
              <w:tab w:val="clear" w:pos="7892"/>
              <w:tab w:val="right" w:pos="9026" w:leader="dot"/>
            </w:tabs>
            <w:rPr/>
          </w:pPr>
          <w:hyperlink w:anchor="__RefHeading___Toc8193133_1051229030">
            <w:r>
              <w:rPr>
                <w:webHidden/>
                <w:rStyle w:val="IndexLink"/>
                <w:rtl w:val="true"/>
              </w:rPr>
              <w:t>الأدلة المحرزة</w:t>
            </w:r>
            <w:r>
              <w:rPr>
                <w:rStyle w:val="IndexLink"/>
                <w:rtl w:val="true"/>
              </w:rPr>
              <w:tab/>
            </w:r>
            <w:r>
              <w:rPr>
                <w:rStyle w:val="IndexLink"/>
              </w:rPr>
              <w:t>229</w:t>
            </w:r>
          </w:hyperlink>
        </w:p>
        <w:p>
          <w:pPr>
            <w:pStyle w:val="Contents5"/>
            <w:tabs>
              <w:tab w:val="clear" w:pos="7892"/>
              <w:tab w:val="right" w:pos="9026" w:leader="dot"/>
            </w:tabs>
            <w:rPr/>
          </w:pPr>
          <w:hyperlink w:anchor="__RefHeading___Toc8193135_1051229030">
            <w:r>
              <w:rPr>
                <w:webHidden/>
                <w:rStyle w:val="IndexLink"/>
                <w:rtl w:val="true"/>
              </w:rPr>
              <w:t>الأدلة المحرزة الشرعية</w:t>
            </w:r>
            <w:r>
              <w:rPr>
                <w:rStyle w:val="IndexLink"/>
                <w:rtl w:val="true"/>
              </w:rPr>
              <w:tab/>
            </w:r>
            <w:r>
              <w:rPr>
                <w:rStyle w:val="IndexLink"/>
              </w:rPr>
              <w:t>229</w:t>
            </w:r>
          </w:hyperlink>
        </w:p>
        <w:p>
          <w:pPr>
            <w:pStyle w:val="Contents5"/>
            <w:tabs>
              <w:tab w:val="clear" w:pos="7892"/>
              <w:tab w:val="right" w:pos="9026" w:leader="dot"/>
            </w:tabs>
            <w:rPr/>
          </w:pPr>
          <w:hyperlink w:anchor="__RefHeading___Toc8193137_1051229030">
            <w:r>
              <w:rPr>
                <w:webHidden/>
                <w:rStyle w:val="IndexLink"/>
                <w:rtl w:val="true"/>
              </w:rPr>
              <w:t>دلالات الدليل الشرعي اللفظي</w:t>
            </w:r>
            <w:r>
              <w:rPr>
                <w:rStyle w:val="IndexLink"/>
                <w:rtl w:val="true"/>
              </w:rPr>
              <w:tab/>
            </w:r>
            <w:r>
              <w:rPr>
                <w:rStyle w:val="IndexLink"/>
              </w:rPr>
              <w:t>229</w:t>
            </w:r>
          </w:hyperlink>
        </w:p>
        <w:p>
          <w:pPr>
            <w:pStyle w:val="Contents6"/>
            <w:tabs>
              <w:tab w:val="clear" w:pos="7609"/>
              <w:tab w:val="right" w:pos="9026" w:leader="dot"/>
            </w:tabs>
            <w:rPr/>
          </w:pPr>
          <w:hyperlink w:anchor="__RefHeading___Toc8193139_1051229030">
            <w:r>
              <w:rPr>
                <w:webHidden/>
                <w:rStyle w:val="IndexLink"/>
                <w:rtl w:val="true"/>
              </w:rPr>
              <w:t>اشارة</w:t>
            </w:r>
            <w:r>
              <w:rPr>
                <w:rStyle w:val="IndexLink"/>
                <w:rtl w:val="true"/>
              </w:rPr>
              <w:tab/>
            </w:r>
            <w:r>
              <w:rPr>
                <w:rStyle w:val="IndexLink"/>
              </w:rPr>
              <w:t>229</w:t>
            </w:r>
          </w:hyperlink>
        </w:p>
        <w:p>
          <w:pPr>
            <w:pStyle w:val="Contents6"/>
            <w:tabs>
              <w:tab w:val="clear" w:pos="7609"/>
              <w:tab w:val="right" w:pos="9026" w:leader="dot"/>
            </w:tabs>
            <w:rPr/>
          </w:pPr>
          <w:hyperlink w:anchor="__RefHeading___Toc8193141_1051229030">
            <w:r>
              <w:rPr>
                <w:webHidden/>
                <w:rStyle w:val="IndexLink"/>
                <w:rtl w:val="true"/>
              </w:rPr>
              <w:t>اولاً</w:t>
            </w:r>
            <w:r>
              <w:rPr>
                <w:rStyle w:val="IndexLink"/>
                <w:rtl w:val="true"/>
              </w:rPr>
              <w:t xml:space="preserve">: </w:t>
            </w:r>
            <w:r>
              <w:rPr>
                <w:rStyle w:val="IndexLink"/>
                <w:rtl w:val="true"/>
              </w:rPr>
              <w:t>الأوامر والنواهي</w:t>
            </w:r>
            <w:r>
              <w:rPr>
                <w:rStyle w:val="IndexLink"/>
                <w:rtl w:val="true"/>
              </w:rPr>
              <w:tab/>
            </w:r>
            <w:r>
              <w:rPr>
                <w:rStyle w:val="IndexLink"/>
              </w:rPr>
              <w:t>231</w:t>
            </w:r>
          </w:hyperlink>
        </w:p>
        <w:p>
          <w:pPr>
            <w:pStyle w:val="Contents6"/>
            <w:tabs>
              <w:tab w:val="clear" w:pos="7609"/>
              <w:tab w:val="right" w:pos="9026" w:leader="dot"/>
            </w:tabs>
            <w:rPr/>
          </w:pPr>
          <w:hyperlink w:anchor="__RefHeading___Toc8193143_1051229030">
            <w:r>
              <w:rPr>
                <w:webHidden/>
                <w:rStyle w:val="IndexLink"/>
                <w:rtl w:val="true"/>
              </w:rPr>
              <w:t>اشارة</w:t>
            </w:r>
            <w:r>
              <w:rPr>
                <w:rStyle w:val="IndexLink"/>
                <w:rtl w:val="true"/>
              </w:rPr>
              <w:tab/>
            </w:r>
            <w:r>
              <w:rPr>
                <w:rStyle w:val="IndexLink"/>
              </w:rPr>
              <w:t>231</w:t>
            </w:r>
          </w:hyperlink>
        </w:p>
        <w:p>
          <w:pPr>
            <w:pStyle w:val="Contents6"/>
            <w:tabs>
              <w:tab w:val="clear" w:pos="7609"/>
              <w:tab w:val="right" w:pos="9026" w:leader="dot"/>
            </w:tabs>
            <w:rPr/>
          </w:pPr>
          <w:hyperlink w:anchor="__RefHeading___Toc8193145_1051229030">
            <w:r>
              <w:rPr>
                <w:webHidden/>
                <w:rStyle w:val="IndexLink"/>
                <w:rtl w:val="true"/>
              </w:rPr>
              <w:t>المسألة الأولى</w:t>
            </w:r>
            <w:r>
              <w:rPr>
                <w:rStyle w:val="IndexLink"/>
                <w:rtl w:val="true"/>
              </w:rPr>
              <w:t xml:space="preserve">: </w:t>
            </w:r>
            <w:r>
              <w:rPr>
                <w:rStyle w:val="IndexLink"/>
                <w:rtl w:val="true"/>
              </w:rPr>
              <w:t>الوجوب امر بسيط</w:t>
            </w:r>
            <w:r>
              <w:rPr>
                <w:rStyle w:val="IndexLink"/>
                <w:rtl w:val="true"/>
              </w:rPr>
              <w:t>.</w:t>
              <w:tab/>
            </w:r>
            <w:r>
              <w:rPr>
                <w:rStyle w:val="IndexLink"/>
              </w:rPr>
              <w:t>232</w:t>
            </w:r>
          </w:hyperlink>
        </w:p>
        <w:p>
          <w:pPr>
            <w:pStyle w:val="Contents6"/>
            <w:tabs>
              <w:tab w:val="clear" w:pos="7609"/>
              <w:tab w:val="right" w:pos="9026" w:leader="dot"/>
            </w:tabs>
            <w:rPr/>
          </w:pPr>
          <w:hyperlink w:anchor="__RefHeading___Toc8193147_1051229030">
            <w:r>
              <w:rPr>
                <w:webHidden/>
                <w:rStyle w:val="IndexLink"/>
                <w:rtl w:val="true"/>
              </w:rPr>
              <w:t>المسألة الثانية</w:t>
            </w:r>
            <w:r>
              <w:rPr>
                <w:rStyle w:val="IndexLink"/>
                <w:rtl w:val="true"/>
              </w:rPr>
              <w:t xml:space="preserve">: </w:t>
            </w:r>
            <w:r>
              <w:rPr>
                <w:rStyle w:val="IndexLink"/>
                <w:rtl w:val="true"/>
              </w:rPr>
              <w:t>دلالة الامر على الوجوب بحكم العقل</w:t>
            </w:r>
            <w:r>
              <w:rPr>
                <w:rStyle w:val="IndexLink"/>
                <w:rtl w:val="true"/>
              </w:rPr>
              <w:t>.</w:t>
              <w:tab/>
            </w:r>
            <w:r>
              <w:rPr>
                <w:rStyle w:val="IndexLink"/>
              </w:rPr>
              <w:t>234</w:t>
            </w:r>
          </w:hyperlink>
        </w:p>
        <w:p>
          <w:pPr>
            <w:pStyle w:val="Contents6"/>
            <w:tabs>
              <w:tab w:val="clear" w:pos="7609"/>
              <w:tab w:val="right" w:pos="9026" w:leader="dot"/>
            </w:tabs>
            <w:rPr/>
          </w:pPr>
          <w:hyperlink w:anchor="__RefHeading___Toc8193149_1051229030">
            <w:r>
              <w:rPr>
                <w:webHidden/>
                <w:rStyle w:val="IndexLink"/>
                <w:rtl w:val="true"/>
              </w:rPr>
              <w:t>المسألة الثالثة</w:t>
            </w:r>
            <w:r>
              <w:rPr>
                <w:rStyle w:val="IndexLink"/>
                <w:rtl w:val="true"/>
              </w:rPr>
              <w:t>:</w:t>
            </w:r>
            <w:r>
              <w:rPr>
                <w:rStyle w:val="IndexLink"/>
                <w:rtl w:val="true"/>
              </w:rPr>
              <w:t>إشكالية دلالة الترخيص المنفصل على الاستحباب</w:t>
            </w:r>
            <w:r>
              <w:rPr>
                <w:rStyle w:val="IndexLink"/>
                <w:rtl w:val="true"/>
              </w:rPr>
              <w:t>.</w:t>
              <w:tab/>
            </w:r>
            <w:r>
              <w:rPr>
                <w:rStyle w:val="IndexLink"/>
              </w:rPr>
              <w:t>238</w:t>
            </w:r>
          </w:hyperlink>
        </w:p>
        <w:p>
          <w:pPr>
            <w:pStyle w:val="Contents6"/>
            <w:tabs>
              <w:tab w:val="clear" w:pos="7609"/>
              <w:tab w:val="right" w:pos="9026" w:leader="dot"/>
            </w:tabs>
            <w:rPr/>
          </w:pPr>
          <w:hyperlink w:anchor="__RefHeading___Toc8193151_1051229030">
            <w:r>
              <w:rPr>
                <w:webHidden/>
                <w:rStyle w:val="IndexLink"/>
                <w:rtl w:val="true"/>
              </w:rPr>
              <w:t>المسألة الرابعة</w:t>
            </w:r>
            <w:r>
              <w:rPr>
                <w:rStyle w:val="IndexLink"/>
                <w:rtl w:val="true"/>
              </w:rPr>
              <w:t xml:space="preserve">: </w:t>
            </w:r>
            <w:r>
              <w:rPr>
                <w:rStyle w:val="IndexLink"/>
                <w:rtl w:val="true"/>
              </w:rPr>
              <w:t>دلالة لفظ الوجوب</w:t>
            </w:r>
            <w:r>
              <w:rPr>
                <w:rStyle w:val="IndexLink"/>
                <w:rtl w:val="true"/>
              </w:rPr>
              <w:t>.</w:t>
              <w:tab/>
            </w:r>
            <w:r>
              <w:rPr>
                <w:rStyle w:val="IndexLink"/>
              </w:rPr>
              <w:t>240</w:t>
            </w:r>
          </w:hyperlink>
        </w:p>
        <w:p>
          <w:pPr>
            <w:pStyle w:val="Contents6"/>
            <w:tabs>
              <w:tab w:val="clear" w:pos="7609"/>
              <w:tab w:val="right" w:pos="9026" w:leader="dot"/>
            </w:tabs>
            <w:rPr/>
          </w:pPr>
          <w:hyperlink w:anchor="__RefHeading___Toc8193153_1051229030">
            <w:r>
              <w:rPr>
                <w:webHidden/>
                <w:rStyle w:val="IndexLink"/>
                <w:rtl w:val="true"/>
              </w:rPr>
              <w:t>المسألة الخامسة</w:t>
            </w:r>
            <w:r>
              <w:rPr>
                <w:rStyle w:val="IndexLink"/>
                <w:rtl w:val="true"/>
              </w:rPr>
              <w:t xml:space="preserve">: </w:t>
            </w:r>
            <w:r>
              <w:rPr>
                <w:rStyle w:val="IndexLink"/>
                <w:rtl w:val="true"/>
              </w:rPr>
              <w:t>الامر بصيغة النهي والعكس</w:t>
            </w:r>
            <w:r>
              <w:rPr>
                <w:rStyle w:val="IndexLink"/>
                <w:rtl w:val="true"/>
              </w:rPr>
              <w:t>.</w:t>
              <w:tab/>
            </w:r>
            <w:r>
              <w:rPr>
                <w:rStyle w:val="IndexLink"/>
              </w:rPr>
              <w:t>241</w:t>
            </w:r>
          </w:hyperlink>
        </w:p>
        <w:p>
          <w:pPr>
            <w:pStyle w:val="Contents6"/>
            <w:tabs>
              <w:tab w:val="clear" w:pos="7609"/>
              <w:tab w:val="right" w:pos="9026" w:leader="dot"/>
            </w:tabs>
            <w:rPr/>
          </w:pPr>
          <w:hyperlink w:anchor="__RefHeading___Toc8193155_1051229030">
            <w:r>
              <w:rPr>
                <w:webHidden/>
                <w:rStyle w:val="IndexLink"/>
                <w:rtl w:val="true"/>
              </w:rPr>
              <w:t>المسألة السادسة</w:t>
            </w:r>
            <w:r>
              <w:rPr>
                <w:rStyle w:val="IndexLink"/>
                <w:rtl w:val="true"/>
              </w:rPr>
              <w:t xml:space="preserve">: </w:t>
            </w:r>
            <w:r>
              <w:rPr>
                <w:rStyle w:val="IndexLink"/>
                <w:rtl w:val="true"/>
              </w:rPr>
              <w:t>الامر بالأمر</w:t>
            </w:r>
            <w:r>
              <w:rPr>
                <w:rStyle w:val="IndexLink"/>
                <w:rtl w:val="true"/>
              </w:rPr>
              <w:t>.</w:t>
              <w:tab/>
            </w:r>
            <w:r>
              <w:rPr>
                <w:rStyle w:val="IndexLink"/>
              </w:rPr>
              <w:t>242</w:t>
            </w:r>
          </w:hyperlink>
        </w:p>
        <w:p>
          <w:pPr>
            <w:pStyle w:val="Contents6"/>
            <w:tabs>
              <w:tab w:val="clear" w:pos="7609"/>
              <w:tab w:val="right" w:pos="9026" w:leader="dot"/>
            </w:tabs>
            <w:rPr/>
          </w:pPr>
          <w:hyperlink w:anchor="__RefHeading___Toc8193157_1051229030">
            <w:r>
              <w:rPr>
                <w:webHidden/>
                <w:rStyle w:val="IndexLink"/>
                <w:rtl w:val="true"/>
              </w:rPr>
              <w:t>ثانيًا</w:t>
            </w:r>
            <w:r>
              <w:rPr>
                <w:rStyle w:val="IndexLink"/>
                <w:rtl w:val="true"/>
              </w:rPr>
              <w:t xml:space="preserve">: </w:t>
            </w:r>
            <w:r>
              <w:rPr>
                <w:rStyle w:val="IndexLink"/>
                <w:rtl w:val="true"/>
              </w:rPr>
              <w:t>الاطلاق</w:t>
            </w:r>
            <w:r>
              <w:rPr>
                <w:rStyle w:val="IndexLink"/>
                <w:rtl w:val="true"/>
              </w:rPr>
              <w:tab/>
            </w:r>
            <w:r>
              <w:rPr>
                <w:rStyle w:val="IndexLink"/>
              </w:rPr>
              <w:t>246</w:t>
            </w:r>
          </w:hyperlink>
        </w:p>
        <w:p>
          <w:pPr>
            <w:pStyle w:val="Contents6"/>
            <w:tabs>
              <w:tab w:val="clear" w:pos="7609"/>
              <w:tab w:val="right" w:pos="9026" w:leader="dot"/>
            </w:tabs>
            <w:rPr/>
          </w:pPr>
          <w:hyperlink w:anchor="__RefHeading___Toc8193159_1051229030">
            <w:r>
              <w:rPr>
                <w:webHidden/>
                <w:rStyle w:val="IndexLink"/>
                <w:rtl w:val="true"/>
              </w:rPr>
              <w:t>اشارة</w:t>
            </w:r>
            <w:r>
              <w:rPr>
                <w:rStyle w:val="IndexLink"/>
                <w:rtl w:val="true"/>
              </w:rPr>
              <w:tab/>
            </w:r>
            <w:r>
              <w:rPr>
                <w:rStyle w:val="IndexLink"/>
              </w:rPr>
              <w:t>246</w:t>
            </w:r>
          </w:hyperlink>
        </w:p>
        <w:p>
          <w:pPr>
            <w:pStyle w:val="Contents6"/>
            <w:tabs>
              <w:tab w:val="clear" w:pos="7609"/>
              <w:tab w:val="right" w:pos="9026" w:leader="dot"/>
            </w:tabs>
            <w:rPr/>
          </w:pPr>
          <w:hyperlink w:anchor="__RefHeading___Toc8193161_1051229030">
            <w:r>
              <w:rPr>
                <w:webHidden/>
                <w:rStyle w:val="IndexLink"/>
                <w:rtl w:val="true"/>
              </w:rPr>
              <w:t>المسألة الأولى</w:t>
            </w:r>
            <w:r>
              <w:rPr>
                <w:rStyle w:val="IndexLink"/>
                <w:rtl w:val="true"/>
              </w:rPr>
              <w:t xml:space="preserve">: </w:t>
            </w:r>
            <w:r>
              <w:rPr>
                <w:rStyle w:val="IndexLink"/>
                <w:rtl w:val="true"/>
              </w:rPr>
              <w:t>الاطلاق مدلول لفظي</w:t>
            </w:r>
            <w:r>
              <w:rPr>
                <w:rStyle w:val="IndexLink"/>
                <w:rtl w:val="true"/>
              </w:rPr>
              <w:t>.</w:t>
              <w:tab/>
            </w:r>
            <w:r>
              <w:rPr>
                <w:rStyle w:val="IndexLink"/>
              </w:rPr>
              <w:t>247</w:t>
            </w:r>
          </w:hyperlink>
        </w:p>
        <w:p>
          <w:pPr>
            <w:pStyle w:val="Contents6"/>
            <w:tabs>
              <w:tab w:val="clear" w:pos="7609"/>
              <w:tab w:val="right" w:pos="9026" w:leader="dot"/>
            </w:tabs>
            <w:rPr/>
          </w:pPr>
          <w:hyperlink w:anchor="__RefHeading___Toc8193163_1051229030">
            <w:r>
              <w:rPr>
                <w:webHidden/>
                <w:rStyle w:val="IndexLink"/>
                <w:rtl w:val="true"/>
              </w:rPr>
              <w:t>المسألة الثانية</w:t>
            </w:r>
            <w:r>
              <w:rPr>
                <w:rStyle w:val="IndexLink"/>
                <w:rtl w:val="true"/>
              </w:rPr>
              <w:t xml:space="preserve">: </w:t>
            </w:r>
            <w:r>
              <w:rPr>
                <w:rStyle w:val="IndexLink"/>
                <w:rtl w:val="true"/>
              </w:rPr>
              <w:t>الشمولية المستفادة بالاطلاق</w:t>
            </w:r>
            <w:r>
              <w:rPr>
                <w:rStyle w:val="IndexLink"/>
                <w:rtl w:val="true"/>
              </w:rPr>
              <w:t>.</w:t>
              <w:tab/>
            </w:r>
            <w:r>
              <w:rPr>
                <w:rStyle w:val="IndexLink"/>
              </w:rPr>
              <w:t>250</w:t>
            </w:r>
          </w:hyperlink>
        </w:p>
        <w:p>
          <w:pPr>
            <w:pStyle w:val="Contents6"/>
            <w:tabs>
              <w:tab w:val="clear" w:pos="7609"/>
              <w:tab w:val="right" w:pos="9026" w:leader="dot"/>
            </w:tabs>
            <w:rPr/>
          </w:pPr>
          <w:hyperlink w:anchor="__RefHeading___Toc8193165_1051229030">
            <w:r>
              <w:rPr>
                <w:webHidden/>
                <w:rStyle w:val="IndexLink"/>
                <w:rtl w:val="true"/>
              </w:rPr>
              <w:t>المسألة الثالثة</w:t>
            </w:r>
            <w:r>
              <w:rPr>
                <w:rStyle w:val="IndexLink"/>
                <w:rtl w:val="true"/>
              </w:rPr>
              <w:t xml:space="preserve">: </w:t>
            </w:r>
            <w:r>
              <w:rPr>
                <w:rStyle w:val="IndexLink"/>
                <w:rtl w:val="true"/>
              </w:rPr>
              <w:t>توقف الاطلاق على عدم القيد المنفصل</w:t>
            </w:r>
            <w:r>
              <w:rPr>
                <w:rStyle w:val="IndexLink"/>
                <w:rtl w:val="true"/>
              </w:rPr>
              <w:t>.</w:t>
              <w:tab/>
            </w:r>
            <w:r>
              <w:rPr>
                <w:rStyle w:val="IndexLink"/>
              </w:rPr>
              <w:t>251</w:t>
            </w:r>
          </w:hyperlink>
        </w:p>
        <w:p>
          <w:pPr>
            <w:pStyle w:val="Contents6"/>
            <w:tabs>
              <w:tab w:val="clear" w:pos="7609"/>
              <w:tab w:val="right" w:pos="9026" w:leader="dot"/>
            </w:tabs>
            <w:rPr/>
          </w:pPr>
          <w:hyperlink w:anchor="__RefHeading___Toc8193167_1051229030">
            <w:r>
              <w:rPr>
                <w:webHidden/>
                <w:rStyle w:val="IndexLink"/>
                <w:rtl w:val="true"/>
              </w:rPr>
              <w:t>المسألة الرابعة</w:t>
            </w:r>
            <w:r>
              <w:rPr>
                <w:rStyle w:val="IndexLink"/>
                <w:rtl w:val="true"/>
              </w:rPr>
              <w:t xml:space="preserve">: </w:t>
            </w:r>
            <w:r>
              <w:rPr>
                <w:rStyle w:val="IndexLink"/>
                <w:rtl w:val="true"/>
              </w:rPr>
              <w:t>حكم الاطلاق عند إرادة المقَيَّد</w:t>
            </w:r>
            <w:r>
              <w:rPr>
                <w:rStyle w:val="IndexLink"/>
                <w:rtl w:val="true"/>
              </w:rPr>
              <w:t>.</w:t>
              <w:tab/>
            </w:r>
            <w:r>
              <w:rPr>
                <w:rStyle w:val="IndexLink"/>
              </w:rPr>
              <w:t>252</w:t>
            </w:r>
          </w:hyperlink>
        </w:p>
        <w:p>
          <w:pPr>
            <w:pStyle w:val="Contents6"/>
            <w:tabs>
              <w:tab w:val="clear" w:pos="7609"/>
              <w:tab w:val="right" w:pos="9026" w:leader="dot"/>
            </w:tabs>
            <w:rPr/>
          </w:pPr>
          <w:hyperlink w:anchor="__RefHeading___Toc8193169_1051229030">
            <w:r>
              <w:rPr>
                <w:webHidden/>
                <w:rStyle w:val="IndexLink"/>
                <w:rtl w:val="true"/>
              </w:rPr>
              <w:t>المسألة الخامسة</w:t>
            </w:r>
            <w:r>
              <w:rPr>
                <w:rStyle w:val="IndexLink"/>
                <w:rtl w:val="true"/>
              </w:rPr>
              <w:t xml:space="preserve">: </w:t>
            </w:r>
            <w:r>
              <w:rPr>
                <w:rStyle w:val="IndexLink"/>
                <w:rtl w:val="true"/>
              </w:rPr>
              <w:t>الاطلاق والقرائن اللبية</w:t>
            </w:r>
            <w:r>
              <w:rPr>
                <w:rStyle w:val="IndexLink"/>
                <w:rtl w:val="true"/>
              </w:rPr>
              <w:t>.</w:t>
              <w:tab/>
            </w:r>
            <w:r>
              <w:rPr>
                <w:rStyle w:val="IndexLink"/>
              </w:rPr>
              <w:t>254</w:t>
            </w:r>
          </w:hyperlink>
        </w:p>
        <w:p>
          <w:pPr>
            <w:pStyle w:val="Contents6"/>
            <w:tabs>
              <w:tab w:val="clear" w:pos="7609"/>
              <w:tab w:val="right" w:pos="9026" w:leader="dot"/>
            </w:tabs>
            <w:rPr/>
          </w:pPr>
          <w:hyperlink w:anchor="__RefHeading___Toc8193171_1051229030">
            <w:r>
              <w:rPr>
                <w:webHidden/>
                <w:rStyle w:val="IndexLink"/>
                <w:rtl w:val="true"/>
              </w:rPr>
              <w:t>المسألة السادسة</w:t>
            </w:r>
            <w:r>
              <w:rPr>
                <w:rStyle w:val="IndexLink"/>
                <w:rtl w:val="true"/>
              </w:rPr>
              <w:t xml:space="preserve">: </w:t>
            </w:r>
            <w:r>
              <w:rPr>
                <w:rStyle w:val="IndexLink"/>
                <w:rtl w:val="true"/>
              </w:rPr>
              <w:t>مانعية الارتكاز للإطلاق</w:t>
            </w:r>
            <w:r>
              <w:rPr>
                <w:rStyle w:val="IndexLink"/>
                <w:rtl w:val="true"/>
              </w:rPr>
              <w:t>.</w:t>
              <w:tab/>
            </w:r>
            <w:r>
              <w:rPr>
                <w:rStyle w:val="IndexLink"/>
              </w:rPr>
              <w:t>255</w:t>
            </w:r>
          </w:hyperlink>
        </w:p>
        <w:p>
          <w:pPr>
            <w:pStyle w:val="Contents6"/>
            <w:tabs>
              <w:tab w:val="clear" w:pos="7609"/>
              <w:tab w:val="right" w:pos="9026" w:leader="dot"/>
            </w:tabs>
            <w:rPr/>
          </w:pPr>
          <w:hyperlink w:anchor="__RefHeading___Toc8193173_1051229030">
            <w:r>
              <w:rPr>
                <w:webHidden/>
                <w:rStyle w:val="IndexLink"/>
                <w:rtl w:val="true"/>
              </w:rPr>
              <w:t>المسألة السابعة</w:t>
            </w:r>
            <w:r>
              <w:rPr>
                <w:rStyle w:val="IndexLink"/>
                <w:rtl w:val="true"/>
              </w:rPr>
              <w:t xml:space="preserve">: </w:t>
            </w:r>
            <w:r>
              <w:rPr>
                <w:rStyle w:val="IndexLink"/>
                <w:rtl w:val="true"/>
              </w:rPr>
              <w:t>الاطلاق الذاتي واللحاظي</w:t>
            </w:r>
            <w:r>
              <w:rPr>
                <w:rStyle w:val="IndexLink"/>
                <w:rtl w:val="true"/>
              </w:rPr>
              <w:t>.</w:t>
              <w:tab/>
            </w:r>
            <w:r>
              <w:rPr>
                <w:rStyle w:val="IndexLink"/>
              </w:rPr>
              <w:t>256</w:t>
            </w:r>
          </w:hyperlink>
        </w:p>
        <w:p>
          <w:pPr>
            <w:pStyle w:val="Contents6"/>
            <w:tabs>
              <w:tab w:val="clear" w:pos="7609"/>
              <w:tab w:val="right" w:pos="9026" w:leader="dot"/>
            </w:tabs>
            <w:rPr/>
          </w:pPr>
          <w:hyperlink w:anchor="__RefHeading___Toc8193175_1051229030">
            <w:r>
              <w:rPr>
                <w:webHidden/>
                <w:rStyle w:val="IndexLink"/>
                <w:rtl w:val="true"/>
              </w:rPr>
              <w:t>المسألة الثامنة</w:t>
            </w:r>
            <w:r>
              <w:rPr>
                <w:rStyle w:val="IndexLink"/>
                <w:rtl w:val="true"/>
              </w:rPr>
              <w:t xml:space="preserve">: </w:t>
            </w:r>
            <w:r>
              <w:rPr>
                <w:rStyle w:val="IndexLink"/>
                <w:rtl w:val="true"/>
              </w:rPr>
              <w:t>إثبات الوجوب التعييني بالاطلاق</w:t>
            </w:r>
            <w:r>
              <w:rPr>
                <w:rStyle w:val="IndexLink"/>
                <w:rtl w:val="true"/>
              </w:rPr>
              <w:t>.</w:t>
              <w:tab/>
            </w:r>
            <w:r>
              <w:rPr>
                <w:rStyle w:val="IndexLink"/>
              </w:rPr>
              <w:t>257</w:t>
            </w:r>
          </w:hyperlink>
        </w:p>
        <w:p>
          <w:pPr>
            <w:pStyle w:val="Contents6"/>
            <w:tabs>
              <w:tab w:val="clear" w:pos="7609"/>
              <w:tab w:val="right" w:pos="9026" w:leader="dot"/>
            </w:tabs>
            <w:rPr/>
          </w:pPr>
          <w:hyperlink w:anchor="__RefHeading___Toc8193177_1051229030">
            <w:r>
              <w:rPr>
                <w:webHidden/>
                <w:rStyle w:val="IndexLink"/>
                <w:rtl w:val="true"/>
              </w:rPr>
              <w:t>المسألة التاسعة</w:t>
            </w:r>
            <w:r>
              <w:rPr>
                <w:rStyle w:val="IndexLink"/>
                <w:rtl w:val="true"/>
              </w:rPr>
              <w:t xml:space="preserve">: </w:t>
            </w:r>
            <w:r>
              <w:rPr>
                <w:rStyle w:val="IndexLink"/>
                <w:rtl w:val="true"/>
              </w:rPr>
              <w:t>دلالة الأفعال على الزمان بالاطلاق</w:t>
            </w:r>
            <w:r>
              <w:rPr>
                <w:rStyle w:val="IndexLink"/>
                <w:rtl w:val="true"/>
              </w:rPr>
              <w:t>.</w:t>
              <w:tab/>
            </w:r>
            <w:r>
              <w:rPr>
                <w:rStyle w:val="IndexLink"/>
              </w:rPr>
              <w:t>259</w:t>
            </w:r>
          </w:hyperlink>
        </w:p>
        <w:p>
          <w:pPr>
            <w:pStyle w:val="Contents6"/>
            <w:tabs>
              <w:tab w:val="clear" w:pos="7609"/>
              <w:tab w:val="right" w:pos="9026" w:leader="dot"/>
            </w:tabs>
            <w:rPr/>
          </w:pPr>
          <w:hyperlink w:anchor="__RefHeading___Toc8193179_1051229030">
            <w:r>
              <w:rPr>
                <w:webHidden/>
                <w:rStyle w:val="IndexLink"/>
                <w:rtl w:val="true"/>
              </w:rPr>
              <w:t>المسألة العاشرة</w:t>
            </w:r>
            <w:r>
              <w:rPr>
                <w:rStyle w:val="IndexLink"/>
                <w:rtl w:val="true"/>
              </w:rPr>
              <w:t xml:space="preserve">: </w:t>
            </w:r>
            <w:r>
              <w:rPr>
                <w:rStyle w:val="IndexLink"/>
                <w:rtl w:val="true"/>
              </w:rPr>
              <w:t>الاطلاق السكوتي</w:t>
            </w:r>
            <w:r>
              <w:rPr>
                <w:rStyle w:val="IndexLink"/>
                <w:rtl w:val="true"/>
              </w:rPr>
              <w:t>.</w:t>
              <w:tab/>
            </w:r>
            <w:r>
              <w:rPr>
                <w:rStyle w:val="IndexLink"/>
              </w:rPr>
              <w:t>259</w:t>
            </w:r>
          </w:hyperlink>
        </w:p>
        <w:p>
          <w:pPr>
            <w:pStyle w:val="Contents6"/>
            <w:tabs>
              <w:tab w:val="clear" w:pos="7609"/>
              <w:tab w:val="right" w:pos="9026" w:leader="dot"/>
            </w:tabs>
            <w:rPr/>
          </w:pPr>
          <w:hyperlink w:anchor="__RefHeading___Toc8193181_1051229030">
            <w:r>
              <w:rPr>
                <w:webHidden/>
                <w:rStyle w:val="IndexLink"/>
                <w:rtl w:val="true"/>
              </w:rPr>
              <w:t>المسألة الحادية عشرة</w:t>
            </w:r>
            <w:r>
              <w:rPr>
                <w:rStyle w:val="IndexLink"/>
                <w:rtl w:val="true"/>
              </w:rPr>
              <w:t xml:space="preserve">: </w:t>
            </w:r>
            <w:r>
              <w:rPr>
                <w:rStyle w:val="IndexLink"/>
                <w:rtl w:val="true"/>
              </w:rPr>
              <w:t>الاطلاق المقامي</w:t>
            </w:r>
            <w:r>
              <w:rPr>
                <w:rStyle w:val="IndexLink"/>
                <w:rtl w:val="true"/>
              </w:rPr>
              <w:t>.</w:t>
              <w:tab/>
            </w:r>
            <w:r>
              <w:rPr>
                <w:rStyle w:val="IndexLink"/>
              </w:rPr>
              <w:t>260</w:t>
            </w:r>
          </w:hyperlink>
        </w:p>
        <w:p>
          <w:pPr>
            <w:pStyle w:val="Contents6"/>
            <w:tabs>
              <w:tab w:val="clear" w:pos="7609"/>
              <w:tab w:val="right" w:pos="9026" w:leader="dot"/>
            </w:tabs>
            <w:rPr/>
          </w:pPr>
          <w:hyperlink w:anchor="__RefHeading___Toc8193183_1051229030">
            <w:r>
              <w:rPr>
                <w:webHidden/>
                <w:rStyle w:val="IndexLink"/>
                <w:rtl w:val="true"/>
              </w:rPr>
              <w:t>المسألة الثانية عشرة</w:t>
            </w:r>
            <w:r>
              <w:rPr>
                <w:rStyle w:val="IndexLink"/>
                <w:rtl w:val="true"/>
              </w:rPr>
              <w:t xml:space="preserve">: </w:t>
            </w:r>
            <w:r>
              <w:rPr>
                <w:rStyle w:val="IndexLink"/>
                <w:rtl w:val="true"/>
              </w:rPr>
              <w:t>الاطلاق المقامي دليل لبي</w:t>
            </w:r>
            <w:r>
              <w:rPr>
                <w:rStyle w:val="IndexLink"/>
                <w:rtl w:val="true"/>
              </w:rPr>
              <w:t>.</w:t>
              <w:tab/>
            </w:r>
            <w:r>
              <w:rPr>
                <w:rStyle w:val="IndexLink"/>
              </w:rPr>
              <w:t>265</w:t>
            </w:r>
          </w:hyperlink>
        </w:p>
        <w:p>
          <w:pPr>
            <w:pStyle w:val="Contents6"/>
            <w:tabs>
              <w:tab w:val="clear" w:pos="7609"/>
              <w:tab w:val="right" w:pos="9026" w:leader="dot"/>
            </w:tabs>
            <w:rPr/>
          </w:pPr>
          <w:hyperlink w:anchor="__RefHeading___Toc8193185_1051229030">
            <w:r>
              <w:rPr>
                <w:webHidden/>
                <w:rStyle w:val="IndexLink"/>
                <w:rtl w:val="true"/>
              </w:rPr>
              <w:t>المسألة الثالثة عشرة</w:t>
            </w:r>
            <w:r>
              <w:rPr>
                <w:rStyle w:val="IndexLink"/>
                <w:rtl w:val="true"/>
              </w:rPr>
              <w:t xml:space="preserve">: </w:t>
            </w:r>
            <w:r>
              <w:rPr>
                <w:rStyle w:val="IndexLink"/>
                <w:rtl w:val="true"/>
              </w:rPr>
              <w:t>اطلاق الكل و إردة الجزء</w:t>
            </w:r>
            <w:r>
              <w:rPr>
                <w:rStyle w:val="IndexLink"/>
                <w:rtl w:val="true"/>
              </w:rPr>
              <w:t>.</w:t>
              <w:tab/>
            </w:r>
            <w:r>
              <w:rPr>
                <w:rStyle w:val="IndexLink"/>
              </w:rPr>
              <w:t>265</w:t>
            </w:r>
          </w:hyperlink>
        </w:p>
        <w:p>
          <w:pPr>
            <w:pStyle w:val="Contents6"/>
            <w:tabs>
              <w:tab w:val="clear" w:pos="7609"/>
              <w:tab w:val="right" w:pos="9026" w:leader="dot"/>
            </w:tabs>
            <w:rPr/>
          </w:pPr>
          <w:hyperlink w:anchor="__RefHeading___Toc8193187_1051229030">
            <w:r>
              <w:rPr>
                <w:webHidden/>
                <w:rStyle w:val="IndexLink"/>
                <w:rtl w:val="true"/>
              </w:rPr>
              <w:t>المسألة الرابعة عشرة</w:t>
            </w:r>
            <w:r>
              <w:rPr>
                <w:rStyle w:val="IndexLink"/>
                <w:rtl w:val="true"/>
              </w:rPr>
              <w:t xml:space="preserve">: </w:t>
            </w:r>
            <w:r>
              <w:rPr>
                <w:rStyle w:val="IndexLink"/>
                <w:rtl w:val="true"/>
              </w:rPr>
              <w:t>حمل اللفظ على الفرد النادر</w:t>
            </w:r>
            <w:r>
              <w:rPr>
                <w:rStyle w:val="IndexLink"/>
                <w:rtl w:val="true"/>
              </w:rPr>
              <w:t>.</w:t>
              <w:tab/>
            </w:r>
            <w:r>
              <w:rPr>
                <w:rStyle w:val="IndexLink"/>
              </w:rPr>
              <w:t>266</w:t>
            </w:r>
          </w:hyperlink>
        </w:p>
        <w:p>
          <w:pPr>
            <w:pStyle w:val="Contents6"/>
            <w:tabs>
              <w:tab w:val="clear" w:pos="7609"/>
              <w:tab w:val="right" w:pos="9026" w:leader="dot"/>
            </w:tabs>
            <w:rPr/>
          </w:pPr>
          <w:hyperlink w:anchor="__RefHeading___Toc8193189_1051229030">
            <w:r>
              <w:rPr>
                <w:webHidden/>
                <w:rStyle w:val="IndexLink"/>
                <w:rtl w:val="true"/>
              </w:rPr>
              <w:t>المسألة الخامسة عشرة</w:t>
            </w:r>
            <w:r>
              <w:rPr>
                <w:rStyle w:val="IndexLink"/>
                <w:rtl w:val="true"/>
              </w:rPr>
              <w:t xml:space="preserve">: </w:t>
            </w:r>
            <w:r>
              <w:rPr>
                <w:rStyle w:val="IndexLink"/>
                <w:rtl w:val="true"/>
              </w:rPr>
              <w:t>الانصراف</w:t>
            </w:r>
            <w:r>
              <w:rPr>
                <w:rStyle w:val="IndexLink"/>
                <w:rtl w:val="true"/>
              </w:rPr>
              <w:t>.</w:t>
              <w:tab/>
            </w:r>
            <w:r>
              <w:rPr>
                <w:rStyle w:val="IndexLink"/>
              </w:rPr>
              <w:t>266</w:t>
            </w:r>
          </w:hyperlink>
        </w:p>
        <w:p>
          <w:pPr>
            <w:pStyle w:val="Contents6"/>
            <w:tabs>
              <w:tab w:val="clear" w:pos="7609"/>
              <w:tab w:val="right" w:pos="9026" w:leader="dot"/>
            </w:tabs>
            <w:rPr/>
          </w:pPr>
          <w:hyperlink w:anchor="__RefHeading___Toc8193191_1051229030">
            <w:r>
              <w:rPr>
                <w:webHidden/>
                <w:rStyle w:val="IndexLink"/>
                <w:rtl w:val="true"/>
              </w:rPr>
              <w:t>أدلة اشتراط الرؤية بالعين المجردة</w:t>
            </w:r>
            <w:r>
              <w:rPr>
                <w:rStyle w:val="IndexLink"/>
                <w:rtl w:val="true"/>
              </w:rPr>
              <w:t>:</w:t>
              <w:tab/>
            </w:r>
            <w:r>
              <w:rPr>
                <w:rStyle w:val="IndexLink"/>
              </w:rPr>
              <w:t>267</w:t>
            </w:r>
          </w:hyperlink>
        </w:p>
        <w:p>
          <w:pPr>
            <w:pStyle w:val="Contents6"/>
            <w:tabs>
              <w:tab w:val="clear" w:pos="7609"/>
              <w:tab w:val="right" w:pos="9026" w:leader="dot"/>
            </w:tabs>
            <w:rPr/>
          </w:pPr>
          <w:hyperlink w:anchor="__RefHeading___Toc8193193_1051229030">
            <w:r>
              <w:rPr>
                <w:webHidden/>
                <w:rStyle w:val="IndexLink"/>
                <w:rtl w:val="true"/>
              </w:rPr>
              <w:t>المسألة السادسة عشرة</w:t>
            </w:r>
            <w:r>
              <w:rPr>
                <w:rStyle w:val="IndexLink"/>
                <w:rtl w:val="true"/>
              </w:rPr>
              <w:t xml:space="preserve">: </w:t>
            </w:r>
            <w:r>
              <w:rPr>
                <w:rStyle w:val="IndexLink"/>
                <w:rtl w:val="true"/>
              </w:rPr>
              <w:t>غلبة الوجود الخارجي لا توجب الانصراف</w:t>
            </w:r>
            <w:r>
              <w:rPr>
                <w:rStyle w:val="IndexLink"/>
                <w:rtl w:val="true"/>
              </w:rPr>
              <w:tab/>
            </w:r>
            <w:r>
              <w:rPr>
                <w:rStyle w:val="IndexLink"/>
              </w:rPr>
              <w:t>274</w:t>
            </w:r>
          </w:hyperlink>
        </w:p>
        <w:p>
          <w:pPr>
            <w:pStyle w:val="Contents6"/>
            <w:tabs>
              <w:tab w:val="clear" w:pos="7609"/>
              <w:tab w:val="right" w:pos="9026" w:leader="dot"/>
            </w:tabs>
            <w:rPr/>
          </w:pPr>
          <w:hyperlink w:anchor="__RefHeading___Toc8193195_1051229030">
            <w:r>
              <w:rPr>
                <w:webHidden/>
                <w:rStyle w:val="IndexLink"/>
                <w:rtl w:val="true"/>
              </w:rPr>
              <w:t>المسألة السابعة عشرة</w:t>
            </w:r>
            <w:r>
              <w:rPr>
                <w:rStyle w:val="IndexLink"/>
                <w:rtl w:val="true"/>
              </w:rPr>
              <w:t xml:space="preserve">: </w:t>
            </w:r>
            <w:r>
              <w:rPr>
                <w:rStyle w:val="IndexLink"/>
                <w:rtl w:val="true"/>
              </w:rPr>
              <w:t>الانصراف لا يصلح للتقيد</w:t>
            </w:r>
            <w:r>
              <w:rPr>
                <w:rStyle w:val="IndexLink"/>
                <w:rtl w:val="true"/>
              </w:rPr>
              <w:t>.</w:t>
              <w:tab/>
            </w:r>
            <w:r>
              <w:rPr>
                <w:rStyle w:val="IndexLink"/>
              </w:rPr>
              <w:t>276</w:t>
            </w:r>
          </w:hyperlink>
        </w:p>
        <w:p>
          <w:pPr>
            <w:pStyle w:val="Contents6"/>
            <w:tabs>
              <w:tab w:val="clear" w:pos="7609"/>
              <w:tab w:val="right" w:pos="9026" w:leader="dot"/>
            </w:tabs>
            <w:rPr/>
          </w:pPr>
          <w:hyperlink w:anchor="__RefHeading___Toc8193197_1051229030">
            <w:r>
              <w:rPr>
                <w:webHidden/>
                <w:rStyle w:val="IndexLink"/>
                <w:rtl w:val="true"/>
              </w:rPr>
              <w:t>المسألة الثامنة عشرة</w:t>
            </w:r>
            <w:r>
              <w:rPr>
                <w:rStyle w:val="IndexLink"/>
                <w:rtl w:val="true"/>
              </w:rPr>
              <w:t xml:space="preserve">: </w:t>
            </w:r>
            <w:r>
              <w:rPr>
                <w:rStyle w:val="IndexLink"/>
                <w:rtl w:val="true"/>
              </w:rPr>
              <w:t>التفريعات لا تقيد الاحكام</w:t>
            </w:r>
            <w:r>
              <w:rPr>
                <w:rStyle w:val="IndexLink"/>
                <w:rtl w:val="true"/>
              </w:rPr>
              <w:t>.</w:t>
              <w:tab/>
            </w:r>
            <w:r>
              <w:rPr>
                <w:rStyle w:val="IndexLink"/>
              </w:rPr>
              <w:t>279</w:t>
            </w:r>
          </w:hyperlink>
        </w:p>
        <w:p>
          <w:pPr>
            <w:pStyle w:val="Contents6"/>
            <w:tabs>
              <w:tab w:val="clear" w:pos="7609"/>
              <w:tab w:val="right" w:pos="9026" w:leader="dot"/>
            </w:tabs>
            <w:rPr/>
          </w:pPr>
          <w:hyperlink w:anchor="__RefHeading___Toc8193199_1051229030">
            <w:r>
              <w:rPr>
                <w:webHidden/>
                <w:rStyle w:val="IndexLink"/>
                <w:rtl w:val="true"/>
              </w:rPr>
              <w:t>المسألة التاسعة عشرة</w:t>
            </w:r>
            <w:r>
              <w:rPr>
                <w:rStyle w:val="IndexLink"/>
                <w:rtl w:val="true"/>
              </w:rPr>
              <w:t xml:space="preserve">: </w:t>
            </w:r>
            <w:r>
              <w:rPr>
                <w:rStyle w:val="IndexLink"/>
                <w:rtl w:val="true"/>
              </w:rPr>
              <w:t>مناسبات الحكم والموضوع</w:t>
            </w:r>
            <w:r>
              <w:rPr>
                <w:rStyle w:val="IndexLink"/>
                <w:rtl w:val="true"/>
              </w:rPr>
              <w:t>.</w:t>
              <w:tab/>
            </w:r>
            <w:r>
              <w:rPr>
                <w:rStyle w:val="IndexLink"/>
              </w:rPr>
              <w:t>281</w:t>
            </w:r>
          </w:hyperlink>
        </w:p>
        <w:p>
          <w:pPr>
            <w:pStyle w:val="Contents6"/>
            <w:tabs>
              <w:tab w:val="clear" w:pos="7609"/>
              <w:tab w:val="right" w:pos="9026" w:leader="dot"/>
            </w:tabs>
            <w:rPr/>
          </w:pPr>
          <w:hyperlink w:anchor="__RefHeading___Toc8193201_1051229030">
            <w:r>
              <w:rPr>
                <w:webHidden/>
                <w:rStyle w:val="IndexLink"/>
                <w:rtl w:val="true"/>
              </w:rPr>
              <w:t>المسألة العشرون</w:t>
            </w:r>
            <w:r>
              <w:rPr>
                <w:rStyle w:val="IndexLink"/>
                <w:rtl w:val="true"/>
              </w:rPr>
              <w:t xml:space="preserve">: </w:t>
            </w:r>
            <w:r>
              <w:rPr>
                <w:rStyle w:val="IndexLink"/>
                <w:rtl w:val="true"/>
              </w:rPr>
              <w:t>التقييد بالمفهوم</w:t>
            </w:r>
            <w:r>
              <w:rPr>
                <w:rStyle w:val="IndexLink"/>
                <w:rtl w:val="true"/>
              </w:rPr>
              <w:t>.</w:t>
              <w:tab/>
            </w:r>
            <w:r>
              <w:rPr>
                <w:rStyle w:val="IndexLink"/>
              </w:rPr>
              <w:t>290</w:t>
            </w:r>
          </w:hyperlink>
        </w:p>
        <w:p>
          <w:pPr>
            <w:pStyle w:val="Contents6"/>
            <w:tabs>
              <w:tab w:val="clear" w:pos="7609"/>
              <w:tab w:val="right" w:pos="9026" w:leader="dot"/>
            </w:tabs>
            <w:rPr/>
          </w:pPr>
          <w:hyperlink w:anchor="__RefHeading___Toc8193203_1051229030">
            <w:r>
              <w:rPr>
                <w:webHidden/>
                <w:rStyle w:val="IndexLink"/>
                <w:rtl w:val="true"/>
              </w:rPr>
              <w:t>المسألة الحادية والعشرون</w:t>
            </w:r>
            <w:r>
              <w:rPr>
                <w:rStyle w:val="IndexLink"/>
                <w:rtl w:val="true"/>
              </w:rPr>
              <w:t xml:space="preserve">: </w:t>
            </w:r>
            <w:r>
              <w:rPr>
                <w:rStyle w:val="IndexLink"/>
                <w:rtl w:val="true"/>
              </w:rPr>
              <w:t>تقييد الموضوع بمتعلق الحكم</w:t>
            </w:r>
            <w:r>
              <w:rPr>
                <w:rStyle w:val="IndexLink"/>
                <w:rtl w:val="true"/>
              </w:rPr>
              <w:t>.</w:t>
              <w:tab/>
            </w:r>
            <w:r>
              <w:rPr>
                <w:rStyle w:val="IndexLink"/>
              </w:rPr>
              <w:t>291</w:t>
            </w:r>
          </w:hyperlink>
        </w:p>
        <w:p>
          <w:pPr>
            <w:pStyle w:val="Contents6"/>
            <w:tabs>
              <w:tab w:val="clear" w:pos="7609"/>
              <w:tab w:val="right" w:pos="9026" w:leader="dot"/>
            </w:tabs>
            <w:rPr/>
          </w:pPr>
          <w:hyperlink w:anchor="__RefHeading___Toc8193205_1051229030">
            <w:r>
              <w:rPr>
                <w:webHidden/>
                <w:rStyle w:val="IndexLink"/>
                <w:rtl w:val="true"/>
              </w:rPr>
              <w:t>المسألة الثانية والعشرون</w:t>
            </w:r>
            <w:r>
              <w:rPr>
                <w:rStyle w:val="IndexLink"/>
                <w:rtl w:val="true"/>
              </w:rPr>
              <w:t xml:space="preserve">: </w:t>
            </w:r>
            <w:r>
              <w:rPr>
                <w:rStyle w:val="IndexLink"/>
                <w:rtl w:val="true"/>
              </w:rPr>
              <w:t>نكات التقييد</w:t>
            </w:r>
            <w:r>
              <w:rPr>
                <w:rStyle w:val="IndexLink"/>
                <w:rtl w:val="true"/>
              </w:rPr>
              <w:t>.</w:t>
              <w:tab/>
            </w:r>
            <w:r>
              <w:rPr>
                <w:rStyle w:val="IndexLink"/>
              </w:rPr>
              <w:t>293</w:t>
            </w:r>
          </w:hyperlink>
        </w:p>
        <w:p>
          <w:pPr>
            <w:pStyle w:val="Contents6"/>
            <w:tabs>
              <w:tab w:val="clear" w:pos="7609"/>
              <w:tab w:val="right" w:pos="9026" w:leader="dot"/>
            </w:tabs>
            <w:rPr/>
          </w:pPr>
          <w:hyperlink w:anchor="__RefHeading___Toc8193207_1051229030">
            <w:r>
              <w:rPr>
                <w:webHidden/>
                <w:rStyle w:val="IndexLink"/>
                <w:rtl w:val="true"/>
              </w:rPr>
              <w:t>المسألة الثالثة والعشرون</w:t>
            </w:r>
            <w:r>
              <w:rPr>
                <w:rStyle w:val="IndexLink"/>
                <w:rtl w:val="true"/>
              </w:rPr>
              <w:t xml:space="preserve">: </w:t>
            </w:r>
            <w:r>
              <w:rPr>
                <w:rStyle w:val="IndexLink"/>
                <w:rtl w:val="true"/>
              </w:rPr>
              <w:t>استعمال الاطلاق بمعنى الظهور</w:t>
            </w:r>
            <w:r>
              <w:rPr>
                <w:rStyle w:val="IndexLink"/>
                <w:rtl w:val="true"/>
              </w:rPr>
              <w:t>.</w:t>
              <w:tab/>
            </w:r>
            <w:r>
              <w:rPr>
                <w:rStyle w:val="IndexLink"/>
              </w:rPr>
              <w:t>295</w:t>
            </w:r>
          </w:hyperlink>
        </w:p>
        <w:p>
          <w:pPr>
            <w:pStyle w:val="Contents6"/>
            <w:tabs>
              <w:tab w:val="clear" w:pos="7609"/>
              <w:tab w:val="right" w:pos="9026" w:leader="dot"/>
            </w:tabs>
            <w:rPr/>
          </w:pPr>
          <w:hyperlink w:anchor="__RefHeading___Toc8193209_1051229030">
            <w:r>
              <w:rPr>
                <w:webHidden/>
                <w:rStyle w:val="IndexLink"/>
                <w:rtl w:val="true"/>
              </w:rPr>
              <w:t>ثالثًا</w:t>
            </w:r>
            <w:r>
              <w:rPr>
                <w:rStyle w:val="IndexLink"/>
                <w:rtl w:val="true"/>
              </w:rPr>
              <w:t xml:space="preserve">: </w:t>
            </w:r>
            <w:r>
              <w:rPr>
                <w:rStyle w:val="IndexLink"/>
                <w:rtl w:val="true"/>
              </w:rPr>
              <w:t>العموم</w:t>
            </w:r>
            <w:r>
              <w:rPr>
                <w:rStyle w:val="IndexLink"/>
                <w:rtl w:val="true"/>
              </w:rPr>
              <w:tab/>
            </w:r>
            <w:r>
              <w:rPr>
                <w:rStyle w:val="IndexLink"/>
              </w:rPr>
              <w:t>297</w:t>
            </w:r>
          </w:hyperlink>
        </w:p>
        <w:p>
          <w:pPr>
            <w:pStyle w:val="Contents6"/>
            <w:tabs>
              <w:tab w:val="clear" w:pos="7609"/>
              <w:tab w:val="right" w:pos="9026" w:leader="dot"/>
            </w:tabs>
            <w:rPr/>
          </w:pPr>
          <w:hyperlink w:anchor="__RefHeading___Toc8193211_1051229030">
            <w:r>
              <w:rPr>
                <w:webHidden/>
                <w:rStyle w:val="IndexLink"/>
                <w:rtl w:val="true"/>
              </w:rPr>
              <w:t>اشارة</w:t>
            </w:r>
            <w:r>
              <w:rPr>
                <w:rStyle w:val="IndexLink"/>
                <w:rtl w:val="true"/>
              </w:rPr>
              <w:tab/>
            </w:r>
            <w:r>
              <w:rPr>
                <w:rStyle w:val="IndexLink"/>
              </w:rPr>
              <w:t>297</w:t>
            </w:r>
          </w:hyperlink>
        </w:p>
        <w:p>
          <w:pPr>
            <w:pStyle w:val="Contents6"/>
            <w:tabs>
              <w:tab w:val="clear" w:pos="7609"/>
              <w:tab w:val="right" w:pos="9026" w:leader="dot"/>
            </w:tabs>
            <w:rPr/>
          </w:pPr>
          <w:hyperlink w:anchor="__RefHeading___Toc8193213_1051229030">
            <w:r>
              <w:rPr>
                <w:webHidden/>
                <w:rStyle w:val="IndexLink"/>
                <w:rtl w:val="true"/>
              </w:rPr>
              <w:t>المسألة الأولى</w:t>
            </w:r>
            <w:r>
              <w:rPr>
                <w:rStyle w:val="IndexLink"/>
                <w:rtl w:val="true"/>
              </w:rPr>
              <w:t xml:space="preserve">: </w:t>
            </w:r>
            <w:r>
              <w:rPr>
                <w:rStyle w:val="IndexLink"/>
                <w:rtl w:val="true"/>
              </w:rPr>
              <w:t>تنقيح المناط</w:t>
            </w:r>
            <w:r>
              <w:rPr>
                <w:rStyle w:val="IndexLink"/>
                <w:rtl w:val="true"/>
              </w:rPr>
              <w:t>.</w:t>
              <w:tab/>
            </w:r>
            <w:r>
              <w:rPr>
                <w:rStyle w:val="IndexLink"/>
              </w:rPr>
              <w:t>298</w:t>
            </w:r>
          </w:hyperlink>
        </w:p>
        <w:p>
          <w:pPr>
            <w:pStyle w:val="Contents6"/>
            <w:tabs>
              <w:tab w:val="clear" w:pos="7609"/>
              <w:tab w:val="right" w:pos="9026" w:leader="dot"/>
            </w:tabs>
            <w:rPr/>
          </w:pPr>
          <w:hyperlink w:anchor="__RefHeading___Toc8193215_1051229030">
            <w:r>
              <w:rPr>
                <w:webHidden/>
                <w:rStyle w:val="IndexLink"/>
                <w:rtl w:val="true"/>
              </w:rPr>
              <w:t>المسألة الثانية</w:t>
            </w:r>
            <w:r>
              <w:rPr>
                <w:rStyle w:val="IndexLink"/>
                <w:rtl w:val="true"/>
              </w:rPr>
              <w:t xml:space="preserve">: </w:t>
            </w:r>
            <w:r>
              <w:rPr>
                <w:rStyle w:val="IndexLink"/>
                <w:rtl w:val="true"/>
              </w:rPr>
              <w:t>حجية استظهار المناط</w:t>
            </w:r>
            <w:r>
              <w:rPr>
                <w:rStyle w:val="IndexLink"/>
                <w:rtl w:val="true"/>
              </w:rPr>
              <w:t>.</w:t>
              <w:tab/>
            </w:r>
            <w:r>
              <w:rPr>
                <w:rStyle w:val="IndexLink"/>
              </w:rPr>
              <w:t>300</w:t>
            </w:r>
          </w:hyperlink>
        </w:p>
        <w:p>
          <w:pPr>
            <w:pStyle w:val="Contents6"/>
            <w:tabs>
              <w:tab w:val="clear" w:pos="7609"/>
              <w:tab w:val="right" w:pos="9026" w:leader="dot"/>
            </w:tabs>
            <w:rPr/>
          </w:pPr>
          <w:hyperlink w:anchor="__RefHeading___Toc8193217_1051229030">
            <w:r>
              <w:rPr>
                <w:webHidden/>
                <w:rStyle w:val="IndexLink"/>
                <w:rtl w:val="true"/>
              </w:rPr>
              <w:t>المسألة الثالثة</w:t>
            </w:r>
            <w:r>
              <w:rPr>
                <w:rStyle w:val="IndexLink"/>
                <w:rtl w:val="true"/>
              </w:rPr>
              <w:t xml:space="preserve">: </w:t>
            </w:r>
            <w:r>
              <w:rPr>
                <w:rStyle w:val="IndexLink"/>
                <w:rtl w:val="true"/>
              </w:rPr>
              <w:t>العلة المنصوصة</w:t>
            </w:r>
            <w:r>
              <w:rPr>
                <w:rStyle w:val="IndexLink"/>
                <w:rtl w:val="true"/>
              </w:rPr>
              <w:t>.</w:t>
              <w:tab/>
            </w:r>
            <w:r>
              <w:rPr>
                <w:rStyle w:val="IndexLink"/>
              </w:rPr>
              <w:t>302</w:t>
            </w:r>
          </w:hyperlink>
        </w:p>
        <w:p>
          <w:pPr>
            <w:pStyle w:val="Contents6"/>
            <w:tabs>
              <w:tab w:val="clear" w:pos="7609"/>
              <w:tab w:val="right" w:pos="9026" w:leader="dot"/>
            </w:tabs>
            <w:rPr/>
          </w:pPr>
          <w:hyperlink w:anchor="__RefHeading___Toc8193219_1051229030">
            <w:r>
              <w:rPr>
                <w:webHidden/>
                <w:rStyle w:val="IndexLink"/>
                <w:rtl w:val="true"/>
              </w:rPr>
              <w:t>المسألة الرابعة</w:t>
            </w:r>
            <w:r>
              <w:rPr>
                <w:rStyle w:val="IndexLink"/>
                <w:rtl w:val="true"/>
              </w:rPr>
              <w:t xml:space="preserve">: </w:t>
            </w:r>
            <w:r>
              <w:rPr>
                <w:rStyle w:val="IndexLink"/>
                <w:rtl w:val="true"/>
              </w:rPr>
              <w:t>الفارق بين العلة والملاك والحكمة</w:t>
            </w:r>
            <w:r>
              <w:rPr>
                <w:rStyle w:val="IndexLink"/>
                <w:rtl w:val="true"/>
              </w:rPr>
              <w:t>.</w:t>
              <w:tab/>
            </w:r>
            <w:r>
              <w:rPr>
                <w:rStyle w:val="IndexLink"/>
              </w:rPr>
              <w:t>303</w:t>
            </w:r>
          </w:hyperlink>
        </w:p>
        <w:p>
          <w:pPr>
            <w:pStyle w:val="Contents6"/>
            <w:tabs>
              <w:tab w:val="clear" w:pos="7609"/>
              <w:tab w:val="right" w:pos="9026" w:leader="dot"/>
            </w:tabs>
            <w:rPr/>
          </w:pPr>
          <w:hyperlink w:anchor="__RefHeading___Toc8193221_1051229030">
            <w:r>
              <w:rPr>
                <w:webHidden/>
                <w:rStyle w:val="IndexLink"/>
                <w:rtl w:val="true"/>
              </w:rPr>
              <w:t>المسألة الخامسة</w:t>
            </w:r>
            <w:r>
              <w:rPr>
                <w:rStyle w:val="IndexLink"/>
                <w:rtl w:val="true"/>
              </w:rPr>
              <w:t xml:space="preserve">: </w:t>
            </w:r>
            <w:r>
              <w:rPr>
                <w:rStyle w:val="IndexLink"/>
                <w:rtl w:val="true"/>
              </w:rPr>
              <w:t>القول بعدم الفصل</w:t>
            </w:r>
            <w:r>
              <w:rPr>
                <w:rStyle w:val="IndexLink"/>
                <w:rtl w:val="true"/>
              </w:rPr>
              <w:t>.</w:t>
              <w:tab/>
            </w:r>
            <w:r>
              <w:rPr>
                <w:rStyle w:val="IndexLink"/>
              </w:rPr>
              <w:t>305</w:t>
            </w:r>
          </w:hyperlink>
        </w:p>
        <w:p>
          <w:pPr>
            <w:pStyle w:val="Contents6"/>
            <w:tabs>
              <w:tab w:val="clear" w:pos="7609"/>
              <w:tab w:val="right" w:pos="9026" w:leader="dot"/>
            </w:tabs>
            <w:rPr/>
          </w:pPr>
          <w:hyperlink w:anchor="__RefHeading___Toc8193223_1051229030">
            <w:r>
              <w:rPr>
                <w:webHidden/>
                <w:rStyle w:val="IndexLink"/>
                <w:rtl w:val="true"/>
              </w:rPr>
              <w:t>القول الأول</w:t>
            </w:r>
            <w:r>
              <w:rPr>
                <w:rStyle w:val="IndexLink"/>
                <w:rtl w:val="true"/>
              </w:rPr>
              <w:t xml:space="preserve">: </w:t>
            </w:r>
            <w:r>
              <w:rPr>
                <w:rStyle w:val="IndexLink"/>
                <w:rtl w:val="true"/>
              </w:rPr>
              <w:t>الوجوب، وقد استدل عليه بوجوه</w:t>
            </w:r>
            <w:r>
              <w:rPr>
                <w:rStyle w:val="IndexLink"/>
                <w:rtl w:val="true"/>
              </w:rPr>
              <w:t>:</w:t>
              <w:tab/>
            </w:r>
            <w:r>
              <w:rPr>
                <w:rStyle w:val="IndexLink"/>
              </w:rPr>
              <w:t>305</w:t>
            </w:r>
          </w:hyperlink>
        </w:p>
        <w:p>
          <w:pPr>
            <w:pStyle w:val="Contents6"/>
            <w:tabs>
              <w:tab w:val="clear" w:pos="7609"/>
              <w:tab w:val="right" w:pos="9026" w:leader="dot"/>
            </w:tabs>
            <w:rPr/>
          </w:pPr>
          <w:hyperlink w:anchor="__RefHeading___Toc8193225_1051229030">
            <w:r>
              <w:rPr>
                <w:webHidden/>
                <w:rStyle w:val="IndexLink"/>
                <w:rtl w:val="true"/>
              </w:rPr>
              <w:t>المسألة السادسة</w:t>
            </w:r>
            <w:r>
              <w:rPr>
                <w:rStyle w:val="IndexLink"/>
                <w:rtl w:val="true"/>
              </w:rPr>
              <w:t xml:space="preserve">: </w:t>
            </w:r>
            <w:r>
              <w:rPr>
                <w:rStyle w:val="IndexLink"/>
                <w:rtl w:val="true"/>
              </w:rPr>
              <w:t>ضابط التعميم بالأولوية</w:t>
            </w:r>
            <w:r>
              <w:rPr>
                <w:rStyle w:val="IndexLink"/>
                <w:rtl w:val="true"/>
              </w:rPr>
              <w:t>.</w:t>
              <w:tab/>
            </w:r>
            <w:r>
              <w:rPr>
                <w:rStyle w:val="IndexLink"/>
              </w:rPr>
              <w:t>307</w:t>
            </w:r>
          </w:hyperlink>
        </w:p>
        <w:p>
          <w:pPr>
            <w:pStyle w:val="Contents6"/>
            <w:tabs>
              <w:tab w:val="clear" w:pos="7609"/>
              <w:tab w:val="right" w:pos="9026" w:leader="dot"/>
            </w:tabs>
            <w:rPr/>
          </w:pPr>
          <w:hyperlink w:anchor="__RefHeading___Toc8193227_1051229030">
            <w:r>
              <w:rPr>
                <w:webHidden/>
                <w:rStyle w:val="IndexLink"/>
                <w:rtl w:val="true"/>
              </w:rPr>
              <w:t>المسألة السابعة</w:t>
            </w:r>
            <w:r>
              <w:rPr>
                <w:rStyle w:val="IndexLink"/>
                <w:rtl w:val="true"/>
              </w:rPr>
              <w:t xml:space="preserve">: </w:t>
            </w:r>
            <w:r>
              <w:rPr>
                <w:rStyle w:val="IndexLink"/>
                <w:rtl w:val="true"/>
              </w:rPr>
              <w:t>التجريد عن الخصوصية</w:t>
            </w:r>
            <w:r>
              <w:rPr>
                <w:rStyle w:val="IndexLink"/>
                <w:rtl w:val="true"/>
              </w:rPr>
              <w:t>.</w:t>
              <w:tab/>
            </w:r>
            <w:r>
              <w:rPr>
                <w:rStyle w:val="IndexLink"/>
              </w:rPr>
              <w:t>308</w:t>
            </w:r>
          </w:hyperlink>
        </w:p>
        <w:p>
          <w:pPr>
            <w:pStyle w:val="Contents6"/>
            <w:tabs>
              <w:tab w:val="clear" w:pos="7609"/>
              <w:tab w:val="right" w:pos="9026" w:leader="dot"/>
            </w:tabs>
            <w:rPr/>
          </w:pPr>
          <w:hyperlink w:anchor="__RefHeading___Toc8193229_1051229030">
            <w:r>
              <w:rPr>
                <w:webHidden/>
                <w:rStyle w:val="IndexLink"/>
                <w:rtl w:val="true"/>
              </w:rPr>
              <w:t>المسألة الثامنة</w:t>
            </w:r>
            <w:r>
              <w:rPr>
                <w:rStyle w:val="IndexLink"/>
                <w:rtl w:val="true"/>
              </w:rPr>
              <w:t xml:space="preserve">: </w:t>
            </w:r>
            <w:r>
              <w:rPr>
                <w:rStyle w:val="IndexLink"/>
                <w:rtl w:val="true"/>
              </w:rPr>
              <w:t>الفرد المشكوك دخوله تحت الخاص</w:t>
            </w:r>
            <w:r>
              <w:rPr>
                <w:rStyle w:val="IndexLink"/>
                <w:rtl w:val="true"/>
              </w:rPr>
              <w:t>.</w:t>
              <w:tab/>
            </w:r>
            <w:r>
              <w:rPr>
                <w:rStyle w:val="IndexLink"/>
              </w:rPr>
              <w:t>311</w:t>
            </w:r>
          </w:hyperlink>
        </w:p>
        <w:p>
          <w:pPr>
            <w:pStyle w:val="Contents6"/>
            <w:tabs>
              <w:tab w:val="clear" w:pos="7609"/>
              <w:tab w:val="right" w:pos="9026" w:leader="dot"/>
            </w:tabs>
            <w:rPr/>
          </w:pPr>
          <w:hyperlink w:anchor="__RefHeading___Toc8193231_1051229030">
            <w:r>
              <w:rPr>
                <w:webHidden/>
                <w:rStyle w:val="IndexLink"/>
                <w:rtl w:val="true"/>
              </w:rPr>
              <w:t>المسألة التاسعة</w:t>
            </w:r>
            <w:r>
              <w:rPr>
                <w:rStyle w:val="IndexLink"/>
                <w:rtl w:val="true"/>
              </w:rPr>
              <w:t xml:space="preserve">: </w:t>
            </w:r>
            <w:r>
              <w:rPr>
                <w:rStyle w:val="IndexLink"/>
                <w:rtl w:val="true"/>
              </w:rPr>
              <w:t>خروج الافراد الدال على عدم العموم</w:t>
            </w:r>
            <w:r>
              <w:rPr>
                <w:rStyle w:val="IndexLink"/>
                <w:rtl w:val="true"/>
              </w:rPr>
              <w:t>.</w:t>
              <w:tab/>
            </w:r>
            <w:r>
              <w:rPr>
                <w:rStyle w:val="IndexLink"/>
              </w:rPr>
              <w:t>313</w:t>
            </w:r>
          </w:hyperlink>
        </w:p>
        <w:p>
          <w:pPr>
            <w:pStyle w:val="Contents6"/>
            <w:tabs>
              <w:tab w:val="clear" w:pos="7609"/>
              <w:tab w:val="right" w:pos="9026" w:leader="dot"/>
            </w:tabs>
            <w:rPr/>
          </w:pPr>
          <w:hyperlink w:anchor="__RefHeading___Toc8193233_1051229030">
            <w:r>
              <w:rPr>
                <w:webHidden/>
                <w:rStyle w:val="IndexLink"/>
                <w:rtl w:val="true"/>
              </w:rPr>
              <w:t>المسألة العاشرة</w:t>
            </w:r>
            <w:r>
              <w:rPr>
                <w:rStyle w:val="IndexLink"/>
                <w:rtl w:val="true"/>
              </w:rPr>
              <w:t xml:space="preserve">: </w:t>
            </w:r>
            <w:r>
              <w:rPr>
                <w:rStyle w:val="IndexLink"/>
                <w:rtl w:val="true"/>
              </w:rPr>
              <w:t>التمسك بالعام في الشبهة المصداقية</w:t>
            </w:r>
            <w:r>
              <w:rPr>
                <w:rStyle w:val="IndexLink"/>
                <w:rtl w:val="true"/>
              </w:rPr>
              <w:t>.</w:t>
              <w:tab/>
            </w:r>
            <w:r>
              <w:rPr>
                <w:rStyle w:val="IndexLink"/>
              </w:rPr>
              <w:t>314</w:t>
            </w:r>
          </w:hyperlink>
        </w:p>
        <w:p>
          <w:pPr>
            <w:pStyle w:val="Contents6"/>
            <w:tabs>
              <w:tab w:val="clear" w:pos="7609"/>
              <w:tab w:val="right" w:pos="9026" w:leader="dot"/>
            </w:tabs>
            <w:rPr/>
          </w:pPr>
          <w:hyperlink w:anchor="__RefHeading___Toc8193235_1051229030">
            <w:r>
              <w:rPr>
                <w:webHidden/>
                <w:rStyle w:val="IndexLink"/>
                <w:rtl w:val="true"/>
              </w:rPr>
              <w:t>المسألة الحادية عشرة</w:t>
            </w:r>
            <w:r>
              <w:rPr>
                <w:rStyle w:val="IndexLink"/>
                <w:rtl w:val="true"/>
              </w:rPr>
              <w:t xml:space="preserve">: </w:t>
            </w:r>
            <w:r>
              <w:rPr>
                <w:rStyle w:val="IndexLink"/>
                <w:rtl w:val="true"/>
              </w:rPr>
              <w:t>المخصص المجمل مفهوما</w:t>
            </w:r>
            <w:r>
              <w:rPr>
                <w:rStyle w:val="IndexLink"/>
                <w:rtl w:val="true"/>
              </w:rPr>
              <w:t>.</w:t>
              <w:tab/>
            </w:r>
            <w:r>
              <w:rPr>
                <w:rStyle w:val="IndexLink"/>
              </w:rPr>
              <w:t>316</w:t>
            </w:r>
          </w:hyperlink>
        </w:p>
        <w:p>
          <w:pPr>
            <w:pStyle w:val="Contents6"/>
            <w:tabs>
              <w:tab w:val="clear" w:pos="7609"/>
              <w:tab w:val="right" w:pos="9026" w:leader="dot"/>
            </w:tabs>
            <w:rPr/>
          </w:pPr>
          <w:hyperlink w:anchor="__RefHeading___Toc8193237_1051229030">
            <w:r>
              <w:rPr>
                <w:webHidden/>
                <w:rStyle w:val="IndexLink"/>
                <w:rtl w:val="true"/>
              </w:rPr>
              <w:t>المسألة الثانية عشرة</w:t>
            </w:r>
            <w:r>
              <w:rPr>
                <w:rStyle w:val="IndexLink"/>
                <w:rtl w:val="true"/>
              </w:rPr>
              <w:t xml:space="preserve">: </w:t>
            </w:r>
            <w:r>
              <w:rPr>
                <w:rStyle w:val="IndexLink"/>
                <w:rtl w:val="true"/>
              </w:rPr>
              <w:t>المورد لا يخصص الوارد</w:t>
            </w:r>
            <w:r>
              <w:rPr>
                <w:rStyle w:val="IndexLink"/>
                <w:rtl w:val="true"/>
              </w:rPr>
              <w:t>.</w:t>
              <w:tab/>
            </w:r>
            <w:r>
              <w:rPr>
                <w:rStyle w:val="IndexLink"/>
              </w:rPr>
              <w:t>317</w:t>
            </w:r>
          </w:hyperlink>
        </w:p>
        <w:p>
          <w:pPr>
            <w:pStyle w:val="Contents6"/>
            <w:tabs>
              <w:tab w:val="clear" w:pos="7609"/>
              <w:tab w:val="right" w:pos="9026" w:leader="dot"/>
            </w:tabs>
            <w:rPr/>
          </w:pPr>
          <w:hyperlink w:anchor="__RefHeading___Toc8193239_1051229030">
            <w:r>
              <w:rPr>
                <w:webHidden/>
                <w:rStyle w:val="IndexLink"/>
                <w:rtl w:val="true"/>
              </w:rPr>
              <w:t>المسألة الثالثة عشرة</w:t>
            </w:r>
            <w:r>
              <w:rPr>
                <w:rStyle w:val="IndexLink"/>
                <w:rtl w:val="true"/>
              </w:rPr>
              <w:t xml:space="preserve">: </w:t>
            </w:r>
            <w:r>
              <w:rPr>
                <w:rStyle w:val="IndexLink"/>
                <w:rtl w:val="true"/>
              </w:rPr>
              <w:t>التطبيق لا يخصص العموم</w:t>
            </w:r>
            <w:r>
              <w:rPr>
                <w:rStyle w:val="IndexLink"/>
                <w:rtl w:val="true"/>
              </w:rPr>
              <w:t>.</w:t>
              <w:tab/>
            </w:r>
            <w:r>
              <w:rPr>
                <w:rStyle w:val="IndexLink"/>
              </w:rPr>
              <w:t>318</w:t>
            </w:r>
          </w:hyperlink>
        </w:p>
        <w:p>
          <w:pPr>
            <w:pStyle w:val="Contents6"/>
            <w:tabs>
              <w:tab w:val="clear" w:pos="7609"/>
              <w:tab w:val="right" w:pos="9026" w:leader="dot"/>
            </w:tabs>
            <w:rPr/>
          </w:pPr>
          <w:hyperlink w:anchor="__RefHeading___Toc8193241_1051229030">
            <w:r>
              <w:rPr>
                <w:webHidden/>
                <w:rStyle w:val="IndexLink"/>
                <w:rtl w:val="true"/>
              </w:rPr>
              <w:t>المسألة الرابعة عشرة</w:t>
            </w:r>
            <w:r>
              <w:rPr>
                <w:rStyle w:val="IndexLink"/>
                <w:rtl w:val="true"/>
              </w:rPr>
              <w:t xml:space="preserve">: </w:t>
            </w:r>
            <w:r>
              <w:rPr>
                <w:rStyle w:val="IndexLink"/>
                <w:rtl w:val="true"/>
              </w:rPr>
              <w:t>تخصيص الكتاب بالسنة</w:t>
            </w:r>
            <w:r>
              <w:rPr>
                <w:rStyle w:val="IndexLink"/>
                <w:rtl w:val="true"/>
              </w:rPr>
              <w:t>.</w:t>
              <w:tab/>
            </w:r>
            <w:r>
              <w:rPr>
                <w:rStyle w:val="IndexLink"/>
              </w:rPr>
              <w:t>319</w:t>
            </w:r>
          </w:hyperlink>
        </w:p>
        <w:p>
          <w:pPr>
            <w:pStyle w:val="Contents6"/>
            <w:tabs>
              <w:tab w:val="clear" w:pos="7609"/>
              <w:tab w:val="right" w:pos="9026" w:leader="dot"/>
            </w:tabs>
            <w:rPr/>
          </w:pPr>
          <w:hyperlink w:anchor="__RefHeading___Toc8193243_1051229030">
            <w:r>
              <w:rPr>
                <w:webHidden/>
                <w:rStyle w:val="IndexLink"/>
                <w:rtl w:val="true"/>
              </w:rPr>
              <w:t>رابعًا</w:t>
            </w:r>
            <w:r>
              <w:rPr>
                <w:rStyle w:val="IndexLink"/>
                <w:rtl w:val="true"/>
              </w:rPr>
              <w:t xml:space="preserve">: </w:t>
            </w:r>
            <w:r>
              <w:rPr>
                <w:rStyle w:val="IndexLink"/>
                <w:rtl w:val="true"/>
              </w:rPr>
              <w:t>المفاهيم</w:t>
            </w:r>
            <w:r>
              <w:rPr>
                <w:rStyle w:val="IndexLink"/>
                <w:rtl w:val="true"/>
              </w:rPr>
              <w:tab/>
            </w:r>
            <w:r>
              <w:rPr>
                <w:rStyle w:val="IndexLink"/>
              </w:rPr>
              <w:t>321</w:t>
            </w:r>
          </w:hyperlink>
        </w:p>
        <w:p>
          <w:pPr>
            <w:pStyle w:val="Contents6"/>
            <w:tabs>
              <w:tab w:val="clear" w:pos="7609"/>
              <w:tab w:val="right" w:pos="9026" w:leader="dot"/>
            </w:tabs>
            <w:rPr/>
          </w:pPr>
          <w:hyperlink w:anchor="__RefHeading___Toc8193245_1051229030">
            <w:r>
              <w:rPr>
                <w:webHidden/>
                <w:rStyle w:val="IndexLink"/>
                <w:rtl w:val="true"/>
              </w:rPr>
              <w:t>اشارة</w:t>
            </w:r>
            <w:r>
              <w:rPr>
                <w:rStyle w:val="IndexLink"/>
                <w:rtl w:val="true"/>
              </w:rPr>
              <w:tab/>
            </w:r>
            <w:r>
              <w:rPr>
                <w:rStyle w:val="IndexLink"/>
              </w:rPr>
              <w:t>321</w:t>
            </w:r>
          </w:hyperlink>
        </w:p>
        <w:p>
          <w:pPr>
            <w:pStyle w:val="Contents6"/>
            <w:tabs>
              <w:tab w:val="clear" w:pos="7609"/>
              <w:tab w:val="right" w:pos="9026" w:leader="dot"/>
            </w:tabs>
            <w:rPr/>
          </w:pPr>
          <w:hyperlink w:anchor="__RefHeading___Toc8193247_1051229030">
            <w:r>
              <w:rPr>
                <w:webHidden/>
                <w:rStyle w:val="IndexLink"/>
                <w:rtl w:val="true"/>
              </w:rPr>
              <w:t>المسألة الأولى</w:t>
            </w:r>
            <w:r>
              <w:rPr>
                <w:rStyle w:val="IndexLink"/>
                <w:rtl w:val="true"/>
              </w:rPr>
              <w:t xml:space="preserve">: </w:t>
            </w:r>
            <w:r>
              <w:rPr>
                <w:rStyle w:val="IndexLink"/>
                <w:rtl w:val="true"/>
              </w:rPr>
              <w:t>دلالة تقدم الجزاء على الشرط</w:t>
            </w:r>
            <w:r>
              <w:rPr>
                <w:rStyle w:val="IndexLink"/>
                <w:rtl w:val="true"/>
              </w:rPr>
              <w:t>.</w:t>
              <w:tab/>
            </w:r>
            <w:r>
              <w:rPr>
                <w:rStyle w:val="IndexLink"/>
              </w:rPr>
              <w:t>321</w:t>
            </w:r>
          </w:hyperlink>
        </w:p>
        <w:p>
          <w:pPr>
            <w:pStyle w:val="Contents6"/>
            <w:tabs>
              <w:tab w:val="clear" w:pos="7609"/>
              <w:tab w:val="right" w:pos="9026" w:leader="dot"/>
            </w:tabs>
            <w:rPr/>
          </w:pPr>
          <w:hyperlink w:anchor="__RefHeading___Toc8193249_1051229030">
            <w:r>
              <w:rPr>
                <w:webHidden/>
                <w:rStyle w:val="IndexLink"/>
                <w:rtl w:val="true"/>
              </w:rPr>
              <w:t>المسألة الثانية</w:t>
            </w:r>
            <w:r>
              <w:rPr>
                <w:rStyle w:val="IndexLink"/>
                <w:rtl w:val="true"/>
              </w:rPr>
              <w:t xml:space="preserve">: </w:t>
            </w:r>
            <w:r>
              <w:rPr>
                <w:rStyle w:val="IndexLink"/>
                <w:rtl w:val="true"/>
              </w:rPr>
              <w:t>الشرط المسوق لتحقق الموضوع</w:t>
            </w:r>
            <w:r>
              <w:rPr>
                <w:rStyle w:val="IndexLink"/>
                <w:rtl w:val="true"/>
              </w:rPr>
              <w:t>.</w:t>
              <w:tab/>
            </w:r>
            <w:r>
              <w:rPr>
                <w:rStyle w:val="IndexLink"/>
              </w:rPr>
              <w:t>322</w:t>
            </w:r>
          </w:hyperlink>
        </w:p>
        <w:p>
          <w:pPr>
            <w:pStyle w:val="Contents6"/>
            <w:tabs>
              <w:tab w:val="clear" w:pos="7609"/>
              <w:tab w:val="right" w:pos="9026" w:leader="dot"/>
            </w:tabs>
            <w:rPr/>
          </w:pPr>
          <w:hyperlink w:anchor="__RefHeading___Toc8193251_1051229030">
            <w:r>
              <w:rPr>
                <w:webHidden/>
                <w:rStyle w:val="IndexLink"/>
                <w:rtl w:val="true"/>
              </w:rPr>
              <w:t>المسألة الثالثة</w:t>
            </w:r>
            <w:r>
              <w:rPr>
                <w:rStyle w:val="IndexLink"/>
                <w:rtl w:val="true"/>
              </w:rPr>
              <w:t>: (</w:t>
            </w:r>
            <w:r>
              <w:rPr>
                <w:rStyle w:val="IndexLink"/>
                <w:rtl w:val="true"/>
              </w:rPr>
              <w:t>اما</w:t>
            </w:r>
            <w:r>
              <w:rPr>
                <w:rStyle w:val="IndexLink"/>
                <w:rtl w:val="true"/>
              </w:rPr>
              <w:t xml:space="preserve">) </w:t>
            </w:r>
            <w:r>
              <w:rPr>
                <w:rStyle w:val="IndexLink"/>
                <w:rtl w:val="true"/>
              </w:rPr>
              <w:t>التفصيلية بقوة الشرطية</w:t>
            </w:r>
            <w:r>
              <w:rPr>
                <w:rStyle w:val="IndexLink"/>
                <w:rtl w:val="true"/>
              </w:rPr>
              <w:t>.</w:t>
              <w:tab/>
            </w:r>
            <w:r>
              <w:rPr>
                <w:rStyle w:val="IndexLink"/>
              </w:rPr>
              <w:t>325</w:t>
            </w:r>
          </w:hyperlink>
        </w:p>
        <w:p>
          <w:pPr>
            <w:pStyle w:val="Contents6"/>
            <w:tabs>
              <w:tab w:val="clear" w:pos="7609"/>
              <w:tab w:val="right" w:pos="9026" w:leader="dot"/>
            </w:tabs>
            <w:rPr/>
          </w:pPr>
          <w:hyperlink w:anchor="__RefHeading___Toc8193253_1051229030">
            <w:r>
              <w:rPr>
                <w:webHidden/>
                <w:rStyle w:val="IndexLink"/>
                <w:rtl w:val="true"/>
              </w:rPr>
              <w:t>المسألة الرابعة</w:t>
            </w:r>
            <w:r>
              <w:rPr>
                <w:rStyle w:val="IndexLink"/>
                <w:rtl w:val="true"/>
              </w:rPr>
              <w:t xml:space="preserve">: </w:t>
            </w:r>
            <w:r>
              <w:rPr>
                <w:rStyle w:val="IndexLink"/>
                <w:rtl w:val="true"/>
              </w:rPr>
              <w:t>حجية مفهوم الغاية</w:t>
            </w:r>
            <w:r>
              <w:rPr>
                <w:rStyle w:val="IndexLink"/>
                <w:rtl w:val="true"/>
              </w:rPr>
              <w:t>.</w:t>
              <w:tab/>
            </w:r>
            <w:r>
              <w:rPr>
                <w:rStyle w:val="IndexLink"/>
              </w:rPr>
              <w:t>325</w:t>
            </w:r>
          </w:hyperlink>
        </w:p>
        <w:p>
          <w:pPr>
            <w:pStyle w:val="Contents6"/>
            <w:tabs>
              <w:tab w:val="clear" w:pos="7609"/>
              <w:tab w:val="right" w:pos="9026" w:leader="dot"/>
            </w:tabs>
            <w:rPr/>
          </w:pPr>
          <w:hyperlink w:anchor="__RefHeading___Toc8193255_1051229030">
            <w:r>
              <w:rPr>
                <w:webHidden/>
                <w:rStyle w:val="IndexLink"/>
                <w:rtl w:val="true"/>
              </w:rPr>
              <w:t>المسألة الخامسة</w:t>
            </w:r>
            <w:r>
              <w:rPr>
                <w:rStyle w:val="IndexLink"/>
                <w:rtl w:val="true"/>
              </w:rPr>
              <w:t xml:space="preserve">: </w:t>
            </w:r>
            <w:r>
              <w:rPr>
                <w:rStyle w:val="IndexLink"/>
                <w:rtl w:val="true"/>
              </w:rPr>
              <w:t>مفهوم الوصف</w:t>
            </w:r>
            <w:r>
              <w:rPr>
                <w:rStyle w:val="IndexLink"/>
                <w:rtl w:val="true"/>
              </w:rPr>
              <w:t>.</w:t>
              <w:tab/>
            </w:r>
            <w:r>
              <w:rPr>
                <w:rStyle w:val="IndexLink"/>
              </w:rPr>
              <w:t>328</w:t>
            </w:r>
          </w:hyperlink>
        </w:p>
        <w:p>
          <w:pPr>
            <w:pStyle w:val="Contents6"/>
            <w:tabs>
              <w:tab w:val="clear" w:pos="7609"/>
              <w:tab w:val="right" w:pos="9026" w:leader="dot"/>
            </w:tabs>
            <w:rPr/>
          </w:pPr>
          <w:hyperlink w:anchor="__RefHeading___Toc8193257_1051229030">
            <w:r>
              <w:rPr>
                <w:webHidden/>
                <w:rStyle w:val="IndexLink"/>
                <w:rtl w:val="true"/>
              </w:rPr>
              <w:t>المسألة السادسة</w:t>
            </w:r>
            <w:r>
              <w:rPr>
                <w:rStyle w:val="IndexLink"/>
                <w:rtl w:val="true"/>
              </w:rPr>
              <w:t xml:space="preserve">: </w:t>
            </w:r>
            <w:r>
              <w:rPr>
                <w:rStyle w:val="IndexLink"/>
                <w:rtl w:val="true"/>
              </w:rPr>
              <w:t>استفادة المفهوم من القرينة</w:t>
            </w:r>
            <w:r>
              <w:rPr>
                <w:rStyle w:val="IndexLink"/>
                <w:rtl w:val="true"/>
              </w:rPr>
              <w:t>.</w:t>
              <w:tab/>
            </w:r>
            <w:r>
              <w:rPr>
                <w:rStyle w:val="IndexLink"/>
              </w:rPr>
              <w:t>331</w:t>
            </w:r>
          </w:hyperlink>
        </w:p>
        <w:p>
          <w:pPr>
            <w:pStyle w:val="Contents6"/>
            <w:tabs>
              <w:tab w:val="clear" w:pos="7609"/>
              <w:tab w:val="right" w:pos="9026" w:leader="dot"/>
            </w:tabs>
            <w:rPr/>
          </w:pPr>
          <w:hyperlink w:anchor="__RefHeading___Toc8193259_1051229030">
            <w:r>
              <w:rPr>
                <w:webHidden/>
                <w:rStyle w:val="IndexLink"/>
                <w:rtl w:val="true"/>
              </w:rPr>
              <w:t>المسألة السابعة</w:t>
            </w:r>
            <w:r>
              <w:rPr>
                <w:rStyle w:val="IndexLink"/>
                <w:rtl w:val="true"/>
              </w:rPr>
              <w:t xml:space="preserve">: </w:t>
            </w:r>
            <w:r>
              <w:rPr>
                <w:rStyle w:val="IndexLink"/>
                <w:rtl w:val="true"/>
              </w:rPr>
              <w:t>الفرق بين الوصف واللقب</w:t>
            </w:r>
            <w:r>
              <w:rPr>
                <w:rStyle w:val="IndexLink"/>
                <w:rtl w:val="true"/>
              </w:rPr>
              <w:t>.</w:t>
              <w:tab/>
            </w:r>
            <w:r>
              <w:rPr>
                <w:rStyle w:val="IndexLink"/>
              </w:rPr>
              <w:t>334</w:t>
            </w:r>
          </w:hyperlink>
        </w:p>
        <w:p>
          <w:pPr>
            <w:pStyle w:val="Contents5"/>
            <w:tabs>
              <w:tab w:val="clear" w:pos="7892"/>
              <w:tab w:val="right" w:pos="9026" w:leader="dot"/>
            </w:tabs>
            <w:rPr/>
          </w:pPr>
          <w:hyperlink w:anchor="__RefHeading___Toc8193261_1051229030">
            <w:r>
              <w:rPr>
                <w:webHidden/>
                <w:rStyle w:val="IndexLink"/>
                <w:rtl w:val="true"/>
              </w:rPr>
              <w:t>الدليل الشرعي غير اللفظي</w:t>
            </w:r>
            <w:r>
              <w:rPr>
                <w:rStyle w:val="IndexLink"/>
                <w:rtl w:val="true"/>
              </w:rPr>
              <w:tab/>
            </w:r>
            <w:r>
              <w:rPr>
                <w:rStyle w:val="IndexLink"/>
              </w:rPr>
              <w:t>336</w:t>
            </w:r>
          </w:hyperlink>
        </w:p>
        <w:p>
          <w:pPr>
            <w:pStyle w:val="Contents6"/>
            <w:tabs>
              <w:tab w:val="clear" w:pos="7609"/>
              <w:tab w:val="right" w:pos="9026" w:leader="dot"/>
            </w:tabs>
            <w:rPr/>
          </w:pPr>
          <w:hyperlink w:anchor="__RefHeading___Toc8193263_1051229030">
            <w:r>
              <w:rPr>
                <w:webHidden/>
                <w:rStyle w:val="IndexLink"/>
                <w:rtl w:val="true"/>
              </w:rPr>
              <w:t>اشارة</w:t>
            </w:r>
            <w:r>
              <w:rPr>
                <w:rStyle w:val="IndexLink"/>
                <w:rtl w:val="true"/>
              </w:rPr>
              <w:tab/>
            </w:r>
            <w:r>
              <w:rPr>
                <w:rStyle w:val="IndexLink"/>
              </w:rPr>
              <w:t>336</w:t>
            </w:r>
          </w:hyperlink>
        </w:p>
        <w:p>
          <w:pPr>
            <w:pStyle w:val="Contents6"/>
            <w:tabs>
              <w:tab w:val="clear" w:pos="7609"/>
              <w:tab w:val="right" w:pos="9026" w:leader="dot"/>
            </w:tabs>
            <w:rPr/>
          </w:pPr>
          <w:hyperlink w:anchor="__RefHeading___Toc8193265_1051229030">
            <w:r>
              <w:rPr>
                <w:webHidden/>
                <w:rStyle w:val="IndexLink"/>
                <w:rtl w:val="true"/>
              </w:rPr>
              <w:t>المسألة الأولى</w:t>
            </w:r>
            <w:r>
              <w:rPr>
                <w:rStyle w:val="IndexLink"/>
                <w:rtl w:val="true"/>
              </w:rPr>
              <w:t xml:space="preserve">: </w:t>
            </w:r>
            <w:r>
              <w:rPr>
                <w:rStyle w:val="IndexLink"/>
                <w:rtl w:val="true"/>
              </w:rPr>
              <w:t>اتصال السيرة بزمن المعصوم</w:t>
            </w:r>
            <w:r>
              <w:rPr>
                <w:rStyle w:val="IndexLink"/>
                <w:rtl w:val="true"/>
              </w:rPr>
              <w:t>.</w:t>
              <w:tab/>
            </w:r>
            <w:r>
              <w:rPr>
                <w:rStyle w:val="IndexLink"/>
              </w:rPr>
              <w:t>337</w:t>
            </w:r>
          </w:hyperlink>
        </w:p>
        <w:p>
          <w:pPr>
            <w:pStyle w:val="Contents6"/>
            <w:tabs>
              <w:tab w:val="clear" w:pos="7609"/>
              <w:tab w:val="right" w:pos="9026" w:leader="dot"/>
            </w:tabs>
            <w:rPr/>
          </w:pPr>
          <w:hyperlink w:anchor="__RefHeading___Toc8193267_1051229030">
            <w:r>
              <w:rPr>
                <w:webHidden/>
                <w:rStyle w:val="IndexLink"/>
                <w:rtl w:val="true"/>
              </w:rPr>
              <w:t>المسألة الثانية</w:t>
            </w:r>
            <w:r>
              <w:rPr>
                <w:rStyle w:val="IndexLink"/>
                <w:rtl w:val="true"/>
              </w:rPr>
              <w:t xml:space="preserve">: </w:t>
            </w:r>
            <w:r>
              <w:rPr>
                <w:rStyle w:val="IndexLink"/>
                <w:rtl w:val="true"/>
              </w:rPr>
              <w:t>قيام سيرة المتشرعة على المرجوح احيانًا</w:t>
            </w:r>
            <w:r>
              <w:rPr>
                <w:rStyle w:val="IndexLink"/>
                <w:rtl w:val="true"/>
              </w:rPr>
              <w:t>.</w:t>
              <w:tab/>
            </w:r>
            <w:r>
              <w:rPr>
                <w:rStyle w:val="IndexLink"/>
              </w:rPr>
              <w:t>339</w:t>
            </w:r>
          </w:hyperlink>
        </w:p>
        <w:p>
          <w:pPr>
            <w:pStyle w:val="Contents6"/>
            <w:tabs>
              <w:tab w:val="clear" w:pos="7609"/>
              <w:tab w:val="right" w:pos="9026" w:leader="dot"/>
            </w:tabs>
            <w:rPr/>
          </w:pPr>
          <w:hyperlink w:anchor="__RefHeading___Toc8193269_1051229030">
            <w:r>
              <w:rPr>
                <w:webHidden/>
                <w:rStyle w:val="IndexLink"/>
                <w:rtl w:val="true"/>
              </w:rPr>
              <w:t>المسألة الثالثة</w:t>
            </w:r>
            <w:r>
              <w:rPr>
                <w:rStyle w:val="IndexLink"/>
                <w:rtl w:val="true"/>
              </w:rPr>
              <w:t xml:space="preserve">: </w:t>
            </w:r>
            <w:r>
              <w:rPr>
                <w:rStyle w:val="IndexLink"/>
                <w:rtl w:val="true"/>
              </w:rPr>
              <w:t>شرطية الالتفات للحكم الشرعي في حجية السيرة</w:t>
            </w:r>
            <w:r>
              <w:rPr>
                <w:rStyle w:val="IndexLink"/>
                <w:rtl w:val="true"/>
              </w:rPr>
              <w:t>.</w:t>
              <w:tab/>
            </w:r>
            <w:r>
              <w:rPr>
                <w:rStyle w:val="IndexLink"/>
              </w:rPr>
              <w:t>340</w:t>
            </w:r>
          </w:hyperlink>
        </w:p>
        <w:p>
          <w:pPr>
            <w:pStyle w:val="Contents6"/>
            <w:tabs>
              <w:tab w:val="clear" w:pos="7609"/>
              <w:tab w:val="right" w:pos="9026" w:leader="dot"/>
            </w:tabs>
            <w:rPr/>
          </w:pPr>
          <w:hyperlink w:anchor="__RefHeading___Toc8193271_1051229030">
            <w:r>
              <w:rPr>
                <w:webHidden/>
                <w:rStyle w:val="IndexLink"/>
                <w:rtl w:val="true"/>
              </w:rPr>
              <w:t>المسألة الرابعة</w:t>
            </w:r>
            <w:r>
              <w:rPr>
                <w:rStyle w:val="IndexLink"/>
                <w:rtl w:val="true"/>
              </w:rPr>
              <w:t xml:space="preserve">: </w:t>
            </w:r>
            <w:r>
              <w:rPr>
                <w:rStyle w:val="IndexLink"/>
                <w:rtl w:val="true"/>
              </w:rPr>
              <w:t>دلالة فعل المعصوم</w:t>
            </w:r>
            <w:r>
              <w:rPr>
                <w:rStyle w:val="IndexLink"/>
                <w:rtl w:val="true"/>
              </w:rPr>
              <w:t>.</w:t>
              <w:tab/>
            </w:r>
            <w:r>
              <w:rPr>
                <w:rStyle w:val="IndexLink"/>
              </w:rPr>
              <w:t>341</w:t>
            </w:r>
          </w:hyperlink>
        </w:p>
        <w:p>
          <w:pPr>
            <w:pStyle w:val="Contents5"/>
            <w:tabs>
              <w:tab w:val="clear" w:pos="7892"/>
              <w:tab w:val="right" w:pos="9026" w:leader="dot"/>
            </w:tabs>
            <w:rPr/>
          </w:pPr>
          <w:hyperlink w:anchor="__RefHeading___Toc8193273_1051229030">
            <w:r>
              <w:rPr>
                <w:webHidden/>
                <w:rStyle w:val="IndexLink"/>
                <w:rtl w:val="true"/>
              </w:rPr>
              <w:t>إثبات صدور الدليل الشرعي</w:t>
            </w:r>
            <w:r>
              <w:rPr>
                <w:rStyle w:val="IndexLink"/>
                <w:rtl w:val="true"/>
              </w:rPr>
              <w:tab/>
            </w:r>
            <w:r>
              <w:rPr>
                <w:rStyle w:val="IndexLink"/>
              </w:rPr>
              <w:t>343</w:t>
            </w:r>
          </w:hyperlink>
        </w:p>
        <w:p>
          <w:pPr>
            <w:pStyle w:val="Contents6"/>
            <w:tabs>
              <w:tab w:val="clear" w:pos="7609"/>
              <w:tab w:val="right" w:pos="9026" w:leader="dot"/>
            </w:tabs>
            <w:rPr/>
          </w:pPr>
          <w:hyperlink w:anchor="__RefHeading___Toc8193275_1051229030">
            <w:r>
              <w:rPr>
                <w:webHidden/>
                <w:rStyle w:val="IndexLink"/>
                <w:rtl w:val="true"/>
              </w:rPr>
              <w:t>اشارة</w:t>
            </w:r>
            <w:r>
              <w:rPr>
                <w:rStyle w:val="IndexLink"/>
                <w:rtl w:val="true"/>
              </w:rPr>
              <w:tab/>
            </w:r>
            <w:r>
              <w:rPr>
                <w:rStyle w:val="IndexLink"/>
              </w:rPr>
              <w:t>343</w:t>
            </w:r>
          </w:hyperlink>
        </w:p>
        <w:p>
          <w:pPr>
            <w:pStyle w:val="Contents6"/>
            <w:tabs>
              <w:tab w:val="clear" w:pos="7609"/>
              <w:tab w:val="right" w:pos="9026" w:leader="dot"/>
            </w:tabs>
            <w:rPr/>
          </w:pPr>
          <w:hyperlink w:anchor="__RefHeading___Toc8193277_1051229030">
            <w:r>
              <w:rPr>
                <w:webHidden/>
                <w:rStyle w:val="IndexLink"/>
                <w:rtl w:val="true"/>
              </w:rPr>
              <w:t>المسألة الأولى</w:t>
            </w:r>
            <w:r>
              <w:rPr>
                <w:rStyle w:val="IndexLink"/>
                <w:rtl w:val="true"/>
              </w:rPr>
              <w:t xml:space="preserve">: </w:t>
            </w:r>
            <w:r>
              <w:rPr>
                <w:rStyle w:val="IndexLink"/>
                <w:rtl w:val="true"/>
              </w:rPr>
              <w:t>حجية خبر الواحد بدلالة السيرة</w:t>
            </w:r>
            <w:r>
              <w:rPr>
                <w:rStyle w:val="IndexLink"/>
                <w:rtl w:val="true"/>
              </w:rPr>
              <w:t>.</w:t>
              <w:tab/>
            </w:r>
            <w:r>
              <w:rPr>
                <w:rStyle w:val="IndexLink"/>
              </w:rPr>
              <w:t>344</w:t>
            </w:r>
          </w:hyperlink>
        </w:p>
        <w:p>
          <w:pPr>
            <w:pStyle w:val="Contents6"/>
            <w:tabs>
              <w:tab w:val="clear" w:pos="7609"/>
              <w:tab w:val="right" w:pos="9026" w:leader="dot"/>
            </w:tabs>
            <w:rPr/>
          </w:pPr>
          <w:hyperlink w:anchor="__RefHeading___Toc8193279_1051229030">
            <w:r>
              <w:rPr>
                <w:webHidden/>
                <w:rStyle w:val="IndexLink"/>
                <w:rtl w:val="true"/>
              </w:rPr>
              <w:t>المسألة الثانية</w:t>
            </w:r>
            <w:r>
              <w:rPr>
                <w:rStyle w:val="IndexLink"/>
                <w:rtl w:val="true"/>
              </w:rPr>
              <w:t xml:space="preserve">: </w:t>
            </w:r>
            <w:r>
              <w:rPr>
                <w:rStyle w:val="IndexLink"/>
                <w:rtl w:val="true"/>
              </w:rPr>
              <w:t>حجية خبر الثقة في الاحكام والموضوعات</w:t>
            </w:r>
            <w:r>
              <w:rPr>
                <w:rStyle w:val="IndexLink"/>
                <w:rtl w:val="true"/>
              </w:rPr>
              <w:t>.</w:t>
              <w:tab/>
            </w:r>
            <w:r>
              <w:rPr>
                <w:rStyle w:val="IndexLink"/>
              </w:rPr>
              <w:t>345</w:t>
            </w:r>
          </w:hyperlink>
        </w:p>
        <w:p>
          <w:pPr>
            <w:pStyle w:val="Contents6"/>
            <w:tabs>
              <w:tab w:val="clear" w:pos="7609"/>
              <w:tab w:val="right" w:pos="9026" w:leader="dot"/>
            </w:tabs>
            <w:rPr/>
          </w:pPr>
          <w:hyperlink w:anchor="__RefHeading___Toc8193281_1051229030">
            <w:r>
              <w:rPr>
                <w:webHidden/>
                <w:rStyle w:val="IndexLink"/>
                <w:rtl w:val="true"/>
              </w:rPr>
              <w:t>المسألة الثالثة</w:t>
            </w:r>
            <w:r>
              <w:rPr>
                <w:rStyle w:val="IndexLink"/>
                <w:rtl w:val="true"/>
              </w:rPr>
              <w:t xml:space="preserve">: </w:t>
            </w:r>
            <w:r>
              <w:rPr>
                <w:rStyle w:val="IndexLink"/>
                <w:rtl w:val="true"/>
              </w:rPr>
              <w:t>الاطمئنان بالصدور</w:t>
            </w:r>
            <w:r>
              <w:rPr>
                <w:rStyle w:val="IndexLink"/>
                <w:rtl w:val="true"/>
              </w:rPr>
              <w:t>.</w:t>
              <w:tab/>
            </w:r>
            <w:r>
              <w:rPr>
                <w:rStyle w:val="IndexLink"/>
              </w:rPr>
              <w:t>346</w:t>
            </w:r>
          </w:hyperlink>
        </w:p>
        <w:p>
          <w:pPr>
            <w:pStyle w:val="Contents6"/>
            <w:tabs>
              <w:tab w:val="clear" w:pos="7609"/>
              <w:tab w:val="right" w:pos="9026" w:leader="dot"/>
            </w:tabs>
            <w:rPr/>
          </w:pPr>
          <w:hyperlink w:anchor="__RefHeading___Toc8193283_1051229030">
            <w:r>
              <w:rPr>
                <w:webHidden/>
                <w:rStyle w:val="IndexLink"/>
                <w:rtl w:val="true"/>
              </w:rPr>
              <w:t>المسألة الرابعة</w:t>
            </w:r>
            <w:r>
              <w:rPr>
                <w:rStyle w:val="IndexLink"/>
                <w:rtl w:val="true"/>
              </w:rPr>
              <w:t xml:space="preserve">: </w:t>
            </w:r>
            <w:r>
              <w:rPr>
                <w:rStyle w:val="IndexLink"/>
                <w:rtl w:val="true"/>
              </w:rPr>
              <w:t>دور الاستفاضة في اثبات الصدور</w:t>
            </w:r>
            <w:r>
              <w:rPr>
                <w:rStyle w:val="IndexLink"/>
                <w:rtl w:val="true"/>
              </w:rPr>
              <w:t>.</w:t>
              <w:tab/>
            </w:r>
            <w:r>
              <w:rPr>
                <w:rStyle w:val="IndexLink"/>
              </w:rPr>
              <w:t>347</w:t>
            </w:r>
          </w:hyperlink>
        </w:p>
        <w:p>
          <w:pPr>
            <w:pStyle w:val="Contents6"/>
            <w:tabs>
              <w:tab w:val="clear" w:pos="7609"/>
              <w:tab w:val="right" w:pos="9026" w:leader="dot"/>
            </w:tabs>
            <w:rPr/>
          </w:pPr>
          <w:hyperlink w:anchor="__RefHeading___Toc8193285_1051229030">
            <w:r>
              <w:rPr>
                <w:webHidden/>
                <w:rStyle w:val="IndexLink"/>
                <w:rtl w:val="true"/>
              </w:rPr>
              <w:t>المسألة الخامسة</w:t>
            </w:r>
            <w:r>
              <w:rPr>
                <w:rStyle w:val="IndexLink"/>
                <w:rtl w:val="true"/>
              </w:rPr>
              <w:t xml:space="preserve">: </w:t>
            </w:r>
            <w:r>
              <w:rPr>
                <w:rStyle w:val="IndexLink"/>
                <w:rtl w:val="true"/>
              </w:rPr>
              <w:t>تاثير إعراض الاصحاب على حجية الخبر</w:t>
            </w:r>
            <w:r>
              <w:rPr>
                <w:rStyle w:val="IndexLink"/>
                <w:rtl w:val="true"/>
              </w:rPr>
              <w:t>.</w:t>
              <w:tab/>
            </w:r>
            <w:r>
              <w:rPr>
                <w:rStyle w:val="IndexLink"/>
              </w:rPr>
              <w:t>348</w:t>
            </w:r>
          </w:hyperlink>
        </w:p>
        <w:p>
          <w:pPr>
            <w:pStyle w:val="Contents6"/>
            <w:tabs>
              <w:tab w:val="clear" w:pos="7609"/>
              <w:tab w:val="right" w:pos="9026" w:leader="dot"/>
            </w:tabs>
            <w:rPr/>
          </w:pPr>
          <w:hyperlink w:anchor="__RefHeading___Toc8193287_1051229030">
            <w:r>
              <w:rPr>
                <w:webHidden/>
                <w:rStyle w:val="IndexLink"/>
                <w:rtl w:val="true"/>
              </w:rPr>
              <w:t>المسألة السادسة</w:t>
            </w:r>
            <w:r>
              <w:rPr>
                <w:rStyle w:val="IndexLink"/>
                <w:rtl w:val="true"/>
              </w:rPr>
              <w:t xml:space="preserve">: </w:t>
            </w:r>
            <w:r>
              <w:rPr>
                <w:rStyle w:val="IndexLink"/>
                <w:rtl w:val="true"/>
              </w:rPr>
              <w:t>التفريق بين الإعراض وعدم العمل بالظاهر</w:t>
            </w:r>
            <w:r>
              <w:rPr>
                <w:rStyle w:val="IndexLink"/>
                <w:rtl w:val="true"/>
              </w:rPr>
              <w:t>.</w:t>
              <w:tab/>
            </w:r>
            <w:r>
              <w:rPr>
                <w:rStyle w:val="IndexLink"/>
              </w:rPr>
              <w:t>350</w:t>
            </w:r>
          </w:hyperlink>
        </w:p>
        <w:p>
          <w:pPr>
            <w:pStyle w:val="Contents6"/>
            <w:tabs>
              <w:tab w:val="clear" w:pos="7609"/>
              <w:tab w:val="right" w:pos="9026" w:leader="dot"/>
            </w:tabs>
            <w:rPr/>
          </w:pPr>
          <w:hyperlink w:anchor="__RefHeading___Toc8193289_1051229030">
            <w:r>
              <w:rPr>
                <w:webHidden/>
                <w:rStyle w:val="IndexLink"/>
                <w:rtl w:val="true"/>
              </w:rPr>
              <w:t>المسألة السابعة</w:t>
            </w:r>
            <w:r>
              <w:rPr>
                <w:rStyle w:val="IndexLink"/>
                <w:rtl w:val="true"/>
              </w:rPr>
              <w:t xml:space="preserve">: </w:t>
            </w:r>
            <w:r>
              <w:rPr>
                <w:rStyle w:val="IndexLink"/>
                <w:rtl w:val="true"/>
              </w:rPr>
              <w:t>الشهرة لا تجبر ضعف السند</w:t>
            </w:r>
            <w:r>
              <w:rPr>
                <w:rStyle w:val="IndexLink"/>
                <w:rtl w:val="true"/>
              </w:rPr>
              <w:t>.</w:t>
              <w:tab/>
            </w:r>
            <w:r>
              <w:rPr>
                <w:rStyle w:val="IndexLink"/>
              </w:rPr>
              <w:t>351</w:t>
            </w:r>
          </w:hyperlink>
        </w:p>
        <w:p>
          <w:pPr>
            <w:pStyle w:val="Contents6"/>
            <w:tabs>
              <w:tab w:val="clear" w:pos="7609"/>
              <w:tab w:val="right" w:pos="9026" w:leader="dot"/>
            </w:tabs>
            <w:rPr/>
          </w:pPr>
          <w:hyperlink w:anchor="__RefHeading___Toc8193291_1051229030">
            <w:r>
              <w:rPr>
                <w:webHidden/>
                <w:rStyle w:val="IndexLink"/>
                <w:rtl w:val="true"/>
              </w:rPr>
              <w:t>المسألة الثامنة</w:t>
            </w:r>
            <w:r>
              <w:rPr>
                <w:rStyle w:val="IndexLink"/>
                <w:rtl w:val="true"/>
              </w:rPr>
              <w:t xml:space="preserve">: </w:t>
            </w:r>
            <w:r>
              <w:rPr>
                <w:rStyle w:val="IndexLink"/>
                <w:rtl w:val="true"/>
              </w:rPr>
              <w:t>الشهرة الجابرة لضعف السند</w:t>
            </w:r>
            <w:r>
              <w:rPr>
                <w:rStyle w:val="IndexLink"/>
                <w:rtl w:val="true"/>
              </w:rPr>
              <w:t>.</w:t>
              <w:tab/>
            </w:r>
            <w:r>
              <w:rPr>
                <w:rStyle w:val="IndexLink"/>
              </w:rPr>
              <w:t>353</w:t>
            </w:r>
          </w:hyperlink>
        </w:p>
        <w:p>
          <w:pPr>
            <w:pStyle w:val="Contents5"/>
            <w:tabs>
              <w:tab w:val="clear" w:pos="7892"/>
              <w:tab w:val="right" w:pos="9026" w:leader="dot"/>
            </w:tabs>
            <w:rPr/>
          </w:pPr>
          <w:hyperlink w:anchor="__RefHeading___Toc8193293_1051229030">
            <w:r>
              <w:rPr>
                <w:webHidden/>
                <w:rStyle w:val="IndexLink"/>
                <w:rtl w:val="true"/>
              </w:rPr>
              <w:t>الظهور</w:t>
            </w:r>
            <w:r>
              <w:rPr>
                <w:rStyle w:val="IndexLink"/>
                <w:rtl w:val="true"/>
              </w:rPr>
              <w:tab/>
            </w:r>
            <w:r>
              <w:rPr>
                <w:rStyle w:val="IndexLink"/>
              </w:rPr>
              <w:t>354</w:t>
            </w:r>
          </w:hyperlink>
        </w:p>
        <w:p>
          <w:pPr>
            <w:pStyle w:val="Contents6"/>
            <w:tabs>
              <w:tab w:val="clear" w:pos="7609"/>
              <w:tab w:val="right" w:pos="9026" w:leader="dot"/>
            </w:tabs>
            <w:rPr/>
          </w:pPr>
          <w:hyperlink w:anchor="__RefHeading___Toc8193295_1051229030">
            <w:r>
              <w:rPr>
                <w:webHidden/>
                <w:rStyle w:val="IndexLink"/>
                <w:rtl w:val="true"/>
              </w:rPr>
              <w:t>اشارة</w:t>
            </w:r>
            <w:r>
              <w:rPr>
                <w:rStyle w:val="IndexLink"/>
                <w:rtl w:val="true"/>
              </w:rPr>
              <w:tab/>
            </w:r>
            <w:r>
              <w:rPr>
                <w:rStyle w:val="IndexLink"/>
              </w:rPr>
              <w:t>354</w:t>
            </w:r>
          </w:hyperlink>
        </w:p>
        <w:p>
          <w:pPr>
            <w:pStyle w:val="Contents6"/>
            <w:tabs>
              <w:tab w:val="clear" w:pos="7609"/>
              <w:tab w:val="right" w:pos="9026" w:leader="dot"/>
            </w:tabs>
            <w:rPr/>
          </w:pPr>
          <w:hyperlink w:anchor="__RefHeading___Toc8193297_1051229030">
            <w:r>
              <w:rPr>
                <w:webHidden/>
                <w:rStyle w:val="IndexLink"/>
                <w:rtl w:val="true"/>
              </w:rPr>
              <w:t>المسألة الأولى</w:t>
            </w:r>
            <w:r>
              <w:rPr>
                <w:rStyle w:val="IndexLink"/>
                <w:rtl w:val="true"/>
              </w:rPr>
              <w:t xml:space="preserve">: </w:t>
            </w:r>
            <w:r>
              <w:rPr>
                <w:rStyle w:val="IndexLink"/>
                <w:rtl w:val="true"/>
              </w:rPr>
              <w:t>ظهور عصر النص هو الحجة</w:t>
            </w:r>
            <w:r>
              <w:rPr>
                <w:rStyle w:val="IndexLink"/>
                <w:rtl w:val="true"/>
              </w:rPr>
              <w:t>.</w:t>
              <w:tab/>
            </w:r>
            <w:r>
              <w:rPr>
                <w:rStyle w:val="IndexLink"/>
              </w:rPr>
              <w:t>355</w:t>
            </w:r>
          </w:hyperlink>
        </w:p>
        <w:p>
          <w:pPr>
            <w:pStyle w:val="Contents6"/>
            <w:tabs>
              <w:tab w:val="clear" w:pos="7609"/>
              <w:tab w:val="right" w:pos="9026" w:leader="dot"/>
            </w:tabs>
            <w:rPr/>
          </w:pPr>
          <w:hyperlink w:anchor="__RefHeading___Toc8193299_1051229030">
            <w:r>
              <w:rPr>
                <w:webHidden/>
                <w:rStyle w:val="IndexLink"/>
                <w:rtl w:val="true"/>
              </w:rPr>
              <w:t>المسألة الثانية</w:t>
            </w:r>
            <w:r>
              <w:rPr>
                <w:rStyle w:val="IndexLink"/>
                <w:rtl w:val="true"/>
              </w:rPr>
              <w:t xml:space="preserve">: </w:t>
            </w:r>
            <w:r>
              <w:rPr>
                <w:rStyle w:val="IndexLink"/>
                <w:rtl w:val="true"/>
              </w:rPr>
              <w:t>دراسة ظروف النص</w:t>
            </w:r>
            <w:r>
              <w:rPr>
                <w:rStyle w:val="IndexLink"/>
                <w:rtl w:val="true"/>
              </w:rPr>
              <w:t>.</w:t>
              <w:tab/>
            </w:r>
            <w:r>
              <w:rPr>
                <w:rStyle w:val="IndexLink"/>
              </w:rPr>
              <w:t>356</w:t>
            </w:r>
          </w:hyperlink>
        </w:p>
        <w:p>
          <w:pPr>
            <w:pStyle w:val="Contents6"/>
            <w:tabs>
              <w:tab w:val="clear" w:pos="7609"/>
              <w:tab w:val="right" w:pos="9026" w:leader="dot"/>
            </w:tabs>
            <w:rPr/>
          </w:pPr>
          <w:hyperlink w:anchor="__RefHeading___Toc8193301_1051229030">
            <w:r>
              <w:rPr>
                <w:webHidden/>
                <w:rStyle w:val="IndexLink"/>
                <w:rtl w:val="true"/>
              </w:rPr>
              <w:t>المسألة الثالثة</w:t>
            </w:r>
            <w:r>
              <w:rPr>
                <w:rStyle w:val="IndexLink"/>
                <w:rtl w:val="true"/>
              </w:rPr>
              <w:t xml:space="preserve">: </w:t>
            </w:r>
            <w:r>
              <w:rPr>
                <w:rStyle w:val="IndexLink"/>
                <w:rtl w:val="true"/>
              </w:rPr>
              <w:t>علاقة الظهور بالمعاني الاصطلاحية</w:t>
            </w:r>
            <w:r>
              <w:rPr>
                <w:rStyle w:val="IndexLink"/>
                <w:rtl w:val="true"/>
              </w:rPr>
              <w:t>.</w:t>
              <w:tab/>
            </w:r>
            <w:r>
              <w:rPr>
                <w:rStyle w:val="IndexLink"/>
              </w:rPr>
              <w:t>358</w:t>
            </w:r>
          </w:hyperlink>
        </w:p>
        <w:p>
          <w:pPr>
            <w:pStyle w:val="Contents6"/>
            <w:tabs>
              <w:tab w:val="clear" w:pos="7609"/>
              <w:tab w:val="right" w:pos="9026" w:leader="dot"/>
            </w:tabs>
            <w:rPr/>
          </w:pPr>
          <w:hyperlink w:anchor="__RefHeading___Toc8193303_1051229030">
            <w:r>
              <w:rPr>
                <w:webHidden/>
                <w:rStyle w:val="IndexLink"/>
                <w:rtl w:val="true"/>
              </w:rPr>
              <w:t>المسألة الرابعة</w:t>
            </w:r>
            <w:r>
              <w:rPr>
                <w:rStyle w:val="IndexLink"/>
                <w:rtl w:val="true"/>
              </w:rPr>
              <w:t xml:space="preserve">: </w:t>
            </w:r>
            <w:r>
              <w:rPr>
                <w:rStyle w:val="IndexLink"/>
                <w:rtl w:val="true"/>
              </w:rPr>
              <w:t>تاثير وحدة السياق في الظهور</w:t>
            </w:r>
            <w:r>
              <w:rPr>
                <w:rStyle w:val="IndexLink"/>
                <w:rtl w:val="true"/>
              </w:rPr>
              <w:t>.</w:t>
              <w:tab/>
            </w:r>
            <w:r>
              <w:rPr>
                <w:rStyle w:val="IndexLink"/>
              </w:rPr>
              <w:t>359</w:t>
            </w:r>
          </w:hyperlink>
        </w:p>
        <w:p>
          <w:pPr>
            <w:pStyle w:val="Contents6"/>
            <w:tabs>
              <w:tab w:val="clear" w:pos="7609"/>
              <w:tab w:val="right" w:pos="9026" w:leader="dot"/>
            </w:tabs>
            <w:rPr/>
          </w:pPr>
          <w:hyperlink w:anchor="__RefHeading___Toc8193305_1051229030">
            <w:r>
              <w:rPr>
                <w:webHidden/>
                <w:rStyle w:val="IndexLink"/>
                <w:rtl w:val="true"/>
              </w:rPr>
              <w:t>المسألة الخامسة</w:t>
            </w:r>
            <w:r>
              <w:rPr>
                <w:rStyle w:val="IndexLink"/>
                <w:rtl w:val="true"/>
              </w:rPr>
              <w:t xml:space="preserve">: </w:t>
            </w:r>
            <w:r>
              <w:rPr>
                <w:rStyle w:val="IndexLink"/>
                <w:rtl w:val="true"/>
              </w:rPr>
              <w:t>ظهور الاستشهاد بالكبرى</w:t>
            </w:r>
            <w:r>
              <w:rPr>
                <w:rStyle w:val="IndexLink"/>
                <w:rtl w:val="true"/>
              </w:rPr>
              <w:t>.</w:t>
              <w:tab/>
            </w:r>
            <w:r>
              <w:rPr>
                <w:rStyle w:val="IndexLink"/>
              </w:rPr>
              <w:t>360</w:t>
            </w:r>
          </w:hyperlink>
        </w:p>
        <w:p>
          <w:pPr>
            <w:pStyle w:val="Contents6"/>
            <w:tabs>
              <w:tab w:val="clear" w:pos="7609"/>
              <w:tab w:val="right" w:pos="9026" w:leader="dot"/>
            </w:tabs>
            <w:rPr/>
          </w:pPr>
          <w:hyperlink w:anchor="__RefHeading___Toc8193307_1051229030">
            <w:r>
              <w:rPr>
                <w:webHidden/>
                <w:rStyle w:val="IndexLink"/>
                <w:rtl w:val="true"/>
              </w:rPr>
              <w:t>المسألة السادسة</w:t>
            </w:r>
            <w:r>
              <w:rPr>
                <w:rStyle w:val="IndexLink"/>
                <w:rtl w:val="true"/>
              </w:rPr>
              <w:t xml:space="preserve">: </w:t>
            </w:r>
            <w:r>
              <w:rPr>
                <w:rStyle w:val="IndexLink"/>
                <w:rtl w:val="true"/>
              </w:rPr>
              <w:t>الاحتمال والاجمال</w:t>
            </w:r>
            <w:r>
              <w:rPr>
                <w:rStyle w:val="IndexLink"/>
                <w:rtl w:val="true"/>
              </w:rPr>
              <w:t>.</w:t>
              <w:tab/>
            </w:r>
            <w:r>
              <w:rPr>
                <w:rStyle w:val="IndexLink"/>
              </w:rPr>
              <w:t>361</w:t>
            </w:r>
          </w:hyperlink>
        </w:p>
        <w:p>
          <w:pPr>
            <w:pStyle w:val="Contents6"/>
            <w:tabs>
              <w:tab w:val="clear" w:pos="7609"/>
              <w:tab w:val="right" w:pos="9026" w:leader="dot"/>
            </w:tabs>
            <w:rPr/>
          </w:pPr>
          <w:hyperlink w:anchor="__RefHeading___Toc8193309_1051229030">
            <w:r>
              <w:rPr>
                <w:webHidden/>
                <w:rStyle w:val="IndexLink"/>
                <w:rtl w:val="true"/>
              </w:rPr>
              <w:t>المسألة السابعة</w:t>
            </w:r>
            <w:r>
              <w:rPr>
                <w:rStyle w:val="IndexLink"/>
                <w:rtl w:val="true"/>
              </w:rPr>
              <w:t xml:space="preserve">: </w:t>
            </w:r>
            <w:r>
              <w:rPr>
                <w:rStyle w:val="IndexLink"/>
                <w:rtl w:val="true"/>
              </w:rPr>
              <w:t>مورد أصالة الحقيقة</w:t>
            </w:r>
            <w:r>
              <w:rPr>
                <w:rStyle w:val="IndexLink"/>
                <w:rtl w:val="true"/>
              </w:rPr>
              <w:t>.</w:t>
              <w:tab/>
            </w:r>
            <w:r>
              <w:rPr>
                <w:rStyle w:val="IndexLink"/>
              </w:rPr>
              <w:t>363</w:t>
            </w:r>
          </w:hyperlink>
        </w:p>
        <w:p>
          <w:pPr>
            <w:pStyle w:val="Contents6"/>
            <w:tabs>
              <w:tab w:val="clear" w:pos="7609"/>
              <w:tab w:val="right" w:pos="9026" w:leader="dot"/>
            </w:tabs>
            <w:rPr/>
          </w:pPr>
          <w:hyperlink w:anchor="__RefHeading___Toc8193311_1051229030">
            <w:r>
              <w:rPr>
                <w:webHidden/>
                <w:rStyle w:val="IndexLink"/>
                <w:rtl w:val="true"/>
              </w:rPr>
              <w:t>المسألة الثامنة</w:t>
            </w:r>
            <w:r>
              <w:rPr>
                <w:rStyle w:val="IndexLink"/>
                <w:rtl w:val="true"/>
              </w:rPr>
              <w:t xml:space="preserve">: </w:t>
            </w:r>
            <w:r>
              <w:rPr>
                <w:rStyle w:val="IndexLink"/>
                <w:rtl w:val="true"/>
              </w:rPr>
              <w:t>ظهور الألفاظ في مفاهيمها لا في مصاديقها</w:t>
            </w:r>
            <w:r>
              <w:rPr>
                <w:rStyle w:val="IndexLink"/>
                <w:rtl w:val="true"/>
              </w:rPr>
              <w:t>.</w:t>
              <w:tab/>
            </w:r>
            <w:r>
              <w:rPr>
                <w:rStyle w:val="IndexLink"/>
              </w:rPr>
              <w:t>364</w:t>
            </w:r>
          </w:hyperlink>
        </w:p>
        <w:p>
          <w:pPr>
            <w:pStyle w:val="Contents6"/>
            <w:tabs>
              <w:tab w:val="clear" w:pos="7609"/>
              <w:tab w:val="right" w:pos="9026" w:leader="dot"/>
            </w:tabs>
            <w:rPr/>
          </w:pPr>
          <w:hyperlink w:anchor="__RefHeading___Toc8193313_1051229030">
            <w:r>
              <w:rPr>
                <w:webHidden/>
                <w:rStyle w:val="IndexLink"/>
                <w:rtl w:val="true"/>
              </w:rPr>
              <w:t>المسألة التاسعة</w:t>
            </w:r>
            <w:r>
              <w:rPr>
                <w:rStyle w:val="IndexLink"/>
                <w:rtl w:val="true"/>
              </w:rPr>
              <w:t xml:space="preserve">: </w:t>
            </w:r>
            <w:r>
              <w:rPr>
                <w:rStyle w:val="IndexLink"/>
                <w:rtl w:val="true"/>
              </w:rPr>
              <w:t>مرجعية العرف في ظهور الألفاظ</w:t>
            </w:r>
            <w:r>
              <w:rPr>
                <w:rStyle w:val="IndexLink"/>
                <w:rtl w:val="true"/>
              </w:rPr>
              <w:t>.</w:t>
              <w:tab/>
            </w:r>
            <w:r>
              <w:rPr>
                <w:rStyle w:val="IndexLink"/>
              </w:rPr>
              <w:t>365</w:t>
            </w:r>
          </w:hyperlink>
        </w:p>
        <w:p>
          <w:pPr>
            <w:pStyle w:val="Contents6"/>
            <w:tabs>
              <w:tab w:val="clear" w:pos="7609"/>
              <w:tab w:val="right" w:pos="9026" w:leader="dot"/>
            </w:tabs>
            <w:rPr/>
          </w:pPr>
          <w:hyperlink w:anchor="__RefHeading___Toc8193315_1051229030">
            <w:r>
              <w:rPr>
                <w:webHidden/>
                <w:rStyle w:val="IndexLink"/>
                <w:rtl w:val="true"/>
              </w:rPr>
              <w:t>المسألة العاشرة</w:t>
            </w:r>
            <w:r>
              <w:rPr>
                <w:rStyle w:val="IndexLink"/>
                <w:rtl w:val="true"/>
              </w:rPr>
              <w:t xml:space="preserve">: </w:t>
            </w:r>
            <w:r>
              <w:rPr>
                <w:rStyle w:val="IndexLink"/>
                <w:rtl w:val="true"/>
              </w:rPr>
              <w:t>تأويل الظهور لمانع ثبوتي</w:t>
            </w:r>
            <w:r>
              <w:rPr>
                <w:rStyle w:val="IndexLink"/>
                <w:rtl w:val="true"/>
              </w:rPr>
              <w:t>.</w:t>
              <w:tab/>
            </w:r>
            <w:r>
              <w:rPr>
                <w:rStyle w:val="IndexLink"/>
              </w:rPr>
              <w:t>366</w:t>
            </w:r>
          </w:hyperlink>
        </w:p>
        <w:p>
          <w:pPr>
            <w:pStyle w:val="Contents6"/>
            <w:tabs>
              <w:tab w:val="clear" w:pos="7609"/>
              <w:tab w:val="right" w:pos="9026" w:leader="dot"/>
            </w:tabs>
            <w:rPr/>
          </w:pPr>
          <w:hyperlink w:anchor="__RefHeading___Toc8193317_1051229030">
            <w:r>
              <w:rPr>
                <w:webHidden/>
                <w:rStyle w:val="IndexLink"/>
                <w:rtl w:val="true"/>
              </w:rPr>
              <w:t>المسألة الحادية عشرة</w:t>
            </w:r>
            <w:r>
              <w:rPr>
                <w:rStyle w:val="IndexLink"/>
                <w:rtl w:val="true"/>
              </w:rPr>
              <w:t xml:space="preserve">: </w:t>
            </w:r>
            <w:r>
              <w:rPr>
                <w:rStyle w:val="IndexLink"/>
                <w:rtl w:val="true"/>
              </w:rPr>
              <w:t>الزيادة والنقيصة</w:t>
            </w:r>
            <w:r>
              <w:rPr>
                <w:rStyle w:val="IndexLink"/>
                <w:rtl w:val="true"/>
              </w:rPr>
              <w:t>.</w:t>
              <w:tab/>
            </w:r>
            <w:r>
              <w:rPr>
                <w:rStyle w:val="IndexLink"/>
              </w:rPr>
              <w:t>371</w:t>
            </w:r>
          </w:hyperlink>
        </w:p>
        <w:p>
          <w:pPr>
            <w:pStyle w:val="Contents5"/>
            <w:tabs>
              <w:tab w:val="clear" w:pos="7892"/>
              <w:tab w:val="right" w:pos="9026" w:leader="dot"/>
            </w:tabs>
            <w:rPr/>
          </w:pPr>
          <w:hyperlink w:anchor="__RefHeading___Toc8193319_1051229030">
            <w:r>
              <w:rPr>
                <w:webHidden/>
                <w:rStyle w:val="IndexLink"/>
                <w:rtl w:val="true"/>
              </w:rPr>
              <w:t>الدليل المحرز غير الشرعي</w:t>
            </w:r>
            <w:r>
              <w:rPr>
                <w:rStyle w:val="IndexLink"/>
                <w:rtl w:val="true"/>
              </w:rPr>
              <w:tab/>
            </w:r>
            <w:r>
              <w:rPr>
                <w:rStyle w:val="IndexLink"/>
              </w:rPr>
              <w:t>373</w:t>
            </w:r>
          </w:hyperlink>
        </w:p>
        <w:p>
          <w:pPr>
            <w:pStyle w:val="Contents5"/>
            <w:tabs>
              <w:tab w:val="clear" w:pos="7892"/>
              <w:tab w:val="right" w:pos="9026" w:leader="dot"/>
            </w:tabs>
            <w:rPr/>
          </w:pPr>
          <w:hyperlink w:anchor="__RefHeading___Toc8193321_1051229030">
            <w:r>
              <w:rPr>
                <w:webHidden/>
                <w:rStyle w:val="IndexLink"/>
                <w:rtl w:val="true"/>
              </w:rPr>
              <w:t>الإجماع والشهرة</w:t>
            </w:r>
            <w:r>
              <w:rPr>
                <w:rStyle w:val="IndexLink"/>
                <w:rtl w:val="true"/>
              </w:rPr>
              <w:tab/>
            </w:r>
            <w:r>
              <w:rPr>
                <w:rStyle w:val="IndexLink"/>
              </w:rPr>
              <w:t>374</w:t>
            </w:r>
          </w:hyperlink>
        </w:p>
        <w:p>
          <w:pPr>
            <w:pStyle w:val="Contents6"/>
            <w:tabs>
              <w:tab w:val="clear" w:pos="7609"/>
              <w:tab w:val="right" w:pos="9026" w:leader="dot"/>
            </w:tabs>
            <w:rPr/>
          </w:pPr>
          <w:hyperlink w:anchor="__RefHeading___Toc8193323_1051229030">
            <w:r>
              <w:rPr>
                <w:webHidden/>
                <w:rStyle w:val="IndexLink"/>
                <w:rtl w:val="true"/>
              </w:rPr>
              <w:t>اشارة</w:t>
            </w:r>
            <w:r>
              <w:rPr>
                <w:rStyle w:val="IndexLink"/>
                <w:rtl w:val="true"/>
              </w:rPr>
              <w:tab/>
            </w:r>
            <w:r>
              <w:rPr>
                <w:rStyle w:val="IndexLink"/>
              </w:rPr>
              <w:t>374</w:t>
            </w:r>
          </w:hyperlink>
        </w:p>
        <w:p>
          <w:pPr>
            <w:pStyle w:val="Contents6"/>
            <w:tabs>
              <w:tab w:val="clear" w:pos="7609"/>
              <w:tab w:val="right" w:pos="9026" w:leader="dot"/>
            </w:tabs>
            <w:rPr/>
          </w:pPr>
          <w:hyperlink w:anchor="__RefHeading___Toc8193325_1051229030">
            <w:r>
              <w:rPr>
                <w:webHidden/>
                <w:rStyle w:val="IndexLink"/>
                <w:rtl w:val="true"/>
              </w:rPr>
              <w:t>المسألة الاولى</w:t>
            </w:r>
            <w:r>
              <w:rPr>
                <w:rStyle w:val="IndexLink"/>
                <w:rtl w:val="true"/>
              </w:rPr>
              <w:t xml:space="preserve">: </w:t>
            </w:r>
            <w:r>
              <w:rPr>
                <w:rStyle w:val="IndexLink"/>
                <w:rtl w:val="true"/>
              </w:rPr>
              <w:t>الاجماع الحجة</w:t>
            </w:r>
            <w:r>
              <w:rPr>
                <w:rStyle w:val="IndexLink"/>
                <w:rtl w:val="true"/>
              </w:rPr>
              <w:t>.</w:t>
              <w:tab/>
            </w:r>
            <w:r>
              <w:rPr>
                <w:rStyle w:val="IndexLink"/>
              </w:rPr>
              <w:t>375</w:t>
            </w:r>
          </w:hyperlink>
        </w:p>
        <w:p>
          <w:pPr>
            <w:pStyle w:val="Contents6"/>
            <w:tabs>
              <w:tab w:val="clear" w:pos="7609"/>
              <w:tab w:val="right" w:pos="9026" w:leader="dot"/>
            </w:tabs>
            <w:rPr/>
          </w:pPr>
          <w:hyperlink w:anchor="__RefHeading___Toc8193327_1051229030">
            <w:r>
              <w:rPr>
                <w:webHidden/>
                <w:rStyle w:val="IndexLink"/>
                <w:rtl w:val="true"/>
              </w:rPr>
              <w:t>المسألة الثانية</w:t>
            </w:r>
            <w:r>
              <w:rPr>
                <w:rStyle w:val="IndexLink"/>
                <w:rtl w:val="true"/>
              </w:rPr>
              <w:t xml:space="preserve">: </w:t>
            </w:r>
            <w:r>
              <w:rPr>
                <w:rStyle w:val="IndexLink"/>
                <w:rtl w:val="true"/>
              </w:rPr>
              <w:t>الإجماع والشهرة المدركيان</w:t>
            </w:r>
            <w:r>
              <w:rPr>
                <w:rStyle w:val="IndexLink"/>
                <w:rtl w:val="true"/>
              </w:rPr>
              <w:t>.</w:t>
              <w:tab/>
            </w:r>
            <w:r>
              <w:rPr>
                <w:rStyle w:val="IndexLink"/>
              </w:rPr>
              <w:t>375</w:t>
            </w:r>
          </w:hyperlink>
        </w:p>
        <w:p>
          <w:pPr>
            <w:pStyle w:val="Contents6"/>
            <w:tabs>
              <w:tab w:val="clear" w:pos="7609"/>
              <w:tab w:val="right" w:pos="9026" w:leader="dot"/>
            </w:tabs>
            <w:rPr/>
          </w:pPr>
          <w:hyperlink w:anchor="__RefHeading___Toc8193329_1051229030">
            <w:r>
              <w:rPr>
                <w:webHidden/>
                <w:rStyle w:val="IndexLink"/>
                <w:rtl w:val="true"/>
              </w:rPr>
              <w:t>المسألة الثالثة</w:t>
            </w:r>
            <w:r>
              <w:rPr>
                <w:rStyle w:val="IndexLink"/>
                <w:rtl w:val="true"/>
              </w:rPr>
              <w:t xml:space="preserve">: </w:t>
            </w:r>
            <w:r>
              <w:rPr>
                <w:rStyle w:val="IndexLink"/>
                <w:rtl w:val="true"/>
              </w:rPr>
              <w:t>الإجماع والشهرة المدركيان لا يكون منشؤهما رواية ضعيفة</w:t>
            </w:r>
            <w:r>
              <w:rPr>
                <w:rStyle w:val="IndexLink"/>
                <w:rtl w:val="true"/>
              </w:rPr>
              <w:t>.</w:t>
              <w:tab/>
            </w:r>
            <w:r>
              <w:rPr>
                <w:rStyle w:val="IndexLink"/>
              </w:rPr>
              <w:t>376</w:t>
            </w:r>
          </w:hyperlink>
        </w:p>
        <w:p>
          <w:pPr>
            <w:pStyle w:val="Contents6"/>
            <w:tabs>
              <w:tab w:val="clear" w:pos="7609"/>
              <w:tab w:val="right" w:pos="9026" w:leader="dot"/>
            </w:tabs>
            <w:rPr/>
          </w:pPr>
          <w:hyperlink w:anchor="__RefHeading___Toc8193331_1051229030">
            <w:r>
              <w:rPr>
                <w:webHidden/>
                <w:rStyle w:val="IndexLink"/>
                <w:rtl w:val="true"/>
              </w:rPr>
              <w:t>المسألة الرابعة</w:t>
            </w:r>
            <w:r>
              <w:rPr>
                <w:rStyle w:val="IndexLink"/>
                <w:rtl w:val="true"/>
              </w:rPr>
              <w:t xml:space="preserve">: </w:t>
            </w:r>
            <w:r>
              <w:rPr>
                <w:rStyle w:val="IndexLink"/>
                <w:rtl w:val="true"/>
              </w:rPr>
              <w:t>الاجماع الأوسع من النصوص</w:t>
            </w:r>
            <w:r>
              <w:rPr>
                <w:rStyle w:val="IndexLink"/>
                <w:rtl w:val="true"/>
              </w:rPr>
              <w:t>.</w:t>
              <w:tab/>
            </w:r>
            <w:r>
              <w:rPr>
                <w:rStyle w:val="IndexLink"/>
              </w:rPr>
              <w:t>378</w:t>
            </w:r>
          </w:hyperlink>
        </w:p>
        <w:p>
          <w:pPr>
            <w:pStyle w:val="Contents6"/>
            <w:tabs>
              <w:tab w:val="clear" w:pos="7609"/>
              <w:tab w:val="right" w:pos="9026" w:leader="dot"/>
            </w:tabs>
            <w:rPr/>
          </w:pPr>
          <w:hyperlink w:anchor="__RefHeading___Toc8193333_1051229030">
            <w:r>
              <w:rPr>
                <w:webHidden/>
                <w:rStyle w:val="IndexLink"/>
                <w:rtl w:val="true"/>
              </w:rPr>
              <w:t>المسألة الخامسة</w:t>
            </w:r>
            <w:r>
              <w:rPr>
                <w:rStyle w:val="IndexLink"/>
                <w:rtl w:val="true"/>
              </w:rPr>
              <w:t xml:space="preserve">: </w:t>
            </w:r>
            <w:r>
              <w:rPr>
                <w:rStyle w:val="IndexLink"/>
                <w:rtl w:val="true"/>
              </w:rPr>
              <w:t>الاجماع المتأخر عن زمن المعصوم</w:t>
            </w:r>
            <w:r>
              <w:rPr>
                <w:rStyle w:val="IndexLink"/>
                <w:rtl w:val="true"/>
              </w:rPr>
              <w:t>.</w:t>
              <w:tab/>
            </w:r>
            <w:r>
              <w:rPr>
                <w:rStyle w:val="IndexLink"/>
              </w:rPr>
              <w:t>379</w:t>
            </w:r>
          </w:hyperlink>
        </w:p>
        <w:p>
          <w:pPr>
            <w:pStyle w:val="Contents6"/>
            <w:tabs>
              <w:tab w:val="clear" w:pos="7609"/>
              <w:tab w:val="right" w:pos="9026" w:leader="dot"/>
            </w:tabs>
            <w:rPr/>
          </w:pPr>
          <w:hyperlink w:anchor="__RefHeading___Toc8193335_1051229030">
            <w:r>
              <w:rPr>
                <w:webHidden/>
                <w:rStyle w:val="IndexLink"/>
                <w:rtl w:val="true"/>
              </w:rPr>
              <w:t>المسألة السادسة</w:t>
            </w:r>
            <w:r>
              <w:rPr>
                <w:rStyle w:val="IndexLink"/>
                <w:rtl w:val="true"/>
              </w:rPr>
              <w:t xml:space="preserve">: </w:t>
            </w:r>
            <w:r>
              <w:rPr>
                <w:rStyle w:val="IndexLink"/>
                <w:rtl w:val="true"/>
              </w:rPr>
              <w:t>اختلاف أصحاب الائمة</w:t>
            </w:r>
            <w:r>
              <w:rPr>
                <w:rStyle w:val="IndexLink"/>
                <w:rtl w:val="true"/>
              </w:rPr>
              <w:t>.</w:t>
              <w:tab/>
            </w:r>
            <w:r>
              <w:rPr>
                <w:rStyle w:val="IndexLink"/>
              </w:rPr>
              <w:t>380</w:t>
            </w:r>
          </w:hyperlink>
        </w:p>
        <w:p>
          <w:pPr>
            <w:pStyle w:val="Contents6"/>
            <w:tabs>
              <w:tab w:val="clear" w:pos="7609"/>
              <w:tab w:val="right" w:pos="9026" w:leader="dot"/>
            </w:tabs>
            <w:rPr/>
          </w:pPr>
          <w:hyperlink w:anchor="__RefHeading___Toc8193337_1051229030">
            <w:r>
              <w:rPr>
                <w:webHidden/>
                <w:rStyle w:val="IndexLink"/>
                <w:rtl w:val="true"/>
              </w:rPr>
              <w:t>المسألة السابعة</w:t>
            </w:r>
            <w:r>
              <w:rPr>
                <w:rStyle w:val="IndexLink"/>
                <w:rtl w:val="true"/>
              </w:rPr>
              <w:t xml:space="preserve">: </w:t>
            </w:r>
            <w:r>
              <w:rPr>
                <w:rStyle w:val="IndexLink"/>
                <w:rtl w:val="true"/>
              </w:rPr>
              <w:t>الاجماع المركب</w:t>
            </w:r>
            <w:r>
              <w:rPr>
                <w:rStyle w:val="IndexLink"/>
                <w:rtl w:val="true"/>
              </w:rPr>
              <w:t>.</w:t>
              <w:tab/>
            </w:r>
            <w:r>
              <w:rPr>
                <w:rStyle w:val="IndexLink"/>
              </w:rPr>
              <w:t>381</w:t>
            </w:r>
          </w:hyperlink>
        </w:p>
        <w:p>
          <w:pPr>
            <w:pStyle w:val="Contents6"/>
            <w:tabs>
              <w:tab w:val="clear" w:pos="7609"/>
              <w:tab w:val="right" w:pos="9026" w:leader="dot"/>
            </w:tabs>
            <w:rPr/>
          </w:pPr>
          <w:hyperlink w:anchor="__RefHeading___Toc8193339_1051229030">
            <w:r>
              <w:rPr>
                <w:webHidden/>
                <w:rStyle w:val="IndexLink"/>
                <w:rtl w:val="true"/>
              </w:rPr>
              <w:t>المسألة الثامنة</w:t>
            </w:r>
            <w:r>
              <w:rPr>
                <w:rStyle w:val="IndexLink"/>
                <w:rtl w:val="true"/>
              </w:rPr>
              <w:t xml:space="preserve">: </w:t>
            </w:r>
            <w:r>
              <w:rPr>
                <w:rStyle w:val="IndexLink"/>
                <w:rtl w:val="true"/>
              </w:rPr>
              <w:t>الاجماع المنقول</w:t>
            </w:r>
            <w:r>
              <w:rPr>
                <w:rStyle w:val="IndexLink"/>
                <w:rtl w:val="true"/>
              </w:rPr>
              <w:t>.</w:t>
              <w:tab/>
            </w:r>
            <w:r>
              <w:rPr>
                <w:rStyle w:val="IndexLink"/>
              </w:rPr>
              <w:t>383</w:t>
            </w:r>
          </w:hyperlink>
        </w:p>
        <w:p>
          <w:pPr>
            <w:pStyle w:val="Contents6"/>
            <w:tabs>
              <w:tab w:val="clear" w:pos="7609"/>
              <w:tab w:val="right" w:pos="9026" w:leader="dot"/>
            </w:tabs>
            <w:rPr/>
          </w:pPr>
          <w:hyperlink w:anchor="__RefHeading___Toc8193341_1051229030">
            <w:r>
              <w:rPr>
                <w:webHidden/>
                <w:rStyle w:val="IndexLink"/>
                <w:rtl w:val="true"/>
              </w:rPr>
              <w:t>المسألة التاسعة</w:t>
            </w:r>
            <w:r>
              <w:rPr>
                <w:rStyle w:val="IndexLink"/>
                <w:rtl w:val="true"/>
              </w:rPr>
              <w:t xml:space="preserve">: </w:t>
            </w:r>
            <w:r>
              <w:rPr>
                <w:rStyle w:val="IndexLink"/>
                <w:rtl w:val="true"/>
              </w:rPr>
              <w:t>الاجماع السابق على النص</w:t>
            </w:r>
            <w:r>
              <w:rPr>
                <w:rStyle w:val="IndexLink"/>
                <w:rtl w:val="true"/>
              </w:rPr>
              <w:t>.</w:t>
              <w:tab/>
            </w:r>
            <w:r>
              <w:rPr>
                <w:rStyle w:val="IndexLink"/>
              </w:rPr>
              <w:t>384</w:t>
            </w:r>
          </w:hyperlink>
        </w:p>
        <w:p>
          <w:pPr>
            <w:pStyle w:val="Contents6"/>
            <w:tabs>
              <w:tab w:val="clear" w:pos="7609"/>
              <w:tab w:val="right" w:pos="9026" w:leader="dot"/>
            </w:tabs>
            <w:rPr/>
          </w:pPr>
          <w:hyperlink w:anchor="__RefHeading___Toc8193343_1051229030">
            <w:r>
              <w:rPr>
                <w:webHidden/>
                <w:rStyle w:val="IndexLink"/>
                <w:rtl w:val="true"/>
              </w:rPr>
              <w:t>المسألة العاشرة</w:t>
            </w:r>
            <w:r>
              <w:rPr>
                <w:rStyle w:val="IndexLink"/>
                <w:rtl w:val="true"/>
              </w:rPr>
              <w:t xml:space="preserve">: </w:t>
            </w:r>
            <w:r>
              <w:rPr>
                <w:rStyle w:val="IndexLink"/>
                <w:rtl w:val="true"/>
              </w:rPr>
              <w:t>المسألة الاجماعية</w:t>
            </w:r>
            <w:r>
              <w:rPr>
                <w:rStyle w:val="IndexLink"/>
                <w:rtl w:val="true"/>
              </w:rPr>
              <w:t>.</w:t>
              <w:tab/>
            </w:r>
            <w:r>
              <w:rPr>
                <w:rStyle w:val="IndexLink"/>
              </w:rPr>
              <w:t>385</w:t>
            </w:r>
          </w:hyperlink>
        </w:p>
        <w:p>
          <w:pPr>
            <w:pStyle w:val="Contents6"/>
            <w:tabs>
              <w:tab w:val="clear" w:pos="7609"/>
              <w:tab w:val="right" w:pos="9026" w:leader="dot"/>
            </w:tabs>
            <w:rPr/>
          </w:pPr>
          <w:hyperlink w:anchor="__RefHeading___Toc8193345_1051229030">
            <w:r>
              <w:rPr>
                <w:webHidden/>
                <w:rStyle w:val="IndexLink"/>
                <w:rtl w:val="true"/>
              </w:rPr>
              <w:t>المسألة الحادية عشرة</w:t>
            </w:r>
            <w:r>
              <w:rPr>
                <w:rStyle w:val="IndexLink"/>
                <w:rtl w:val="true"/>
              </w:rPr>
              <w:t xml:space="preserve">: </w:t>
            </w:r>
            <w:r>
              <w:rPr>
                <w:rStyle w:val="IndexLink"/>
                <w:rtl w:val="true"/>
              </w:rPr>
              <w:t>الاجماع الكاشف عن الدليل</w:t>
            </w:r>
            <w:r>
              <w:rPr>
                <w:rStyle w:val="IndexLink"/>
                <w:rtl w:val="true"/>
              </w:rPr>
              <w:t>.</w:t>
              <w:tab/>
            </w:r>
            <w:r>
              <w:rPr>
                <w:rStyle w:val="IndexLink"/>
              </w:rPr>
              <w:t>391</w:t>
            </w:r>
          </w:hyperlink>
        </w:p>
        <w:p>
          <w:pPr>
            <w:pStyle w:val="Contents5"/>
            <w:tabs>
              <w:tab w:val="clear" w:pos="7892"/>
              <w:tab w:val="right" w:pos="9026" w:leader="dot"/>
            </w:tabs>
            <w:rPr/>
          </w:pPr>
          <w:hyperlink w:anchor="__RefHeading___Toc8193347_1051229030">
            <w:r>
              <w:rPr>
                <w:webHidden/>
                <w:rStyle w:val="IndexLink"/>
                <w:rtl w:val="true"/>
              </w:rPr>
              <w:t>الدليل العقلي</w:t>
            </w:r>
            <w:r>
              <w:rPr>
                <w:rStyle w:val="IndexLink"/>
                <w:rtl w:val="true"/>
              </w:rPr>
              <w:tab/>
            </w:r>
            <w:r>
              <w:rPr>
                <w:rStyle w:val="IndexLink"/>
              </w:rPr>
              <w:t>393</w:t>
            </w:r>
          </w:hyperlink>
        </w:p>
        <w:p>
          <w:pPr>
            <w:pStyle w:val="Contents6"/>
            <w:tabs>
              <w:tab w:val="clear" w:pos="7609"/>
              <w:tab w:val="right" w:pos="9026" w:leader="dot"/>
            </w:tabs>
            <w:rPr/>
          </w:pPr>
          <w:hyperlink w:anchor="__RefHeading___Toc8193349_1051229030">
            <w:r>
              <w:rPr>
                <w:webHidden/>
                <w:rStyle w:val="IndexLink"/>
                <w:rtl w:val="true"/>
              </w:rPr>
              <w:t>اشارة</w:t>
            </w:r>
            <w:r>
              <w:rPr>
                <w:rStyle w:val="IndexLink"/>
                <w:rtl w:val="true"/>
              </w:rPr>
              <w:tab/>
            </w:r>
            <w:r>
              <w:rPr>
                <w:rStyle w:val="IndexLink"/>
              </w:rPr>
              <w:t>393</w:t>
            </w:r>
          </w:hyperlink>
        </w:p>
        <w:p>
          <w:pPr>
            <w:pStyle w:val="Contents6"/>
            <w:tabs>
              <w:tab w:val="clear" w:pos="7609"/>
              <w:tab w:val="right" w:pos="9026" w:leader="dot"/>
            </w:tabs>
            <w:rPr/>
          </w:pPr>
          <w:hyperlink w:anchor="__RefHeading___Toc8193351_1051229030">
            <w:r>
              <w:rPr>
                <w:webHidden/>
                <w:rStyle w:val="IndexLink"/>
                <w:rtl w:val="true"/>
              </w:rPr>
              <w:t>المسألة الأولى</w:t>
            </w:r>
            <w:r>
              <w:rPr>
                <w:rStyle w:val="IndexLink"/>
                <w:rtl w:val="true"/>
              </w:rPr>
              <w:t xml:space="preserve">: </w:t>
            </w:r>
            <w:r>
              <w:rPr>
                <w:rStyle w:val="IndexLink"/>
                <w:rtl w:val="true"/>
              </w:rPr>
              <w:t>الخلط بين مقدمات الواجب والوجوب</w:t>
            </w:r>
            <w:r>
              <w:rPr>
                <w:rStyle w:val="IndexLink"/>
                <w:rtl w:val="true"/>
              </w:rPr>
              <w:t>.</w:t>
              <w:tab/>
            </w:r>
            <w:r>
              <w:rPr>
                <w:rStyle w:val="IndexLink"/>
              </w:rPr>
              <w:t>394</w:t>
            </w:r>
          </w:hyperlink>
        </w:p>
        <w:p>
          <w:pPr>
            <w:pStyle w:val="Contents6"/>
            <w:tabs>
              <w:tab w:val="clear" w:pos="7609"/>
              <w:tab w:val="right" w:pos="9026" w:leader="dot"/>
            </w:tabs>
            <w:rPr/>
          </w:pPr>
          <w:hyperlink w:anchor="__RefHeading___Toc8193353_1051229030">
            <w:r>
              <w:rPr>
                <w:webHidden/>
                <w:rStyle w:val="IndexLink"/>
                <w:rtl w:val="true"/>
              </w:rPr>
              <w:t>معاني صحة العمل</w:t>
            </w:r>
            <w:r>
              <w:rPr>
                <w:rStyle w:val="IndexLink"/>
                <w:rtl w:val="true"/>
              </w:rPr>
              <w:tab/>
            </w:r>
            <w:r>
              <w:rPr>
                <w:rStyle w:val="IndexLink"/>
              </w:rPr>
              <w:t>396</w:t>
            </w:r>
          </w:hyperlink>
        </w:p>
        <w:p>
          <w:pPr>
            <w:pStyle w:val="Contents6"/>
            <w:tabs>
              <w:tab w:val="clear" w:pos="7609"/>
              <w:tab w:val="right" w:pos="9026" w:leader="dot"/>
            </w:tabs>
            <w:rPr/>
          </w:pPr>
          <w:hyperlink w:anchor="__RefHeading___Toc8193355_1051229030">
            <w:r>
              <w:rPr>
                <w:webHidden/>
                <w:rStyle w:val="IndexLink"/>
                <w:rtl w:val="true"/>
              </w:rPr>
              <w:t>ادلة كون الحضر من شرائط الوجوب</w:t>
            </w:r>
            <w:r>
              <w:rPr>
                <w:rStyle w:val="IndexLink"/>
                <w:rtl w:val="true"/>
              </w:rPr>
              <w:t>.</w:t>
              <w:tab/>
            </w:r>
            <w:r>
              <w:rPr>
                <w:rStyle w:val="IndexLink"/>
              </w:rPr>
              <w:t>397</w:t>
            </w:r>
          </w:hyperlink>
        </w:p>
        <w:p>
          <w:pPr>
            <w:pStyle w:val="Contents6"/>
            <w:tabs>
              <w:tab w:val="clear" w:pos="7609"/>
              <w:tab w:val="right" w:pos="9026" w:leader="dot"/>
            </w:tabs>
            <w:rPr/>
          </w:pPr>
          <w:hyperlink w:anchor="__RefHeading___Toc8193357_1051229030">
            <w:r>
              <w:rPr>
                <w:webHidden/>
                <w:rStyle w:val="IndexLink"/>
                <w:rtl w:val="true"/>
              </w:rPr>
              <w:t>المسألة الثانية</w:t>
            </w:r>
            <w:r>
              <w:rPr>
                <w:rStyle w:val="IndexLink"/>
                <w:rtl w:val="true"/>
              </w:rPr>
              <w:t xml:space="preserve">: </w:t>
            </w:r>
            <w:r>
              <w:rPr>
                <w:rStyle w:val="IndexLink"/>
                <w:rtl w:val="true"/>
              </w:rPr>
              <w:t>تحصيل مقدمات الوجوب</w:t>
            </w:r>
            <w:r>
              <w:rPr>
                <w:rStyle w:val="IndexLink"/>
                <w:rtl w:val="true"/>
              </w:rPr>
              <w:t>.</w:t>
              <w:tab/>
            </w:r>
            <w:r>
              <w:rPr>
                <w:rStyle w:val="IndexLink"/>
              </w:rPr>
              <w:t>400</w:t>
            </w:r>
          </w:hyperlink>
        </w:p>
        <w:p>
          <w:pPr>
            <w:pStyle w:val="Contents6"/>
            <w:tabs>
              <w:tab w:val="clear" w:pos="7609"/>
              <w:tab w:val="right" w:pos="9026" w:leader="dot"/>
            </w:tabs>
            <w:rPr/>
          </w:pPr>
          <w:hyperlink w:anchor="__RefHeading___Toc8193359_1051229030">
            <w:r>
              <w:rPr>
                <w:webHidden/>
                <w:rStyle w:val="IndexLink"/>
                <w:rtl w:val="true"/>
              </w:rPr>
              <w:t>المسألة الثالثة</w:t>
            </w:r>
            <w:r>
              <w:rPr>
                <w:rStyle w:val="IndexLink"/>
                <w:rtl w:val="true"/>
              </w:rPr>
              <w:t xml:space="preserve">: </w:t>
            </w:r>
            <w:r>
              <w:rPr>
                <w:rStyle w:val="IndexLink"/>
                <w:rtl w:val="true"/>
              </w:rPr>
              <w:t>انحاء شروط الوجوب</w:t>
            </w:r>
            <w:r>
              <w:rPr>
                <w:rStyle w:val="IndexLink"/>
                <w:rtl w:val="true"/>
              </w:rPr>
              <w:t>.</w:t>
              <w:tab/>
            </w:r>
            <w:r>
              <w:rPr>
                <w:rStyle w:val="IndexLink"/>
              </w:rPr>
              <w:t>410</w:t>
            </w:r>
          </w:hyperlink>
        </w:p>
        <w:p>
          <w:pPr>
            <w:pStyle w:val="Contents6"/>
            <w:tabs>
              <w:tab w:val="clear" w:pos="7609"/>
              <w:tab w:val="right" w:pos="9026" w:leader="dot"/>
            </w:tabs>
            <w:rPr/>
          </w:pPr>
          <w:hyperlink w:anchor="__RefHeading___Toc8193361_1051229030">
            <w:r>
              <w:rPr>
                <w:webHidden/>
                <w:rStyle w:val="IndexLink"/>
                <w:rtl w:val="true"/>
              </w:rPr>
              <w:t>المسألة الرابعة</w:t>
            </w:r>
            <w:r>
              <w:rPr>
                <w:rStyle w:val="IndexLink"/>
                <w:rtl w:val="true"/>
              </w:rPr>
              <w:t xml:space="preserve">: </w:t>
            </w:r>
            <w:r>
              <w:rPr>
                <w:rStyle w:val="IndexLink"/>
                <w:rtl w:val="true"/>
              </w:rPr>
              <w:t>مناقشة كبرى التكليف بمقدمات الواجب وعدم المسؤولية عن مقدمات الوجوب</w:t>
            </w:r>
            <w:r>
              <w:rPr>
                <w:rStyle w:val="IndexLink"/>
                <w:rtl w:val="true"/>
              </w:rPr>
              <w:t>.</w:t>
              <w:tab/>
            </w:r>
            <w:r>
              <w:rPr>
                <w:rStyle w:val="IndexLink"/>
              </w:rPr>
              <w:t>411</w:t>
            </w:r>
          </w:hyperlink>
        </w:p>
        <w:p>
          <w:pPr>
            <w:pStyle w:val="Contents6"/>
            <w:tabs>
              <w:tab w:val="clear" w:pos="7609"/>
              <w:tab w:val="right" w:pos="9026" w:leader="dot"/>
            </w:tabs>
            <w:rPr/>
          </w:pPr>
          <w:hyperlink w:anchor="__RefHeading___Toc8193363_1051229030">
            <w:r>
              <w:rPr>
                <w:webHidden/>
                <w:rStyle w:val="IndexLink"/>
                <w:rtl w:val="true"/>
              </w:rPr>
              <w:t>المسألة الخامسة</w:t>
            </w:r>
            <w:r>
              <w:rPr>
                <w:rStyle w:val="IndexLink"/>
                <w:rtl w:val="true"/>
              </w:rPr>
              <w:t xml:space="preserve">: </w:t>
            </w:r>
            <w:r>
              <w:rPr>
                <w:rStyle w:val="IndexLink"/>
                <w:rtl w:val="true"/>
              </w:rPr>
              <w:t>مقدمة الحرام</w:t>
            </w:r>
            <w:r>
              <w:rPr>
                <w:rStyle w:val="IndexLink"/>
                <w:rtl w:val="true"/>
              </w:rPr>
              <w:t>.</w:t>
              <w:tab/>
            </w:r>
            <w:r>
              <w:rPr>
                <w:rStyle w:val="IndexLink"/>
              </w:rPr>
              <w:t>417</w:t>
            </w:r>
          </w:hyperlink>
        </w:p>
        <w:p>
          <w:pPr>
            <w:pStyle w:val="Contents6"/>
            <w:tabs>
              <w:tab w:val="clear" w:pos="7609"/>
              <w:tab w:val="right" w:pos="9026" w:leader="dot"/>
            </w:tabs>
            <w:rPr/>
          </w:pPr>
          <w:hyperlink w:anchor="__RefHeading___Toc8193365_1051229030">
            <w:r>
              <w:rPr>
                <w:webHidden/>
                <w:rStyle w:val="IndexLink"/>
                <w:rtl w:val="true"/>
              </w:rPr>
              <w:t>المسألة السادسة</w:t>
            </w:r>
            <w:r>
              <w:rPr>
                <w:rStyle w:val="IndexLink"/>
                <w:rtl w:val="true"/>
              </w:rPr>
              <w:t xml:space="preserve">: </w:t>
            </w:r>
            <w:r>
              <w:rPr>
                <w:rStyle w:val="IndexLink"/>
                <w:rtl w:val="true"/>
              </w:rPr>
              <w:t>الحرمة الغيرية</w:t>
            </w:r>
            <w:r>
              <w:rPr>
                <w:rStyle w:val="IndexLink"/>
                <w:rtl w:val="true"/>
              </w:rPr>
              <w:t>.</w:t>
              <w:tab/>
            </w:r>
            <w:r>
              <w:rPr>
                <w:rStyle w:val="IndexLink"/>
              </w:rPr>
              <w:t>418</w:t>
            </w:r>
          </w:hyperlink>
        </w:p>
        <w:p>
          <w:pPr>
            <w:pStyle w:val="Contents6"/>
            <w:tabs>
              <w:tab w:val="clear" w:pos="7609"/>
              <w:tab w:val="right" w:pos="9026" w:leader="dot"/>
            </w:tabs>
            <w:rPr/>
          </w:pPr>
          <w:hyperlink w:anchor="__RefHeading___Toc8193367_1051229030">
            <w:r>
              <w:rPr>
                <w:webHidden/>
                <w:rStyle w:val="IndexLink"/>
                <w:rtl w:val="true"/>
              </w:rPr>
              <w:t>المسألة السابعة</w:t>
            </w:r>
            <w:r>
              <w:rPr>
                <w:rStyle w:val="IndexLink"/>
                <w:rtl w:val="true"/>
              </w:rPr>
              <w:t xml:space="preserve">: </w:t>
            </w:r>
            <w:r>
              <w:rPr>
                <w:rStyle w:val="IndexLink"/>
                <w:rtl w:val="true"/>
              </w:rPr>
              <w:t>ترك المستحب يقتضي الكراهة</w:t>
            </w:r>
            <w:r>
              <w:rPr>
                <w:rStyle w:val="IndexLink"/>
                <w:rtl w:val="true"/>
              </w:rPr>
              <w:t>.</w:t>
              <w:tab/>
            </w:r>
            <w:r>
              <w:rPr>
                <w:rStyle w:val="IndexLink"/>
              </w:rPr>
              <w:t>420</w:t>
            </w:r>
          </w:hyperlink>
        </w:p>
        <w:p>
          <w:pPr>
            <w:pStyle w:val="Contents6"/>
            <w:tabs>
              <w:tab w:val="clear" w:pos="7609"/>
              <w:tab w:val="right" w:pos="9026" w:leader="dot"/>
            </w:tabs>
            <w:rPr/>
          </w:pPr>
          <w:hyperlink w:anchor="__RefHeading___Toc8193369_1051229030">
            <w:r>
              <w:rPr>
                <w:webHidden/>
                <w:rStyle w:val="IndexLink"/>
                <w:rtl w:val="true"/>
              </w:rPr>
              <w:t>المسألة الثامنة</w:t>
            </w:r>
            <w:r>
              <w:rPr>
                <w:rStyle w:val="IndexLink"/>
                <w:rtl w:val="true"/>
              </w:rPr>
              <w:t xml:space="preserve">: </w:t>
            </w:r>
            <w:r>
              <w:rPr>
                <w:rStyle w:val="IndexLink"/>
                <w:rtl w:val="true"/>
              </w:rPr>
              <w:t>إشكالية المقدمات المفوتة</w:t>
            </w:r>
            <w:r>
              <w:rPr>
                <w:rStyle w:val="IndexLink"/>
                <w:rtl w:val="true"/>
              </w:rPr>
              <w:t>.</w:t>
              <w:tab/>
            </w:r>
            <w:r>
              <w:rPr>
                <w:rStyle w:val="IndexLink"/>
              </w:rPr>
              <w:t>422</w:t>
            </w:r>
          </w:hyperlink>
        </w:p>
        <w:p>
          <w:pPr>
            <w:pStyle w:val="Contents6"/>
            <w:tabs>
              <w:tab w:val="clear" w:pos="7609"/>
              <w:tab w:val="right" w:pos="9026" w:leader="dot"/>
            </w:tabs>
            <w:rPr/>
          </w:pPr>
          <w:hyperlink w:anchor="__RefHeading___Toc8193371_1051229030">
            <w:r>
              <w:rPr>
                <w:webHidden/>
                <w:rStyle w:val="IndexLink"/>
                <w:rtl w:val="true"/>
              </w:rPr>
              <w:t>المسألة التاسعة</w:t>
            </w:r>
            <w:r>
              <w:rPr>
                <w:rStyle w:val="IndexLink"/>
                <w:rtl w:val="true"/>
              </w:rPr>
              <w:t xml:space="preserve">: </w:t>
            </w:r>
            <w:r>
              <w:rPr>
                <w:rStyle w:val="IndexLink"/>
                <w:rtl w:val="true"/>
              </w:rPr>
              <w:t>التخييري من اقسام الواجب لا الوجوب</w:t>
            </w:r>
            <w:r>
              <w:rPr>
                <w:rStyle w:val="IndexLink"/>
                <w:rtl w:val="true"/>
              </w:rPr>
              <w:t>.</w:t>
              <w:tab/>
            </w:r>
            <w:r>
              <w:rPr>
                <w:rStyle w:val="IndexLink"/>
              </w:rPr>
              <w:t>423</w:t>
            </w:r>
          </w:hyperlink>
        </w:p>
        <w:p>
          <w:pPr>
            <w:pStyle w:val="Contents6"/>
            <w:tabs>
              <w:tab w:val="clear" w:pos="7609"/>
              <w:tab w:val="right" w:pos="9026" w:leader="dot"/>
            </w:tabs>
            <w:rPr/>
          </w:pPr>
          <w:hyperlink w:anchor="__RefHeading___Toc8193373_1051229030">
            <w:r>
              <w:rPr>
                <w:webHidden/>
                <w:rStyle w:val="IndexLink"/>
                <w:rtl w:val="true"/>
              </w:rPr>
              <w:t>المسألة العاشرة</w:t>
            </w:r>
            <w:r>
              <w:rPr>
                <w:rStyle w:val="IndexLink"/>
                <w:rtl w:val="true"/>
              </w:rPr>
              <w:t xml:space="preserve">: </w:t>
            </w:r>
            <w:r>
              <w:rPr>
                <w:rStyle w:val="IndexLink"/>
                <w:rtl w:val="true"/>
              </w:rPr>
              <w:t>العيني والكفائي من تقسيمات الواجب</w:t>
            </w:r>
            <w:r>
              <w:rPr>
                <w:rStyle w:val="IndexLink"/>
                <w:rtl w:val="true"/>
              </w:rPr>
              <w:t>.</w:t>
              <w:tab/>
            </w:r>
            <w:r>
              <w:rPr>
                <w:rStyle w:val="IndexLink"/>
              </w:rPr>
              <w:t>425</w:t>
            </w:r>
          </w:hyperlink>
        </w:p>
        <w:p>
          <w:pPr>
            <w:pStyle w:val="Contents6"/>
            <w:tabs>
              <w:tab w:val="clear" w:pos="7609"/>
              <w:tab w:val="right" w:pos="9026" w:leader="dot"/>
            </w:tabs>
            <w:rPr/>
          </w:pPr>
          <w:hyperlink w:anchor="__RefHeading___Toc8193375_1051229030">
            <w:r>
              <w:rPr>
                <w:webHidden/>
                <w:rStyle w:val="IndexLink"/>
                <w:rtl w:val="true"/>
              </w:rPr>
              <w:t>المسألة الحادية عشرة</w:t>
            </w:r>
            <w:r>
              <w:rPr>
                <w:rStyle w:val="IndexLink"/>
                <w:rtl w:val="true"/>
              </w:rPr>
              <w:t xml:space="preserve">: </w:t>
            </w:r>
            <w:r>
              <w:rPr>
                <w:rStyle w:val="IndexLink"/>
                <w:rtl w:val="true"/>
              </w:rPr>
              <w:t>افضلية بعض أفراد الوجوب التخييري</w:t>
            </w:r>
            <w:r>
              <w:rPr>
                <w:rStyle w:val="IndexLink"/>
                <w:rtl w:val="true"/>
              </w:rPr>
              <w:t>.</w:t>
              <w:tab/>
            </w:r>
            <w:r>
              <w:rPr>
                <w:rStyle w:val="IndexLink"/>
              </w:rPr>
              <w:t>426</w:t>
            </w:r>
          </w:hyperlink>
        </w:p>
        <w:p>
          <w:pPr>
            <w:pStyle w:val="Contents6"/>
            <w:tabs>
              <w:tab w:val="clear" w:pos="7609"/>
              <w:tab w:val="right" w:pos="9026" w:leader="dot"/>
            </w:tabs>
            <w:rPr/>
          </w:pPr>
          <w:hyperlink w:anchor="__RefHeading___Toc8193377_1051229030">
            <w:r>
              <w:rPr>
                <w:webHidden/>
                <w:rStyle w:val="IndexLink"/>
                <w:rtl w:val="true"/>
              </w:rPr>
              <w:t>المسألة الثانية عشرة</w:t>
            </w:r>
            <w:r>
              <w:rPr>
                <w:rStyle w:val="IndexLink"/>
                <w:rtl w:val="true"/>
              </w:rPr>
              <w:t xml:space="preserve">: </w:t>
            </w:r>
            <w:r>
              <w:rPr>
                <w:rStyle w:val="IndexLink"/>
                <w:rtl w:val="true"/>
              </w:rPr>
              <w:t>مورد قاعدة الاشتغال اليقيني</w:t>
            </w:r>
            <w:r>
              <w:rPr>
                <w:rStyle w:val="IndexLink"/>
                <w:rtl w:val="true"/>
              </w:rPr>
              <w:t>.</w:t>
              <w:tab/>
            </w:r>
            <w:r>
              <w:rPr>
                <w:rStyle w:val="IndexLink"/>
              </w:rPr>
              <w:t>427</w:t>
            </w:r>
          </w:hyperlink>
        </w:p>
        <w:p>
          <w:pPr>
            <w:pStyle w:val="Contents6"/>
            <w:tabs>
              <w:tab w:val="clear" w:pos="7609"/>
              <w:tab w:val="right" w:pos="9026" w:leader="dot"/>
            </w:tabs>
            <w:rPr/>
          </w:pPr>
          <w:hyperlink w:anchor="__RefHeading___Toc8193379_1051229030">
            <w:r>
              <w:rPr>
                <w:webHidden/>
                <w:rStyle w:val="IndexLink"/>
                <w:rtl w:val="true"/>
              </w:rPr>
              <w:t>اشارة</w:t>
            </w:r>
            <w:r>
              <w:rPr>
                <w:rStyle w:val="IndexLink"/>
                <w:rtl w:val="true"/>
              </w:rPr>
              <w:tab/>
            </w:r>
            <w:r>
              <w:rPr>
                <w:rStyle w:val="IndexLink"/>
              </w:rPr>
              <w:t>427</w:t>
            </w:r>
          </w:hyperlink>
        </w:p>
        <w:p>
          <w:pPr>
            <w:pStyle w:val="Contents6"/>
            <w:tabs>
              <w:tab w:val="clear" w:pos="7609"/>
              <w:tab w:val="right" w:pos="9026" w:leader="dot"/>
            </w:tabs>
            <w:rPr/>
          </w:pPr>
          <w:hyperlink w:anchor="__RefHeading___Toc8193381_1051229030">
            <w:r>
              <w:rPr>
                <w:webHidden/>
                <w:rStyle w:val="IndexLink"/>
                <w:rtl w:val="true"/>
              </w:rPr>
              <w:t>الثاني</w:t>
            </w:r>
            <w:r>
              <w:rPr>
                <w:rStyle w:val="IndexLink"/>
                <w:rtl w:val="true"/>
              </w:rPr>
              <w:t xml:space="preserve">: </w:t>
            </w:r>
            <w:r>
              <w:rPr>
                <w:rStyle w:val="IndexLink"/>
                <w:rtl w:val="true"/>
              </w:rPr>
              <w:t>قاعدة الاشتغال</w:t>
            </w:r>
            <w:r>
              <w:rPr>
                <w:rStyle w:val="IndexLink"/>
                <w:rtl w:val="true"/>
              </w:rPr>
              <w:tab/>
            </w:r>
            <w:r>
              <w:rPr>
                <w:rStyle w:val="IndexLink"/>
              </w:rPr>
              <w:t>427</w:t>
            </w:r>
          </w:hyperlink>
        </w:p>
        <w:p>
          <w:pPr>
            <w:pStyle w:val="Contents6"/>
            <w:tabs>
              <w:tab w:val="clear" w:pos="7609"/>
              <w:tab w:val="right" w:pos="9026" w:leader="dot"/>
            </w:tabs>
            <w:rPr/>
          </w:pPr>
          <w:hyperlink w:anchor="__RefHeading___Toc8193383_1051229030">
            <w:r>
              <w:rPr>
                <w:webHidden/>
                <w:rStyle w:val="IndexLink"/>
                <w:rtl w:val="true"/>
              </w:rPr>
              <w:t>المسألة الثالثة عشرة</w:t>
            </w:r>
            <w:r>
              <w:rPr>
                <w:rStyle w:val="IndexLink"/>
                <w:rtl w:val="true"/>
              </w:rPr>
              <w:t xml:space="preserve">: </w:t>
            </w:r>
            <w:r>
              <w:rPr>
                <w:rStyle w:val="IndexLink"/>
                <w:rtl w:val="true"/>
              </w:rPr>
              <w:t>الوجوب العقلي للنهي عن المنكر</w:t>
            </w:r>
            <w:r>
              <w:rPr>
                <w:rStyle w:val="IndexLink"/>
                <w:rtl w:val="true"/>
              </w:rPr>
              <w:t>.</w:t>
              <w:tab/>
            </w:r>
            <w:r>
              <w:rPr>
                <w:rStyle w:val="IndexLink"/>
              </w:rPr>
              <w:t>428</w:t>
            </w:r>
          </w:hyperlink>
        </w:p>
        <w:p>
          <w:pPr>
            <w:pStyle w:val="Contents6"/>
            <w:tabs>
              <w:tab w:val="clear" w:pos="7609"/>
              <w:tab w:val="right" w:pos="9026" w:leader="dot"/>
            </w:tabs>
            <w:rPr/>
          </w:pPr>
          <w:hyperlink w:anchor="__RefHeading___Toc8193385_1051229030">
            <w:r>
              <w:rPr>
                <w:webHidden/>
                <w:rStyle w:val="IndexLink"/>
                <w:rtl w:val="true"/>
              </w:rPr>
              <w:t>هل الوجوب عقلي أم شرعي؟</w:t>
            </w:r>
            <w:r>
              <w:rPr>
                <w:rStyle w:val="IndexLink"/>
                <w:rtl w:val="true"/>
              </w:rPr>
              <w:tab/>
            </w:r>
            <w:r>
              <w:rPr>
                <w:rStyle w:val="IndexLink"/>
              </w:rPr>
              <w:t>428</w:t>
            </w:r>
          </w:hyperlink>
        </w:p>
        <w:p>
          <w:pPr>
            <w:pStyle w:val="Contents6"/>
            <w:tabs>
              <w:tab w:val="clear" w:pos="7609"/>
              <w:tab w:val="right" w:pos="9026" w:leader="dot"/>
            </w:tabs>
            <w:rPr/>
          </w:pPr>
          <w:hyperlink w:anchor="__RefHeading___Toc8193387_1051229030">
            <w:r>
              <w:rPr>
                <w:webHidden/>
                <w:rStyle w:val="IndexLink"/>
                <w:rtl w:val="true"/>
              </w:rPr>
              <w:t>المسألة الرابعة عشرة</w:t>
            </w:r>
            <w:r>
              <w:rPr>
                <w:rStyle w:val="IndexLink"/>
                <w:rtl w:val="true"/>
              </w:rPr>
              <w:t xml:space="preserve">: </w:t>
            </w:r>
            <w:r>
              <w:rPr>
                <w:rStyle w:val="IndexLink"/>
                <w:rtl w:val="true"/>
              </w:rPr>
              <w:t>ثمرة البحث في كون الوجوب عقلياً أو شرعياً</w:t>
            </w:r>
            <w:r>
              <w:rPr>
                <w:rStyle w:val="IndexLink"/>
                <w:rtl w:val="true"/>
              </w:rPr>
              <w:t>.</w:t>
              <w:tab/>
            </w:r>
            <w:r>
              <w:rPr>
                <w:rStyle w:val="IndexLink"/>
              </w:rPr>
              <w:t>434</w:t>
            </w:r>
          </w:hyperlink>
        </w:p>
        <w:p>
          <w:pPr>
            <w:pStyle w:val="Contents6"/>
            <w:tabs>
              <w:tab w:val="clear" w:pos="7609"/>
              <w:tab w:val="right" w:pos="9026" w:leader="dot"/>
            </w:tabs>
            <w:rPr/>
          </w:pPr>
          <w:hyperlink w:anchor="__RefHeading___Toc8193389_1051229030">
            <w:r>
              <w:rPr>
                <w:webHidden/>
                <w:rStyle w:val="IndexLink"/>
                <w:rtl w:val="true"/>
              </w:rPr>
              <w:t>المسألة الخامسة عشرة</w:t>
            </w:r>
            <w:r>
              <w:rPr>
                <w:rStyle w:val="IndexLink"/>
                <w:rtl w:val="true"/>
              </w:rPr>
              <w:t xml:space="preserve">: </w:t>
            </w:r>
            <w:r>
              <w:rPr>
                <w:rStyle w:val="IndexLink"/>
                <w:rtl w:val="true"/>
              </w:rPr>
              <w:t>التزاحم</w:t>
            </w:r>
            <w:r>
              <w:rPr>
                <w:rStyle w:val="IndexLink"/>
                <w:rtl w:val="true"/>
              </w:rPr>
              <w:t>.</w:t>
              <w:tab/>
            </w:r>
            <w:r>
              <w:rPr>
                <w:rStyle w:val="IndexLink"/>
              </w:rPr>
              <w:t>436</w:t>
            </w:r>
          </w:hyperlink>
        </w:p>
        <w:p>
          <w:pPr>
            <w:pStyle w:val="Contents6"/>
            <w:tabs>
              <w:tab w:val="clear" w:pos="7609"/>
              <w:tab w:val="right" w:pos="9026" w:leader="dot"/>
            </w:tabs>
            <w:rPr/>
          </w:pPr>
          <w:hyperlink w:anchor="__RefHeading___Toc8193391_1051229030">
            <w:r>
              <w:rPr>
                <w:webHidden/>
                <w:rStyle w:val="IndexLink"/>
                <w:rtl w:val="true"/>
              </w:rPr>
              <w:t>المسألة السادسة عشرة</w:t>
            </w:r>
            <w:r>
              <w:rPr>
                <w:rStyle w:val="IndexLink"/>
                <w:rtl w:val="true"/>
              </w:rPr>
              <w:t xml:space="preserve">: </w:t>
            </w:r>
            <w:r>
              <w:rPr>
                <w:rStyle w:val="IndexLink"/>
                <w:rtl w:val="true"/>
              </w:rPr>
              <w:t>التزاحم والطولية الرتبية</w:t>
            </w:r>
            <w:r>
              <w:rPr>
                <w:rStyle w:val="IndexLink"/>
                <w:rtl w:val="true"/>
              </w:rPr>
              <w:t>.</w:t>
              <w:tab/>
            </w:r>
            <w:r>
              <w:rPr>
                <w:rStyle w:val="IndexLink"/>
              </w:rPr>
              <w:t>439</w:t>
            </w:r>
          </w:hyperlink>
        </w:p>
        <w:p>
          <w:pPr>
            <w:pStyle w:val="Contents6"/>
            <w:tabs>
              <w:tab w:val="clear" w:pos="7609"/>
              <w:tab w:val="right" w:pos="9026" w:leader="dot"/>
            </w:tabs>
            <w:rPr/>
          </w:pPr>
          <w:hyperlink w:anchor="__RefHeading___Toc8193393_1051229030">
            <w:r>
              <w:rPr>
                <w:webHidden/>
                <w:rStyle w:val="IndexLink"/>
                <w:rtl w:val="true"/>
              </w:rPr>
              <w:t>المسألة السابعة عشرة</w:t>
            </w:r>
            <w:r>
              <w:rPr>
                <w:rStyle w:val="IndexLink"/>
                <w:rtl w:val="true"/>
              </w:rPr>
              <w:t xml:space="preserve">: </w:t>
            </w:r>
            <w:r>
              <w:rPr>
                <w:rStyle w:val="IndexLink"/>
                <w:rtl w:val="true"/>
              </w:rPr>
              <w:t>تقديم الأهم ملاكا على المهم وان لم يكن الأهم الزاميا</w:t>
            </w:r>
            <w:r>
              <w:rPr>
                <w:rStyle w:val="IndexLink"/>
                <w:rtl w:val="true"/>
              </w:rPr>
              <w:t>.</w:t>
              <w:tab/>
            </w:r>
            <w:r>
              <w:rPr>
                <w:rStyle w:val="IndexLink"/>
              </w:rPr>
              <w:t>442</w:t>
            </w:r>
          </w:hyperlink>
        </w:p>
        <w:p>
          <w:pPr>
            <w:pStyle w:val="Contents6"/>
            <w:tabs>
              <w:tab w:val="clear" w:pos="7609"/>
              <w:tab w:val="right" w:pos="9026" w:leader="dot"/>
            </w:tabs>
            <w:rPr/>
          </w:pPr>
          <w:hyperlink w:anchor="__RefHeading___Toc8193395_1051229030">
            <w:r>
              <w:rPr>
                <w:webHidden/>
                <w:rStyle w:val="IndexLink"/>
                <w:rtl w:val="true"/>
              </w:rPr>
              <w:t>المسألة الثامنة عشرة</w:t>
            </w:r>
            <w:r>
              <w:rPr>
                <w:rStyle w:val="IndexLink"/>
                <w:rtl w:val="true"/>
              </w:rPr>
              <w:t xml:space="preserve">: </w:t>
            </w:r>
            <w:r>
              <w:rPr>
                <w:rStyle w:val="IndexLink"/>
                <w:rtl w:val="true"/>
              </w:rPr>
              <w:t>الغاية تبرر الوسيلة</w:t>
            </w:r>
            <w:r>
              <w:rPr>
                <w:rStyle w:val="IndexLink"/>
                <w:rtl w:val="true"/>
              </w:rPr>
              <w:t>.</w:t>
              <w:tab/>
            </w:r>
            <w:r>
              <w:rPr>
                <w:rStyle w:val="IndexLink"/>
              </w:rPr>
              <w:t>444</w:t>
            </w:r>
          </w:hyperlink>
        </w:p>
        <w:p>
          <w:pPr>
            <w:pStyle w:val="Contents6"/>
            <w:tabs>
              <w:tab w:val="clear" w:pos="7609"/>
              <w:tab w:val="right" w:pos="9026" w:leader="dot"/>
            </w:tabs>
            <w:rPr/>
          </w:pPr>
          <w:hyperlink w:anchor="__RefHeading___Toc8193397_1051229030">
            <w:r>
              <w:rPr>
                <w:webHidden/>
                <w:rStyle w:val="IndexLink"/>
                <w:rtl w:val="true"/>
              </w:rPr>
              <w:t>المسألة التاسعة عشرة</w:t>
            </w:r>
            <w:r>
              <w:rPr>
                <w:rStyle w:val="IndexLink"/>
                <w:rtl w:val="true"/>
              </w:rPr>
              <w:t xml:space="preserve">: </w:t>
            </w:r>
            <w:r>
              <w:rPr>
                <w:rStyle w:val="IndexLink"/>
                <w:rtl w:val="true"/>
              </w:rPr>
              <w:t>اجتماع وجوبين على موضوع واحد</w:t>
            </w:r>
            <w:r>
              <w:rPr>
                <w:rStyle w:val="IndexLink"/>
                <w:rtl w:val="true"/>
              </w:rPr>
              <w:t>.</w:t>
              <w:tab/>
            </w:r>
            <w:r>
              <w:rPr>
                <w:rStyle w:val="IndexLink"/>
              </w:rPr>
              <w:t>445</w:t>
            </w:r>
          </w:hyperlink>
        </w:p>
        <w:p>
          <w:pPr>
            <w:pStyle w:val="Contents6"/>
            <w:tabs>
              <w:tab w:val="clear" w:pos="7609"/>
              <w:tab w:val="right" w:pos="9026" w:leader="dot"/>
            </w:tabs>
            <w:rPr/>
          </w:pPr>
          <w:hyperlink w:anchor="__RefHeading___Toc8193399_1051229030">
            <w:r>
              <w:rPr>
                <w:webHidden/>
                <w:rStyle w:val="IndexLink"/>
                <w:rtl w:val="true"/>
              </w:rPr>
              <w:t>المسألة العشرون</w:t>
            </w:r>
            <w:r>
              <w:rPr>
                <w:rStyle w:val="IndexLink"/>
                <w:rtl w:val="true"/>
              </w:rPr>
              <w:t xml:space="preserve">: </w:t>
            </w:r>
            <w:r>
              <w:rPr>
                <w:rStyle w:val="IndexLink"/>
                <w:rtl w:val="true"/>
              </w:rPr>
              <w:t>عدم استحالة الفرد المردد</w:t>
            </w:r>
            <w:r>
              <w:rPr>
                <w:rStyle w:val="IndexLink"/>
                <w:rtl w:val="true"/>
              </w:rPr>
              <w:t>.</w:t>
              <w:tab/>
            </w:r>
            <w:r>
              <w:rPr>
                <w:rStyle w:val="IndexLink"/>
              </w:rPr>
              <w:t>446</w:t>
            </w:r>
          </w:hyperlink>
        </w:p>
        <w:p>
          <w:pPr>
            <w:pStyle w:val="Contents6"/>
            <w:tabs>
              <w:tab w:val="clear" w:pos="7609"/>
              <w:tab w:val="right" w:pos="9026" w:leader="dot"/>
            </w:tabs>
            <w:rPr/>
          </w:pPr>
          <w:hyperlink w:anchor="__RefHeading___Toc8193401_1051229030">
            <w:r>
              <w:rPr>
                <w:webHidden/>
                <w:rStyle w:val="IndexLink"/>
                <w:rtl w:val="true"/>
              </w:rPr>
              <w:t>المسألة الحادية والعشرون</w:t>
            </w:r>
            <w:r>
              <w:rPr>
                <w:rStyle w:val="IndexLink"/>
                <w:rtl w:val="true"/>
              </w:rPr>
              <w:t xml:space="preserve">: </w:t>
            </w:r>
            <w:r>
              <w:rPr>
                <w:rStyle w:val="IndexLink"/>
                <w:rtl w:val="true"/>
              </w:rPr>
              <w:t>حجية العلم ليست ذاتية</w:t>
            </w:r>
            <w:r>
              <w:rPr>
                <w:rStyle w:val="IndexLink"/>
                <w:rtl w:val="true"/>
              </w:rPr>
              <w:t>.</w:t>
              <w:tab/>
            </w:r>
            <w:r>
              <w:rPr>
                <w:rStyle w:val="IndexLink"/>
              </w:rPr>
              <w:t>446</w:t>
            </w:r>
          </w:hyperlink>
        </w:p>
        <w:p>
          <w:pPr>
            <w:pStyle w:val="Contents6"/>
            <w:tabs>
              <w:tab w:val="clear" w:pos="7609"/>
              <w:tab w:val="right" w:pos="9026" w:leader="dot"/>
            </w:tabs>
            <w:rPr/>
          </w:pPr>
          <w:hyperlink w:anchor="__RefHeading___Toc8193403_1051229030">
            <w:r>
              <w:rPr>
                <w:webHidden/>
                <w:rStyle w:val="IndexLink"/>
                <w:rtl w:val="true"/>
              </w:rPr>
              <w:t>المسألة الثانية والعشرون</w:t>
            </w:r>
            <w:r>
              <w:rPr>
                <w:rStyle w:val="IndexLink"/>
                <w:rtl w:val="true"/>
              </w:rPr>
              <w:t xml:space="preserve">: </w:t>
            </w:r>
            <w:r>
              <w:rPr>
                <w:rStyle w:val="IndexLink"/>
                <w:rtl w:val="true"/>
              </w:rPr>
              <w:t>الموضوع التقديري للأحكام</w:t>
            </w:r>
            <w:r>
              <w:rPr>
                <w:rStyle w:val="IndexLink"/>
                <w:rtl w:val="true"/>
              </w:rPr>
              <w:t>.</w:t>
              <w:tab/>
            </w:r>
            <w:r>
              <w:rPr>
                <w:rStyle w:val="IndexLink"/>
              </w:rPr>
              <w:t>448</w:t>
            </w:r>
          </w:hyperlink>
        </w:p>
        <w:p>
          <w:pPr>
            <w:pStyle w:val="Contents6"/>
            <w:tabs>
              <w:tab w:val="clear" w:pos="7609"/>
              <w:tab w:val="right" w:pos="9026" w:leader="dot"/>
            </w:tabs>
            <w:rPr/>
          </w:pPr>
          <w:hyperlink w:anchor="__RefHeading___Toc8193405_1051229030">
            <w:r>
              <w:rPr>
                <w:webHidden/>
                <w:rStyle w:val="IndexLink"/>
                <w:rtl w:val="true"/>
              </w:rPr>
              <w:t>المسألة الثالثة والعشرون</w:t>
            </w:r>
            <w:r>
              <w:rPr>
                <w:rStyle w:val="IndexLink"/>
                <w:rtl w:val="true"/>
              </w:rPr>
              <w:t xml:space="preserve">: </w:t>
            </w:r>
            <w:r>
              <w:rPr>
                <w:rStyle w:val="IndexLink"/>
                <w:rtl w:val="true"/>
              </w:rPr>
              <w:t>الواجبات النظامية</w:t>
            </w:r>
            <w:r>
              <w:rPr>
                <w:rStyle w:val="IndexLink"/>
                <w:rtl w:val="true"/>
              </w:rPr>
              <w:t>.</w:t>
              <w:tab/>
            </w:r>
            <w:r>
              <w:rPr>
                <w:rStyle w:val="IndexLink"/>
              </w:rPr>
              <w:t>450</w:t>
            </w:r>
          </w:hyperlink>
        </w:p>
        <w:p>
          <w:pPr>
            <w:pStyle w:val="Contents6"/>
            <w:tabs>
              <w:tab w:val="clear" w:pos="7609"/>
              <w:tab w:val="right" w:pos="9026" w:leader="dot"/>
            </w:tabs>
            <w:rPr/>
          </w:pPr>
          <w:hyperlink w:anchor="__RefHeading___Toc8193407_1051229030">
            <w:r>
              <w:rPr>
                <w:webHidden/>
                <w:rStyle w:val="IndexLink"/>
                <w:rtl w:val="true"/>
              </w:rPr>
              <w:t>المسألة الرابعة والعشرون</w:t>
            </w:r>
            <w:r>
              <w:rPr>
                <w:rStyle w:val="IndexLink"/>
                <w:rtl w:val="true"/>
              </w:rPr>
              <w:t xml:space="preserve">: </w:t>
            </w:r>
            <w:r>
              <w:rPr>
                <w:rStyle w:val="IndexLink"/>
                <w:rtl w:val="true"/>
              </w:rPr>
              <w:t>الترجيح بالسبق الى العمل</w:t>
            </w:r>
            <w:r>
              <w:rPr>
                <w:rStyle w:val="IndexLink"/>
                <w:rtl w:val="true"/>
              </w:rPr>
              <w:t>.</w:t>
              <w:tab/>
            </w:r>
            <w:r>
              <w:rPr>
                <w:rStyle w:val="IndexLink"/>
              </w:rPr>
              <w:t>452</w:t>
            </w:r>
          </w:hyperlink>
        </w:p>
        <w:p>
          <w:pPr>
            <w:pStyle w:val="Contents5"/>
            <w:tabs>
              <w:tab w:val="clear" w:pos="7892"/>
              <w:tab w:val="right" w:pos="9026" w:leader="dot"/>
            </w:tabs>
            <w:rPr/>
          </w:pPr>
          <w:hyperlink w:anchor="__RefHeading___Toc8193409_1051229030">
            <w:r>
              <w:rPr>
                <w:webHidden/>
                <w:rStyle w:val="IndexLink"/>
                <w:rtl w:val="true"/>
              </w:rPr>
              <w:t>الأصول العملية</w:t>
            </w:r>
            <w:r>
              <w:rPr>
                <w:rStyle w:val="IndexLink"/>
                <w:rtl w:val="true"/>
              </w:rPr>
              <w:tab/>
            </w:r>
            <w:r>
              <w:rPr>
                <w:rStyle w:val="IndexLink"/>
              </w:rPr>
              <w:t>454</w:t>
            </w:r>
          </w:hyperlink>
        </w:p>
        <w:p>
          <w:pPr>
            <w:pStyle w:val="Contents6"/>
            <w:tabs>
              <w:tab w:val="clear" w:pos="7609"/>
              <w:tab w:val="right" w:pos="9026" w:leader="dot"/>
            </w:tabs>
            <w:rPr/>
          </w:pPr>
          <w:hyperlink w:anchor="__RefHeading___Toc8193411_1051229030">
            <w:r>
              <w:rPr>
                <w:webHidden/>
                <w:rStyle w:val="IndexLink"/>
                <w:rtl w:val="true"/>
              </w:rPr>
              <w:t>اشارة</w:t>
            </w:r>
            <w:r>
              <w:rPr>
                <w:rStyle w:val="IndexLink"/>
                <w:rtl w:val="true"/>
              </w:rPr>
              <w:tab/>
            </w:r>
            <w:r>
              <w:rPr>
                <w:rStyle w:val="IndexLink"/>
              </w:rPr>
              <w:t>454</w:t>
            </w:r>
          </w:hyperlink>
        </w:p>
        <w:p>
          <w:pPr>
            <w:pStyle w:val="Contents6"/>
            <w:tabs>
              <w:tab w:val="clear" w:pos="7609"/>
              <w:tab w:val="right" w:pos="9026" w:leader="dot"/>
            </w:tabs>
            <w:rPr/>
          </w:pPr>
          <w:hyperlink w:anchor="__RefHeading___Toc8193413_1051229030">
            <w:r>
              <w:rPr>
                <w:webHidden/>
                <w:rStyle w:val="IndexLink"/>
                <w:rtl w:val="true"/>
              </w:rPr>
              <w:t>اصل البراءة الشرعية</w:t>
            </w:r>
            <w:r>
              <w:rPr>
                <w:rStyle w:val="IndexLink"/>
                <w:rtl w:val="true"/>
              </w:rPr>
              <w:tab/>
            </w:r>
            <w:r>
              <w:rPr>
                <w:rStyle w:val="IndexLink"/>
              </w:rPr>
              <w:t>454</w:t>
            </w:r>
          </w:hyperlink>
        </w:p>
        <w:p>
          <w:pPr>
            <w:pStyle w:val="Contents6"/>
            <w:tabs>
              <w:tab w:val="clear" w:pos="7609"/>
              <w:tab w:val="right" w:pos="9026" w:leader="dot"/>
            </w:tabs>
            <w:rPr/>
          </w:pPr>
          <w:hyperlink w:anchor="__RefHeading___Toc8193415_1051229030">
            <w:r>
              <w:rPr>
                <w:webHidden/>
                <w:rStyle w:val="IndexLink"/>
                <w:rtl w:val="true"/>
              </w:rPr>
              <w:t>المسألة الأولى</w:t>
            </w:r>
            <w:r>
              <w:rPr>
                <w:rStyle w:val="IndexLink"/>
                <w:rtl w:val="true"/>
              </w:rPr>
              <w:t xml:space="preserve">: </w:t>
            </w:r>
            <w:r>
              <w:rPr>
                <w:rStyle w:val="IndexLink"/>
                <w:rtl w:val="true"/>
              </w:rPr>
              <w:t>جريان البراءة في الاحكام الوضعية</w:t>
            </w:r>
            <w:r>
              <w:rPr>
                <w:rStyle w:val="IndexLink"/>
                <w:rtl w:val="true"/>
              </w:rPr>
              <w:t>.</w:t>
              <w:tab/>
            </w:r>
            <w:r>
              <w:rPr>
                <w:rStyle w:val="IndexLink"/>
              </w:rPr>
              <w:t>455</w:t>
            </w:r>
          </w:hyperlink>
        </w:p>
        <w:p>
          <w:pPr>
            <w:pStyle w:val="Contents6"/>
            <w:tabs>
              <w:tab w:val="clear" w:pos="7609"/>
              <w:tab w:val="right" w:pos="9026" w:leader="dot"/>
            </w:tabs>
            <w:rPr/>
          </w:pPr>
          <w:hyperlink w:anchor="__RefHeading___Toc8193417_1051229030">
            <w:r>
              <w:rPr>
                <w:webHidden/>
                <w:rStyle w:val="IndexLink"/>
                <w:rtl w:val="true"/>
              </w:rPr>
              <w:t>فرع</w:t>
            </w:r>
            <w:r>
              <w:rPr>
                <w:rStyle w:val="IndexLink"/>
                <w:rtl w:val="true"/>
              </w:rPr>
              <w:t>:</w:t>
              <w:tab/>
            </w:r>
            <w:r>
              <w:rPr>
                <w:rStyle w:val="IndexLink"/>
              </w:rPr>
              <w:t>455</w:t>
            </w:r>
          </w:hyperlink>
        </w:p>
        <w:p>
          <w:pPr>
            <w:pStyle w:val="Contents6"/>
            <w:tabs>
              <w:tab w:val="clear" w:pos="7609"/>
              <w:tab w:val="right" w:pos="9026" w:leader="dot"/>
            </w:tabs>
            <w:rPr/>
          </w:pPr>
          <w:hyperlink w:anchor="__RefHeading___Toc8193419_1051229030">
            <w:r>
              <w:rPr>
                <w:webHidden/>
                <w:rStyle w:val="IndexLink"/>
                <w:rtl w:val="true"/>
              </w:rPr>
              <w:t>المسألة الثانية</w:t>
            </w:r>
            <w:r>
              <w:rPr>
                <w:rStyle w:val="IndexLink"/>
                <w:rtl w:val="true"/>
              </w:rPr>
              <w:t xml:space="preserve">: </w:t>
            </w:r>
            <w:r>
              <w:rPr>
                <w:rStyle w:val="IndexLink"/>
                <w:rtl w:val="true"/>
              </w:rPr>
              <w:t>البراءة عن جوب إصابة عمود الجمرة في الحج</w:t>
            </w:r>
            <w:r>
              <w:rPr>
                <w:rStyle w:val="IndexLink"/>
                <w:rtl w:val="true"/>
              </w:rPr>
              <w:t>.</w:t>
              <w:tab/>
            </w:r>
            <w:r>
              <w:rPr>
                <w:rStyle w:val="IndexLink"/>
              </w:rPr>
              <w:t>470</w:t>
            </w:r>
          </w:hyperlink>
        </w:p>
        <w:p>
          <w:pPr>
            <w:pStyle w:val="Contents6"/>
            <w:tabs>
              <w:tab w:val="clear" w:pos="7609"/>
              <w:tab w:val="right" w:pos="9026" w:leader="dot"/>
            </w:tabs>
            <w:rPr/>
          </w:pPr>
          <w:hyperlink w:anchor="__RefHeading___Toc8193421_1051229030">
            <w:r>
              <w:rPr>
                <w:webHidden/>
                <w:rStyle w:val="IndexLink"/>
                <w:rtl w:val="true"/>
              </w:rPr>
              <w:t>المسألة الثالثة</w:t>
            </w:r>
            <w:r>
              <w:rPr>
                <w:rStyle w:val="IndexLink"/>
                <w:rtl w:val="true"/>
              </w:rPr>
              <w:t xml:space="preserve">: </w:t>
            </w:r>
            <w:r>
              <w:rPr>
                <w:rStyle w:val="IndexLink"/>
                <w:rtl w:val="true"/>
              </w:rPr>
              <w:t>اجراء الأصول في الألفاظ</w:t>
            </w:r>
            <w:r>
              <w:rPr>
                <w:rStyle w:val="IndexLink"/>
                <w:rtl w:val="true"/>
              </w:rPr>
              <w:t>.</w:t>
              <w:tab/>
            </w:r>
            <w:r>
              <w:rPr>
                <w:rStyle w:val="IndexLink"/>
              </w:rPr>
              <w:t>471</w:t>
            </w:r>
          </w:hyperlink>
        </w:p>
        <w:p>
          <w:pPr>
            <w:pStyle w:val="Contents5"/>
            <w:tabs>
              <w:tab w:val="clear" w:pos="7892"/>
              <w:tab w:val="right" w:pos="9026" w:leader="dot"/>
            </w:tabs>
            <w:rPr/>
          </w:pPr>
          <w:hyperlink w:anchor="__RefHeading___Toc8193423_1051229030">
            <w:r>
              <w:rPr>
                <w:webHidden/>
                <w:rStyle w:val="IndexLink"/>
                <w:rtl w:val="true"/>
              </w:rPr>
              <w:t>أصالة الاحتياط</w:t>
            </w:r>
            <w:r>
              <w:rPr>
                <w:rStyle w:val="IndexLink"/>
                <w:rtl w:val="true"/>
              </w:rPr>
              <w:tab/>
            </w:r>
            <w:r>
              <w:rPr>
                <w:rStyle w:val="IndexLink"/>
              </w:rPr>
              <w:t>474</w:t>
            </w:r>
          </w:hyperlink>
        </w:p>
        <w:p>
          <w:pPr>
            <w:pStyle w:val="Contents6"/>
            <w:tabs>
              <w:tab w:val="clear" w:pos="7609"/>
              <w:tab w:val="right" w:pos="9026" w:leader="dot"/>
            </w:tabs>
            <w:rPr/>
          </w:pPr>
          <w:hyperlink w:anchor="__RefHeading___Toc8193425_1051229030">
            <w:r>
              <w:rPr>
                <w:webHidden/>
                <w:rStyle w:val="IndexLink"/>
                <w:rtl w:val="true"/>
              </w:rPr>
              <w:t>اشارة</w:t>
            </w:r>
            <w:r>
              <w:rPr>
                <w:rStyle w:val="IndexLink"/>
                <w:rtl w:val="true"/>
              </w:rPr>
              <w:tab/>
            </w:r>
            <w:r>
              <w:rPr>
                <w:rStyle w:val="IndexLink"/>
              </w:rPr>
              <w:t>474</w:t>
            </w:r>
          </w:hyperlink>
        </w:p>
        <w:p>
          <w:pPr>
            <w:pStyle w:val="Contents6"/>
            <w:tabs>
              <w:tab w:val="clear" w:pos="7609"/>
              <w:tab w:val="right" w:pos="9026" w:leader="dot"/>
            </w:tabs>
            <w:rPr/>
          </w:pPr>
          <w:hyperlink w:anchor="__RefHeading___Toc8193427_1051229030">
            <w:r>
              <w:rPr>
                <w:webHidden/>
                <w:rStyle w:val="IndexLink"/>
                <w:rtl w:val="true"/>
              </w:rPr>
              <w:t>المسألة الأولى</w:t>
            </w:r>
            <w:r>
              <w:rPr>
                <w:rStyle w:val="IndexLink"/>
                <w:rtl w:val="true"/>
              </w:rPr>
              <w:t xml:space="preserve">: </w:t>
            </w:r>
            <w:r>
              <w:rPr>
                <w:rStyle w:val="IndexLink"/>
                <w:rtl w:val="true"/>
              </w:rPr>
              <w:t>اكتفاء الشارع بالموافقة الاحتمالية للعلم الإجمالي</w:t>
            </w:r>
            <w:r>
              <w:rPr>
                <w:rStyle w:val="IndexLink"/>
                <w:rtl w:val="true"/>
              </w:rPr>
              <w:t>.</w:t>
              <w:tab/>
            </w:r>
            <w:r>
              <w:rPr>
                <w:rStyle w:val="IndexLink"/>
              </w:rPr>
              <w:t>475</w:t>
            </w:r>
          </w:hyperlink>
        </w:p>
        <w:p>
          <w:pPr>
            <w:pStyle w:val="Contents6"/>
            <w:tabs>
              <w:tab w:val="clear" w:pos="7609"/>
              <w:tab w:val="right" w:pos="9026" w:leader="dot"/>
            </w:tabs>
            <w:rPr/>
          </w:pPr>
          <w:hyperlink w:anchor="__RefHeading___Toc8193429_1051229030">
            <w:r>
              <w:rPr>
                <w:webHidden/>
                <w:rStyle w:val="IndexLink"/>
                <w:rtl w:val="true"/>
              </w:rPr>
              <w:t>المسألة الثانية</w:t>
            </w:r>
            <w:r>
              <w:rPr>
                <w:rStyle w:val="IndexLink"/>
                <w:rtl w:val="true"/>
              </w:rPr>
              <w:t xml:space="preserve">: </w:t>
            </w:r>
            <w:r>
              <w:rPr>
                <w:rStyle w:val="IndexLink"/>
                <w:rtl w:val="true"/>
              </w:rPr>
              <w:t>العلم الإجمالي في التدريجيات</w:t>
            </w:r>
            <w:r>
              <w:rPr>
                <w:rStyle w:val="IndexLink"/>
                <w:rtl w:val="true"/>
              </w:rPr>
              <w:t>.</w:t>
              <w:tab/>
            </w:r>
            <w:r>
              <w:rPr>
                <w:rStyle w:val="IndexLink"/>
              </w:rPr>
              <w:t>476</w:t>
            </w:r>
          </w:hyperlink>
        </w:p>
        <w:p>
          <w:pPr>
            <w:pStyle w:val="Contents6"/>
            <w:tabs>
              <w:tab w:val="clear" w:pos="7609"/>
              <w:tab w:val="right" w:pos="9026" w:leader="dot"/>
            </w:tabs>
            <w:rPr/>
          </w:pPr>
          <w:hyperlink w:anchor="__RefHeading___Toc8193431_1051229030">
            <w:r>
              <w:rPr>
                <w:webHidden/>
                <w:rStyle w:val="IndexLink"/>
                <w:rtl w:val="true"/>
              </w:rPr>
              <w:t>المسألة الثالثة</w:t>
            </w:r>
            <w:r>
              <w:rPr>
                <w:rStyle w:val="IndexLink"/>
                <w:rtl w:val="true"/>
              </w:rPr>
              <w:t xml:space="preserve">: </w:t>
            </w:r>
            <w:r>
              <w:rPr>
                <w:rStyle w:val="IndexLink"/>
                <w:rtl w:val="true"/>
              </w:rPr>
              <w:t>انحلال العلم الإجمالي الكبير بالعلم الصغير</w:t>
            </w:r>
            <w:r>
              <w:rPr>
                <w:rStyle w:val="IndexLink"/>
                <w:rtl w:val="true"/>
              </w:rPr>
              <w:t>.</w:t>
              <w:tab/>
            </w:r>
            <w:r>
              <w:rPr>
                <w:rStyle w:val="IndexLink"/>
              </w:rPr>
              <w:t>478</w:t>
            </w:r>
          </w:hyperlink>
        </w:p>
        <w:p>
          <w:pPr>
            <w:pStyle w:val="Contents6"/>
            <w:tabs>
              <w:tab w:val="clear" w:pos="7609"/>
              <w:tab w:val="right" w:pos="9026" w:leader="dot"/>
            </w:tabs>
            <w:rPr/>
          </w:pPr>
          <w:hyperlink w:anchor="__RefHeading___Toc8193433_1051229030">
            <w:r>
              <w:rPr>
                <w:webHidden/>
                <w:rStyle w:val="IndexLink"/>
                <w:rtl w:val="true"/>
              </w:rPr>
              <w:t>المسألة الرابعة</w:t>
            </w:r>
            <w:r>
              <w:rPr>
                <w:rStyle w:val="IndexLink"/>
                <w:rtl w:val="true"/>
              </w:rPr>
              <w:t xml:space="preserve">: </w:t>
            </w:r>
            <w:r>
              <w:rPr>
                <w:rStyle w:val="IndexLink"/>
                <w:rtl w:val="true"/>
              </w:rPr>
              <w:t>العلم الإجمالي بعد امتثال احد أطرافه</w:t>
            </w:r>
            <w:r>
              <w:rPr>
                <w:rStyle w:val="IndexLink"/>
                <w:rtl w:val="true"/>
              </w:rPr>
              <w:t>.</w:t>
              <w:tab/>
            </w:r>
            <w:r>
              <w:rPr>
                <w:rStyle w:val="IndexLink"/>
              </w:rPr>
              <w:t>479</w:t>
            </w:r>
          </w:hyperlink>
        </w:p>
        <w:p>
          <w:pPr>
            <w:pStyle w:val="Contents6"/>
            <w:tabs>
              <w:tab w:val="clear" w:pos="7609"/>
              <w:tab w:val="right" w:pos="9026" w:leader="dot"/>
            </w:tabs>
            <w:rPr/>
          </w:pPr>
          <w:hyperlink w:anchor="__RefHeading___Toc8193435_1051229030">
            <w:r>
              <w:rPr>
                <w:webHidden/>
                <w:rStyle w:val="IndexLink"/>
                <w:rtl w:val="true"/>
              </w:rPr>
              <w:t>المسألة الخامسة</w:t>
            </w:r>
            <w:r>
              <w:rPr>
                <w:rStyle w:val="IndexLink"/>
                <w:rtl w:val="true"/>
              </w:rPr>
              <w:t xml:space="preserve">: </w:t>
            </w:r>
            <w:r>
              <w:rPr>
                <w:rStyle w:val="IndexLink"/>
                <w:rtl w:val="true"/>
              </w:rPr>
              <w:t>انقلاب الأصل</w:t>
            </w:r>
            <w:r>
              <w:rPr>
                <w:rStyle w:val="IndexLink"/>
                <w:rtl w:val="true"/>
              </w:rPr>
              <w:t>.</w:t>
              <w:tab/>
            </w:r>
            <w:r>
              <w:rPr>
                <w:rStyle w:val="IndexLink"/>
              </w:rPr>
              <w:t>479</w:t>
            </w:r>
          </w:hyperlink>
        </w:p>
        <w:p>
          <w:pPr>
            <w:pStyle w:val="Contents6"/>
            <w:tabs>
              <w:tab w:val="clear" w:pos="7609"/>
              <w:tab w:val="right" w:pos="9026" w:leader="dot"/>
            </w:tabs>
            <w:rPr/>
          </w:pPr>
          <w:hyperlink w:anchor="__RefHeading___Toc8193437_1051229030">
            <w:r>
              <w:rPr>
                <w:webHidden/>
                <w:rStyle w:val="IndexLink"/>
                <w:rtl w:val="true"/>
              </w:rPr>
              <w:t>المسألة السادسة</w:t>
            </w:r>
            <w:r>
              <w:rPr>
                <w:rStyle w:val="IndexLink"/>
                <w:rtl w:val="true"/>
              </w:rPr>
              <w:t xml:space="preserve">: </w:t>
            </w:r>
            <w:r>
              <w:rPr>
                <w:rStyle w:val="IndexLink"/>
                <w:rtl w:val="true"/>
              </w:rPr>
              <w:t>الدوران بين التعيين والتخيير العقلي</w:t>
            </w:r>
            <w:r>
              <w:rPr>
                <w:rStyle w:val="IndexLink"/>
                <w:rtl w:val="true"/>
              </w:rPr>
              <w:t>.</w:t>
              <w:tab/>
            </w:r>
            <w:r>
              <w:rPr>
                <w:rStyle w:val="IndexLink"/>
              </w:rPr>
              <w:t>481</w:t>
            </w:r>
          </w:hyperlink>
        </w:p>
        <w:p>
          <w:pPr>
            <w:pStyle w:val="Contents6"/>
            <w:tabs>
              <w:tab w:val="clear" w:pos="7609"/>
              <w:tab w:val="right" w:pos="9026" w:leader="dot"/>
            </w:tabs>
            <w:rPr/>
          </w:pPr>
          <w:hyperlink w:anchor="__RefHeading___Toc8193439_1051229030">
            <w:r>
              <w:rPr>
                <w:webHidden/>
                <w:rStyle w:val="IndexLink"/>
                <w:rtl w:val="true"/>
              </w:rPr>
              <w:t>المسألة السابعة</w:t>
            </w:r>
            <w:r>
              <w:rPr>
                <w:rStyle w:val="IndexLink"/>
                <w:rtl w:val="true"/>
              </w:rPr>
              <w:t xml:space="preserve">: </w:t>
            </w:r>
            <w:r>
              <w:rPr>
                <w:rStyle w:val="IndexLink"/>
                <w:rtl w:val="true"/>
              </w:rPr>
              <w:t>الدوران بين التعيين والتخيير الشرعي</w:t>
            </w:r>
            <w:r>
              <w:rPr>
                <w:rStyle w:val="IndexLink"/>
                <w:rtl w:val="true"/>
              </w:rPr>
              <w:t>.</w:t>
              <w:tab/>
            </w:r>
            <w:r>
              <w:rPr>
                <w:rStyle w:val="IndexLink"/>
              </w:rPr>
              <w:t>482</w:t>
            </w:r>
          </w:hyperlink>
        </w:p>
        <w:p>
          <w:pPr>
            <w:pStyle w:val="Contents6"/>
            <w:tabs>
              <w:tab w:val="clear" w:pos="7609"/>
              <w:tab w:val="right" w:pos="9026" w:leader="dot"/>
            </w:tabs>
            <w:rPr/>
          </w:pPr>
          <w:hyperlink w:anchor="__RefHeading___Toc8193441_1051229030">
            <w:r>
              <w:rPr>
                <w:webHidden/>
                <w:rStyle w:val="IndexLink"/>
                <w:rtl w:val="true"/>
              </w:rPr>
              <w:t>المسألة الثامنة</w:t>
            </w:r>
            <w:r>
              <w:rPr>
                <w:rStyle w:val="IndexLink"/>
                <w:rtl w:val="true"/>
              </w:rPr>
              <w:t xml:space="preserve">: </w:t>
            </w:r>
            <w:r>
              <w:rPr>
                <w:rStyle w:val="IndexLink"/>
                <w:rtl w:val="true"/>
              </w:rPr>
              <w:t>الاحتمال المنجز للاحتياط</w:t>
            </w:r>
            <w:r>
              <w:rPr>
                <w:rStyle w:val="IndexLink"/>
                <w:rtl w:val="true"/>
              </w:rPr>
              <w:t>.</w:t>
              <w:tab/>
            </w:r>
            <w:r>
              <w:rPr>
                <w:rStyle w:val="IndexLink"/>
              </w:rPr>
              <w:t>488</w:t>
            </w:r>
          </w:hyperlink>
        </w:p>
        <w:p>
          <w:pPr>
            <w:pStyle w:val="Contents6"/>
            <w:tabs>
              <w:tab w:val="clear" w:pos="7609"/>
              <w:tab w:val="right" w:pos="9026" w:leader="dot"/>
            </w:tabs>
            <w:rPr/>
          </w:pPr>
          <w:hyperlink w:anchor="__RefHeading___Toc8193443_1051229030">
            <w:r>
              <w:rPr>
                <w:webHidden/>
                <w:rStyle w:val="IndexLink"/>
                <w:rtl w:val="true"/>
              </w:rPr>
              <w:t>المسألة التاسعة</w:t>
            </w:r>
            <w:r>
              <w:rPr>
                <w:rStyle w:val="IndexLink"/>
                <w:rtl w:val="true"/>
              </w:rPr>
              <w:t xml:space="preserve">: </w:t>
            </w:r>
            <w:r>
              <w:rPr>
                <w:rStyle w:val="IndexLink"/>
                <w:rtl w:val="true"/>
              </w:rPr>
              <w:t>لا علم اجمالي بين تكليف الشخص وتكليف غيره</w:t>
            </w:r>
            <w:r>
              <w:rPr>
                <w:rStyle w:val="IndexLink"/>
                <w:rtl w:val="true"/>
              </w:rPr>
              <w:tab/>
            </w:r>
            <w:r>
              <w:rPr>
                <w:rStyle w:val="IndexLink"/>
              </w:rPr>
              <w:t>489</w:t>
            </w:r>
          </w:hyperlink>
        </w:p>
        <w:p>
          <w:pPr>
            <w:pStyle w:val="Contents5"/>
            <w:tabs>
              <w:tab w:val="clear" w:pos="7892"/>
              <w:tab w:val="right" w:pos="9026" w:leader="dot"/>
            </w:tabs>
            <w:rPr/>
          </w:pPr>
          <w:hyperlink w:anchor="__RefHeading___Toc8193445_1051229030">
            <w:r>
              <w:rPr>
                <w:webHidden/>
                <w:rStyle w:val="IndexLink"/>
                <w:rtl w:val="true"/>
              </w:rPr>
              <w:t>الاستصحاب</w:t>
            </w:r>
            <w:r>
              <w:rPr>
                <w:rStyle w:val="IndexLink"/>
                <w:rtl w:val="true"/>
              </w:rPr>
              <w:tab/>
            </w:r>
            <w:r>
              <w:rPr>
                <w:rStyle w:val="IndexLink"/>
              </w:rPr>
              <w:t>491</w:t>
            </w:r>
          </w:hyperlink>
        </w:p>
        <w:p>
          <w:pPr>
            <w:pStyle w:val="Contents6"/>
            <w:tabs>
              <w:tab w:val="clear" w:pos="7609"/>
              <w:tab w:val="right" w:pos="9026" w:leader="dot"/>
            </w:tabs>
            <w:rPr/>
          </w:pPr>
          <w:hyperlink w:anchor="__RefHeading___Toc8193447_1051229030">
            <w:r>
              <w:rPr>
                <w:webHidden/>
                <w:rStyle w:val="IndexLink"/>
                <w:rtl w:val="true"/>
              </w:rPr>
              <w:t>اشارة</w:t>
            </w:r>
            <w:r>
              <w:rPr>
                <w:rStyle w:val="IndexLink"/>
                <w:rtl w:val="true"/>
              </w:rPr>
              <w:tab/>
            </w:r>
            <w:r>
              <w:rPr>
                <w:rStyle w:val="IndexLink"/>
              </w:rPr>
              <w:t>491</w:t>
            </w:r>
          </w:hyperlink>
        </w:p>
        <w:p>
          <w:pPr>
            <w:pStyle w:val="Contents6"/>
            <w:tabs>
              <w:tab w:val="clear" w:pos="7609"/>
              <w:tab w:val="right" w:pos="9026" w:leader="dot"/>
            </w:tabs>
            <w:rPr/>
          </w:pPr>
          <w:hyperlink w:anchor="__RefHeading___Toc8193449_1051229030">
            <w:r>
              <w:rPr>
                <w:webHidden/>
                <w:rStyle w:val="IndexLink"/>
                <w:rtl w:val="true"/>
              </w:rPr>
              <w:t>المسألة الأولى</w:t>
            </w:r>
            <w:r>
              <w:rPr>
                <w:rStyle w:val="IndexLink"/>
                <w:rtl w:val="true"/>
              </w:rPr>
              <w:t xml:space="preserve">: </w:t>
            </w:r>
            <w:r>
              <w:rPr>
                <w:rStyle w:val="IndexLink"/>
                <w:rtl w:val="true"/>
              </w:rPr>
              <w:t>ادلة حجية الاستصحاب</w:t>
            </w:r>
            <w:r>
              <w:rPr>
                <w:rStyle w:val="IndexLink"/>
                <w:rtl w:val="true"/>
              </w:rPr>
              <w:t>.</w:t>
              <w:tab/>
            </w:r>
            <w:r>
              <w:rPr>
                <w:rStyle w:val="IndexLink"/>
              </w:rPr>
              <w:t>492</w:t>
            </w:r>
          </w:hyperlink>
        </w:p>
        <w:p>
          <w:pPr>
            <w:pStyle w:val="Contents6"/>
            <w:tabs>
              <w:tab w:val="clear" w:pos="7609"/>
              <w:tab w:val="right" w:pos="9026" w:leader="dot"/>
            </w:tabs>
            <w:rPr/>
          </w:pPr>
          <w:hyperlink w:anchor="__RefHeading___Toc8193451_1051229030">
            <w:r>
              <w:rPr>
                <w:webHidden/>
                <w:rStyle w:val="IndexLink"/>
                <w:rtl w:val="true"/>
              </w:rPr>
              <w:t>المسألة الثانية</w:t>
            </w:r>
            <w:r>
              <w:rPr>
                <w:rStyle w:val="IndexLink"/>
                <w:rtl w:val="true"/>
              </w:rPr>
              <w:t xml:space="preserve">: </w:t>
            </w:r>
            <w:r>
              <w:rPr>
                <w:rStyle w:val="IndexLink"/>
                <w:rtl w:val="true"/>
              </w:rPr>
              <w:t>وحدة القضية المتيقنة والمشكوكة</w:t>
            </w:r>
            <w:r>
              <w:rPr>
                <w:rStyle w:val="IndexLink"/>
                <w:rtl w:val="true"/>
              </w:rPr>
              <w:t>.</w:t>
              <w:tab/>
            </w:r>
            <w:r>
              <w:rPr>
                <w:rStyle w:val="IndexLink"/>
              </w:rPr>
              <w:t>492</w:t>
            </w:r>
          </w:hyperlink>
        </w:p>
        <w:p>
          <w:pPr>
            <w:pStyle w:val="Contents6"/>
            <w:tabs>
              <w:tab w:val="clear" w:pos="7609"/>
              <w:tab w:val="right" w:pos="9026" w:leader="dot"/>
            </w:tabs>
            <w:rPr/>
          </w:pPr>
          <w:hyperlink w:anchor="__RefHeading___Toc8193453_1051229030">
            <w:r>
              <w:rPr>
                <w:webHidden/>
                <w:rStyle w:val="IndexLink"/>
                <w:rtl w:val="true"/>
              </w:rPr>
              <w:t>المسألة الثالثة</w:t>
            </w:r>
            <w:r>
              <w:rPr>
                <w:rStyle w:val="IndexLink"/>
                <w:rtl w:val="true"/>
              </w:rPr>
              <w:t xml:space="preserve">: </w:t>
            </w:r>
            <w:r>
              <w:rPr>
                <w:rStyle w:val="IndexLink"/>
                <w:rtl w:val="true"/>
              </w:rPr>
              <w:t>الأثر الشرعي للمستصحَب</w:t>
            </w:r>
            <w:r>
              <w:rPr>
                <w:rStyle w:val="IndexLink"/>
                <w:rtl w:val="true"/>
              </w:rPr>
              <w:t>.</w:t>
              <w:tab/>
            </w:r>
            <w:r>
              <w:rPr>
                <w:rStyle w:val="IndexLink"/>
              </w:rPr>
              <w:t>493</w:t>
            </w:r>
          </w:hyperlink>
        </w:p>
        <w:p>
          <w:pPr>
            <w:pStyle w:val="Contents6"/>
            <w:tabs>
              <w:tab w:val="clear" w:pos="7609"/>
              <w:tab w:val="right" w:pos="9026" w:leader="dot"/>
            </w:tabs>
            <w:rPr/>
          </w:pPr>
          <w:hyperlink w:anchor="__RefHeading___Toc8193455_1051229030">
            <w:r>
              <w:rPr>
                <w:webHidden/>
                <w:rStyle w:val="IndexLink"/>
                <w:rtl w:val="true"/>
              </w:rPr>
              <w:t>المسألة الرابعة</w:t>
            </w:r>
            <w:r>
              <w:rPr>
                <w:rStyle w:val="IndexLink"/>
                <w:rtl w:val="true"/>
              </w:rPr>
              <w:t xml:space="preserve">: </w:t>
            </w:r>
            <w:r>
              <w:rPr>
                <w:rStyle w:val="IndexLink"/>
                <w:rtl w:val="true"/>
              </w:rPr>
              <w:t>الاستصحاب التعليقي</w:t>
            </w:r>
            <w:r>
              <w:rPr>
                <w:rStyle w:val="IndexLink"/>
                <w:rtl w:val="true"/>
              </w:rPr>
              <w:t>.</w:t>
              <w:tab/>
            </w:r>
            <w:r>
              <w:rPr>
                <w:rStyle w:val="IndexLink"/>
              </w:rPr>
              <w:t>494</w:t>
            </w:r>
          </w:hyperlink>
        </w:p>
        <w:p>
          <w:pPr>
            <w:pStyle w:val="Contents6"/>
            <w:tabs>
              <w:tab w:val="clear" w:pos="7609"/>
              <w:tab w:val="right" w:pos="9026" w:leader="dot"/>
            </w:tabs>
            <w:rPr/>
          </w:pPr>
          <w:hyperlink w:anchor="__RefHeading___Toc8193457_1051229030">
            <w:r>
              <w:rPr>
                <w:webHidden/>
                <w:rStyle w:val="IndexLink"/>
                <w:rtl w:val="true"/>
              </w:rPr>
              <w:t>المسألة الخامسة</w:t>
            </w:r>
            <w:r>
              <w:rPr>
                <w:rStyle w:val="IndexLink"/>
                <w:rtl w:val="true"/>
              </w:rPr>
              <w:t xml:space="preserve">: </w:t>
            </w:r>
            <w:r>
              <w:rPr>
                <w:rStyle w:val="IndexLink"/>
                <w:rtl w:val="true"/>
              </w:rPr>
              <w:t>استصحاب الاحكام الكلية</w:t>
            </w:r>
            <w:r>
              <w:rPr>
                <w:rStyle w:val="IndexLink"/>
                <w:rtl w:val="true"/>
              </w:rPr>
              <w:t>.</w:t>
              <w:tab/>
            </w:r>
            <w:r>
              <w:rPr>
                <w:rStyle w:val="IndexLink"/>
              </w:rPr>
              <w:t>498</w:t>
            </w:r>
          </w:hyperlink>
        </w:p>
        <w:p>
          <w:pPr>
            <w:pStyle w:val="Contents6"/>
            <w:tabs>
              <w:tab w:val="clear" w:pos="7609"/>
              <w:tab w:val="right" w:pos="9026" w:leader="dot"/>
            </w:tabs>
            <w:rPr/>
          </w:pPr>
          <w:hyperlink w:anchor="__RefHeading___Toc8193459_1051229030">
            <w:r>
              <w:rPr>
                <w:webHidden/>
                <w:rStyle w:val="IndexLink"/>
                <w:rtl w:val="true"/>
              </w:rPr>
              <w:t>الأصول العملية الجارية في المقام</w:t>
            </w:r>
            <w:r>
              <w:rPr>
                <w:rStyle w:val="IndexLink"/>
                <w:rtl w:val="true"/>
              </w:rPr>
              <w:tab/>
            </w:r>
            <w:r>
              <w:rPr>
                <w:rStyle w:val="IndexLink"/>
              </w:rPr>
              <w:t>499</w:t>
            </w:r>
          </w:hyperlink>
        </w:p>
        <w:p>
          <w:pPr>
            <w:pStyle w:val="Contents6"/>
            <w:tabs>
              <w:tab w:val="clear" w:pos="7609"/>
              <w:tab w:val="right" w:pos="9026" w:leader="dot"/>
            </w:tabs>
            <w:rPr/>
          </w:pPr>
          <w:hyperlink w:anchor="__RefHeading___Toc8193461_1051229030">
            <w:r>
              <w:rPr>
                <w:webHidden/>
                <w:rStyle w:val="IndexLink"/>
                <w:rtl w:val="true"/>
              </w:rPr>
              <w:t>المسألة السادسة</w:t>
            </w:r>
            <w:r>
              <w:rPr>
                <w:rStyle w:val="IndexLink"/>
                <w:rtl w:val="true"/>
              </w:rPr>
              <w:t xml:space="preserve">: </w:t>
            </w:r>
            <w:r>
              <w:rPr>
                <w:rStyle w:val="IndexLink"/>
                <w:rtl w:val="true"/>
              </w:rPr>
              <w:t>استصحاب الكلي من القسم الثالث</w:t>
            </w:r>
            <w:r>
              <w:rPr>
                <w:rStyle w:val="IndexLink"/>
                <w:rtl w:val="true"/>
              </w:rPr>
              <w:t>.</w:t>
              <w:tab/>
            </w:r>
            <w:r>
              <w:rPr>
                <w:rStyle w:val="IndexLink"/>
              </w:rPr>
              <w:t>501</w:t>
            </w:r>
          </w:hyperlink>
        </w:p>
        <w:p>
          <w:pPr>
            <w:pStyle w:val="Contents6"/>
            <w:tabs>
              <w:tab w:val="clear" w:pos="7609"/>
              <w:tab w:val="right" w:pos="9026" w:leader="dot"/>
            </w:tabs>
            <w:rPr/>
          </w:pPr>
          <w:hyperlink w:anchor="__RefHeading___Toc8193463_1051229030">
            <w:r>
              <w:rPr>
                <w:webHidden/>
                <w:rStyle w:val="IndexLink"/>
                <w:rtl w:val="true"/>
              </w:rPr>
              <w:t>المسألة السابعة</w:t>
            </w:r>
            <w:r>
              <w:rPr>
                <w:rStyle w:val="IndexLink"/>
                <w:rtl w:val="true"/>
              </w:rPr>
              <w:t xml:space="preserve">: </w:t>
            </w:r>
            <w:r>
              <w:rPr>
                <w:rStyle w:val="IndexLink"/>
                <w:rtl w:val="true"/>
              </w:rPr>
              <w:t>الاستصحاب في التدريجيات</w:t>
            </w:r>
            <w:r>
              <w:rPr>
                <w:rStyle w:val="IndexLink"/>
                <w:rtl w:val="true"/>
              </w:rPr>
              <w:t>.</w:t>
              <w:tab/>
            </w:r>
            <w:r>
              <w:rPr>
                <w:rStyle w:val="IndexLink"/>
              </w:rPr>
              <w:t>501</w:t>
            </w:r>
          </w:hyperlink>
        </w:p>
        <w:p>
          <w:pPr>
            <w:pStyle w:val="Contents6"/>
            <w:tabs>
              <w:tab w:val="clear" w:pos="7609"/>
              <w:tab w:val="right" w:pos="9026" w:leader="dot"/>
            </w:tabs>
            <w:rPr/>
          </w:pPr>
          <w:hyperlink w:anchor="__RefHeading___Toc8193465_1051229030">
            <w:r>
              <w:rPr>
                <w:webHidden/>
                <w:rStyle w:val="IndexLink"/>
                <w:rtl w:val="true"/>
              </w:rPr>
              <w:t>المسألة الثامنة</w:t>
            </w:r>
            <w:r>
              <w:rPr>
                <w:rStyle w:val="IndexLink"/>
                <w:rtl w:val="true"/>
              </w:rPr>
              <w:t xml:space="preserve">: </w:t>
            </w:r>
            <w:r>
              <w:rPr>
                <w:rStyle w:val="IndexLink"/>
                <w:rtl w:val="true"/>
              </w:rPr>
              <w:t>استصحاب العدم الازلي</w:t>
            </w:r>
            <w:r>
              <w:rPr>
                <w:rStyle w:val="IndexLink"/>
                <w:rtl w:val="true"/>
              </w:rPr>
              <w:t>.</w:t>
              <w:tab/>
            </w:r>
            <w:r>
              <w:rPr>
                <w:rStyle w:val="IndexLink"/>
              </w:rPr>
              <w:t>503</w:t>
            </w:r>
          </w:hyperlink>
        </w:p>
        <w:p>
          <w:pPr>
            <w:pStyle w:val="Contents6"/>
            <w:tabs>
              <w:tab w:val="clear" w:pos="7609"/>
              <w:tab w:val="right" w:pos="9026" w:leader="dot"/>
            </w:tabs>
            <w:rPr/>
          </w:pPr>
          <w:hyperlink w:anchor="__RefHeading___Toc8193467_1051229030">
            <w:r>
              <w:rPr>
                <w:webHidden/>
                <w:rStyle w:val="IndexLink"/>
                <w:rtl w:val="true"/>
              </w:rPr>
              <w:t>المسألة التاسعة</w:t>
            </w:r>
            <w:r>
              <w:rPr>
                <w:rStyle w:val="IndexLink"/>
                <w:rtl w:val="true"/>
              </w:rPr>
              <w:t xml:space="preserve">: </w:t>
            </w:r>
            <w:r>
              <w:rPr>
                <w:rStyle w:val="IndexLink"/>
                <w:rtl w:val="true"/>
              </w:rPr>
              <w:t>الشك السببي والمسببي</w:t>
            </w:r>
            <w:r>
              <w:rPr>
                <w:rStyle w:val="IndexLink"/>
                <w:rtl w:val="true"/>
              </w:rPr>
              <w:t>.</w:t>
              <w:tab/>
            </w:r>
            <w:r>
              <w:rPr>
                <w:rStyle w:val="IndexLink"/>
              </w:rPr>
              <w:t>506</w:t>
            </w:r>
          </w:hyperlink>
        </w:p>
        <w:p>
          <w:pPr>
            <w:pStyle w:val="Contents6"/>
            <w:tabs>
              <w:tab w:val="clear" w:pos="7609"/>
              <w:tab w:val="right" w:pos="9026" w:leader="dot"/>
            </w:tabs>
            <w:rPr/>
          </w:pPr>
          <w:hyperlink w:anchor="__RefHeading___Toc8193469_1051229030">
            <w:r>
              <w:rPr>
                <w:webHidden/>
                <w:rStyle w:val="IndexLink"/>
                <w:rtl w:val="true"/>
              </w:rPr>
              <w:t>المسألة العاشرة</w:t>
            </w:r>
            <w:r>
              <w:rPr>
                <w:rStyle w:val="IndexLink"/>
                <w:rtl w:val="true"/>
              </w:rPr>
              <w:t xml:space="preserve">: </w:t>
            </w:r>
            <w:r>
              <w:rPr>
                <w:rStyle w:val="IndexLink"/>
                <w:rtl w:val="true"/>
              </w:rPr>
              <w:t>استصحاب مجهولي التاريخ</w:t>
            </w:r>
            <w:r>
              <w:rPr>
                <w:rStyle w:val="IndexLink"/>
                <w:rtl w:val="true"/>
              </w:rPr>
              <w:t>.</w:t>
              <w:tab/>
            </w:r>
            <w:r>
              <w:rPr>
                <w:rStyle w:val="IndexLink"/>
              </w:rPr>
              <w:t>508</w:t>
            </w:r>
          </w:hyperlink>
        </w:p>
        <w:p>
          <w:pPr>
            <w:pStyle w:val="Contents6"/>
            <w:tabs>
              <w:tab w:val="clear" w:pos="7609"/>
              <w:tab w:val="right" w:pos="9026" w:leader="dot"/>
            </w:tabs>
            <w:rPr/>
          </w:pPr>
          <w:hyperlink w:anchor="__RefHeading___Toc8193471_1051229030">
            <w:r>
              <w:rPr>
                <w:webHidden/>
                <w:rStyle w:val="IndexLink"/>
                <w:rtl w:val="true"/>
              </w:rPr>
              <w:t>المسألة الحادية عشرة</w:t>
            </w:r>
            <w:r>
              <w:rPr>
                <w:rStyle w:val="IndexLink"/>
                <w:rtl w:val="true"/>
              </w:rPr>
              <w:t xml:space="preserve">: </w:t>
            </w:r>
            <w:r>
              <w:rPr>
                <w:rStyle w:val="IndexLink"/>
                <w:rtl w:val="true"/>
              </w:rPr>
              <w:t>الاستصحاب في الموضوع المشتبه مفهوما</w:t>
            </w:r>
            <w:r>
              <w:rPr>
                <w:rStyle w:val="IndexLink"/>
                <w:rtl w:val="true"/>
              </w:rPr>
              <w:t>.</w:t>
              <w:tab/>
            </w:r>
            <w:r>
              <w:rPr>
                <w:rStyle w:val="IndexLink"/>
              </w:rPr>
              <w:t>509</w:t>
            </w:r>
          </w:hyperlink>
        </w:p>
        <w:p>
          <w:pPr>
            <w:pStyle w:val="Contents6"/>
            <w:tabs>
              <w:tab w:val="clear" w:pos="7609"/>
              <w:tab w:val="right" w:pos="9026" w:leader="dot"/>
            </w:tabs>
            <w:rPr/>
          </w:pPr>
          <w:hyperlink w:anchor="__RefHeading___Toc8193473_1051229030">
            <w:r>
              <w:rPr>
                <w:webHidden/>
                <w:rStyle w:val="IndexLink"/>
                <w:rtl w:val="true"/>
              </w:rPr>
              <w:t>المسألة الثانية عشرة</w:t>
            </w:r>
            <w:r>
              <w:rPr>
                <w:rStyle w:val="IndexLink"/>
                <w:rtl w:val="true"/>
              </w:rPr>
              <w:t xml:space="preserve">: </w:t>
            </w:r>
            <w:r>
              <w:rPr>
                <w:rStyle w:val="IndexLink"/>
                <w:rtl w:val="true"/>
              </w:rPr>
              <w:t>الأصل المثبت</w:t>
            </w:r>
            <w:r>
              <w:rPr>
                <w:rStyle w:val="IndexLink"/>
                <w:rtl w:val="true"/>
              </w:rPr>
              <w:t>.</w:t>
              <w:tab/>
            </w:r>
            <w:r>
              <w:rPr>
                <w:rStyle w:val="IndexLink"/>
              </w:rPr>
              <w:t>511</w:t>
            </w:r>
          </w:hyperlink>
        </w:p>
        <w:p>
          <w:pPr>
            <w:pStyle w:val="Contents6"/>
            <w:tabs>
              <w:tab w:val="clear" w:pos="7609"/>
              <w:tab w:val="right" w:pos="9026" w:leader="dot"/>
            </w:tabs>
            <w:rPr/>
          </w:pPr>
          <w:hyperlink w:anchor="__RefHeading___Toc8193475_1051229030">
            <w:r>
              <w:rPr>
                <w:webHidden/>
                <w:rStyle w:val="IndexLink"/>
                <w:rtl w:val="true"/>
              </w:rPr>
              <w:t>المسألة الثالثة عشرة</w:t>
            </w:r>
            <w:r>
              <w:rPr>
                <w:rStyle w:val="IndexLink"/>
                <w:rtl w:val="true"/>
              </w:rPr>
              <w:t xml:space="preserve">: </w:t>
            </w:r>
            <w:r>
              <w:rPr>
                <w:rStyle w:val="IndexLink"/>
                <w:rtl w:val="true"/>
              </w:rPr>
              <w:t>الاستصحاب في مبادئ الحكم</w:t>
            </w:r>
            <w:r>
              <w:rPr>
                <w:rStyle w:val="IndexLink"/>
                <w:rtl w:val="true"/>
              </w:rPr>
              <w:t>.</w:t>
              <w:tab/>
            </w:r>
            <w:r>
              <w:rPr>
                <w:rStyle w:val="IndexLink"/>
              </w:rPr>
              <w:t>511</w:t>
            </w:r>
          </w:hyperlink>
        </w:p>
        <w:p>
          <w:pPr>
            <w:pStyle w:val="Contents6"/>
            <w:tabs>
              <w:tab w:val="clear" w:pos="7609"/>
              <w:tab w:val="right" w:pos="9026" w:leader="dot"/>
            </w:tabs>
            <w:rPr/>
          </w:pPr>
          <w:hyperlink w:anchor="__RefHeading___Toc8193477_1051229030">
            <w:r>
              <w:rPr>
                <w:webHidden/>
                <w:rStyle w:val="IndexLink"/>
                <w:rtl w:val="true"/>
              </w:rPr>
              <w:t>المسألة الرابعة عشرة</w:t>
            </w:r>
            <w:r>
              <w:rPr>
                <w:rStyle w:val="IndexLink"/>
                <w:rtl w:val="true"/>
              </w:rPr>
              <w:t xml:space="preserve">: </w:t>
            </w:r>
            <w:r>
              <w:rPr>
                <w:rStyle w:val="IndexLink"/>
                <w:rtl w:val="true"/>
              </w:rPr>
              <w:t>الاستصحاب القهقرائي</w:t>
            </w:r>
            <w:r>
              <w:rPr>
                <w:rStyle w:val="IndexLink"/>
                <w:rtl w:val="true"/>
              </w:rPr>
              <w:t>.</w:t>
              <w:tab/>
            </w:r>
            <w:r>
              <w:rPr>
                <w:rStyle w:val="IndexLink"/>
              </w:rPr>
              <w:t>513</w:t>
            </w:r>
          </w:hyperlink>
        </w:p>
        <w:p>
          <w:pPr>
            <w:pStyle w:val="Contents5"/>
            <w:tabs>
              <w:tab w:val="clear" w:pos="7892"/>
              <w:tab w:val="right" w:pos="9026" w:leader="dot"/>
            </w:tabs>
            <w:rPr/>
          </w:pPr>
          <w:hyperlink w:anchor="__RefHeading___Toc8193479_1051229030">
            <w:r>
              <w:rPr>
                <w:webHidden/>
                <w:rStyle w:val="IndexLink"/>
                <w:rtl w:val="true"/>
              </w:rPr>
              <w:t>التعارض</w:t>
            </w:r>
            <w:r>
              <w:rPr>
                <w:rStyle w:val="IndexLink"/>
                <w:rtl w:val="true"/>
              </w:rPr>
              <w:tab/>
            </w:r>
            <w:r>
              <w:rPr>
                <w:rStyle w:val="IndexLink"/>
              </w:rPr>
              <w:t>516</w:t>
            </w:r>
          </w:hyperlink>
        </w:p>
        <w:p>
          <w:pPr>
            <w:pStyle w:val="Contents6"/>
            <w:tabs>
              <w:tab w:val="clear" w:pos="7609"/>
              <w:tab w:val="right" w:pos="9026" w:leader="dot"/>
            </w:tabs>
            <w:rPr/>
          </w:pPr>
          <w:hyperlink w:anchor="__RefHeading___Toc8193481_1051229030">
            <w:r>
              <w:rPr>
                <w:webHidden/>
                <w:rStyle w:val="IndexLink"/>
                <w:rtl w:val="true"/>
              </w:rPr>
              <w:t>اشارة</w:t>
            </w:r>
            <w:r>
              <w:rPr>
                <w:rStyle w:val="IndexLink"/>
                <w:rtl w:val="true"/>
              </w:rPr>
              <w:tab/>
            </w:r>
            <w:r>
              <w:rPr>
                <w:rStyle w:val="IndexLink"/>
              </w:rPr>
              <w:t>516</w:t>
            </w:r>
          </w:hyperlink>
        </w:p>
        <w:p>
          <w:pPr>
            <w:pStyle w:val="Contents6"/>
            <w:tabs>
              <w:tab w:val="clear" w:pos="7609"/>
              <w:tab w:val="right" w:pos="9026" w:leader="dot"/>
            </w:tabs>
            <w:rPr/>
          </w:pPr>
          <w:hyperlink w:anchor="__RefHeading___Toc8193483_1051229030">
            <w:r>
              <w:rPr>
                <w:webHidden/>
                <w:rStyle w:val="IndexLink"/>
                <w:rtl w:val="true"/>
              </w:rPr>
              <w:t>المسألة الأولى</w:t>
            </w:r>
            <w:r>
              <w:rPr>
                <w:rStyle w:val="IndexLink"/>
                <w:rtl w:val="true"/>
              </w:rPr>
              <w:t xml:space="preserve">: </w:t>
            </w:r>
            <w:r>
              <w:rPr>
                <w:rStyle w:val="IndexLink"/>
                <w:rtl w:val="true"/>
              </w:rPr>
              <w:t>تقنين الاحكام</w:t>
            </w:r>
            <w:r>
              <w:rPr>
                <w:rStyle w:val="IndexLink"/>
                <w:rtl w:val="true"/>
              </w:rPr>
              <w:t>.</w:t>
              <w:tab/>
            </w:r>
            <w:r>
              <w:rPr>
                <w:rStyle w:val="IndexLink"/>
              </w:rPr>
              <w:t>517</w:t>
            </w:r>
          </w:hyperlink>
        </w:p>
        <w:p>
          <w:pPr>
            <w:pStyle w:val="Contents6"/>
            <w:tabs>
              <w:tab w:val="clear" w:pos="7609"/>
              <w:tab w:val="right" w:pos="9026" w:leader="dot"/>
            </w:tabs>
            <w:rPr/>
          </w:pPr>
          <w:hyperlink w:anchor="__RefHeading___Toc8193485_1051229030">
            <w:r>
              <w:rPr>
                <w:webHidden/>
                <w:rStyle w:val="IndexLink"/>
                <w:rtl w:val="true"/>
              </w:rPr>
              <w:t>المسألة الثانية</w:t>
            </w:r>
            <w:r>
              <w:rPr>
                <w:rStyle w:val="IndexLink"/>
                <w:rtl w:val="true"/>
              </w:rPr>
              <w:t xml:space="preserve">: </w:t>
            </w:r>
            <w:r>
              <w:rPr>
                <w:rStyle w:val="IndexLink"/>
                <w:rtl w:val="true"/>
              </w:rPr>
              <w:t>الاحكام الدستورية</w:t>
            </w:r>
            <w:r>
              <w:rPr>
                <w:rStyle w:val="IndexLink"/>
                <w:rtl w:val="true"/>
              </w:rPr>
              <w:t>.</w:t>
              <w:tab/>
            </w:r>
            <w:r>
              <w:rPr>
                <w:rStyle w:val="IndexLink"/>
              </w:rPr>
              <w:t>519</w:t>
            </w:r>
          </w:hyperlink>
        </w:p>
        <w:p>
          <w:pPr>
            <w:pStyle w:val="Contents6"/>
            <w:tabs>
              <w:tab w:val="clear" w:pos="7609"/>
              <w:tab w:val="right" w:pos="9026" w:leader="dot"/>
            </w:tabs>
            <w:rPr/>
          </w:pPr>
          <w:hyperlink w:anchor="__RefHeading___Toc8193487_1051229030">
            <w:r>
              <w:rPr>
                <w:webHidden/>
                <w:rStyle w:val="IndexLink"/>
                <w:rtl w:val="true"/>
              </w:rPr>
              <w:t>المسألة الثالثة</w:t>
            </w:r>
            <w:r>
              <w:rPr>
                <w:rStyle w:val="IndexLink"/>
                <w:rtl w:val="true"/>
              </w:rPr>
              <w:t xml:space="preserve">: </w:t>
            </w:r>
            <w:r>
              <w:rPr>
                <w:rStyle w:val="IndexLink"/>
                <w:rtl w:val="true"/>
              </w:rPr>
              <w:t xml:space="preserve">عدم التفريط بروايات اهل البيت </w:t>
            </w:r>
            <w:r>
              <w:rPr>
                <w:rStyle w:val="IndexLink"/>
                <w:rtl w:val="true"/>
              </w:rPr>
              <w:t>(</w:t>
            </w:r>
            <w:r>
              <w:rPr>
                <w:rStyle w:val="IndexLink"/>
                <w:rtl w:val="true"/>
              </w:rPr>
              <w:t>علیهم السلام</w:t>
            </w:r>
            <w:r>
              <w:rPr>
                <w:rStyle w:val="IndexLink"/>
                <w:rtl w:val="true"/>
              </w:rPr>
              <w:t>).</w:t>
              <w:tab/>
            </w:r>
            <w:r>
              <w:rPr>
                <w:rStyle w:val="IndexLink"/>
              </w:rPr>
              <w:t>521</w:t>
            </w:r>
          </w:hyperlink>
        </w:p>
        <w:p>
          <w:pPr>
            <w:pStyle w:val="Contents5"/>
            <w:tabs>
              <w:tab w:val="clear" w:pos="7892"/>
              <w:tab w:val="right" w:pos="9026" w:leader="dot"/>
            </w:tabs>
            <w:rPr/>
          </w:pPr>
          <w:hyperlink w:anchor="__RefHeading___Toc8193489_1051229030">
            <w:r>
              <w:rPr>
                <w:webHidden/>
                <w:rStyle w:val="IndexLink"/>
                <w:rtl w:val="true"/>
              </w:rPr>
              <w:t>التعارض غير المستقر</w:t>
            </w:r>
            <w:r>
              <w:rPr>
                <w:rStyle w:val="IndexLink"/>
                <w:rtl w:val="true"/>
              </w:rPr>
              <w:tab/>
            </w:r>
            <w:r>
              <w:rPr>
                <w:rStyle w:val="IndexLink"/>
              </w:rPr>
              <w:t>523</w:t>
            </w:r>
          </w:hyperlink>
        </w:p>
        <w:p>
          <w:pPr>
            <w:pStyle w:val="Contents6"/>
            <w:tabs>
              <w:tab w:val="clear" w:pos="7609"/>
              <w:tab w:val="right" w:pos="9026" w:leader="dot"/>
            </w:tabs>
            <w:rPr/>
          </w:pPr>
          <w:hyperlink w:anchor="__RefHeading___Toc8193491_1051229030">
            <w:r>
              <w:rPr>
                <w:webHidden/>
                <w:rStyle w:val="IndexLink"/>
                <w:rtl w:val="true"/>
              </w:rPr>
              <w:t>اشارة</w:t>
            </w:r>
            <w:r>
              <w:rPr>
                <w:rStyle w:val="IndexLink"/>
                <w:rtl w:val="true"/>
              </w:rPr>
              <w:tab/>
            </w:r>
            <w:r>
              <w:rPr>
                <w:rStyle w:val="IndexLink"/>
              </w:rPr>
              <w:t>523</w:t>
            </w:r>
          </w:hyperlink>
        </w:p>
        <w:p>
          <w:pPr>
            <w:pStyle w:val="Contents6"/>
            <w:tabs>
              <w:tab w:val="clear" w:pos="7609"/>
              <w:tab w:val="right" w:pos="9026" w:leader="dot"/>
            </w:tabs>
            <w:rPr/>
          </w:pPr>
          <w:hyperlink w:anchor="__RefHeading___Toc8193493_1051229030">
            <w:r>
              <w:rPr>
                <w:webHidden/>
                <w:rStyle w:val="IndexLink"/>
                <w:rtl w:val="true"/>
              </w:rPr>
              <w:t>المسألة الأولى</w:t>
            </w:r>
            <w:r>
              <w:rPr>
                <w:rStyle w:val="IndexLink"/>
                <w:rtl w:val="true"/>
              </w:rPr>
              <w:t xml:space="preserve">: </w:t>
            </w:r>
            <w:r>
              <w:rPr>
                <w:rStyle w:val="IndexLink"/>
                <w:rtl w:val="true"/>
              </w:rPr>
              <w:t>دليل حجية الجمع العرفي</w:t>
            </w:r>
            <w:r>
              <w:rPr>
                <w:rStyle w:val="IndexLink"/>
                <w:rtl w:val="true"/>
              </w:rPr>
              <w:t>.</w:t>
              <w:tab/>
            </w:r>
            <w:r>
              <w:rPr>
                <w:rStyle w:val="IndexLink"/>
              </w:rPr>
              <w:t>524</w:t>
            </w:r>
          </w:hyperlink>
        </w:p>
        <w:p>
          <w:pPr>
            <w:pStyle w:val="Contents6"/>
            <w:tabs>
              <w:tab w:val="clear" w:pos="7609"/>
              <w:tab w:val="right" w:pos="9026" w:leader="dot"/>
            </w:tabs>
            <w:rPr/>
          </w:pPr>
          <w:hyperlink w:anchor="__RefHeading___Toc8193495_1051229030">
            <w:r>
              <w:rPr>
                <w:webHidden/>
                <w:rStyle w:val="IndexLink"/>
                <w:rtl w:val="true"/>
              </w:rPr>
              <w:t>المسألة الثانية</w:t>
            </w:r>
            <w:r>
              <w:rPr>
                <w:rStyle w:val="IndexLink"/>
                <w:rtl w:val="true"/>
              </w:rPr>
              <w:t xml:space="preserve">: </w:t>
            </w:r>
            <w:r>
              <w:rPr>
                <w:rStyle w:val="IndexLink"/>
                <w:rtl w:val="true"/>
              </w:rPr>
              <w:t>الجمع الاستنباطي</w:t>
            </w:r>
            <w:r>
              <w:rPr>
                <w:rStyle w:val="IndexLink"/>
                <w:rtl w:val="true"/>
              </w:rPr>
              <w:t>.</w:t>
              <w:tab/>
            </w:r>
            <w:r>
              <w:rPr>
                <w:rStyle w:val="IndexLink"/>
              </w:rPr>
              <w:t>526</w:t>
            </w:r>
          </w:hyperlink>
        </w:p>
        <w:p>
          <w:pPr>
            <w:pStyle w:val="Contents6"/>
            <w:tabs>
              <w:tab w:val="clear" w:pos="7609"/>
              <w:tab w:val="right" w:pos="9026" w:leader="dot"/>
            </w:tabs>
            <w:rPr/>
          </w:pPr>
          <w:hyperlink w:anchor="__RefHeading___Toc8193497_1051229030">
            <w:r>
              <w:rPr>
                <w:webHidden/>
                <w:rStyle w:val="IndexLink"/>
                <w:rtl w:val="true"/>
              </w:rPr>
              <w:t>المسألة الثالثة</w:t>
            </w:r>
            <w:r>
              <w:rPr>
                <w:rStyle w:val="IndexLink"/>
                <w:rtl w:val="true"/>
              </w:rPr>
              <w:t xml:space="preserve">: </w:t>
            </w:r>
            <w:r>
              <w:rPr>
                <w:rStyle w:val="IndexLink"/>
                <w:rtl w:val="true"/>
              </w:rPr>
              <w:t>المرجح المساوي</w:t>
            </w:r>
            <w:r>
              <w:rPr>
                <w:rStyle w:val="IndexLink"/>
                <w:rtl w:val="true"/>
              </w:rPr>
              <w:t>.</w:t>
              <w:tab/>
            </w:r>
            <w:r>
              <w:rPr>
                <w:rStyle w:val="IndexLink"/>
              </w:rPr>
              <w:t>528</w:t>
            </w:r>
          </w:hyperlink>
        </w:p>
        <w:p>
          <w:pPr>
            <w:pStyle w:val="Contents6"/>
            <w:tabs>
              <w:tab w:val="clear" w:pos="7609"/>
              <w:tab w:val="right" w:pos="9026" w:leader="dot"/>
            </w:tabs>
            <w:rPr/>
          </w:pPr>
          <w:hyperlink w:anchor="__RefHeading___Toc8193499_1051229030">
            <w:r>
              <w:rPr>
                <w:webHidden/>
                <w:rStyle w:val="IndexLink"/>
                <w:rtl w:val="true"/>
              </w:rPr>
              <w:t>علاج التعارض</w:t>
            </w:r>
            <w:r>
              <w:rPr>
                <w:rStyle w:val="IndexLink"/>
                <w:rtl w:val="true"/>
              </w:rPr>
              <w:t>:</w:t>
              <w:tab/>
            </w:r>
            <w:r>
              <w:rPr>
                <w:rStyle w:val="IndexLink"/>
              </w:rPr>
              <w:t>530</w:t>
            </w:r>
          </w:hyperlink>
        </w:p>
        <w:p>
          <w:pPr>
            <w:pStyle w:val="Contents5"/>
            <w:tabs>
              <w:tab w:val="clear" w:pos="7892"/>
              <w:tab w:val="right" w:pos="9026" w:leader="dot"/>
            </w:tabs>
            <w:rPr/>
          </w:pPr>
          <w:hyperlink w:anchor="__RefHeading___Toc8193501_1051229030">
            <w:r>
              <w:rPr>
                <w:webHidden/>
                <w:rStyle w:val="IndexLink"/>
                <w:rtl w:val="true"/>
              </w:rPr>
              <w:t>بتقريبين</w:t>
            </w:r>
            <w:r>
              <w:rPr>
                <w:rStyle w:val="IndexLink"/>
                <w:rtl w:val="true"/>
              </w:rPr>
              <w:t>:</w:t>
              <w:tab/>
            </w:r>
            <w:r>
              <w:rPr>
                <w:rStyle w:val="IndexLink"/>
              </w:rPr>
              <w:t>531</w:t>
            </w:r>
          </w:hyperlink>
        </w:p>
        <w:p>
          <w:pPr>
            <w:pStyle w:val="Contents6"/>
            <w:tabs>
              <w:tab w:val="clear" w:pos="7609"/>
              <w:tab w:val="right" w:pos="9026" w:leader="dot"/>
            </w:tabs>
            <w:rPr/>
          </w:pPr>
          <w:hyperlink w:anchor="__RefHeading___Toc8193503_1051229030">
            <w:r>
              <w:rPr>
                <w:webHidden/>
                <w:rStyle w:val="IndexLink"/>
                <w:rtl w:val="true"/>
              </w:rPr>
              <w:t>اشارة</w:t>
            </w:r>
            <w:r>
              <w:rPr>
                <w:rStyle w:val="IndexLink"/>
                <w:rtl w:val="true"/>
              </w:rPr>
              <w:tab/>
            </w:r>
            <w:r>
              <w:rPr>
                <w:rStyle w:val="IndexLink"/>
              </w:rPr>
              <w:t>531</w:t>
            </w:r>
          </w:hyperlink>
        </w:p>
        <w:p>
          <w:pPr>
            <w:pStyle w:val="Contents6"/>
            <w:tabs>
              <w:tab w:val="clear" w:pos="7609"/>
              <w:tab w:val="right" w:pos="9026" w:leader="dot"/>
            </w:tabs>
            <w:rPr/>
          </w:pPr>
          <w:hyperlink w:anchor="__RefHeading___Toc8193505_1051229030">
            <w:r>
              <w:rPr>
                <w:webHidden/>
                <w:rStyle w:val="IndexLink"/>
                <w:rtl w:val="true"/>
              </w:rPr>
              <w:t>المسألة الرابعة</w:t>
            </w:r>
            <w:r>
              <w:rPr>
                <w:rStyle w:val="IndexLink"/>
                <w:rtl w:val="true"/>
              </w:rPr>
              <w:t xml:space="preserve">: </w:t>
            </w:r>
            <w:r>
              <w:rPr>
                <w:rStyle w:val="IndexLink"/>
                <w:rtl w:val="true"/>
              </w:rPr>
              <w:t>تقديم المرجح المساوي على مرجحات باب التعارض</w:t>
            </w:r>
            <w:r>
              <w:rPr>
                <w:rStyle w:val="IndexLink"/>
                <w:rtl w:val="true"/>
              </w:rPr>
              <w:t>.</w:t>
              <w:tab/>
            </w:r>
            <w:r>
              <w:rPr>
                <w:rStyle w:val="IndexLink"/>
              </w:rPr>
              <w:t>535</w:t>
            </w:r>
          </w:hyperlink>
        </w:p>
        <w:p>
          <w:pPr>
            <w:pStyle w:val="Contents6"/>
            <w:tabs>
              <w:tab w:val="clear" w:pos="7609"/>
              <w:tab w:val="right" w:pos="9026" w:leader="dot"/>
            </w:tabs>
            <w:rPr/>
          </w:pPr>
          <w:hyperlink w:anchor="__RefHeading___Toc8193507_1051229030">
            <w:r>
              <w:rPr>
                <w:webHidden/>
                <w:rStyle w:val="IndexLink"/>
                <w:rtl w:val="true"/>
              </w:rPr>
              <w:t>المسألة الخامسة</w:t>
            </w:r>
            <w:r>
              <w:rPr>
                <w:rStyle w:val="IndexLink"/>
                <w:rtl w:val="true"/>
              </w:rPr>
              <w:t xml:space="preserve">: </w:t>
            </w:r>
            <w:r>
              <w:rPr>
                <w:rStyle w:val="IndexLink"/>
                <w:rtl w:val="true"/>
              </w:rPr>
              <w:t>تعارض الشرطيتين بالعموم من وجه</w:t>
            </w:r>
            <w:r>
              <w:rPr>
                <w:rStyle w:val="IndexLink"/>
                <w:rtl w:val="true"/>
              </w:rPr>
              <w:t>.</w:t>
              <w:tab/>
            </w:r>
            <w:r>
              <w:rPr>
                <w:rStyle w:val="IndexLink"/>
              </w:rPr>
              <w:t>535</w:t>
            </w:r>
          </w:hyperlink>
        </w:p>
        <w:p>
          <w:pPr>
            <w:pStyle w:val="Contents6"/>
            <w:tabs>
              <w:tab w:val="clear" w:pos="7609"/>
              <w:tab w:val="right" w:pos="9026" w:leader="dot"/>
            </w:tabs>
            <w:rPr/>
          </w:pPr>
          <w:hyperlink w:anchor="__RefHeading___Toc8193509_1051229030">
            <w:r>
              <w:rPr>
                <w:webHidden/>
                <w:rStyle w:val="IndexLink"/>
                <w:rtl w:val="true"/>
              </w:rPr>
              <w:t>المسألة السادسة</w:t>
            </w:r>
            <w:r>
              <w:rPr>
                <w:rStyle w:val="IndexLink"/>
                <w:rtl w:val="true"/>
              </w:rPr>
              <w:t xml:space="preserve">: </w:t>
            </w:r>
            <w:r>
              <w:rPr>
                <w:rStyle w:val="IndexLink"/>
                <w:rtl w:val="true"/>
              </w:rPr>
              <w:t>الجمع أولى من الطرح</w:t>
            </w:r>
            <w:r>
              <w:rPr>
                <w:rStyle w:val="IndexLink"/>
                <w:rtl w:val="true"/>
              </w:rPr>
              <w:t>.</w:t>
              <w:tab/>
            </w:r>
            <w:r>
              <w:rPr>
                <w:rStyle w:val="IndexLink"/>
              </w:rPr>
              <w:t>539</w:t>
            </w:r>
          </w:hyperlink>
        </w:p>
        <w:p>
          <w:pPr>
            <w:pStyle w:val="Contents6"/>
            <w:tabs>
              <w:tab w:val="clear" w:pos="7609"/>
              <w:tab w:val="right" w:pos="9026" w:leader="dot"/>
            </w:tabs>
            <w:rPr/>
          </w:pPr>
          <w:hyperlink w:anchor="__RefHeading___Toc8193511_1051229030">
            <w:r>
              <w:rPr>
                <w:webHidden/>
                <w:rStyle w:val="IndexLink"/>
                <w:rtl w:val="true"/>
              </w:rPr>
              <w:t>المسألة السابعة</w:t>
            </w:r>
            <w:r>
              <w:rPr>
                <w:rStyle w:val="IndexLink"/>
                <w:rtl w:val="true"/>
              </w:rPr>
              <w:t xml:space="preserve">: </w:t>
            </w:r>
            <w:r>
              <w:rPr>
                <w:rStyle w:val="IndexLink"/>
                <w:rtl w:val="true"/>
              </w:rPr>
              <w:t>حمل الظاهر على النص</w:t>
            </w:r>
            <w:r>
              <w:rPr>
                <w:rStyle w:val="IndexLink"/>
                <w:rtl w:val="true"/>
              </w:rPr>
              <w:t>.</w:t>
              <w:tab/>
            </w:r>
            <w:r>
              <w:rPr>
                <w:rStyle w:val="IndexLink"/>
              </w:rPr>
              <w:t>540</w:t>
            </w:r>
          </w:hyperlink>
        </w:p>
        <w:p>
          <w:pPr>
            <w:pStyle w:val="Contents6"/>
            <w:tabs>
              <w:tab w:val="clear" w:pos="7609"/>
              <w:tab w:val="right" w:pos="9026" w:leader="dot"/>
            </w:tabs>
            <w:rPr/>
          </w:pPr>
          <w:hyperlink w:anchor="__RefHeading___Toc8193513_1051229030">
            <w:r>
              <w:rPr>
                <w:webHidden/>
                <w:rStyle w:val="IndexLink"/>
                <w:rtl w:val="true"/>
              </w:rPr>
              <w:t>المسألة الثامنة</w:t>
            </w:r>
            <w:r>
              <w:rPr>
                <w:rStyle w:val="IndexLink"/>
                <w:rtl w:val="true"/>
              </w:rPr>
              <w:t xml:space="preserve">: </w:t>
            </w:r>
            <w:r>
              <w:rPr>
                <w:rStyle w:val="IndexLink"/>
                <w:rtl w:val="true"/>
              </w:rPr>
              <w:t>الحكومة</w:t>
            </w:r>
            <w:r>
              <w:rPr>
                <w:rStyle w:val="IndexLink"/>
                <w:rtl w:val="true"/>
              </w:rPr>
              <w:t>.</w:t>
              <w:tab/>
            </w:r>
            <w:r>
              <w:rPr>
                <w:rStyle w:val="IndexLink"/>
              </w:rPr>
              <w:t>541</w:t>
            </w:r>
          </w:hyperlink>
        </w:p>
        <w:p>
          <w:pPr>
            <w:pStyle w:val="Contents6"/>
            <w:tabs>
              <w:tab w:val="clear" w:pos="7609"/>
              <w:tab w:val="right" w:pos="9026" w:leader="dot"/>
            </w:tabs>
            <w:rPr/>
          </w:pPr>
          <w:hyperlink w:anchor="__RefHeading___Toc8193515_1051229030">
            <w:r>
              <w:rPr>
                <w:webHidden/>
                <w:rStyle w:val="IndexLink"/>
                <w:rtl w:val="true"/>
              </w:rPr>
              <w:t>المسألة التاسعة</w:t>
            </w:r>
            <w:r>
              <w:rPr>
                <w:rStyle w:val="IndexLink"/>
                <w:rtl w:val="true"/>
              </w:rPr>
              <w:t xml:space="preserve">: </w:t>
            </w:r>
            <w:r>
              <w:rPr>
                <w:rStyle w:val="IndexLink"/>
                <w:rtl w:val="true"/>
              </w:rPr>
              <w:t>تقدم المانع على المقتضي</w:t>
            </w:r>
            <w:r>
              <w:rPr>
                <w:rStyle w:val="IndexLink"/>
                <w:rtl w:val="true"/>
              </w:rPr>
              <w:t>.</w:t>
              <w:tab/>
            </w:r>
            <w:r>
              <w:rPr>
                <w:rStyle w:val="IndexLink"/>
              </w:rPr>
              <w:t>543</w:t>
            </w:r>
          </w:hyperlink>
        </w:p>
        <w:p>
          <w:pPr>
            <w:pStyle w:val="Contents6"/>
            <w:tabs>
              <w:tab w:val="clear" w:pos="7609"/>
              <w:tab w:val="right" w:pos="9026" w:leader="dot"/>
            </w:tabs>
            <w:rPr/>
          </w:pPr>
          <w:hyperlink w:anchor="__RefHeading___Toc8193517_1051229030">
            <w:r>
              <w:rPr>
                <w:webHidden/>
                <w:rStyle w:val="IndexLink"/>
                <w:rtl w:val="true"/>
              </w:rPr>
              <w:t>المسألة العاشرة</w:t>
            </w:r>
            <w:r>
              <w:rPr>
                <w:rStyle w:val="IndexLink"/>
                <w:rtl w:val="true"/>
              </w:rPr>
              <w:t xml:space="preserve">: </w:t>
            </w:r>
            <w:r>
              <w:rPr>
                <w:rStyle w:val="IndexLink"/>
                <w:rtl w:val="true"/>
              </w:rPr>
              <w:t>تعارض المطلقين في إطلاقهما</w:t>
            </w:r>
            <w:r>
              <w:rPr>
                <w:rStyle w:val="IndexLink"/>
                <w:rtl w:val="true"/>
              </w:rPr>
              <w:t>.</w:t>
              <w:tab/>
            </w:r>
            <w:r>
              <w:rPr>
                <w:rStyle w:val="IndexLink"/>
              </w:rPr>
              <w:t>544</w:t>
            </w:r>
          </w:hyperlink>
        </w:p>
        <w:p>
          <w:pPr>
            <w:pStyle w:val="Contents6"/>
            <w:tabs>
              <w:tab w:val="clear" w:pos="7609"/>
              <w:tab w:val="right" w:pos="9026" w:leader="dot"/>
            </w:tabs>
            <w:rPr/>
          </w:pPr>
          <w:hyperlink w:anchor="__RefHeading___Toc8193519_1051229030">
            <w:r>
              <w:rPr>
                <w:webHidden/>
                <w:rStyle w:val="IndexLink"/>
                <w:rtl w:val="true"/>
              </w:rPr>
              <w:t>المسألة الحادية عشرة</w:t>
            </w:r>
            <w:r>
              <w:rPr>
                <w:rStyle w:val="IndexLink"/>
                <w:rtl w:val="true"/>
              </w:rPr>
              <w:t xml:space="preserve">: </w:t>
            </w:r>
            <w:r>
              <w:rPr>
                <w:rStyle w:val="IndexLink"/>
                <w:rtl w:val="true"/>
              </w:rPr>
              <w:t>انقلاب النسبة</w:t>
            </w:r>
            <w:r>
              <w:rPr>
                <w:rStyle w:val="IndexLink"/>
                <w:rtl w:val="true"/>
              </w:rPr>
              <w:t>.</w:t>
              <w:tab/>
            </w:r>
            <w:r>
              <w:rPr>
                <w:rStyle w:val="IndexLink"/>
              </w:rPr>
              <w:t>545</w:t>
            </w:r>
          </w:hyperlink>
        </w:p>
        <w:p>
          <w:pPr>
            <w:pStyle w:val="Contents6"/>
            <w:tabs>
              <w:tab w:val="clear" w:pos="7609"/>
              <w:tab w:val="right" w:pos="9026" w:leader="dot"/>
            </w:tabs>
            <w:rPr/>
          </w:pPr>
          <w:hyperlink w:anchor="__RefHeading___Toc8193521_1051229030">
            <w:r>
              <w:rPr>
                <w:webHidden/>
                <w:rStyle w:val="IndexLink"/>
                <w:rtl w:val="true"/>
              </w:rPr>
              <w:t>المسألة الثانية عشرة</w:t>
            </w:r>
            <w:r>
              <w:rPr>
                <w:rStyle w:val="IndexLink"/>
                <w:rtl w:val="true"/>
              </w:rPr>
              <w:t xml:space="preserve">: </w:t>
            </w:r>
            <w:r>
              <w:rPr>
                <w:rStyle w:val="IndexLink"/>
                <w:rtl w:val="true"/>
              </w:rPr>
              <w:t>المدار في التقييد والتخصيص على الظهور</w:t>
            </w:r>
            <w:r>
              <w:rPr>
                <w:rStyle w:val="IndexLink"/>
                <w:rtl w:val="true"/>
              </w:rPr>
              <w:t>.</w:t>
              <w:tab/>
            </w:r>
            <w:r>
              <w:rPr>
                <w:rStyle w:val="IndexLink"/>
              </w:rPr>
              <w:t>551</w:t>
            </w:r>
          </w:hyperlink>
        </w:p>
        <w:p>
          <w:pPr>
            <w:pStyle w:val="Contents5"/>
            <w:tabs>
              <w:tab w:val="clear" w:pos="7892"/>
              <w:tab w:val="right" w:pos="9026" w:leader="dot"/>
            </w:tabs>
            <w:rPr/>
          </w:pPr>
          <w:hyperlink w:anchor="__RefHeading___Toc8193523_1051229030">
            <w:r>
              <w:rPr>
                <w:webHidden/>
                <w:rStyle w:val="IndexLink"/>
                <w:rtl w:val="true"/>
              </w:rPr>
              <w:t>التعارض المستقر</w:t>
            </w:r>
            <w:r>
              <w:rPr>
                <w:rStyle w:val="IndexLink"/>
                <w:rtl w:val="true"/>
              </w:rPr>
              <w:tab/>
            </w:r>
            <w:r>
              <w:rPr>
                <w:rStyle w:val="IndexLink"/>
              </w:rPr>
              <w:t>553</w:t>
            </w:r>
          </w:hyperlink>
        </w:p>
        <w:p>
          <w:pPr>
            <w:pStyle w:val="Contents6"/>
            <w:tabs>
              <w:tab w:val="clear" w:pos="7609"/>
              <w:tab w:val="right" w:pos="9026" w:leader="dot"/>
            </w:tabs>
            <w:rPr/>
          </w:pPr>
          <w:hyperlink w:anchor="__RefHeading___Toc8193525_1051229030">
            <w:r>
              <w:rPr>
                <w:webHidden/>
                <w:rStyle w:val="IndexLink"/>
                <w:rtl w:val="true"/>
              </w:rPr>
              <w:t>اشارة</w:t>
            </w:r>
            <w:r>
              <w:rPr>
                <w:rStyle w:val="IndexLink"/>
                <w:rtl w:val="true"/>
              </w:rPr>
              <w:tab/>
            </w:r>
            <w:r>
              <w:rPr>
                <w:rStyle w:val="IndexLink"/>
              </w:rPr>
              <w:t>553</w:t>
            </w:r>
          </w:hyperlink>
        </w:p>
        <w:p>
          <w:pPr>
            <w:pStyle w:val="Contents6"/>
            <w:tabs>
              <w:tab w:val="clear" w:pos="7609"/>
              <w:tab w:val="right" w:pos="9026" w:leader="dot"/>
            </w:tabs>
            <w:rPr/>
          </w:pPr>
          <w:hyperlink w:anchor="__RefHeading___Toc8193527_1051229030">
            <w:r>
              <w:rPr>
                <w:webHidden/>
                <w:rStyle w:val="IndexLink"/>
                <w:rtl w:val="true"/>
              </w:rPr>
              <w:t>المسألة الأولى</w:t>
            </w:r>
            <w:r>
              <w:rPr>
                <w:rStyle w:val="IndexLink"/>
                <w:rtl w:val="true"/>
              </w:rPr>
              <w:t xml:space="preserve">: </w:t>
            </w:r>
            <w:r>
              <w:rPr>
                <w:rStyle w:val="IndexLink"/>
                <w:rtl w:val="true"/>
              </w:rPr>
              <w:t>التعارض فرع الحجية</w:t>
            </w:r>
            <w:r>
              <w:rPr>
                <w:rStyle w:val="IndexLink"/>
                <w:rtl w:val="true"/>
              </w:rPr>
              <w:t>.</w:t>
              <w:tab/>
            </w:r>
            <w:r>
              <w:rPr>
                <w:rStyle w:val="IndexLink"/>
              </w:rPr>
              <w:t>554</w:t>
            </w:r>
          </w:hyperlink>
        </w:p>
        <w:p>
          <w:pPr>
            <w:pStyle w:val="Contents6"/>
            <w:tabs>
              <w:tab w:val="clear" w:pos="7609"/>
              <w:tab w:val="right" w:pos="9026" w:leader="dot"/>
            </w:tabs>
            <w:rPr/>
          </w:pPr>
          <w:hyperlink w:anchor="__RefHeading___Toc8193529_1051229030">
            <w:r>
              <w:rPr>
                <w:webHidden/>
                <w:rStyle w:val="IndexLink"/>
                <w:rtl w:val="true"/>
              </w:rPr>
              <w:t>المسألة الثانية</w:t>
            </w:r>
            <w:r>
              <w:rPr>
                <w:rStyle w:val="IndexLink"/>
                <w:rtl w:val="true"/>
              </w:rPr>
              <w:t xml:space="preserve">: </w:t>
            </w:r>
            <w:r>
              <w:rPr>
                <w:rStyle w:val="IndexLink"/>
                <w:rtl w:val="true"/>
              </w:rPr>
              <w:t>الشهرة المرجحة</w:t>
            </w:r>
            <w:r>
              <w:rPr>
                <w:rStyle w:val="IndexLink"/>
                <w:rtl w:val="true"/>
              </w:rPr>
              <w:t>.</w:t>
              <w:tab/>
            </w:r>
            <w:r>
              <w:rPr>
                <w:rStyle w:val="IndexLink"/>
              </w:rPr>
              <w:t>555</w:t>
            </w:r>
          </w:hyperlink>
        </w:p>
        <w:p>
          <w:pPr>
            <w:pStyle w:val="Contents6"/>
            <w:tabs>
              <w:tab w:val="clear" w:pos="7609"/>
              <w:tab w:val="right" w:pos="9026" w:leader="dot"/>
            </w:tabs>
            <w:rPr/>
          </w:pPr>
          <w:hyperlink w:anchor="__RefHeading___Toc8193531_1051229030">
            <w:r>
              <w:rPr>
                <w:webHidden/>
                <w:rStyle w:val="IndexLink"/>
                <w:rtl w:val="true"/>
              </w:rPr>
              <w:t>المسألة الثالثة</w:t>
            </w:r>
            <w:r>
              <w:rPr>
                <w:rStyle w:val="IndexLink"/>
                <w:rtl w:val="true"/>
              </w:rPr>
              <w:t xml:space="preserve">: </w:t>
            </w:r>
            <w:r>
              <w:rPr>
                <w:rStyle w:val="IndexLink"/>
                <w:rtl w:val="true"/>
              </w:rPr>
              <w:t>مدخلية الشهرة الفتوائية في الترجيح</w:t>
            </w:r>
            <w:r>
              <w:rPr>
                <w:rStyle w:val="IndexLink"/>
                <w:rtl w:val="true"/>
              </w:rPr>
              <w:t>.</w:t>
              <w:tab/>
            </w:r>
            <w:r>
              <w:rPr>
                <w:rStyle w:val="IndexLink"/>
              </w:rPr>
              <w:t>556</w:t>
            </w:r>
          </w:hyperlink>
        </w:p>
        <w:p>
          <w:pPr>
            <w:pStyle w:val="Contents6"/>
            <w:tabs>
              <w:tab w:val="clear" w:pos="7609"/>
              <w:tab w:val="right" w:pos="9026" w:leader="dot"/>
            </w:tabs>
            <w:rPr/>
          </w:pPr>
          <w:hyperlink w:anchor="__RefHeading___Toc8193533_1051229030">
            <w:r>
              <w:rPr>
                <w:webHidden/>
                <w:rStyle w:val="IndexLink"/>
                <w:rtl w:val="true"/>
              </w:rPr>
              <w:t>المسألة الرابعة</w:t>
            </w:r>
            <w:r>
              <w:rPr>
                <w:rStyle w:val="IndexLink"/>
                <w:rtl w:val="true"/>
              </w:rPr>
              <w:t xml:space="preserve">: </w:t>
            </w:r>
            <w:r>
              <w:rPr>
                <w:rStyle w:val="IndexLink"/>
                <w:rtl w:val="true"/>
              </w:rPr>
              <w:t>الترجيح بين الأكثر والأقل</w:t>
            </w:r>
            <w:r>
              <w:rPr>
                <w:rStyle w:val="IndexLink"/>
                <w:rtl w:val="true"/>
              </w:rPr>
              <w:t>.</w:t>
              <w:tab/>
            </w:r>
            <w:r>
              <w:rPr>
                <w:rStyle w:val="IndexLink"/>
              </w:rPr>
              <w:t>557</w:t>
            </w:r>
          </w:hyperlink>
        </w:p>
        <w:p>
          <w:pPr>
            <w:pStyle w:val="Contents6"/>
            <w:tabs>
              <w:tab w:val="clear" w:pos="7609"/>
              <w:tab w:val="right" w:pos="9026" w:leader="dot"/>
            </w:tabs>
            <w:rPr/>
          </w:pPr>
          <w:hyperlink w:anchor="__RefHeading___Toc8193535_1051229030">
            <w:r>
              <w:rPr>
                <w:webHidden/>
                <w:rStyle w:val="IndexLink"/>
                <w:rtl w:val="true"/>
              </w:rPr>
              <w:t>المسألة الخامسة</w:t>
            </w:r>
            <w:r>
              <w:rPr>
                <w:rStyle w:val="IndexLink"/>
                <w:rtl w:val="true"/>
              </w:rPr>
              <w:t xml:space="preserve">: </w:t>
            </w:r>
            <w:r>
              <w:rPr>
                <w:rStyle w:val="IndexLink"/>
                <w:rtl w:val="true"/>
              </w:rPr>
              <w:t>موافقة الكتاب الكريم</w:t>
            </w:r>
            <w:r>
              <w:rPr>
                <w:rStyle w:val="IndexLink"/>
                <w:rtl w:val="true"/>
              </w:rPr>
              <w:t>.</w:t>
              <w:tab/>
            </w:r>
            <w:r>
              <w:rPr>
                <w:rStyle w:val="IndexLink"/>
              </w:rPr>
              <w:t>558</w:t>
            </w:r>
          </w:hyperlink>
        </w:p>
        <w:p>
          <w:pPr>
            <w:pStyle w:val="Contents6"/>
            <w:tabs>
              <w:tab w:val="clear" w:pos="7609"/>
              <w:tab w:val="right" w:pos="9026" w:leader="dot"/>
            </w:tabs>
            <w:rPr/>
          </w:pPr>
          <w:hyperlink w:anchor="__RefHeading___Toc8193537_1051229030">
            <w:r>
              <w:rPr>
                <w:webHidden/>
                <w:rStyle w:val="IndexLink"/>
                <w:rtl w:val="true"/>
              </w:rPr>
              <w:t>الترجيح بموافقة الكتاب</w:t>
            </w:r>
            <w:r>
              <w:rPr>
                <w:rStyle w:val="IndexLink"/>
                <w:rtl w:val="true"/>
              </w:rPr>
              <w:tab/>
            </w:r>
            <w:r>
              <w:rPr>
                <w:rStyle w:val="IndexLink"/>
              </w:rPr>
              <w:t>560</w:t>
            </w:r>
          </w:hyperlink>
        </w:p>
        <w:p>
          <w:pPr>
            <w:pStyle w:val="Contents6"/>
            <w:tabs>
              <w:tab w:val="clear" w:pos="7609"/>
              <w:tab w:val="right" w:pos="9026" w:leader="dot"/>
            </w:tabs>
            <w:rPr/>
          </w:pPr>
          <w:hyperlink w:anchor="__RefHeading___Toc8193539_1051229030">
            <w:r>
              <w:rPr>
                <w:webHidden/>
                <w:rStyle w:val="IndexLink"/>
                <w:rtl w:val="true"/>
              </w:rPr>
              <w:t>المسألة السادسة</w:t>
            </w:r>
            <w:r>
              <w:rPr>
                <w:rStyle w:val="IndexLink"/>
                <w:rtl w:val="true"/>
              </w:rPr>
              <w:t xml:space="preserve">: </w:t>
            </w:r>
            <w:r>
              <w:rPr>
                <w:rStyle w:val="IndexLink"/>
                <w:rtl w:val="true"/>
              </w:rPr>
              <w:t>تقدم الترجيح بموافقة الكتاب على باقي المرجحات</w:t>
            </w:r>
            <w:r>
              <w:rPr>
                <w:rStyle w:val="IndexLink"/>
                <w:rtl w:val="true"/>
              </w:rPr>
              <w:t>.</w:t>
              <w:tab/>
            </w:r>
            <w:r>
              <w:rPr>
                <w:rStyle w:val="IndexLink"/>
              </w:rPr>
              <w:t>563</w:t>
            </w:r>
          </w:hyperlink>
        </w:p>
        <w:p>
          <w:pPr>
            <w:pStyle w:val="Contents6"/>
            <w:tabs>
              <w:tab w:val="clear" w:pos="7609"/>
              <w:tab w:val="right" w:pos="9026" w:leader="dot"/>
            </w:tabs>
            <w:rPr/>
          </w:pPr>
          <w:hyperlink w:anchor="__RefHeading___Toc8193541_1051229030">
            <w:r>
              <w:rPr>
                <w:webHidden/>
                <w:rStyle w:val="IndexLink"/>
                <w:rtl w:val="true"/>
              </w:rPr>
              <w:t>المسألة السابعة</w:t>
            </w:r>
            <w:r>
              <w:rPr>
                <w:rStyle w:val="IndexLink"/>
                <w:rtl w:val="true"/>
              </w:rPr>
              <w:t xml:space="preserve">: </w:t>
            </w:r>
            <w:r>
              <w:rPr>
                <w:rStyle w:val="IndexLink"/>
                <w:rtl w:val="true"/>
              </w:rPr>
              <w:t>الجمع بين الروايات المختلفة في التحديدات</w:t>
            </w:r>
            <w:r>
              <w:rPr>
                <w:rStyle w:val="IndexLink"/>
                <w:rtl w:val="true"/>
              </w:rPr>
              <w:t>.</w:t>
              <w:tab/>
            </w:r>
            <w:r>
              <w:rPr>
                <w:rStyle w:val="IndexLink"/>
              </w:rPr>
              <w:t>563</w:t>
            </w:r>
          </w:hyperlink>
        </w:p>
        <w:p>
          <w:pPr>
            <w:pStyle w:val="Contents6"/>
            <w:tabs>
              <w:tab w:val="clear" w:pos="7609"/>
              <w:tab w:val="right" w:pos="9026" w:leader="dot"/>
            </w:tabs>
            <w:rPr/>
          </w:pPr>
          <w:hyperlink w:anchor="__RefHeading___Toc8193543_1051229030">
            <w:r>
              <w:rPr>
                <w:webHidden/>
                <w:rStyle w:val="IndexLink"/>
                <w:rtl w:val="true"/>
              </w:rPr>
              <w:t>المسألة الثامنة</w:t>
            </w:r>
            <w:r>
              <w:rPr>
                <w:rStyle w:val="IndexLink"/>
                <w:rtl w:val="true"/>
              </w:rPr>
              <w:t xml:space="preserve">: </w:t>
            </w:r>
            <w:r>
              <w:rPr>
                <w:rStyle w:val="IndexLink"/>
                <w:rtl w:val="true"/>
              </w:rPr>
              <w:t>الرجوع للعموم الفوقاني</w:t>
            </w:r>
            <w:r>
              <w:rPr>
                <w:rStyle w:val="IndexLink"/>
                <w:rtl w:val="true"/>
              </w:rPr>
              <w:t>.</w:t>
              <w:tab/>
            </w:r>
            <w:r>
              <w:rPr>
                <w:rStyle w:val="IndexLink"/>
              </w:rPr>
              <w:t>569</w:t>
            </w:r>
          </w:hyperlink>
        </w:p>
        <w:p>
          <w:pPr>
            <w:pStyle w:val="Contents6"/>
            <w:tabs>
              <w:tab w:val="clear" w:pos="7609"/>
              <w:tab w:val="right" w:pos="9026" w:leader="dot"/>
            </w:tabs>
            <w:rPr/>
          </w:pPr>
          <w:hyperlink w:anchor="__RefHeading___Toc8193545_1051229030">
            <w:r>
              <w:rPr>
                <w:webHidden/>
                <w:rStyle w:val="IndexLink"/>
                <w:rtl w:val="true"/>
              </w:rPr>
              <w:t>المسألة التاسعة</w:t>
            </w:r>
            <w:r>
              <w:rPr>
                <w:rStyle w:val="IndexLink"/>
                <w:rtl w:val="true"/>
              </w:rPr>
              <w:t xml:space="preserve">: </w:t>
            </w:r>
            <w:r>
              <w:rPr>
                <w:rStyle w:val="IndexLink"/>
                <w:rtl w:val="true"/>
              </w:rPr>
              <w:t>الترجيح لخبر الامام المتأخر زمانًا</w:t>
            </w:r>
            <w:r>
              <w:rPr>
                <w:rStyle w:val="IndexLink"/>
                <w:rtl w:val="true"/>
              </w:rPr>
              <w:t>.</w:t>
              <w:tab/>
            </w:r>
            <w:r>
              <w:rPr>
                <w:rStyle w:val="IndexLink"/>
              </w:rPr>
              <w:t>571</w:t>
            </w:r>
          </w:hyperlink>
        </w:p>
        <w:p>
          <w:pPr>
            <w:pStyle w:val="Contents6"/>
            <w:tabs>
              <w:tab w:val="clear" w:pos="7609"/>
              <w:tab w:val="right" w:pos="9026" w:leader="dot"/>
            </w:tabs>
            <w:rPr/>
          </w:pPr>
          <w:hyperlink w:anchor="__RefHeading___Toc8193547_1051229030">
            <w:r>
              <w:rPr>
                <w:webHidden/>
                <w:rStyle w:val="IndexLink"/>
                <w:rtl w:val="true"/>
              </w:rPr>
              <w:t>والوجوه كلها قابلة للمناقشة</w:t>
            </w:r>
            <w:r>
              <w:rPr>
                <w:rStyle w:val="IndexLink"/>
                <w:rtl w:val="true"/>
              </w:rPr>
              <w:t>:</w:t>
              <w:tab/>
            </w:r>
            <w:r>
              <w:rPr>
                <w:rStyle w:val="IndexLink"/>
              </w:rPr>
              <w:t>571</w:t>
            </w:r>
          </w:hyperlink>
        </w:p>
        <w:p>
          <w:pPr>
            <w:pStyle w:val="Contents6"/>
            <w:tabs>
              <w:tab w:val="clear" w:pos="7609"/>
              <w:tab w:val="right" w:pos="9026" w:leader="dot"/>
            </w:tabs>
            <w:rPr/>
          </w:pPr>
          <w:hyperlink w:anchor="__RefHeading___Toc8193549_1051229030">
            <w:r>
              <w:rPr>
                <w:webHidden/>
                <w:rStyle w:val="IndexLink"/>
                <w:rtl w:val="true"/>
              </w:rPr>
              <w:t>المسألة العاشرة</w:t>
            </w:r>
            <w:r>
              <w:rPr>
                <w:rStyle w:val="IndexLink"/>
                <w:rtl w:val="true"/>
              </w:rPr>
              <w:t xml:space="preserve">: </w:t>
            </w:r>
            <w:r>
              <w:rPr>
                <w:rStyle w:val="IndexLink"/>
                <w:rtl w:val="true"/>
              </w:rPr>
              <w:t>تعارض الدليلين المثبتين</w:t>
            </w:r>
            <w:r>
              <w:rPr>
                <w:rStyle w:val="IndexLink"/>
                <w:rtl w:val="true"/>
              </w:rPr>
              <w:t>.</w:t>
              <w:tab/>
            </w:r>
            <w:r>
              <w:rPr>
                <w:rStyle w:val="IndexLink"/>
              </w:rPr>
              <w:t>573</w:t>
            </w:r>
          </w:hyperlink>
        </w:p>
        <w:p>
          <w:pPr>
            <w:pStyle w:val="Contents6"/>
            <w:tabs>
              <w:tab w:val="clear" w:pos="7609"/>
              <w:tab w:val="right" w:pos="9026" w:leader="dot"/>
            </w:tabs>
            <w:rPr/>
          </w:pPr>
          <w:hyperlink w:anchor="__RefHeading___Toc8193551_1051229030">
            <w:r>
              <w:rPr>
                <w:webHidden/>
                <w:rStyle w:val="IndexLink"/>
                <w:rtl w:val="true"/>
              </w:rPr>
              <w:t>المسألة الحادية عشرة</w:t>
            </w:r>
            <w:r>
              <w:rPr>
                <w:rStyle w:val="IndexLink"/>
                <w:rtl w:val="true"/>
              </w:rPr>
              <w:t xml:space="preserve">: </w:t>
            </w:r>
            <w:r>
              <w:rPr>
                <w:rStyle w:val="IndexLink"/>
                <w:rtl w:val="true"/>
              </w:rPr>
              <w:t>تقدم أصالة الجهة على أصالة الظهور</w:t>
            </w:r>
            <w:r>
              <w:rPr>
                <w:rStyle w:val="IndexLink"/>
                <w:rtl w:val="true"/>
              </w:rPr>
              <w:t>.</w:t>
              <w:tab/>
            </w:r>
            <w:r>
              <w:rPr>
                <w:rStyle w:val="IndexLink"/>
              </w:rPr>
              <w:t>578</w:t>
            </w:r>
          </w:hyperlink>
        </w:p>
        <w:p>
          <w:pPr>
            <w:pStyle w:val="Contents5"/>
            <w:tabs>
              <w:tab w:val="clear" w:pos="7892"/>
              <w:tab w:val="right" w:pos="9026" w:leader="dot"/>
            </w:tabs>
            <w:rPr/>
          </w:pPr>
          <w:hyperlink w:anchor="__RefHeading___Toc8193553_1051229030">
            <w:r>
              <w:rPr>
                <w:webHidden/>
                <w:rStyle w:val="IndexLink"/>
                <w:rtl w:val="true"/>
              </w:rPr>
              <w:t>خاتمة في القواعد الفقهية</w:t>
            </w:r>
            <w:r>
              <w:rPr>
                <w:rStyle w:val="IndexLink"/>
                <w:rtl w:val="true"/>
              </w:rPr>
              <w:tab/>
            </w:r>
            <w:r>
              <w:rPr>
                <w:rStyle w:val="IndexLink"/>
              </w:rPr>
              <w:t>579</w:t>
            </w:r>
          </w:hyperlink>
        </w:p>
        <w:p>
          <w:pPr>
            <w:pStyle w:val="Contents6"/>
            <w:tabs>
              <w:tab w:val="clear" w:pos="7609"/>
              <w:tab w:val="right" w:pos="9026" w:leader="dot"/>
            </w:tabs>
            <w:rPr/>
          </w:pPr>
          <w:hyperlink w:anchor="__RefHeading___Toc8193555_1051229030">
            <w:r>
              <w:rPr>
                <w:webHidden/>
                <w:rStyle w:val="IndexLink"/>
                <w:rtl w:val="true"/>
              </w:rPr>
              <w:t>اشارة</w:t>
            </w:r>
            <w:r>
              <w:rPr>
                <w:rStyle w:val="IndexLink"/>
                <w:rtl w:val="true"/>
              </w:rPr>
              <w:tab/>
            </w:r>
            <w:r>
              <w:rPr>
                <w:rStyle w:val="IndexLink"/>
              </w:rPr>
              <w:t>579</w:t>
            </w:r>
          </w:hyperlink>
        </w:p>
        <w:p>
          <w:pPr>
            <w:pStyle w:val="Contents6"/>
            <w:tabs>
              <w:tab w:val="clear" w:pos="7609"/>
              <w:tab w:val="right" w:pos="9026" w:leader="dot"/>
            </w:tabs>
            <w:rPr/>
          </w:pPr>
          <w:hyperlink w:anchor="__RefHeading___Toc8193557_1051229030">
            <w:r>
              <w:rPr>
                <w:webHidden/>
                <w:rStyle w:val="IndexLink"/>
                <w:rtl w:val="true"/>
              </w:rPr>
              <w:t>القاعدة الاولى</w:t>
            </w:r>
            <w:r>
              <w:rPr>
                <w:rStyle w:val="IndexLink"/>
                <w:rtl w:val="true"/>
              </w:rPr>
              <w:t xml:space="preserve">: </w:t>
            </w:r>
            <w:r>
              <w:rPr>
                <w:rStyle w:val="IndexLink"/>
                <w:rtl w:val="true"/>
              </w:rPr>
              <w:t>الاحتياط في الفروج في الجملة</w:t>
            </w:r>
            <w:r>
              <w:rPr>
                <w:rStyle w:val="IndexLink"/>
                <w:rtl w:val="true"/>
              </w:rPr>
              <w:tab/>
            </w:r>
            <w:r>
              <w:rPr>
                <w:rStyle w:val="IndexLink"/>
              </w:rPr>
              <w:t>580</w:t>
            </w:r>
          </w:hyperlink>
        </w:p>
        <w:p>
          <w:pPr>
            <w:pStyle w:val="Contents6"/>
            <w:tabs>
              <w:tab w:val="clear" w:pos="7609"/>
              <w:tab w:val="right" w:pos="9026" w:leader="dot"/>
            </w:tabs>
            <w:rPr/>
          </w:pPr>
          <w:hyperlink w:anchor="__RefHeading___Toc8193559_1051229030">
            <w:r>
              <w:rPr>
                <w:webHidden/>
                <w:rStyle w:val="IndexLink"/>
                <w:rtl w:val="true"/>
              </w:rPr>
              <w:t>اشارة</w:t>
            </w:r>
            <w:r>
              <w:rPr>
                <w:rStyle w:val="IndexLink"/>
                <w:rtl w:val="true"/>
              </w:rPr>
              <w:tab/>
            </w:r>
            <w:r>
              <w:rPr>
                <w:rStyle w:val="IndexLink"/>
              </w:rPr>
              <w:t>580</w:t>
            </w:r>
          </w:hyperlink>
        </w:p>
        <w:p>
          <w:pPr>
            <w:pStyle w:val="Contents6"/>
            <w:tabs>
              <w:tab w:val="clear" w:pos="7609"/>
              <w:tab w:val="right" w:pos="9026" w:leader="dot"/>
            </w:tabs>
            <w:rPr/>
          </w:pPr>
          <w:hyperlink w:anchor="__RefHeading___Toc8193561_1051229030">
            <w:r>
              <w:rPr>
                <w:webHidden/>
                <w:rStyle w:val="IndexLink"/>
                <w:rtl w:val="true"/>
              </w:rPr>
              <w:t>أصالة الاحتياط في الفروج في الجملة</w:t>
            </w:r>
            <w:r>
              <w:rPr>
                <w:rStyle w:val="IndexLink"/>
                <w:rtl w:val="true"/>
              </w:rPr>
              <w:tab/>
            </w:r>
            <w:r>
              <w:rPr>
                <w:rStyle w:val="IndexLink"/>
              </w:rPr>
              <w:t>580</w:t>
            </w:r>
          </w:hyperlink>
        </w:p>
        <w:p>
          <w:pPr>
            <w:pStyle w:val="Contents6"/>
            <w:tabs>
              <w:tab w:val="clear" w:pos="7609"/>
              <w:tab w:val="right" w:pos="9026" w:leader="dot"/>
            </w:tabs>
            <w:rPr/>
          </w:pPr>
          <w:hyperlink w:anchor="__RefHeading___Toc8193563_1051229030">
            <w:r>
              <w:rPr>
                <w:webHidden/>
                <w:rStyle w:val="IndexLink"/>
                <w:rtl w:val="true"/>
              </w:rPr>
              <w:t>روايات معارضة لأصالة الاحتياط</w:t>
            </w:r>
            <w:r>
              <w:rPr>
                <w:rStyle w:val="IndexLink"/>
                <w:rtl w:val="true"/>
              </w:rPr>
              <w:t>:</w:t>
              <w:tab/>
            </w:r>
            <w:r>
              <w:rPr>
                <w:rStyle w:val="IndexLink"/>
              </w:rPr>
              <w:t>587</w:t>
            </w:r>
          </w:hyperlink>
        </w:p>
        <w:p>
          <w:pPr>
            <w:pStyle w:val="Contents6"/>
            <w:tabs>
              <w:tab w:val="clear" w:pos="7609"/>
              <w:tab w:val="right" w:pos="9026" w:leader="dot"/>
            </w:tabs>
            <w:rPr/>
          </w:pPr>
          <w:hyperlink w:anchor="__RefHeading___Toc8193565_1051229030">
            <w:r>
              <w:rPr>
                <w:webHidden/>
                <w:rStyle w:val="IndexLink"/>
                <w:rtl w:val="true"/>
              </w:rPr>
              <w:t>القاعدة الثانية</w:t>
            </w:r>
            <w:r>
              <w:rPr>
                <w:rStyle w:val="IndexLink"/>
                <w:rtl w:val="true"/>
              </w:rPr>
              <w:t xml:space="preserve">: </w:t>
            </w:r>
            <w:r>
              <w:rPr>
                <w:rStyle w:val="IndexLink"/>
                <w:rtl w:val="true"/>
              </w:rPr>
              <w:t>الولد للفراش</w:t>
            </w:r>
            <w:r>
              <w:rPr>
                <w:rStyle w:val="IndexLink"/>
                <w:rtl w:val="true"/>
              </w:rPr>
              <w:t>.</w:t>
              <w:tab/>
            </w:r>
            <w:r>
              <w:rPr>
                <w:rStyle w:val="IndexLink"/>
              </w:rPr>
              <w:t>592</w:t>
            </w:r>
          </w:hyperlink>
        </w:p>
        <w:p>
          <w:pPr>
            <w:pStyle w:val="Contents6"/>
            <w:tabs>
              <w:tab w:val="clear" w:pos="7609"/>
              <w:tab w:val="right" w:pos="9026" w:leader="dot"/>
            </w:tabs>
            <w:rPr/>
          </w:pPr>
          <w:hyperlink w:anchor="__RefHeading___Toc8193567_1051229030">
            <w:r>
              <w:rPr>
                <w:webHidden/>
                <w:rStyle w:val="IndexLink"/>
                <w:rtl w:val="true"/>
              </w:rPr>
              <w:t>اشارة</w:t>
            </w:r>
            <w:r>
              <w:rPr>
                <w:rStyle w:val="IndexLink"/>
                <w:rtl w:val="true"/>
              </w:rPr>
              <w:tab/>
            </w:r>
            <w:r>
              <w:rPr>
                <w:rStyle w:val="IndexLink"/>
              </w:rPr>
              <w:t>592</w:t>
            </w:r>
          </w:hyperlink>
        </w:p>
        <w:p>
          <w:pPr>
            <w:pStyle w:val="Contents6"/>
            <w:tabs>
              <w:tab w:val="clear" w:pos="7609"/>
              <w:tab w:val="right" w:pos="9026" w:leader="dot"/>
            </w:tabs>
            <w:rPr/>
          </w:pPr>
          <w:hyperlink w:anchor="__RefHeading___Toc8193569_1051229030">
            <w:r>
              <w:rPr>
                <w:webHidden/>
                <w:rStyle w:val="IndexLink"/>
                <w:rtl w:val="true"/>
              </w:rPr>
              <w:t>قاعدة الولد للفراش</w:t>
            </w:r>
            <w:r>
              <w:rPr>
                <w:rStyle w:val="IndexLink"/>
                <w:rtl w:val="true"/>
              </w:rPr>
              <w:tab/>
            </w:r>
            <w:r>
              <w:rPr>
                <w:rStyle w:val="IndexLink"/>
              </w:rPr>
              <w:t>592</w:t>
            </w:r>
          </w:hyperlink>
        </w:p>
        <w:p>
          <w:pPr>
            <w:pStyle w:val="Contents6"/>
            <w:tabs>
              <w:tab w:val="clear" w:pos="7609"/>
              <w:tab w:val="right" w:pos="9026" w:leader="dot"/>
            </w:tabs>
            <w:rPr/>
          </w:pPr>
          <w:hyperlink w:anchor="__RefHeading___Toc8193571_1051229030">
            <w:r>
              <w:rPr>
                <w:webHidden/>
                <w:rStyle w:val="IndexLink"/>
                <w:rtl w:val="true"/>
              </w:rPr>
              <w:t>القاعدة الثالثة</w:t>
            </w:r>
            <w:r>
              <w:rPr>
                <w:rStyle w:val="IndexLink"/>
                <w:rtl w:val="true"/>
              </w:rPr>
              <w:t xml:space="preserve">: </w:t>
            </w:r>
            <w:r>
              <w:rPr>
                <w:rStyle w:val="IndexLink"/>
                <w:rtl w:val="true"/>
              </w:rPr>
              <w:t>ملكية الإنسان لأعضائه</w:t>
            </w:r>
            <w:r>
              <w:rPr>
                <w:rStyle w:val="IndexLink"/>
                <w:rtl w:val="true"/>
              </w:rPr>
              <w:t>.</w:t>
              <w:tab/>
            </w:r>
            <w:r>
              <w:rPr>
                <w:rStyle w:val="IndexLink"/>
              </w:rPr>
              <w:t>608</w:t>
            </w:r>
          </w:hyperlink>
        </w:p>
        <w:p>
          <w:pPr>
            <w:pStyle w:val="Contents6"/>
            <w:tabs>
              <w:tab w:val="clear" w:pos="7609"/>
              <w:tab w:val="right" w:pos="9026" w:leader="dot"/>
            </w:tabs>
            <w:rPr/>
          </w:pPr>
          <w:hyperlink w:anchor="__RefHeading___Toc8193573_1051229030">
            <w:r>
              <w:rPr>
                <w:webHidden/>
                <w:rStyle w:val="IndexLink"/>
                <w:rtl w:val="true"/>
              </w:rPr>
              <w:t>اشارة</w:t>
            </w:r>
            <w:r>
              <w:rPr>
                <w:rStyle w:val="IndexLink"/>
                <w:rtl w:val="true"/>
              </w:rPr>
              <w:tab/>
            </w:r>
            <w:r>
              <w:rPr>
                <w:rStyle w:val="IndexLink"/>
              </w:rPr>
              <w:t>608</w:t>
            </w:r>
          </w:hyperlink>
        </w:p>
        <w:p>
          <w:pPr>
            <w:pStyle w:val="Contents6"/>
            <w:tabs>
              <w:tab w:val="clear" w:pos="7609"/>
              <w:tab w:val="right" w:pos="9026" w:leader="dot"/>
            </w:tabs>
            <w:rPr/>
          </w:pPr>
          <w:hyperlink w:anchor="__RefHeading___Toc8193575_1051229030">
            <w:r>
              <w:rPr>
                <w:webHidden/>
                <w:rStyle w:val="IndexLink"/>
                <w:rtl w:val="true"/>
              </w:rPr>
              <w:t>حكم قطع أعضاء الإنسان</w:t>
            </w:r>
            <w:r>
              <w:rPr>
                <w:rStyle w:val="IndexLink"/>
                <w:rtl w:val="true"/>
              </w:rPr>
              <w:tab/>
            </w:r>
            <w:r>
              <w:rPr>
                <w:rStyle w:val="IndexLink"/>
              </w:rPr>
              <w:t>615</w:t>
            </w:r>
          </w:hyperlink>
        </w:p>
        <w:p>
          <w:pPr>
            <w:pStyle w:val="Contents6"/>
            <w:tabs>
              <w:tab w:val="clear" w:pos="7609"/>
              <w:tab w:val="right" w:pos="9026" w:leader="dot"/>
            </w:tabs>
            <w:rPr/>
          </w:pPr>
          <w:hyperlink w:anchor="__RefHeading___Toc8193577_1051229030">
            <w:r>
              <w:rPr>
                <w:webHidden/>
                <w:rStyle w:val="IndexLink"/>
                <w:rtl w:val="true"/>
              </w:rPr>
              <w:t>القيد الأول</w:t>
            </w:r>
            <w:r>
              <w:rPr>
                <w:rStyle w:val="IndexLink"/>
                <w:rtl w:val="true"/>
              </w:rPr>
              <w:t xml:space="preserve">: </w:t>
            </w:r>
            <w:r>
              <w:rPr>
                <w:rStyle w:val="IndexLink"/>
                <w:rtl w:val="true"/>
              </w:rPr>
              <w:t>أن لا يؤدي إلى قتل النفس</w:t>
            </w:r>
            <w:r>
              <w:rPr>
                <w:rStyle w:val="IndexLink"/>
                <w:rtl w:val="true"/>
              </w:rPr>
              <w:tab/>
            </w:r>
            <w:r>
              <w:rPr>
                <w:rStyle w:val="IndexLink"/>
              </w:rPr>
              <w:t>616</w:t>
            </w:r>
          </w:hyperlink>
        </w:p>
        <w:p>
          <w:pPr>
            <w:pStyle w:val="Contents6"/>
            <w:tabs>
              <w:tab w:val="clear" w:pos="7609"/>
              <w:tab w:val="right" w:pos="9026" w:leader="dot"/>
            </w:tabs>
            <w:rPr/>
          </w:pPr>
          <w:hyperlink w:anchor="__RefHeading___Toc8193579_1051229030">
            <w:r>
              <w:rPr>
                <w:webHidden/>
                <w:rStyle w:val="IndexLink"/>
                <w:rtl w:val="true"/>
              </w:rPr>
              <w:t>القيد الثاني</w:t>
            </w:r>
            <w:r>
              <w:rPr>
                <w:rStyle w:val="IndexLink"/>
                <w:rtl w:val="true"/>
              </w:rPr>
              <w:t xml:space="preserve">: </w:t>
            </w:r>
            <w:r>
              <w:rPr>
                <w:rStyle w:val="IndexLink"/>
                <w:rtl w:val="true"/>
              </w:rPr>
              <w:t>حرمة الإضرار بالبدن</w:t>
            </w:r>
            <w:r>
              <w:rPr>
                <w:rStyle w:val="IndexLink"/>
                <w:rtl w:val="true"/>
              </w:rPr>
              <w:tab/>
            </w:r>
            <w:r>
              <w:rPr>
                <w:rStyle w:val="IndexLink"/>
              </w:rPr>
              <w:t>617</w:t>
            </w:r>
          </w:hyperlink>
        </w:p>
        <w:p>
          <w:pPr>
            <w:pStyle w:val="Contents6"/>
            <w:tabs>
              <w:tab w:val="clear" w:pos="7609"/>
              <w:tab w:val="right" w:pos="9026" w:leader="dot"/>
            </w:tabs>
            <w:rPr/>
          </w:pPr>
          <w:hyperlink w:anchor="__RefHeading___Toc8193581_1051229030">
            <w:r>
              <w:rPr>
                <w:webHidden/>
                <w:rStyle w:val="IndexLink"/>
                <w:rtl w:val="true"/>
              </w:rPr>
              <w:t>القيد الثالث</w:t>
            </w:r>
            <w:r>
              <w:rPr>
                <w:rStyle w:val="IndexLink"/>
                <w:rtl w:val="true"/>
              </w:rPr>
              <w:t xml:space="preserve">: </w:t>
            </w:r>
            <w:r>
              <w:rPr>
                <w:rStyle w:val="IndexLink"/>
                <w:rtl w:val="true"/>
              </w:rPr>
              <w:t>عدم إذلال النفس</w:t>
            </w:r>
            <w:r>
              <w:rPr>
                <w:rStyle w:val="IndexLink"/>
                <w:rtl w:val="true"/>
              </w:rPr>
              <w:tab/>
            </w:r>
            <w:r>
              <w:rPr>
                <w:rStyle w:val="IndexLink"/>
              </w:rPr>
              <w:t>622</w:t>
            </w:r>
          </w:hyperlink>
        </w:p>
        <w:p>
          <w:pPr>
            <w:pStyle w:val="Contents6"/>
            <w:tabs>
              <w:tab w:val="clear" w:pos="7609"/>
              <w:tab w:val="right" w:pos="9026" w:leader="dot"/>
            </w:tabs>
            <w:rPr/>
          </w:pPr>
          <w:hyperlink w:anchor="__RefHeading___Toc8193583_1051229030">
            <w:r>
              <w:rPr>
                <w:webHidden/>
                <w:rStyle w:val="IndexLink"/>
                <w:rtl w:val="true"/>
              </w:rPr>
              <w:t>أقول</w:t>
            </w:r>
            <w:r>
              <w:rPr>
                <w:rStyle w:val="IndexLink"/>
                <w:rtl w:val="true"/>
              </w:rPr>
              <w:t xml:space="preserve">: </w:t>
            </w:r>
            <w:r>
              <w:rPr>
                <w:rStyle w:val="IndexLink"/>
                <w:rtl w:val="true"/>
              </w:rPr>
              <w:t xml:space="preserve">في كلامه </w:t>
            </w:r>
            <w:r>
              <w:rPr>
                <w:rStyle w:val="IndexLink"/>
                <w:rtl w:val="true"/>
              </w:rPr>
              <w:t>(</w:t>
            </w:r>
            <w:r>
              <w:rPr>
                <w:rStyle w:val="IndexLink"/>
                <w:rtl w:val="true"/>
              </w:rPr>
              <w:t>قدس سرّه</w:t>
            </w:r>
            <w:r>
              <w:rPr>
                <w:rStyle w:val="IndexLink"/>
                <w:rtl w:val="true"/>
              </w:rPr>
              <w:t xml:space="preserve">) </w:t>
            </w:r>
            <w:r>
              <w:rPr>
                <w:rStyle w:val="IndexLink"/>
                <w:rtl w:val="true"/>
              </w:rPr>
              <w:t>عدة مواضع للنظر</w:t>
            </w:r>
            <w:r>
              <w:rPr>
                <w:rStyle w:val="IndexLink"/>
                <w:rtl w:val="true"/>
              </w:rPr>
              <w:t>:-</w:t>
              <w:tab/>
            </w:r>
            <w:r>
              <w:rPr>
                <w:rStyle w:val="IndexLink"/>
              </w:rPr>
              <w:t>625</w:t>
            </w:r>
          </w:hyperlink>
        </w:p>
        <w:p>
          <w:pPr>
            <w:pStyle w:val="Contents6"/>
            <w:tabs>
              <w:tab w:val="clear" w:pos="7609"/>
              <w:tab w:val="right" w:pos="9026" w:leader="dot"/>
            </w:tabs>
            <w:rPr/>
          </w:pPr>
          <w:hyperlink w:anchor="__RefHeading___Toc8193585_1051229030">
            <w:r>
              <w:rPr>
                <w:webHidden/>
                <w:rStyle w:val="IndexLink"/>
                <w:rtl w:val="true"/>
              </w:rPr>
              <w:t>(</w:t>
            </w:r>
            <w:r>
              <w:rPr>
                <w:rStyle w:val="IndexLink"/>
                <w:rtl w:val="true"/>
              </w:rPr>
              <w:t>الجهة الثانية</w:t>
            </w:r>
            <w:r>
              <w:rPr>
                <w:rStyle w:val="IndexLink"/>
                <w:rtl w:val="true"/>
              </w:rPr>
              <w:t xml:space="preserve">) </w:t>
            </w:r>
            <w:r>
              <w:rPr>
                <w:rStyle w:val="IndexLink"/>
                <w:rtl w:val="true"/>
              </w:rPr>
              <w:t>إذا كان المقطوع منه ميتاً</w:t>
            </w:r>
            <w:r>
              <w:rPr>
                <w:rStyle w:val="IndexLink"/>
                <w:rtl w:val="true"/>
              </w:rPr>
              <w:tab/>
            </w:r>
            <w:r>
              <w:rPr>
                <w:rStyle w:val="IndexLink"/>
              </w:rPr>
              <w:t>629</w:t>
            </w:r>
          </w:hyperlink>
        </w:p>
        <w:p>
          <w:pPr>
            <w:pStyle w:val="Contents6"/>
            <w:tabs>
              <w:tab w:val="clear" w:pos="7609"/>
              <w:tab w:val="right" w:pos="9026" w:leader="dot"/>
            </w:tabs>
            <w:rPr/>
          </w:pPr>
          <w:hyperlink w:anchor="__RefHeading___Toc8193587_1051229030">
            <w:r>
              <w:rPr>
                <w:webHidden/>
                <w:rStyle w:val="IndexLink"/>
                <w:rtl w:val="true"/>
              </w:rPr>
              <w:t>القاعدة الرابعة</w:t>
            </w:r>
            <w:r>
              <w:rPr>
                <w:rStyle w:val="IndexLink"/>
                <w:rtl w:val="true"/>
              </w:rPr>
              <w:t xml:space="preserve">: </w:t>
            </w:r>
            <w:r>
              <w:rPr>
                <w:rStyle w:val="IndexLink"/>
                <w:rtl w:val="true"/>
              </w:rPr>
              <w:t>عدم اشتراط المالية في المبيع</w:t>
            </w:r>
            <w:r>
              <w:rPr>
                <w:rStyle w:val="IndexLink"/>
                <w:rtl w:val="true"/>
              </w:rPr>
              <w:t>.</w:t>
              <w:tab/>
            </w:r>
            <w:r>
              <w:rPr>
                <w:rStyle w:val="IndexLink"/>
              </w:rPr>
              <w:t>653</w:t>
            </w:r>
          </w:hyperlink>
        </w:p>
        <w:p>
          <w:pPr>
            <w:pStyle w:val="Contents6"/>
            <w:tabs>
              <w:tab w:val="clear" w:pos="7609"/>
              <w:tab w:val="right" w:pos="9026" w:leader="dot"/>
            </w:tabs>
            <w:rPr/>
          </w:pPr>
          <w:hyperlink w:anchor="__RefHeading___Toc8193589_1051229030">
            <w:r>
              <w:rPr>
                <w:webHidden/>
                <w:rStyle w:val="IndexLink"/>
                <w:rtl w:val="true"/>
              </w:rPr>
              <w:t>اشارة</w:t>
            </w:r>
            <w:r>
              <w:rPr>
                <w:rStyle w:val="IndexLink"/>
                <w:rtl w:val="true"/>
              </w:rPr>
              <w:tab/>
            </w:r>
            <w:r>
              <w:rPr>
                <w:rStyle w:val="IndexLink"/>
              </w:rPr>
              <w:t>653</w:t>
            </w:r>
          </w:hyperlink>
        </w:p>
        <w:p>
          <w:pPr>
            <w:pStyle w:val="Contents6"/>
            <w:tabs>
              <w:tab w:val="clear" w:pos="7609"/>
              <w:tab w:val="right" w:pos="9026" w:leader="dot"/>
            </w:tabs>
            <w:rPr/>
          </w:pPr>
          <w:hyperlink w:anchor="__RefHeading___Toc8193591_1051229030">
            <w:r>
              <w:rPr>
                <w:webHidden/>
                <w:rStyle w:val="IndexLink"/>
                <w:rtl w:val="true"/>
              </w:rPr>
              <w:t xml:space="preserve">« </w:t>
            </w:r>
            <w:r>
              <w:rPr>
                <w:rStyle w:val="IndexLink"/>
                <w:rtl w:val="true"/>
              </w:rPr>
              <w:t xml:space="preserve">مناقشة قاعدة لا بيع الا في ملك </w:t>
            </w:r>
            <w:r>
              <w:rPr>
                <w:rStyle w:val="IndexLink"/>
                <w:rtl w:val="true"/>
              </w:rPr>
              <w:t>»</w:t>
              <w:tab/>
            </w:r>
            <w:r>
              <w:rPr>
                <w:rStyle w:val="IndexLink"/>
              </w:rPr>
              <w:t>656</w:t>
            </w:r>
          </w:hyperlink>
        </w:p>
        <w:p>
          <w:pPr>
            <w:pStyle w:val="Contents6"/>
            <w:tabs>
              <w:tab w:val="clear" w:pos="7609"/>
              <w:tab w:val="right" w:pos="9026" w:leader="dot"/>
            </w:tabs>
            <w:rPr/>
          </w:pPr>
          <w:hyperlink w:anchor="__RefHeading___Toc8193593_1051229030">
            <w:r>
              <w:rPr>
                <w:webHidden/>
                <w:rStyle w:val="IndexLink"/>
                <w:rtl w:val="true"/>
              </w:rPr>
              <w:t xml:space="preserve">« </w:t>
            </w:r>
            <w:r>
              <w:rPr>
                <w:rStyle w:val="IndexLink"/>
                <w:rtl w:val="true"/>
              </w:rPr>
              <w:t xml:space="preserve">بيع الميتة </w:t>
            </w:r>
            <w:r>
              <w:rPr>
                <w:rStyle w:val="IndexLink"/>
                <w:rtl w:val="true"/>
              </w:rPr>
              <w:t>»</w:t>
              <w:tab/>
            </w:r>
            <w:r>
              <w:rPr>
                <w:rStyle w:val="IndexLink"/>
              </w:rPr>
              <w:t>660</w:t>
            </w:r>
          </w:hyperlink>
        </w:p>
        <w:p>
          <w:pPr>
            <w:pStyle w:val="Contents6"/>
            <w:tabs>
              <w:tab w:val="clear" w:pos="7609"/>
              <w:tab w:val="right" w:pos="9026" w:leader="dot"/>
            </w:tabs>
            <w:rPr/>
          </w:pPr>
          <w:hyperlink w:anchor="__RefHeading___Toc8193595_1051229030">
            <w:r>
              <w:rPr>
                <w:webHidden/>
                <w:rStyle w:val="IndexLink"/>
                <w:rtl w:val="true"/>
              </w:rPr>
              <w:t xml:space="preserve">« </w:t>
            </w:r>
            <w:r>
              <w:rPr>
                <w:rStyle w:val="IndexLink"/>
                <w:rtl w:val="true"/>
              </w:rPr>
              <w:t xml:space="preserve">بيع الأعيان النجسة </w:t>
            </w:r>
            <w:r>
              <w:rPr>
                <w:rStyle w:val="IndexLink"/>
                <w:rtl w:val="true"/>
              </w:rPr>
              <w:t>»</w:t>
              <w:tab/>
            </w:r>
            <w:r>
              <w:rPr>
                <w:rStyle w:val="IndexLink"/>
              </w:rPr>
              <w:t>666</w:t>
            </w:r>
          </w:hyperlink>
        </w:p>
        <w:p>
          <w:pPr>
            <w:pStyle w:val="Contents6"/>
            <w:tabs>
              <w:tab w:val="clear" w:pos="7609"/>
              <w:tab w:val="right" w:pos="9026" w:leader="dot"/>
            </w:tabs>
            <w:rPr/>
          </w:pPr>
          <w:hyperlink w:anchor="__RefHeading___Toc8193597_1051229030">
            <w:r>
              <w:rPr>
                <w:webHidden/>
                <w:rStyle w:val="IndexLink"/>
                <w:rtl w:val="true"/>
              </w:rPr>
              <w:t xml:space="preserve">« </w:t>
            </w:r>
            <w:r>
              <w:rPr>
                <w:rStyle w:val="IndexLink"/>
                <w:rtl w:val="true"/>
              </w:rPr>
              <w:t xml:space="preserve">بيع المني والبويضة </w:t>
            </w:r>
            <w:r>
              <w:rPr>
                <w:rStyle w:val="IndexLink"/>
                <w:rtl w:val="true"/>
              </w:rPr>
              <w:t>»</w:t>
              <w:tab/>
            </w:r>
            <w:r>
              <w:rPr>
                <w:rStyle w:val="IndexLink"/>
              </w:rPr>
              <w:t>668</w:t>
            </w:r>
          </w:hyperlink>
        </w:p>
        <w:p>
          <w:pPr>
            <w:pStyle w:val="Contents6"/>
            <w:tabs>
              <w:tab w:val="clear" w:pos="7609"/>
              <w:tab w:val="right" w:pos="9026" w:leader="dot"/>
            </w:tabs>
            <w:rPr/>
          </w:pPr>
          <w:hyperlink w:anchor="__RefHeading___Toc8193599_1051229030">
            <w:r>
              <w:rPr>
                <w:webHidden/>
                <w:rStyle w:val="IndexLink"/>
                <w:rtl w:val="true"/>
              </w:rPr>
              <w:t>القاعدة الخامسة</w:t>
            </w:r>
            <w:r>
              <w:rPr>
                <w:rStyle w:val="IndexLink"/>
                <w:rtl w:val="true"/>
              </w:rPr>
              <w:t xml:space="preserve">: </w:t>
            </w:r>
            <w:r>
              <w:rPr>
                <w:rStyle w:val="IndexLink"/>
                <w:rtl w:val="true"/>
              </w:rPr>
              <w:t>ضمان الطبيب وذوي المهن</w:t>
            </w:r>
            <w:r>
              <w:rPr>
                <w:rStyle w:val="IndexLink"/>
                <w:rtl w:val="true"/>
              </w:rPr>
              <w:tab/>
            </w:r>
            <w:r>
              <w:rPr>
                <w:rStyle w:val="IndexLink"/>
              </w:rPr>
              <w:t>672</w:t>
            </w:r>
          </w:hyperlink>
        </w:p>
        <w:p>
          <w:pPr>
            <w:pStyle w:val="Contents6"/>
            <w:tabs>
              <w:tab w:val="clear" w:pos="7609"/>
              <w:tab w:val="right" w:pos="9026" w:leader="dot"/>
            </w:tabs>
            <w:rPr/>
          </w:pPr>
          <w:hyperlink w:anchor="__RefHeading___Toc8193601_1051229030">
            <w:r>
              <w:rPr>
                <w:webHidden/>
                <w:rStyle w:val="IndexLink"/>
                <w:rtl w:val="true"/>
              </w:rPr>
              <w:t>اشارة</w:t>
            </w:r>
            <w:r>
              <w:rPr>
                <w:rStyle w:val="IndexLink"/>
                <w:rtl w:val="true"/>
              </w:rPr>
              <w:tab/>
            </w:r>
            <w:r>
              <w:rPr>
                <w:rStyle w:val="IndexLink"/>
              </w:rPr>
              <w:t>672</w:t>
            </w:r>
          </w:hyperlink>
        </w:p>
        <w:p>
          <w:pPr>
            <w:pStyle w:val="Contents6"/>
            <w:tabs>
              <w:tab w:val="clear" w:pos="7609"/>
              <w:tab w:val="right" w:pos="9026" w:leader="dot"/>
            </w:tabs>
            <w:rPr/>
          </w:pPr>
          <w:hyperlink w:anchor="__RefHeading___Toc8193603_1051229030">
            <w:r>
              <w:rPr>
                <w:webHidden/>
                <w:rStyle w:val="IndexLink"/>
                <w:rtl w:val="true"/>
              </w:rPr>
              <w:t>مناقشة أدلة المشهور</w:t>
            </w:r>
            <w:r>
              <w:rPr>
                <w:rStyle w:val="IndexLink"/>
                <w:rtl w:val="true"/>
              </w:rPr>
              <w:t>:</w:t>
              <w:tab/>
            </w:r>
            <w:r>
              <w:rPr>
                <w:rStyle w:val="IndexLink"/>
              </w:rPr>
              <w:t>684</w:t>
            </w:r>
          </w:hyperlink>
        </w:p>
        <w:p>
          <w:pPr>
            <w:pStyle w:val="Contents6"/>
            <w:tabs>
              <w:tab w:val="clear" w:pos="7609"/>
              <w:tab w:val="right" w:pos="9026" w:leader="dot"/>
            </w:tabs>
            <w:rPr/>
          </w:pPr>
          <w:hyperlink w:anchor="__RefHeading___Toc8193605_1051229030">
            <w:r>
              <w:rPr>
                <w:webHidden/>
                <w:rStyle w:val="IndexLink"/>
                <w:rtl w:val="true"/>
              </w:rPr>
              <w:t>إيقاظ</w:t>
            </w:r>
            <w:r>
              <w:rPr>
                <w:rStyle w:val="IndexLink"/>
                <w:rtl w:val="true"/>
              </w:rPr>
              <w:t xml:space="preserve">: </w:t>
            </w:r>
            <w:r>
              <w:rPr>
                <w:rStyle w:val="IndexLink"/>
                <w:rtl w:val="true"/>
              </w:rPr>
              <w:t>الخلاف لا موضوع له</w:t>
            </w:r>
            <w:r>
              <w:rPr>
                <w:rStyle w:val="IndexLink"/>
                <w:rtl w:val="true"/>
              </w:rPr>
              <w:t>:</w:t>
              <w:tab/>
            </w:r>
            <w:r>
              <w:rPr>
                <w:rStyle w:val="IndexLink"/>
              </w:rPr>
              <w:t>694</w:t>
            </w:r>
          </w:hyperlink>
        </w:p>
        <w:p>
          <w:pPr>
            <w:pStyle w:val="Contents6"/>
            <w:tabs>
              <w:tab w:val="clear" w:pos="7609"/>
              <w:tab w:val="right" w:pos="9026" w:leader="dot"/>
            </w:tabs>
            <w:rPr/>
          </w:pPr>
          <w:hyperlink w:anchor="__RefHeading___Toc8193607_1051229030">
            <w:r>
              <w:rPr>
                <w:webHidden/>
                <w:rStyle w:val="IndexLink"/>
                <w:rtl w:val="true"/>
              </w:rPr>
              <w:t>القاعدة السادسة</w:t>
            </w:r>
            <w:r>
              <w:rPr>
                <w:rStyle w:val="IndexLink"/>
                <w:rtl w:val="true"/>
              </w:rPr>
              <w:t xml:space="preserve">: </w:t>
            </w:r>
            <w:r>
              <w:rPr>
                <w:rStyle w:val="IndexLink"/>
                <w:rtl w:val="true"/>
              </w:rPr>
              <w:t>اخذ العوض على الواجبات</w:t>
            </w:r>
            <w:r>
              <w:rPr>
                <w:rStyle w:val="IndexLink"/>
                <w:rtl w:val="true"/>
              </w:rPr>
              <w:t>.</w:t>
              <w:tab/>
            </w:r>
            <w:r>
              <w:rPr>
                <w:rStyle w:val="IndexLink"/>
              </w:rPr>
              <w:t>705</w:t>
            </w:r>
          </w:hyperlink>
        </w:p>
        <w:p>
          <w:pPr>
            <w:pStyle w:val="Contents6"/>
            <w:tabs>
              <w:tab w:val="clear" w:pos="7609"/>
              <w:tab w:val="right" w:pos="9026" w:leader="dot"/>
            </w:tabs>
            <w:rPr/>
          </w:pPr>
          <w:hyperlink w:anchor="__RefHeading___Toc8193609_1051229030">
            <w:r>
              <w:rPr>
                <w:webHidden/>
                <w:rStyle w:val="IndexLink"/>
                <w:rtl w:val="true"/>
              </w:rPr>
              <w:t>اشارة</w:t>
            </w:r>
            <w:r>
              <w:rPr>
                <w:rStyle w:val="IndexLink"/>
                <w:rtl w:val="true"/>
              </w:rPr>
              <w:tab/>
            </w:r>
            <w:r>
              <w:rPr>
                <w:rStyle w:val="IndexLink"/>
              </w:rPr>
              <w:t>705</w:t>
            </w:r>
          </w:hyperlink>
        </w:p>
        <w:p>
          <w:pPr>
            <w:pStyle w:val="Contents6"/>
            <w:tabs>
              <w:tab w:val="clear" w:pos="7609"/>
              <w:tab w:val="right" w:pos="9026" w:leader="dot"/>
            </w:tabs>
            <w:rPr/>
          </w:pPr>
          <w:hyperlink w:anchor="__RefHeading___Toc8193611_1051229030">
            <w:r>
              <w:rPr>
                <w:webHidden/>
                <w:rStyle w:val="IndexLink"/>
                <w:rtl w:val="true"/>
              </w:rPr>
              <w:t>المقام الأول</w:t>
            </w:r>
            <w:r>
              <w:rPr>
                <w:rStyle w:val="IndexLink"/>
                <w:rtl w:val="true"/>
              </w:rPr>
              <w:t xml:space="preserve">: </w:t>
            </w:r>
            <w:r>
              <w:rPr>
                <w:rStyle w:val="IndexLink"/>
                <w:rtl w:val="true"/>
              </w:rPr>
              <w:t>الارتزاق</w:t>
            </w:r>
            <w:r>
              <w:rPr>
                <w:rStyle w:val="IndexLink"/>
                <w:rtl w:val="true"/>
              </w:rPr>
              <w:tab/>
            </w:r>
            <w:r>
              <w:rPr>
                <w:rStyle w:val="IndexLink"/>
              </w:rPr>
              <w:t>707</w:t>
            </w:r>
          </w:hyperlink>
        </w:p>
        <w:p>
          <w:pPr>
            <w:pStyle w:val="Contents6"/>
            <w:tabs>
              <w:tab w:val="clear" w:pos="7609"/>
              <w:tab w:val="right" w:pos="9026" w:leader="dot"/>
            </w:tabs>
            <w:rPr/>
          </w:pPr>
          <w:hyperlink w:anchor="__RefHeading___Toc8193613_1051229030">
            <w:r>
              <w:rPr>
                <w:webHidden/>
                <w:rStyle w:val="IndexLink"/>
                <w:rtl w:val="true"/>
              </w:rPr>
              <w:t>المقام الثاني</w:t>
            </w:r>
            <w:r>
              <w:rPr>
                <w:rStyle w:val="IndexLink"/>
                <w:rtl w:val="true"/>
              </w:rPr>
              <w:t xml:space="preserve">: </w:t>
            </w:r>
            <w:r>
              <w:rPr>
                <w:rStyle w:val="IndexLink"/>
                <w:rtl w:val="true"/>
              </w:rPr>
              <w:t>الإجارة</w:t>
            </w:r>
            <w:r>
              <w:rPr>
                <w:rStyle w:val="IndexLink"/>
                <w:rtl w:val="true"/>
              </w:rPr>
              <w:tab/>
            </w:r>
            <w:r>
              <w:rPr>
                <w:rStyle w:val="IndexLink"/>
              </w:rPr>
              <w:t>714</w:t>
            </w:r>
          </w:hyperlink>
        </w:p>
        <w:p>
          <w:pPr>
            <w:pStyle w:val="Contents6"/>
            <w:tabs>
              <w:tab w:val="clear" w:pos="7609"/>
              <w:tab w:val="right" w:pos="9026" w:leader="dot"/>
            </w:tabs>
            <w:rPr/>
          </w:pPr>
          <w:hyperlink w:anchor="__RefHeading___Toc8193615_1051229030">
            <w:r>
              <w:rPr>
                <w:webHidden/>
                <w:rStyle w:val="IndexLink"/>
                <w:rtl w:val="true"/>
              </w:rPr>
              <w:t>الاستدلال على عدم الجواز</w:t>
            </w:r>
            <w:r>
              <w:rPr>
                <w:rStyle w:val="IndexLink"/>
                <w:rtl w:val="true"/>
              </w:rPr>
              <w:t>:</w:t>
              <w:tab/>
            </w:r>
            <w:r>
              <w:rPr>
                <w:rStyle w:val="IndexLink"/>
              </w:rPr>
              <w:t>719</w:t>
            </w:r>
          </w:hyperlink>
        </w:p>
        <w:p>
          <w:pPr>
            <w:pStyle w:val="Contents6"/>
            <w:tabs>
              <w:tab w:val="clear" w:pos="7609"/>
              <w:tab w:val="right" w:pos="9026" w:leader="dot"/>
            </w:tabs>
            <w:rPr/>
          </w:pPr>
          <w:hyperlink w:anchor="__RefHeading___Toc8193617_1051229030">
            <w:r>
              <w:rPr>
                <w:webHidden/>
                <w:rStyle w:val="IndexLink"/>
                <w:rtl w:val="true"/>
              </w:rPr>
              <w:t>(</w:t>
            </w:r>
            <w:r>
              <w:rPr>
                <w:rStyle w:val="IndexLink"/>
                <w:rtl w:val="true"/>
              </w:rPr>
              <w:t>الصنف الأول</w:t>
            </w:r>
            <w:r>
              <w:rPr>
                <w:rStyle w:val="IndexLink"/>
                <w:rtl w:val="true"/>
              </w:rPr>
              <w:t xml:space="preserve">) </w:t>
            </w:r>
            <w:r>
              <w:rPr>
                <w:rStyle w:val="IndexLink"/>
                <w:rtl w:val="true"/>
              </w:rPr>
              <w:t>الموانع الذاتية</w:t>
            </w:r>
            <w:r>
              <w:rPr>
                <w:rStyle w:val="IndexLink"/>
                <w:rtl w:val="true"/>
              </w:rPr>
              <w:tab/>
            </w:r>
            <w:r>
              <w:rPr>
                <w:rStyle w:val="IndexLink"/>
              </w:rPr>
              <w:t>725</w:t>
            </w:r>
          </w:hyperlink>
        </w:p>
        <w:p>
          <w:pPr>
            <w:pStyle w:val="Contents6"/>
            <w:tabs>
              <w:tab w:val="clear" w:pos="7609"/>
              <w:tab w:val="right" w:pos="9026" w:leader="dot"/>
            </w:tabs>
            <w:rPr/>
          </w:pPr>
          <w:hyperlink w:anchor="__RefHeading___Toc8193619_1051229030">
            <w:r>
              <w:rPr>
                <w:webHidden/>
                <w:rStyle w:val="IndexLink"/>
                <w:rtl w:val="true"/>
              </w:rPr>
              <w:t>نتيجة المناقشة</w:t>
            </w:r>
            <w:r>
              <w:rPr>
                <w:rStyle w:val="IndexLink"/>
                <w:rtl w:val="true"/>
              </w:rPr>
              <w:t>:</w:t>
              <w:tab/>
            </w:r>
            <w:r>
              <w:rPr>
                <w:rStyle w:val="IndexLink"/>
              </w:rPr>
              <w:t>738</w:t>
            </w:r>
          </w:hyperlink>
        </w:p>
        <w:p>
          <w:pPr>
            <w:pStyle w:val="Contents6"/>
            <w:tabs>
              <w:tab w:val="clear" w:pos="7609"/>
              <w:tab w:val="right" w:pos="9026" w:leader="dot"/>
            </w:tabs>
            <w:rPr/>
          </w:pPr>
          <w:hyperlink w:anchor="__RefHeading___Toc8193621_1051229030">
            <w:r>
              <w:rPr>
                <w:webHidden/>
                <w:rStyle w:val="IndexLink"/>
                <w:rtl w:val="true"/>
              </w:rPr>
              <w:t>(</w:t>
            </w:r>
            <w:r>
              <w:rPr>
                <w:rStyle w:val="IndexLink"/>
                <w:rtl w:val="true"/>
              </w:rPr>
              <w:t>الصنف الثاني</w:t>
            </w:r>
            <w:r>
              <w:rPr>
                <w:rStyle w:val="IndexLink"/>
                <w:rtl w:val="true"/>
              </w:rPr>
              <w:t xml:space="preserve">) </w:t>
            </w:r>
            <w:r>
              <w:rPr>
                <w:rStyle w:val="IndexLink"/>
                <w:rtl w:val="true"/>
              </w:rPr>
              <w:t>الموانع العرضية</w:t>
            </w:r>
            <w:r>
              <w:rPr>
                <w:rStyle w:val="IndexLink"/>
                <w:rtl w:val="true"/>
              </w:rPr>
              <w:tab/>
            </w:r>
            <w:r>
              <w:rPr>
                <w:rStyle w:val="IndexLink"/>
              </w:rPr>
              <w:t>741</w:t>
            </w:r>
          </w:hyperlink>
        </w:p>
        <w:p>
          <w:pPr>
            <w:pStyle w:val="Contents6"/>
            <w:tabs>
              <w:tab w:val="clear" w:pos="7609"/>
              <w:tab w:val="right" w:pos="9026" w:leader="dot"/>
            </w:tabs>
            <w:rPr/>
          </w:pPr>
          <w:hyperlink w:anchor="__RefHeading___Toc8193623_1051229030">
            <w:r>
              <w:rPr>
                <w:webHidden/>
                <w:rStyle w:val="IndexLink"/>
                <w:rtl w:val="true"/>
              </w:rPr>
              <w:t>تأكُّد القصد القربي بالإجارة</w:t>
            </w:r>
            <w:r>
              <w:rPr>
                <w:rStyle w:val="IndexLink"/>
                <w:rtl w:val="true"/>
              </w:rPr>
              <w:t>:</w:t>
              <w:tab/>
            </w:r>
            <w:r>
              <w:rPr>
                <w:rStyle w:val="IndexLink"/>
              </w:rPr>
              <w:t>756</w:t>
            </w:r>
          </w:hyperlink>
        </w:p>
        <w:p>
          <w:pPr>
            <w:pStyle w:val="Contents6"/>
            <w:tabs>
              <w:tab w:val="clear" w:pos="7609"/>
              <w:tab w:val="right" w:pos="9026" w:leader="dot"/>
            </w:tabs>
            <w:rPr/>
          </w:pPr>
          <w:hyperlink w:anchor="__RefHeading___Toc8193625_1051229030">
            <w:r>
              <w:rPr>
                <w:webHidden/>
                <w:rStyle w:val="IndexLink"/>
                <w:rtl w:val="true"/>
              </w:rPr>
              <w:t>(</w:t>
            </w:r>
            <w:r>
              <w:rPr>
                <w:rStyle w:val="IndexLink"/>
                <w:rtl w:val="true"/>
              </w:rPr>
              <w:t>الثالث</w:t>
            </w:r>
            <w:r>
              <w:rPr>
                <w:rStyle w:val="IndexLink"/>
                <w:rtl w:val="true"/>
              </w:rPr>
              <w:t xml:space="preserve">) </w:t>
            </w:r>
            <w:r>
              <w:rPr>
                <w:rStyle w:val="IndexLink"/>
                <w:rtl w:val="true"/>
              </w:rPr>
              <w:t>أخذ الأجرة على الواجبات النظامية</w:t>
            </w:r>
            <w:r>
              <w:rPr>
                <w:rStyle w:val="IndexLink"/>
                <w:rtl w:val="true"/>
              </w:rPr>
              <w:t>:</w:t>
              <w:tab/>
            </w:r>
            <w:r>
              <w:rPr>
                <w:rStyle w:val="IndexLink"/>
              </w:rPr>
              <w:t>770</w:t>
            </w:r>
          </w:hyperlink>
        </w:p>
        <w:p>
          <w:pPr>
            <w:pStyle w:val="Contents6"/>
            <w:tabs>
              <w:tab w:val="clear" w:pos="7609"/>
              <w:tab w:val="right" w:pos="9026" w:leader="dot"/>
            </w:tabs>
            <w:rPr/>
          </w:pPr>
          <w:hyperlink w:anchor="__RefHeading___Toc8193627_1051229030">
            <w:r>
              <w:rPr>
                <w:webHidden/>
                <w:rStyle w:val="IndexLink"/>
                <w:rtl w:val="true"/>
              </w:rPr>
              <w:t>نتيجة البحث وخلاصة الاستدلال على الجواز</w:t>
            </w:r>
            <w:r>
              <w:rPr>
                <w:rStyle w:val="IndexLink"/>
                <w:rtl w:val="true"/>
              </w:rPr>
              <w:tab/>
            </w:r>
            <w:r>
              <w:rPr>
                <w:rStyle w:val="IndexLink"/>
              </w:rPr>
              <w:t>780</w:t>
            </w:r>
          </w:hyperlink>
        </w:p>
        <w:p>
          <w:pPr>
            <w:pStyle w:val="Contents6"/>
            <w:tabs>
              <w:tab w:val="clear" w:pos="7609"/>
              <w:tab w:val="right" w:pos="9026" w:leader="dot"/>
            </w:tabs>
            <w:rPr/>
          </w:pPr>
          <w:hyperlink w:anchor="__RefHeading___Toc8193629_1051229030">
            <w:r>
              <w:rPr>
                <w:webHidden/>
                <w:rStyle w:val="IndexLink"/>
                <w:rtl w:val="true"/>
              </w:rPr>
              <w:t>القاعدة السابعة</w:t>
            </w:r>
            <w:r>
              <w:rPr>
                <w:rStyle w:val="IndexLink"/>
                <w:rtl w:val="true"/>
              </w:rPr>
              <w:t xml:space="preserve">: </w:t>
            </w:r>
            <w:r>
              <w:rPr>
                <w:rStyle w:val="IndexLink"/>
                <w:rtl w:val="true"/>
              </w:rPr>
              <w:t>قاعدة تقديم الأيسر</w:t>
            </w:r>
            <w:r>
              <w:rPr>
                <w:rStyle w:val="IndexLink"/>
                <w:rtl w:val="true"/>
              </w:rPr>
              <w:t>.</w:t>
              <w:tab/>
            </w:r>
            <w:r>
              <w:rPr>
                <w:rStyle w:val="IndexLink"/>
              </w:rPr>
              <w:t>783</w:t>
            </w:r>
          </w:hyperlink>
        </w:p>
        <w:p>
          <w:pPr>
            <w:pStyle w:val="Contents6"/>
            <w:tabs>
              <w:tab w:val="clear" w:pos="7609"/>
              <w:tab w:val="right" w:pos="9026" w:leader="dot"/>
            </w:tabs>
            <w:rPr/>
          </w:pPr>
          <w:hyperlink w:anchor="__RefHeading___Toc8193631_1051229030">
            <w:r>
              <w:rPr>
                <w:webHidden/>
                <w:rStyle w:val="IndexLink"/>
                <w:rtl w:val="true"/>
              </w:rPr>
              <w:t>اشارة</w:t>
            </w:r>
            <w:r>
              <w:rPr>
                <w:rStyle w:val="IndexLink"/>
                <w:rtl w:val="true"/>
              </w:rPr>
              <w:tab/>
            </w:r>
            <w:r>
              <w:rPr>
                <w:rStyle w:val="IndexLink"/>
              </w:rPr>
              <w:t>783</w:t>
            </w:r>
          </w:hyperlink>
        </w:p>
        <w:p>
          <w:pPr>
            <w:pStyle w:val="Contents6"/>
            <w:tabs>
              <w:tab w:val="clear" w:pos="7609"/>
              <w:tab w:val="right" w:pos="9026" w:leader="dot"/>
            </w:tabs>
            <w:rPr/>
          </w:pPr>
          <w:hyperlink w:anchor="__RefHeading___Toc8193633_1051229030">
            <w:r>
              <w:rPr>
                <w:webHidden/>
                <w:rStyle w:val="IndexLink"/>
                <w:rtl w:val="true"/>
              </w:rPr>
              <w:t>قاعدة تقديم الأيسر</w:t>
            </w:r>
            <w:r>
              <w:rPr>
                <w:rStyle w:val="IndexLink"/>
                <w:rtl w:val="true"/>
              </w:rPr>
              <w:tab/>
            </w:r>
            <w:r>
              <w:rPr>
                <w:rStyle w:val="IndexLink"/>
              </w:rPr>
              <w:t>783</w:t>
            </w:r>
          </w:hyperlink>
        </w:p>
        <w:p>
          <w:pPr>
            <w:pStyle w:val="Contents2"/>
            <w:tabs>
              <w:tab w:val="clear" w:pos="8743"/>
              <w:tab w:val="right" w:pos="9026" w:leader="dot"/>
            </w:tabs>
            <w:rPr/>
          </w:pPr>
          <w:hyperlink w:anchor="__RefHeading___Toc8193635_1051229030">
            <w:r>
              <w:rPr>
                <w:webHidden/>
                <w:rStyle w:val="IndexLink"/>
                <w:rtl w:val="true"/>
              </w:rPr>
              <w:t>الفهرس</w:t>
            </w:r>
            <w:r>
              <w:rPr>
                <w:rStyle w:val="IndexLink"/>
                <w:rtl w:val="true"/>
              </w:rPr>
              <w:tab/>
            </w:r>
            <w:r>
              <w:rPr>
                <w:rStyle w:val="IndexLink"/>
              </w:rPr>
              <w:t>789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133_62519"/>
      <w:bookmarkStart w:id="1" w:name="pg8133_62519"/>
      <w:bookmarkEnd w:id="1"/>
    </w:p>
    <w:p>
      <w:pPr>
        <w:pStyle w:val="Heading2"/>
        <w:numPr>
          <w:ilvl w:val="1"/>
          <w:numId w:val="1"/>
        </w:numPr>
        <w:rPr/>
      </w:pPr>
      <w:bookmarkStart w:id="2" w:name="pg8133_62519"/>
      <w:bookmarkStart w:id="3" w:name="__RefHeading___Toc8192979_105122903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الدرر الأصولية في موسوعة فقه الخلاف</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 السعدي</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w:t>
      </w:r>
    </w:p>
    <w:p>
      <w:pPr>
        <w:pStyle w:val="BookText"/>
        <w:rPr/>
      </w:pP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2021</w:t>
      </w:r>
      <w:r>
        <w:rPr>
          <w:rFonts w:ascii="Amiri" w:hAnsi="Amiri" w:eastAsia="Amiri" w:cs="Amiri"/>
          <w:color w:val="111111"/>
          <w:sz w:val="28"/>
          <w:sz w:val="28"/>
          <w:szCs w:val="28"/>
          <w:rtl w:val="true"/>
          <w:lang w:bidi="ar-SA"/>
        </w:rPr>
        <w:t>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192981_105122903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الدرر الأصولية في موسوعة فقه الخلاف</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حيدر السعدي </w:t>
      </w:r>
      <w:bookmarkStart w:id="7" w:name="pg8133_62523"/>
    </w:p>
    <w:p>
      <w:pPr>
        <w:pStyle w:val="Heading2"/>
        <w:numPr>
          <w:ilvl w:val="1"/>
          <w:numId w:val="1"/>
        </w:numPr>
        <w:rPr/>
      </w:pPr>
      <w:bookmarkStart w:id="8" w:name="__RefHeading___Toc8192983_1051229030"/>
      <w:bookmarkStart w:id="9" w:name="_Toc3"/>
      <w:bookmarkEnd w:id="7"/>
      <w:bookmarkEnd w:id="8"/>
      <w:r>
        <w:rPr>
          <w:rtl w:val="true"/>
        </w:rPr>
        <w:t>المقدمة</w:t>
      </w:r>
      <w:bookmarkEnd w:id="9"/>
    </w:p>
    <w:p>
      <w:pPr>
        <w:pStyle w:val="BookText"/>
        <w:rPr/>
      </w:pPr>
      <w:r>
        <w:rPr>
          <w:rFonts w:ascii="Amiri" w:hAnsi="Amiri" w:eastAsia="Amiri" w:cs="Amiri"/>
          <w:color w:val="111111"/>
          <w:sz w:val="28"/>
          <w:sz w:val="28"/>
          <w:szCs w:val="28"/>
          <w:rtl w:val="true"/>
          <w:lang w:bidi="ar-SA"/>
        </w:rPr>
        <w:t>الحمد لله على ما عرّفنا من نفسه ، وألهمنا من شكره، وفتح لنا من أبواب العلم بربوبيته ، ودلنا عليه من الاخلاص له في توحيده، وجنبنا من الإلحاد والشك في أمره، حمدًا نعمر به فيمن حمده من خلقه، ونسبق به من سبق إلى رضاه وعفوه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وأفضل الصلاة وأتم التسليم على سيد الخلق ، وامام الحق نبينا الأكرم ابي القاسم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وعلى ال بيته الميامين الاخيار المنتجبين الابرار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منّ الله تعالى عليّ من مننه العظيمة بأن وفقني لحضور بحث الفقه لسماحة المرجع الديني اية الله العظمى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فأحببت ان اجمع المباحث الأصولية التي ذكرها في بحثه الشريف في كتاب مستقل ؛لأني وجدت في ذلك فوائد جمة ، من أهمها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التعرف على المباني الأصولية لسماحة الشيخ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اذ لا يوجد بين ايدينا حاليا كتاب يجمع تلك المباني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تلك المطالب ، وما يتميز به بحثه الشريف ، خاصة ان لسماحته اراءً أصولية عديدة يتميز بها عن مشهور الأصوليين ، كما ان طريقته في بيان المطلب معروفة بالاسلوب السلس ، وبالعبارة المفهومة مع دقة علمية في بيان المطالب الأصولية تفتح لكل من يطّلع عليها افاقًا جديدة في علم الأصول</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بعض التطبيقات للقواعد الأصولية على موضوعاتها الفقهية ، وهذا من اكبر فوائد قراءة علم الأصول ضمن الابحاث الفقهية ، فان المطلب الأصولي فيها لن يكون مجرد مطلب جامد لا تُعرف إمكانية الاستفادة منه في الفقه او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يكون لذلك المطلب الأصولي تطبيق فقهي ولكن لم يعهد الطالب كيفية تطبيقه في علم الفقه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تباينت أساليب عرض المطالب الأصولية في موسوعة فقه الخلاف بحسب الحاجة اليها في الموضوع الفقهي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فربما دعت الحاجة الى ذكر المطالب الأصولية بشكل مفصل ؛ لان لها مدخلية في البحث ، إضافة الى ان المبنى الأصولي فيها يختلف عما هو المشهور ، او انه مبنى لم يسبق اليه 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كان ذكر المطالب الأصولية لمجرد بيان الرأي الذي يتبناه سماحة الشيخ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خوض في التفاصيل او ذكر لأدلته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قسّمت هذا الكتاب على فصلين وخاتمة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ذكرت في الفصل الأول منها المباحث الأصولية التي ذكرها سماحة الشيخ الأستاذ تفصيلا وبشكل مسهب ، وهي اربعة مطالب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الوجوب الكفائي الذي بحثه في مسالة الامر بالمعروف والنهي عن المنكر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عند دوران الامر بين التخصص والتخصيص ، فقد بحث سماحته هذا المطلب بشكل تفصيلي وانتهى الى تفصيل لم يسبقه اليه احد من علماء الأصول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التسامح في ادلة السنن ، حيث يذهب سماحته الى ان المقصود من روايات من بلغ هي الروايات المعتبرة ؛ لان البلوغ يتضمن هذا المعنى ، فأشكل سماحته على التوسع في تطبيق هذه القاعدة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في الاستصحاب بين الشك في المقتضي والشك في الرافع ، اذ ان سماحته لا يقول بإجراء الاستصحاب مطلقًا ، وانما يرى جريانه في خصوص حالة الشك في الرافع</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الفصل الثاني فقد خصصته للمطالب الأصولية التي ذكرها سماحته كمبانٍ أصولية ولَم يسهب في تفصيلاتها ؛ لان رأيه فيها موافق لرأي المشهور ، او لمقتضيات البحث الفقهي وعدم تشتيت الموضوع ، وكذا ذكرت في هذا الفصل بعض تطبيقات المطالب الأصولية ؛ لما في ذلك من فائدة عملية وبيان دقة سماحته في تلك التطبيقات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وضعت خاتمة ذكرت فيها اهم القواعد الفقهية التي بحثها سماحته في موسوعة فقه الخلاف بشكل تفصيلي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شرعت في كتابة هذه الأوراق كان سماحته قد أتم كتابة المسألة الأولى وشرع في الثانية من الجزء الثالث عشر من موسوعة فقه الخلاف ، وهما مسالتا مقدار دية القتل عند اختلاف الأصناف في القيمة كثيرًا ، وحد المبيت الواجب في منى ، ولذا فان ما ساذكره في هذا المؤلف سيكون في حدود هذه الأجزاء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اكتب في متن المُؤلَف الا مقدمة بسيطة ومختصرة قبل نقل اَيٍ من كلمات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لان غايتي الرئيسة هنا هي نقل كلمات وابحاث سماحة الشيخ الأستاذ حصرًا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يجد القارئ لهذا الكتاب بعض العبائر مذكورة تحت اكثر من عنوان ؛ لانها تتضمن اكثر من مطلب اصولي ، ولَم ارجح اقتطاع كل جزء منها و وضعه تحت عنوان خاص ؛ لاني رايت ان في اقتطاعها بهذا الشكل إرباكا وعدم وضوح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المقابل فان بعض الكلمات كانت تحكي عن مطالب أصولية متعددة ، ومع ذلك لم افرد لكل مطلب منها عنوانا خاصا ؛ لأنها عبارات طويلة بعض الشيء ، ولم ارد تكرارها بطولها ، كما لم ارد تقطيعها ؛ لما في ذلك من تاثير على وضوح البيان ، وذهابٍ لتسلسل طرح الافكار والمطالب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وبطبيعة الحال فان عملي في هذا المؤلف كان عبارة عن اقتطاع الكلام الخاص ببعض المطالب الأصولية المهمة وترتيبها وفق المنهج الأصولي ، فمن أراد ان يطلع على المطلب الأصلي عليه الرجوع الى موسوعة فقه الخلاف</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انني لا ادعي استقصاء جميع المطالب الأصولية التي تضمنتها موسوعة فقه الخلاف ، وانما ذكرت منها ما لفت انتباهي واهتمامي ، فاعتذر مقدمًا عن اَي تقصير او قصور في بيان مطالب شيخنا الأستاذ ، واذا كان هناك خلل او نقص فأرجو تنبيهي عليه لتداركه مستقبلاً ان بقي في الحياة بقية ، وكُتب لهذا الكتاب ان يُطبع ثانية</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وقبل البدء ببيان المطالب الأصولية لسماحة الشيخ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بيان نظرته لمطالب علم أصول الفقه التي يجب بحثها ، وما هي التسمية الصحيحة التي يفترض ان نطلقها على هذا العلم وفق رؤيته ، وقد ذكر سماحته ذلك في سانحة في تسمية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الفقه</w:t>
      </w:r>
      <w:r>
        <w:rPr>
          <w:rFonts w:eastAsia="Amiri" w:cs="Amiri" w:ascii="Amiri" w:hAnsi="Amiri"/>
          <w:color w:val="111111"/>
          <w:sz w:val="28"/>
          <w:szCs w:val="28"/>
          <w:rtl w:val="true"/>
          <w:lang w:bidi="ar-SA"/>
        </w:rPr>
        <w:t xml:space="preserve">). </w:t>
      </w:r>
      <w:bookmarkStart w:id="10" w:name="pg8133_62531"/>
    </w:p>
    <w:p>
      <w:pPr>
        <w:pStyle w:val="Heading2"/>
        <w:numPr>
          <w:ilvl w:val="1"/>
          <w:numId w:val="1"/>
        </w:numPr>
        <w:rPr/>
      </w:pPr>
      <w:bookmarkStart w:id="11" w:name="__RefHeading___Toc8192985_1051229030"/>
      <w:bookmarkStart w:id="12" w:name="_Toc4"/>
      <w:bookmarkEnd w:id="10"/>
      <w:bookmarkEnd w:id="11"/>
      <w:r>
        <w:rPr>
          <w:rtl w:val="true"/>
        </w:rPr>
        <w:t xml:space="preserve">تسمية علم </w:t>
      </w:r>
      <w:r>
        <w:rPr>
          <w:rtl w:val="true"/>
        </w:rPr>
        <w:t>(</w:t>
      </w:r>
      <w:r>
        <w:rPr>
          <w:rtl w:val="true"/>
        </w:rPr>
        <w:t>أصول الفقه</w:t>
      </w:r>
      <w:r>
        <w:rPr>
          <w:rtl w:val="true"/>
        </w:rPr>
        <w:t>)</w:t>
      </w:r>
      <w:bookmarkEnd w:id="12"/>
    </w:p>
    <w:p>
      <w:pPr>
        <w:pStyle w:val="BookText"/>
        <w:rPr/>
      </w:pPr>
      <w:r>
        <w:rPr>
          <w:rFonts w:ascii="Amiri" w:hAnsi="Amiri" w:eastAsia="Amiri" w:cs="Amiri"/>
          <w:color w:val="111111"/>
          <w:sz w:val="28"/>
          <w:sz w:val="28"/>
          <w:szCs w:val="28"/>
          <w:rtl w:val="true"/>
          <w:lang w:bidi="ar-SA"/>
        </w:rPr>
        <w:t xml:space="preserve">ذكر سماحة الشيخ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الأسطر إشكاله على تسمية ما يبحث اليوم في علم الأصول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وذكر ان الصحيح في تسميتها ان تسمى قواعد الاستنباط ؛ لانها تمثل قواعد كيفية التعامل مع الأدلة على الحكم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فيوضاته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p>
    <w:p>
      <w:pPr>
        <w:pStyle w:val="Heading2"/>
        <w:numPr>
          <w:ilvl w:val="1"/>
          <w:numId w:val="1"/>
        </w:numPr>
        <w:rPr/>
      </w:pPr>
      <w:bookmarkStart w:id="13" w:name="__RefHeading___Toc8192987_1051229030"/>
      <w:bookmarkStart w:id="14" w:name="_Toc5"/>
      <w:bookmarkEnd w:id="13"/>
      <w:r>
        <w:rPr>
          <w:rtl w:val="true"/>
        </w:rPr>
        <w:t>سانحة</w:t>
      </w:r>
      <w:r>
        <w:rPr>
          <w:rtl w:val="true"/>
        </w:rPr>
        <w:t xml:space="preserve">: </w:t>
      </w:r>
      <w:r>
        <w:rPr>
          <w:rtl w:val="true"/>
        </w:rPr>
        <w:t xml:space="preserve">في تسمية علم </w:t>
      </w:r>
      <w:r>
        <w:rPr>
          <w:rtl w:val="true"/>
        </w:rPr>
        <w:t>(</w:t>
      </w:r>
      <w:r>
        <w:rPr>
          <w:rtl w:val="true"/>
        </w:rPr>
        <w:t>اصول الفقه</w:t>
      </w:r>
      <w:r>
        <w:rPr>
          <w:rtl w:val="true"/>
        </w:rPr>
        <w:t>)</w:t>
      </w:r>
      <w:bookmarkEnd w:id="14"/>
    </w:p>
    <w:p>
      <w:pPr>
        <w:pStyle w:val="BookText"/>
        <w:rPr/>
      </w:pPr>
      <w:r>
        <w:rPr>
          <w:rFonts w:ascii="Amiri" w:hAnsi="Amiri" w:eastAsia="Amiri" w:cs="Amiri"/>
          <w:color w:val="111111"/>
          <w:sz w:val="28"/>
          <w:sz w:val="28"/>
          <w:szCs w:val="28"/>
          <w:rtl w:val="true"/>
          <w:lang w:bidi="ar-SA"/>
        </w:rPr>
        <w:t xml:space="preserve">أرى إشكالاً في إطلاق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البحوث الاصولية المتداولة؛ لأن اصول الفقه تعني المنابع التي يستقى منها الفقه وهما الكتاب والسنة فقط، اما القواعد التي تؤسسها البحوث الأصولية فهي وسائل وآليات كيفية التعامل مع النصوص الشرعية التي هي أصول الفقه لاستنباط الحكم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فحينما نواجه نصاً شرعياً فيه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لنا القاعدة ان هذه الصيغة دالة على الوجوب، وحينما نجد في النص جملة شرطية تقول لنا القاعدة ان لها مفهوماً وانه حجة، واذا تعارض النصّان فنؤسس قواعد لحل التعارض، واذا كان النص ظاهراً في وجوب شيء فان قاعدة تقتضي وجوب مقدمته أو لوازمه أو حرمة ضدّه ونحو ذلك، فالأصل الذي يستنبط منه هو النص الشرعي، اما نتائج علم الأصول فهي قواعد التعامل مع النص الشرعي عند القيام بعملية الاستنباط</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فالصحيح أن يعرَّف علم الأصول المتداول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قواعد كيفية التعامل مع النصوص الشرعية في عملية استنباط الاحكام الشرعية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فالقيد الأخير لتقييد القواعد باستنباط الفقه لا مطلقاً كالعقائد او الاخلاق او السيرة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هذا التعريف لا يعتبر مجرد تغيير في الالفاظ حتى يقال لا مشاحة في الاصطلاح ونحو ذلك بل انه يمثل رؤية ومنهجاً لما يجب ان يتضمنه العلم من مسائل وبحوث، وافتقاد هذه الرؤية هو الذي أدى الى تضخم علم الأصول المتداول وتناوله بحوثاً خارجة عن اختصاصه مما اوجب الكثير من الانتقاد والدعوات للتهذيب والإصلاح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يتوهم ان هذا التعريف سيخرج بعض مباحث العلم لعدم كونها من التعامل مع النصوص الشرعية كالبراءة العقلية وغير المستقلات العقلية لأن الأولى مما دلت عليها النصوص الشرعية والثانية من مصاديق التعامل مع النص الشرعي اما المباحث التي لا يشملها التعريف فلا مانع من خروجها لأنها تسللّت عبر بعض الصراعات الفكرية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واعتقد اننا بهذه المحاولة سنحلّ احدى عقد النزاع مع الأخباريين وسنجيب الاشكال القائل بأن علم الأصول مأخوذ من موروث العامة حيث بُني الاشكال على ما أوهمه عنوان العلم من أن الأصول التي يؤخذ منها الفقه والاحكام الشرعية هي هذه القواعد التي هي من مخرجات العقل البشري فاذا اتضح ان أصول الفقه هما الكتاب والسنة لا غير وان هذه المباحث الأصولية جعلت لمعرفة كيفية التعامل مع النصوص وفق ما يقرّره العقلاء وأهل اللغة وفي ضوء ما أسّسه لنا الأئمة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لكيفية التعامل مع الحالات المختلفة فان الاشكال يزول بإذن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بلحاظ تسمية العلم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اذا أراد العلماء أن يؤسسوا علماً مستقلاً من دون التقييد بالغرض ويسمونه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شأنهم ولهم ان يضمّنوه ما يشاؤون ولكن من دون ان يضيفوه الى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والخلاصة ان علم الأصول ينبغي ان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قواعد الاستنباط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ينصرف الى الاستنباط الفقهي</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المطالب الأصولية المفصلة </w:t>
      </w:r>
      <w:bookmarkStart w:id="15" w:name="pg8133_62535"/>
    </w:p>
    <w:p>
      <w:pPr>
        <w:pStyle w:val="Heading2"/>
        <w:numPr>
          <w:ilvl w:val="1"/>
          <w:numId w:val="1"/>
        </w:numPr>
        <w:rPr/>
      </w:pPr>
      <w:bookmarkStart w:id="16" w:name="__RefHeading___Toc8192989_1051229030"/>
      <w:bookmarkStart w:id="17" w:name="_Toc6"/>
      <w:bookmarkEnd w:id="15"/>
      <w:bookmarkEnd w:id="16"/>
      <w:r>
        <w:rPr>
          <w:rtl w:val="true"/>
        </w:rPr>
        <w:t>الفصل الأول</w:t>
      </w:r>
      <w:r>
        <w:rPr>
          <w:rtl w:val="true"/>
        </w:rPr>
        <w:t xml:space="preserve">: </w:t>
      </w:r>
      <w:r>
        <w:rPr>
          <w:rtl w:val="true"/>
        </w:rPr>
        <w:t>المطالب الأصولية المفصلة</w:t>
      </w:r>
      <w:bookmarkEnd w:id="17"/>
    </w:p>
    <w:p>
      <w:pPr>
        <w:pStyle w:val="Heading3"/>
        <w:numPr>
          <w:ilvl w:val="2"/>
          <w:numId w:val="1"/>
        </w:numPr>
        <w:rPr/>
      </w:pPr>
      <w:bookmarkStart w:id="18" w:name="__RefHeading___Toc8192991_1051229030"/>
      <w:bookmarkStart w:id="19" w:name="_Toc7"/>
      <w:bookmarkEnd w:id="18"/>
      <w:r>
        <w:rPr>
          <w:rtl w:val="true"/>
        </w:rPr>
        <w:t>اشارة</w:t>
      </w:r>
      <w:bookmarkEnd w:id="19"/>
    </w:p>
    <w:p>
      <w:pPr>
        <w:pStyle w:val="BookText"/>
        <w:rPr/>
      </w:pPr>
      <w:r>
        <w:rPr>
          <w:rFonts w:ascii="Amiri" w:hAnsi="Amiri" w:eastAsia="Amiri" w:cs="Amiri"/>
          <w:color w:val="111111"/>
          <w:sz w:val="28"/>
          <w:sz w:val="28"/>
          <w:szCs w:val="28"/>
          <w:rtl w:val="true"/>
          <w:lang w:bidi="ar-SA"/>
        </w:rPr>
        <w:t xml:space="preserve">وهنا سنذكر أربعة مطالب أصولية بحثها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مفصلاً ،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الوجوب الكفائي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الدوران بين التخصص والتخصيص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التسامح في ادلة السنن</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المطلب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في حجية الاستصحاب بين الشك في الرافع والشك في المقتضي</w:t>
      </w:r>
      <w:r>
        <w:rPr>
          <w:rFonts w:eastAsia="Amiri" w:cs="Amiri" w:ascii="Amiri" w:hAnsi="Amiri"/>
          <w:color w:val="111111"/>
          <w:sz w:val="28"/>
          <w:szCs w:val="28"/>
          <w:rtl w:val="true"/>
          <w:lang w:bidi="ar-SA"/>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8133_62539"/>
      <w:bookmarkStart w:id="21" w:name="pg8133_62539"/>
      <w:bookmarkEnd w:id="21"/>
    </w:p>
    <w:p>
      <w:pPr>
        <w:pStyle w:val="Heading3"/>
        <w:numPr>
          <w:ilvl w:val="2"/>
          <w:numId w:val="1"/>
        </w:numPr>
        <w:rPr/>
      </w:pPr>
      <w:bookmarkStart w:id="22" w:name="pg8133_62539"/>
      <w:bookmarkStart w:id="23" w:name="__RefHeading___Toc8192993_1051229030"/>
      <w:bookmarkStart w:id="24" w:name="_Toc8"/>
      <w:bookmarkEnd w:id="22"/>
      <w:bookmarkEnd w:id="23"/>
      <w:r>
        <w:rPr>
          <w:rtl w:val="true"/>
        </w:rPr>
        <w:t>المطلب الأول</w:t>
      </w:r>
      <w:r>
        <w:rPr>
          <w:rtl w:val="true"/>
        </w:rPr>
        <w:t xml:space="preserve">: </w:t>
      </w:r>
      <w:r>
        <w:rPr>
          <w:rtl w:val="true"/>
        </w:rPr>
        <w:t>حقيقة الوجوب الكفائي</w:t>
      </w:r>
      <w:bookmarkEnd w:id="24"/>
    </w:p>
    <w:p>
      <w:pPr>
        <w:pStyle w:val="Heading4"/>
        <w:numPr>
          <w:ilvl w:val="3"/>
          <w:numId w:val="1"/>
        </w:numPr>
        <w:rPr/>
      </w:pPr>
      <w:bookmarkStart w:id="25" w:name="__RefHeading___Toc8192995_1051229030"/>
      <w:bookmarkStart w:id="26" w:name="_Toc9"/>
      <w:bookmarkEnd w:id="25"/>
      <w:r>
        <w:rPr>
          <w:rtl w:val="true"/>
        </w:rPr>
        <w:t>اشارة</w:t>
      </w:r>
      <w:bookmarkEnd w:id="26"/>
    </w:p>
    <w:p>
      <w:pPr>
        <w:pStyle w:val="BookText"/>
        <w:rPr/>
      </w:pPr>
      <w:r>
        <w:rPr>
          <w:rFonts w:ascii="Amiri" w:hAnsi="Amiri" w:eastAsia="Amiri" w:cs="Amiri"/>
          <w:color w:val="111111"/>
          <w:sz w:val="28"/>
          <w:sz w:val="28"/>
          <w:szCs w:val="28"/>
          <w:rtl w:val="true"/>
          <w:lang w:bidi="ar-SA"/>
        </w:rPr>
        <w:t xml:space="preserve">ناقش سماحة الشيخ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المطلب في بحثه لمسالة الامر بالمعروف والنهي عن المنكر ، اذ جاء هذا المبحث في الجزء الثامن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r>
        <w:rPr>
          <w:rStyle w:val="FootnoteAnchor"/>
          <w:rtl w:val="true"/>
        </w:rPr>
        <w:footnoteReference w:id="2"/>
      </w:r>
      <w:r>
        <w:rPr>
          <w:rFonts w:ascii="Amiri" w:hAnsi="Amiri" w:eastAsia="Amiri" w:cs="Amiri"/>
          <w:color w:val="111111"/>
          <w:sz w:val="28"/>
          <w:sz w:val="28"/>
          <w:szCs w:val="28"/>
          <w:rtl w:val="true"/>
          <w:lang w:bidi="ar-SA"/>
        </w:rPr>
        <w:t xml:space="preserve">، حيث ذهب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الامر بالمعروف والنهي عن المنكر واجب كفائي ، ومن هنا وقف سماحته عند هذا المطلب مبينًا رأيه في حقيقة الوجوب الكفائي ، أضافة الى بيان الأصل عند الشك بين الكفائية والعينية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ونص بحث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ذكروا</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أن للواجب الكفائي خصائص تميّزه عن الواجب العيني، وهي مسلّمة ومشهورة، فقهياً وأصولياً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امتثله البعض على النحو الذي يتحقق به غرض المولى سقط عن الآخرين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تركه الجميع عصوا جميعاً وأثموا واستحقوا العقوبة مع تنجّز موجبها</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كان مما يقبل التعدد والتكثر –كالصلاة على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وامتثل أكثر من واحد عُدُّوا جميعاً ممتثلين ويثابون عليه، وإن كان مما لا يقبل </w:t>
      </w:r>
    </w:p>
    <w:p>
      <w:pPr>
        <w:pStyle w:val="BookText"/>
        <w:rPr/>
      </w:pPr>
      <w:r>
        <w:rPr>
          <w:rFonts w:ascii="Amiri" w:hAnsi="Amiri" w:eastAsia="Amiri" w:cs="Amiri"/>
          <w:color w:val="111111"/>
          <w:sz w:val="28"/>
          <w:sz w:val="28"/>
          <w:szCs w:val="28"/>
          <w:rtl w:val="true"/>
          <w:lang w:bidi="ar-SA"/>
        </w:rPr>
        <w:t>التكثر فحينئذٍ لو تعاون جمعٌ على إنجازه حصل بهم الامتثال وأجزأهم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وسنتحقق في المباحث الآتية من كون هذه خصائص للواجب الكفائي تميّزه عن الواجب العيني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وجود تساؤل وإشكالات كبروية على أصل الوجوب الكفائي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التساؤل فحاصله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الطلب نسبة متقوّمة بثلاثة أركان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الطالب والمطلوب والمطلوب منه، وهنا الأولان محددان، فالطالب هو الشارع المقدس، والمطلوب هو الأمر بالمعروف والنهي عن المنكر، ويسمى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المطلوب منه فهو هنا غير معروف أو غير محدد أو غير موجود أصلاً على بعض الأقوال؛ لأن من خصائص الواجب الكفائي سقوطه إذا تحقق الامتثال بالبعض، وهذا البعض غير محدد، بخلاف الواجب العيني فإنه متعلق بذمة كل فرد على نحو العموم الاستغراقي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الذي يصدر من المولى حقيقته إنشاء يراد منه بعث وتحريك المأمور نحو المأمور به وإيجاد الداعي لديه للتحرك وإلقاء عهدة التكليف عليه ونحوها من المعاني، وعلى هذا فلا بد من وجود المأمور لتصدق حقيقة الأمر، وهنا يثار التساؤل على الواجب الكفائي بأنه من هو المأمور؟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ونفس التساؤل يثار في الواجب التخييري، ولكن التساؤل هناك عن المأمور به لتعدد خياراته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الإشكالات فقد أشكل على الواجب الكفائي من جهة كيفية تصور سقوط الوجوب عن الآخرين إذا قام به البعض، مع أن إطلاق الوجوب يقتضي عدم سقوطه عن الفرد إلا بامتثاله هو</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ويُشكل أيضاً من جهة استحقاق الجميع الإثم لو لم يمتثل أحد، مع أن الملاك واحد والغرض واحد، وهو يستدعي جعلاً واحداً وخطاباً واحداً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ويُشكل أيضاً من جهة عدم استحقاق الإثم والعقوبة بمجرد الترك إلا إذا ترك الجميع، أي أن الموجب للإثم والعقوبة هو الترك المطلق لامطلق الترك مع أن مقتضى كون الفعل واجباً حرمة تركه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الإشكالات يجب حلها من خلال تفسير صحيح للوجوب الكفائي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الالتفات إلى أنه إذا أريد بالإشكال هنا ما يؤدي إلى استحالة الوجوب الكفائي لعدم تمامية أركانه، فهذا مما يكذّبه الواقع لوجود الواجبات الكفائية، والوقوع أدلّ دليل على الإمكان، وإن أريد فهم وتصور حقيقة الوجوب الكفائي كمقدمة لمعرفة بعض الآثار المترتبة على ذلك فهو بحث له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قيل في تصوير الوجوب الكفائي وحقيقته عدة وجوه، وسنجد من خلالها ومما أجيبت به أن أذهان الأصوليين انطلقت من واجب كفائي محدد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الصلاة على الميت ودفنه كما صرّحوا به في أمثلتهم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وبنوا عليه رؤاهم ثم عمموها إلى كل الواجبات الكفائية، مع اختلافها وتنوعها، وهذا أحد أسباب عدم صحة جملة من التفاسير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فالوجوه التي قيلت لتفسير الوجوب الكفائي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للوجوب الكفائي إلا طرف واحد وهو المكلف به المتعلق به الإيجاب، وأما بلحاظ المكلفين فلا طرف له أصلاً فهو إيجاب للفعل دون أن يلحظ في جعله مكلف أصلاً</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فقده لأحد مقومات الطلب وهو المطلوب منه، فلا طلب حقيقة بدونه؛ </w:t>
      </w:r>
    </w:p>
    <w:p>
      <w:pPr>
        <w:pStyle w:val="BookText"/>
        <w:rPr/>
      </w:pPr>
      <w:r>
        <w:rPr>
          <w:rFonts w:ascii="Amiri" w:hAnsi="Amiri" w:eastAsia="Amiri" w:cs="Amiri"/>
          <w:color w:val="111111"/>
          <w:sz w:val="28"/>
          <w:sz w:val="28"/>
          <w:szCs w:val="28"/>
          <w:rtl w:val="true"/>
          <w:lang w:bidi="ar-SA"/>
        </w:rPr>
        <w:t>لأنه نسبة لا تتقوم إلا بأطرافها، فإذا لم يكن هناك مكلف فمن هو المخاطب بالوجوب، وفي عهدة مَنْ يُلقى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تنزّلنا وقلنا بإمكانه ولو بتقريب إمكان تصوره على مستوى مبادئ الحكم كمرتبة الملاك أو الحب والبغض أو الإرادة فإنه في هذه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المراتب يمكن تصوره لكفاية وجود الحب والمحبوب، أو المريد والمراد ولا مدخلية لمن يتحقق به المراد، وحينئذٍ يقال بكفاية هذا التحقق لألقائه في عهدة المكلفين واشتغال ذممهم به لحكم العقل بوجوب طاعة المولى في هذه المرتبة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التقريب تصور نظري فقط لأن خطابات الواجب الكفائي موجودة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فنقل الكلام إلى مبادئ الحكم لا موضوع له، مضافاً إلى عدم تمامية كبرى حكم العقل، للعجز عن اكتشاف إرادة المولى وحبّه وبغضه قبل أن يبرزه بالخطاب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 مَا فِي نَفْسِي وَلاَ أَعْلَمُ مَا فِي نَفْسِكَ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تنزّلنا فإنه غير كافٍ لعدم وجوب الطاعة حتى يصدر الخطاب فلا وجه لاشتغال ذمم المكلفين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توجّه التكليف لأي أحد، يعني عدم إلزام أي مكلف بالتحرك نحو الامتثال، وبالتالي عدم امتثال أي واجب كفائي، وفيه مخالفة قطعية للوجوب نظير إجراء أصالة البراءة في أطراف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أرجعنا هذا الوجه إلى عدم وجود طرف بعينه للوجوب أي لم يخاطب به فرد معين ولا غير معين، وإنما ألقي التكليف في عهدة الجميع لينجز، أي أن مطلوب المولى تحقق الواجب الكفائي خارجاً من دون تعلق غرضه بصدوره من أحد أو جماعة بأعيانهم، فهذا التفسير يرجع إلى بعض الوجوه الآتية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يقال إن التكليف متوجّه إلى واحد معين عند الله، </w:t>
      </w:r>
    </w:p>
    <w:p>
      <w:pPr>
        <w:pStyle w:val="BookText"/>
        <w:rPr/>
      </w:pPr>
      <w:r>
        <w:rPr>
          <w:rFonts w:ascii="Amiri" w:hAnsi="Amiri" w:eastAsia="Amiri" w:cs="Amiri"/>
          <w:color w:val="111111"/>
          <w:sz w:val="28"/>
          <w:sz w:val="28"/>
          <w:szCs w:val="28"/>
          <w:rtl w:val="true"/>
          <w:lang w:bidi="ar-SA"/>
        </w:rPr>
        <w:t>ولكنه يسقط عنه بفعل غيره لفرض أن الغرض واحد فإذا حصل في الخارج فلا محالة يسقط الأمر</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مخالف لظواهر الأدلة من كون التكليف موجهاً إلى عدد غير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معين خصوصاً فيما نحن فيه –أي الأمر بالمعروف والنهي عن المنكر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كل مكلف شاكاً في كونه الفرد المعين فيحصل عنده شك في أصل ثبوت التكليف عليه، ويكون مجرى لأصالة البراءة، والعلم الإجمالي بتوجه التكليف إما إليه أو إلى غيره لا أثر له، لأن تكليف الغير ليس داخلاً في عهدته، فلا يكون هذا علماً إجمالياً منجزاً، بل هو احتمال وشك بدوي تجري فيه أصالة البراءة، وحينئذٍ تكون خطابات الوجوب الكفائي غير منجّزة للتكليف، ويكون صدورها لغواً وهو قبيح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افتراض توجّه التكليف إلى الواحد المعين ترجيح بلا مرجح؛ لأن كل المكلفين متساوو النسبة إزاء الواجب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منافاته لبعض خصائص الوجوب الكفائي، كاستحقاق الجميع العقوبة إذا لم يمتثل أحد، واستحقاق الفاعلين الثواب وإن تعددوا فكيف يفسّرهما هذا الوجه إذا كان المخاطب بالتكليف واحداً ؟</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الأمر كذلك فلا معنى لسقوط الواجب عنه بفعل غيره، فإنه على خلاف القاعدة فيحتاج إلى دليل، وإذا لم يكن دليل فمقتضى القاعدة عدم السقوط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أن الدليل في المقام موجود، لفرض أن التكليف يسقط بإتيان بعض أفراد المكلف وإن كانت صحيحة من هذه الناحية، إلا أنه من المعلوم أن ذلك من ناحية أن </w:t>
      </w:r>
    </w:p>
    <w:p>
      <w:pPr>
        <w:pStyle w:val="BookText"/>
        <w:rPr/>
      </w:pPr>
      <w:r>
        <w:rPr>
          <w:rFonts w:ascii="Amiri" w:hAnsi="Amiri" w:eastAsia="Amiri" w:cs="Amiri"/>
          <w:color w:val="111111"/>
          <w:sz w:val="28"/>
          <w:sz w:val="28"/>
          <w:szCs w:val="28"/>
          <w:rtl w:val="true"/>
          <w:lang w:bidi="ar-SA"/>
        </w:rPr>
        <w:t>التكليف متوجّه إليه ويعمّه، ولذا يستحق الثواب عليه، لا من ناحية أنه يوجب سقوط التكليف عن غيره كما هو ظاهر</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مناقشة جواب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الرد لا يختص بهذا التفسير لأنه إشكال على أصل الوجوب الكفائي، باعتبار أن مقتضى إطلاق الوجوب العينية، فسقوطه عن البعض بفعل الغير على خلاف القاعدة ويحتاج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يمكن توجيه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بناءً على هذا التفسير يكون الوجوب على هذا الواحد المعيَّن عند الله تعالى عينياً، وسقوطه بفعل الغير يحتاج إلى دليل والمفروض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القول أن ما أورده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غير متصور بناءً على أن هذا الواحد المعيَّن هو أول ممتثل يتحقق الغرض بفعله، وأوّليّته كاشفة عن كونه المعيَّن المخاطب بالتكليف، فلا يوجد فاعل قبله حتى يصحّ فرض كلام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سقوط الوجوب بفعل الغير متصوَّر من جهة انتفاء الموضوع كما لو دُفن الميت، وزوال الموضوع أحد مسقطات التكليف بغضّ النظر عن خصائص الوجوب الكفائي</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الوجه في بحثه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محاضرة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lang w:bidi="ar-SA"/>
        </w:rPr>
        <w:t>2/1417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واكتفى بالرد عليه بأنه غير محتمل إطلاقاً، فأضفت له بعد الدرس رداً آخر وهو أنه بناءً عليه لا يستحق الجميع الإثم بل الفرد المعين فقط وهو مخالف لإحدى خصائص الواجب الكفائي، </w:t>
      </w:r>
    </w:p>
    <w:p>
      <w:pPr>
        <w:pStyle w:val="BookText"/>
        <w:rPr/>
      </w:pPr>
      <w:r>
        <w:rPr>
          <w:rFonts w:ascii="Amiri" w:hAnsi="Amiri" w:eastAsia="Amiri" w:cs="Amiri"/>
          <w:color w:val="111111"/>
          <w:sz w:val="28"/>
          <w:sz w:val="28"/>
          <w:szCs w:val="28"/>
          <w:rtl w:val="true"/>
          <w:lang w:bidi="ar-SA"/>
        </w:rPr>
        <w:t xml:space="preserve">وقد أيّد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وقال إنه فاته ذكر ذلك، إلا أنه لم يدوّنه في منهج الأصول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أضافه بعد ذلك إلى مناقشته لمختار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المكلف هو الفرد غير المعيَّن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الأصول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أشكلت عليه بإمكان استحقاق الجميع للعقوبة من باب التجري أو قلة المبالاة بأمر الله تعالى بعد احتمال كلٍّ منهم أنه هو المقصود، ولا يجري الأصل المؤمِّن في حقهم جميعاً لوجود العلم الإجمالي وقد أشرنا إليه في النقطة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وسنبيّنه إن شاء الله تعالى، فسلّم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الإشكال وقال لكننا نتكلم في عقوبة العصيان، فأجبت أنها عقوبة في الجملة، وهو كافٍ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محاضرة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1/1417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فقد يقال في تعديل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نفترض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موضوعه هو الواحد المعيّن مطلقاً حتى عند المكلفين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الواحد المعيَّن أعم من أن يكون عند الله تعالى أو عند المكلفين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وأجيب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يلزم التخصيص بلا مخصص والترجيح من غير مرجّح، فإن نسبة ذلك الغرض الواحد إلى جميع المكلفين على صعيد واحد، وعليه فتخصيص الواحد المعيَّن منهم بتحصيله لا محالة يكون بلا مخصص</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افترضناه آنفاً من كون تعيين الواحد يكون بسبقه إلى الامتثال، فليس إذن هو تخصيص بلا مخصص؛ لأن المخصِّص هو السبق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هو من الترجيح بلا مرجح؛ لوجود المرجّح وهو استحقاق الألطاف الإلهية الخاصة أكثر من غيره، ولو كان المورد من الترجيح بلا </w:t>
      </w:r>
    </w:p>
    <w:p>
      <w:pPr>
        <w:pStyle w:val="BookText"/>
        <w:rPr/>
      </w:pPr>
      <w:r>
        <w:rPr>
          <w:rFonts w:ascii="Amiri" w:hAnsi="Amiri" w:eastAsia="Amiri" w:cs="Amiri"/>
          <w:color w:val="111111"/>
          <w:sz w:val="28"/>
          <w:sz w:val="28"/>
          <w:szCs w:val="28"/>
          <w:rtl w:val="true"/>
          <w:lang w:bidi="ar-SA"/>
        </w:rPr>
        <w:t>مرجّح لأحد الفردين أو الأفراد فإننا لا نجد إشكالاً فيه؛ لأن المرجح هو نفس الحاجة إلى الترجيح وإرادة تحقق الفعل، كأحد قرصي الجائع وطريقي الهارب، مضافاً إلى أننا نتحدث عن طاعات وأوامر إلهية يُرجى منها الثواب والقرب من الله تعالى وقد أمرنا باستباقها والمسارعة إليها، فالمرجح هو الاستحقاق الذي يكشف عنه السبق،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فَاسْتَبِقُواْ الْخَيْرَاتِ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كَانُوا يُسَارِعُونَ فِي الْخَيْرَاتِ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وَيُسَارِعُونَ فِي الْخَيْرَاتِ وَأُوْلَئِكَ مِنَ الصَّالِحِينَ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يُسَارِعُونَ فِي الْخَيْرَاتِ وَهُمْ لَهَا سَابِقُونَ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وَسَارِعُواْ إلى مَغْفِرَةٍ مِّن رَّبِّكُمْ وَجَنَّةٍ عَرْضُهَا السَّمَاوَاتُ وَالأَرْضُ أُعِدَّتْ لِلْمُتَّقِينَ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يمكن إجراء البراءة هنا –بعد أن افترضنا أن المعيَّن هو الفاعل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 الإجمالي بوجوب تحقق الفعل خارجاً، واستحقاق الجميع للعقوبة لو ترك، رغم أن الشبهة غير محصورة هنا على طبق تعريفاتهم لها وعلى طبق نظرية الاحتمالات، إلا أن العلم الإجمالي يدعو الجميع إلى التحرك والانبعاث هنا، وهذا نقض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يرد على هذا التقريب مخالفته لظواهر النصوص فإنها تخاطب عموم المكلفين، مضافاً إلى إشكالية مخالفته لخصائص الوجوب الكفائي كما قرّبنا</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ولإنصاف القائل بهذا التقريب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مراده أحد الوجوه الآتية من توجه الخطاب إلى الجميع وتعيّنه بأحدهم –وهو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بالامتثال كما قرّبنا، ولكن الإشكال يبقى من جهة كون هذا التفسير ناظراً إلى حال الامتثال والمفروض أن البحث في مرتبة الخطاب، وهذا الخلط بين المرتبتين منشأ آخر لعدم صحة التفاسير المعروضة للوجوب الكفائي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لطيف ما نستشهد به على هذا التقريب وظيفة النبوة والإمامة فإنها لطف من الله تعالى بعباده يختاره لمن يشاء بفضله، والخلق مكلفون بالاستعداد لحملها على نحو الوجوب الكفائي، وتعيّنت عند الله تعالى ببعض عباده لسبقهم إلى الإقرار في الربوبية كما ورد في روايات كثيرة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 رَبُّكَ مِن بَنِي آدَمَ مِن ظُهُورِهِمْ ذُرِّيَّتَهُمْ وَأَشْهَدَهُمْ عَلَى أَنفُسِهِمْ أَلَسْتُ بِرَبِّكُمْ قَالُواْ بَلَى شَهِدْنَا أَن تَقُولُواْ يَوْمَ الْقِيَامَةِ إِنَّا كُنَّا عَنْ هَذَا غَافِلِينَ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تلك الروايات ما في الكافي بسنده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بعض قريش قال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سبقت الأنبياء وأنت بُعثت آخرهم وخاتمهم؟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أول من آمن بربي وأول من أجاب حين أخذ الله ميثاق النبيين وأشهدهم على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بربكم؟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فكنت أنا أوّل نبي قالبلى، فسبقتهم بالإقرار بالله</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اختاره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ووصفه بأنه الصحيح، وحاصله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يكون التكليف متوجهاً إلى أحد المكلفين لا بعينه المعبر عنه بصرف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الوجوب متعلق بالمكلفين على نحو العموم البدلي أي بأحدهم على نحو البدل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على التعيين، كما سيوضّح ذلك، وهذا الوجه حكاه صاحب الجواهر،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ذهب إليه غيرنا من أن المخاطب في الكفائي البعض المبهم</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غرض المولى كما يتعلق تارة بصرف </w:t>
      </w:r>
    </w:p>
    <w:p>
      <w:pPr>
        <w:pStyle w:val="BookText"/>
        <w:rPr/>
      </w:pPr>
      <w:r>
        <w:rPr>
          <w:rFonts w:ascii="Amiri" w:hAnsi="Amiri" w:eastAsia="Amiri" w:cs="Amiri"/>
          <w:color w:val="111111"/>
          <w:sz w:val="28"/>
          <w:sz w:val="28"/>
          <w:szCs w:val="28"/>
          <w:rtl w:val="true"/>
          <w:lang w:bidi="ar-SA"/>
        </w:rPr>
        <w:t>وجود الطبيعة، وأخرى بمطلق وجودها، كذلك يتعلق تارة بصدوره عن جميع المكلفين وأخرى بصدوره عن صرف وجودهم، 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عيني فلا يسقط عن بعض بفعل بعض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فالواجب كفائي،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واجب على أحد المكلفين لا بعينه، المنطبق على كل واحد واحد منهم، ويسقط بفعل بعض عن الباقي، وهذا واقع في العرف والشرع، ولا مانع منه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العرف فلأنه لا مانع من أن يأمر المولى أحد عبيده أو خدّامه بإيجاد فعل ما في الخارج من دون أن يتعلق غرضه بصدور هذا الفعل من خصوص هذا وذاك، ولذا فأي واحد منهم أتى به وأوجده فقد حصل الغرض وسقط الأمر لا محالة، كما إذا أمر أحدهم بإتيان ماء –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ليشربه فإنه من المعلوم أن أي واحد منهم قام به فقد وفى بغرض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الشرع فأيضاً كذلك، ضرورة أنه لا مانع من أن يأمر الشارع المكلفين بإيجاد فعل في الخارج كدفن الميت –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كفنه أو ما شاكل ذلك، من دون أن يتعلق غرضه بصدوره عن خصوص واحد منهم، بلالمطلوب وجوده في الخارج من أي واحد منهم كان، فإن نسبة ذلك الغرض الواحد إلى كل من المكلفين على السوية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فعندئذ تخصيص الواحد المعين منهم بتحصيل ذلك الغرض خارجاً بلا مخصص ومرجح، وتخصيص المجموع منهم بتحصيل ذلك مع أنه بلا مقتض وموجب باطل بالضرورة كما عرفت، وتخصيص الجميع بذلك على نحو العموم الاستغراقي أيضاً بلا مقتض وموجب، إذ بعد كون الغرض واحداً يحصل بفعل واحد منهم، فوجوب تحصيله على الجميع – 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بلا مقتض وسبب، فإذا يتعين وجوبه على الواحد لا بعينه المعبر عنه بصرف الوجود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ويترتب على ذلك أنه لو أتى به بعض فقد حصل الغرض – 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وسقط الأمر، لفرض أن صرف الوجود يتحقق بأول الوجود ولو أتى به جميعهم، كما إذا صلوا على الميت –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دفعة واحدة كان الجميع مستحقاً للثواب، لفرض أن صرف الوجود في هذا الفرض يتحقق بوجود الجميع دون خصوص وجود هذا أو ذاك، وأما لو تركه الجميع لكان كل منهم مستحقاً للعقاب، فإن صرف الوجود يصدق على وجود كل منهم من ناحية، والمفروض أن كلاً منهم قادر على إتيانه من ناحية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 الواجب الكفائي ثابت في اعتبار الشارع على ذمة واحد من المكلفين لا بعينه، الصادق على هذا وذاك، نظير ما ذكرناه في بحث الواجب التخييري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الواجب أحدهما لا بعينه المنطبق على هذا الفرد أو ذاك، لا خصوص أحدهما المعين، فلا فرق بين الواجب التخييري والواجب الكفائي إلا من ناحية أن الواحد لا بعينه في الواجب التخييري متعلق الحكم، وفي الواجب الكفائي موضوعه</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 شكلاً ومضموناً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الصياغة والتعبير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متوجهاً إلى أحد المكلفين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بلحاظ المثال الذي ينطلقون منه للواجب الكفائي كتغسيل الميت أو دفنه، لكنه لا يصح في واجبات كفائية أخرى كالمسألة محل البحث وهي الأمر بالمعروف والنهي عن المنكر</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الالتباس في عباراته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ففي أول التفسير جعل غرض الوجوب الكفائي متعلقاً بصدوره من صرف الوجود بالنسبة للمكلفين، وقال لاحقاً </w:t>
      </w:r>
    </w:p>
    <w:p>
      <w:pPr>
        <w:pStyle w:val="BookText"/>
        <w:rPr/>
      </w:pPr>
      <w:r>
        <w:rPr>
          <w:rFonts w:ascii="Amiri" w:hAnsi="Amiri" w:eastAsia="Amiri" w:cs="Amiri"/>
          <w:color w:val="111111"/>
          <w:sz w:val="28"/>
          <w:sz w:val="28"/>
          <w:szCs w:val="28"/>
          <w:rtl w:val="true"/>
          <w:lang w:bidi="ar-SA"/>
        </w:rPr>
        <w:t>أن الغرض يتعلق بصرف وجود الفعل نفسه حين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لفرض أن صرف الوجود يتحقق بأول الوجود ولو أتى به جميعهم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الثاني هو الصحيح؛ لأن مطلوب المولى تحقق الواجب الكفائي خارجاً من دون لحاظ مكلف أو مكلفين بأعيانهم، وهو الذي يناسب كلامه في المثال الشرعي الذي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فعندئذٍ تخصيص الواحد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 هو عرض للتفاسير الأخرى وردَّها، وقد ناقشنا الأول منها وسنناقش الباقي بإذن الله تعالى، وسيظهر أن إلقاء عهدة الواجب في ذمة الجميع ليس بلا مقتضٍ وسبب</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أتى به بعضٌ فقد حصل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التسليم به في بعض موارد الوجوب الكفائي كدفن الميت،وتغسيله، أما غيره كالأمر بالمعروف والنهي عن المنكر فإنه لا يمكن إحراز تحقق الغرض، لعدم الإحاطة به إما من جهة عدم معرفة جميع الأغراض أو لسعتها وتنوعها، ففي مسألتنا يمكن تحديد أغراض عديدة لهذه الفريضة، منها ما في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مَعْذِرَةً إلى رَبِّكُمْ وَلَعَلَّهُمْ يَتَّقُونَ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الروايات الشريفة المتقدمة، أنه لإقامة الشريعة </w:t>
      </w:r>
      <w:r>
        <w:rPr>
          <w:rStyle w:val="FootnoteAnchor"/>
          <w:rtl w:val="true"/>
        </w:rPr>
        <w:footnoteReference w:id="12"/>
      </w:r>
      <w:r>
        <w:rPr>
          <w:rFonts w:ascii="IRNazanin" w:hAnsi="IRNazanin" w:eastAsia="IRNazanin"/>
          <w:color w:val="111111"/>
          <w:sz w:val="28"/>
          <w:sz w:val="28"/>
          <w:szCs w:val="28"/>
          <w:rtl w:val="true"/>
          <w:lang w:bidi="fa-IR"/>
        </w:rPr>
        <w:t xml:space="preserve">أو لكي تكون من أهله ، أو لمضاعفة الثواب ، أو لتحصيل الآثار المباركة ، أو لتحصيل المنزلة العظيمة عند الله تعالى ، أو لإظهار الغضب لله تعالى والرفض لمعصيته ، أو لما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تاركهما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يذلّ بعمله دين الله ويقتدي به أهل عداوة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 ذلك مما سنفصّله إن شاء الله تعالى، فكيف يمكن القطع بتحقق </w:t>
      </w:r>
    </w:p>
    <w:p>
      <w:pPr>
        <w:pStyle w:val="BookText"/>
        <w:rPr/>
      </w:pPr>
      <w:r>
        <w:rPr>
          <w:rFonts w:ascii="Amiri" w:hAnsi="Amiri" w:eastAsia="Amiri" w:cs="Amiri"/>
          <w:color w:val="111111"/>
          <w:sz w:val="28"/>
          <w:sz w:val="28"/>
          <w:szCs w:val="28"/>
          <w:rtl w:val="true"/>
          <w:lang w:bidi="ar-SA"/>
        </w:rPr>
        <w:t>الغرض حتى يسقط التكليف عن الآخرين؟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المثالان العرفي والشرعي اللذان ذكرهما هما مثالان لأصل الواجب الكفائي لا للتصوير الذي قرّبه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ويمكن لكل الوجوه الأخرى أن تذكرهما فلا يعززان تفسيره كما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ملاحظات أخرى على بعض فقرات النص سنعرضها ونناقشها بعد الانتهاء من مناقشة الوجه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مضموناً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نفس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مخالف لظواهر الآيات والروايات في توجيه الخطاب إلى الجميع وليس إلى واحد كما يفترض التقريب، بل مخالف لصريحها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وَلْتَكُن مِّنكُمْ أُمَّةٌ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إجراء أصالة البراءة في حق كل مكلف لأن احتمال كونه هو الواحد غير المعين من دون عموم المكلفين من الشبهة غير المحصورة بناءً على تعريفاتهم بل تقرب قيمته من الصفر، فلا يكون العلم الإجمالي منجَّزاً فيسقط عنه التكليف، وتكون هذه الخطابات لغواً لأنها لا تنجّز تكليفاً، وإن قال بتنجّزه فهذا نقض على تعريفهم للشبهة غير المحصورة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لا يفسِّر لنا جملة من خصائص الواجب الكفائي، فلماذا يؤثم الجميع إذا لم يقم به أحد ما دام المخاطب</w:t>
      </w:r>
      <w:r>
        <w:rPr>
          <w:rStyle w:val="FootnoteAnchor"/>
          <w:rtl w:val="true"/>
        </w:rPr>
        <w:footnoteReference w:id="13"/>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واحدًا ؟ وبأي وجه يصح الامتثال من المتعددين، كما لو صلّى مجموعة على الميت، إذا كان المخاطب واحدًا؟ إذ مع عدم وجود الأمر لغير الواحد غير المعين لا يصح التقرب بالعمل إلى الله تعالى، وما ذكره من تقريب حصول الامتثال من الجميع </w:t>
      </w:r>
    </w:p>
    <w:p>
      <w:pPr>
        <w:pStyle w:val="BookText"/>
        <w:rPr/>
      </w:pP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ويترتب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ينافي مضمون الوجه الذي ذكره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 xml:space="preserve">وفيه الالتباس الذي ذكرناه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حيث قرّب التفسير بصرف وجود المكلف وفي هذا المقطع استدل بتحقق صرف وجود الفعل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ينافي ما ذكره في الإيراد على الوجه السابق ونقلنا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واعترف فيه بتوجّه التكليف لأكثر من واحد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التكليف متوجه إليه –أي غير الواحد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الغرض من إنشاء الأمر والطلب هو إشغال ذمة المكلف، وإلقاء التكليف في عهدته، وتحريكه نحو تحقيق المطلوب، والمفروض في هذا التفسير أنه مكلف واحد غير معين، وهذا لا يجعل الأمر يرجع إلى معنى صحيح، لأن احتمالات المراد من الواحد لا بعينه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أريد به إشغال ذمة الواحد المصداقي وهو الفرد المردد في الخارج، فقد أجمعوا</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أورد 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الجواب على السيد الخوئي في بحثه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محاضرة بتأريخ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الفرد المردد له مصاديق يمكن أن تكون موضوعاً للأحكام الشرعية كما لو كان مردداً ضمن مقدار معين على نحو الكلي في المعين فهذا المقدار من التعيّن يصدق معه تحقق الموضوع رغم أنه مردد، كمقدار الزكاة في المال الزكوي قبل عزله، وقد أوجب أحكاماً شرعية كعدم جواز التصرف في تمام المال الزكوي، فهو غير مستحيل ما دامت بعض أفراده غير مستحيلة،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بالإيجاب</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الفرد المردد مستحيل لاوجود له حتى يمكن تصور إشغال ذمته، بتقريب أن الوجود مساوق للوحدة والتعيّن والتشخّص، والمساوقة مع الواقعية الواحدة، وما هو مردد –أي هذا أو</w:t>
      </w:r>
    </w:p>
    <w:p>
      <w:pPr>
        <w:pStyle w:val="BookText"/>
        <w:rPr/>
      </w:pPr>
      <w:r>
        <w:rPr>
          <w:rFonts w:ascii="Amiri" w:hAnsi="Amiri" w:eastAsia="Amiri" w:cs="Amiri"/>
          <w:color w:val="111111"/>
          <w:sz w:val="28"/>
          <w:sz w:val="28"/>
          <w:szCs w:val="28"/>
          <w:rtl w:val="true"/>
          <w:lang w:bidi="ar-SA"/>
        </w:rPr>
        <w:t>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واقعية له ولا ثبوت، وما هو موجود في الخارج هو هذا وحده وذاك وحده وليس عندنا وجود هذا أو ذاك لا في الخارج ولا في الذهن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به العنوان الاعتباري فإنه ليس له ذمة حتى تشتغل به فافتراض تعلق الوجوب به لغو لا معنى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أريد به طبيعي المكلف القابل للانطباق على جميع الأفراد بهدف إشغال ذمة كل فرد من المكلفين باعتباره مصداقاً لهذا العنوان، فهذا وإن كان ظاهر بعض كلماته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الصادق على هذا وذاك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واعترف ضمن ردّه على التفسير الثاني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ناحية أن التكليف متوجه إليه ويعمه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وسيأتي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الرسالة العملية بعموم الوجوب</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هذا خلاف ظاهر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عنوان الوجه من كون المكلف واحدًا ؛ لانحلال الوجوب إلى وجوبات بعدد أفراد المكلّفين، وهو وجه آخر مستقل غير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صرّح بأن المكلف واحد لا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قيل أن المراد إشغال ذمة أحدهم تعييناً، فهذا مخالف لفرضه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كونه غير معين، وهو ترجيح بلا مرجح مضافاً إلى أنه الوجه الثانيالمتقدم، وقد ناقشناه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تنظيره بالواجب التخييري في ذيل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وأنهما معاً أخذا على نحو الواحد لا بعينه غير أن المأخوذ في الوجوب التخييري متعلق </w:t>
      </w:r>
    </w:p>
    <w:p>
      <w:pPr>
        <w:pStyle w:val="BookText"/>
        <w:rPr/>
      </w:pPr>
      <w:r>
        <w:rPr>
          <w:rFonts w:ascii="Amiri" w:hAnsi="Amiri" w:eastAsia="Amiri" w:cs="Amiri"/>
          <w:color w:val="111111"/>
          <w:sz w:val="28"/>
          <w:sz w:val="28"/>
          <w:szCs w:val="28"/>
          <w:rtl w:val="true"/>
          <w:lang w:bidi="ar-SA"/>
        </w:rPr>
        <w:t>الحكم وفي الكفائي موضوعه، فهذا لا ينفعه في تصحيح التفسير وهو قياس مع الفارق؛ لأن المطلوب في متعلق الوجوب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تحققه في الخارج بإنشاء الوجوب لتحريك المكلف نحو إيجاده، وإيجاد الداعي نحو أحد فعلين أو أكثر –كما هو مقتضى الوجوب التخييري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معقول ولا استحالة فيه، أما المطلوب في موضوع الوجوب –وهو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إشغال الذمة وإلقاء العهدة، وقد علمنا آنفاً أن توجيهه إلى فرد مردد –كما هو مقتضى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يرجع إلى معنى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ثبوتاً، والفرق واضح إثباتاً أيضاً لاختلاف أدلة الوجوب التخييري عن الكفائي، فالأولى تدل على أن الواجب هو أحد البدائل المعطوفة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بينما الثانية ليس فيها العطف بين أفراد المكلفين وإنما أخذ موضوعها طبيعي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تصحيح هذا التفسير بلحاظ مرتبة الامتثال كما صحّحنا التفاسير السابقة، وذلك بحمل المراد منه أن متعلق التكليف هو فعل واحد، الذي يكفي في تحققه امتثال البعض –واحداً أو 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المولى لم يعيّن هذا البعض وإنما ألقاه في عهدة الجميع ليقوم به هذا البعض غير المعين به، وهذا التفسير يعود إلى بعض الوجوه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الخطاب بالوجوب متوجهاً إلى مجموع المكلفين بما هم مجموع وجماعة، فالوجوب واحد متعلق بالمكلفين على نحو العموم المجموعي، وكأن مجموع المكلفين مكلف واحد</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أفاد السيد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يمكن تصوره على صورتين، وسنرى أنهما في الحقيقة صورة واحدة، لوحظت بلحاظين، ففي الأولى لوحظت طبيعة الواجب، وفي الثانية لوحظت طبيعة المكلف وهمالمجموع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تفسير الواجب الكفائي وتنظيره بما إذا كُلَّف مجموع العشرة مثلاً بتحريك هذا الحجر الذي لا يمكن لكل فرد منهم مستقلاً تحريكه فكما أنه في المثال يوجد تكليف واحد على المجموع بتحريك الحجر فكذلك في الواجب الكفائي إن أُريد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الواجبات الكفائية لا يتعقل فيه فعل واحد يصدر من الجميع بنحو الاشتراك كالصلاة على الميت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صلاة كل مكلّف عليه غير صلاة المكلف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المعنى راجع بحسب الحقيقة إلى وجوبات عديدة بالنسبة لكل مكلف ولكن متعلقه ليس هو رفع الحجر بل المشاركة فيه ولهذا يكون هناك امتثالات عديدة وعصيانات متعددة أيضاً وتطبيق هذا على الواجب الكفائي لا ينسجم مع خصائصه المتقدمة حيث يسقط التكليف بامتثال فرد واحد</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التفسير متصور بل واقع في بعض الواجبات الكفائية كما في الجهاد فإن التكليف يتوجه إلى المجموع الذي يتحقق به الامتثال كأنه واحد،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الَّذِينَ يُقَاتِلُونَ فِي سَبِيلِهِ صَفّاً كَأَنَّهُم بُنيَانٌ مَّرْصُوصٌ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والبنيان ينظر إليه كشيء واحد ولا تلحظ أفراده المكونة له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والمثال الآخر بناء مؤسسات الدولة الكريمة، فإن المجموع مكلف بما هو مجموع؛ لأن طبيعة التكليف تستلزم قيام الجماعة كرجل واحد، إذ لا يستطيع واحد أو أفراد دون العدد المعتبر بإنجاز العمل المطلوب، فإما أن </w:t>
      </w:r>
    </w:p>
    <w:p>
      <w:pPr>
        <w:pStyle w:val="BookText"/>
        <w:rPr/>
      </w:pPr>
      <w:r>
        <w:rPr>
          <w:rFonts w:ascii="Amiri" w:hAnsi="Amiri" w:eastAsia="Amiri" w:cs="Amiri"/>
          <w:color w:val="111111"/>
          <w:sz w:val="28"/>
          <w:sz w:val="28"/>
          <w:szCs w:val="28"/>
          <w:rtl w:val="true"/>
          <w:lang w:bidi="ar-SA"/>
        </w:rPr>
        <w:t>تنهض الجماعة التي يتحقق بها الامتثال لمجموعها، أو لا يتحققامتثال أصلاً، بل قد يحرم إذا كان من الإلقاء في التهلكة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موارده روايات الظهور المبارك التي اشترطت اكتمال عدد الأنصار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يتحقق بهم الغرض</w:t>
      </w:r>
      <w:r>
        <w:rPr>
          <w:rStyle w:val="FootnoteAnchor"/>
          <w:rtl w:val="true"/>
        </w:rPr>
        <w:footnoteReference w:id="19"/>
      </w:r>
      <w:r>
        <w:rPr>
          <w:rFonts w:ascii="Amiri" w:hAnsi="Amiri" w:eastAsia="Amiri" w:cs="Amiri"/>
          <w:color w:val="111111"/>
          <w:sz w:val="28"/>
          <w:sz w:val="28"/>
          <w:szCs w:val="28"/>
          <w:rtl w:val="true"/>
          <w:lang w:bidi="ar-SA"/>
        </w:rPr>
        <w:t>، فالتكليف متوجه إليهم على نحو المجموع، لذا فإن الامتثال لا يتحقق إلا بقيام تمام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إيراده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التفسير فإنه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فيه من مورد محدد وهو كافٍ للنقض على إطلاق التفسير وعمومه إلا أنه لا ينتج امتناع التفسير ولا يمنع من صحته في الجملة، وقد قرّبنا إمكانه بل لزومه في الموارد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فمنشأه تحليل الواجب الواحد إلى أجزائه وبسط وجوبه عليها، وإلا فإن الواجب المراد إنجازه واحد وهو رفع الحجر في المثال، 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جزّأه بلحاظ المكلفين، ونظرنا في البحث إلى نفس الواجب الواحد، ولا ضير في تصور تجزئة التكليف على عدد من يتحقق بهم الغرض؛ لأنه هو مقتضى هذا التفسير، ولا يضر هذا بكون الواجب واحداً، كما أن وجوب الوضوء واحد لكنه يتضمن واجبات عديدة كغسل الوجه واليدين والمسح كما في الرسائل العملية، وكذا غسل الجنابة، وهذا الانبساط على الأجزاء لا ينافي كونه واحداً بلحاظ المجموع</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 مجموع المكلفين مكلفاً واحداً بالوحدة الاعتبارية يكون منه امتثال واحد وعصيان واحد، فلو فعل أحدهم فكأن هذا المجموع قد صدر منه الفعل ولو بجزء منه، نظير المكلف الواحد قد يحرك الحجر بيده وقد </w:t>
      </w:r>
    </w:p>
    <w:p>
      <w:pPr>
        <w:pStyle w:val="BookText"/>
        <w:rPr/>
      </w:pPr>
      <w:r>
        <w:rPr>
          <w:rFonts w:ascii="Amiri" w:hAnsi="Amiri" w:eastAsia="Amiri" w:cs="Amiri"/>
          <w:color w:val="111111"/>
          <w:sz w:val="28"/>
          <w:sz w:val="28"/>
          <w:szCs w:val="28"/>
          <w:rtl w:val="true"/>
          <w:lang w:bidi="ar-SA"/>
        </w:rPr>
        <w:t>يحركه برجله، فكما أنه لا ينافي ذلك صدور الامتثال الواحد منه كذلك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الوحدة الاعتبارية إنما تتعقَّل في طرف متعلق التكليف أي المكلف به كما في الأمر بمجموع أجزاء مركب اعتباريكالصلاة لأن المقصود منه إيجاده، وإيجاد المركب كذلك معقول، حيث يمكن انقداح الداعي نحوه، وأمّا في جانب المكلف فعنوان مجموع المكلفين الواحد بالاعتبار ليس مكلّفاً حقيقة صالحاً لتشغيل ذمته بالتكليف وإنما المكلّف حقيقة إنما هو كل فرد فرد فلا يعقل افتراض امتثال واحد وعصيان كذلك للمجموع</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التقريب أيضاً ممكن، ويوجد ما يدل عليه في النصوص القرآنية والروايات الشريفة من اعتبار الأمة كياناً واحداً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تَسْبِقُ مِنْ أُمَّةٍ أَجَلَهَا وَمَا يَسْتَأْخِرُونَ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وَلِكُلِّ أُمَّةٍ أَجَلٌ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فللأمة أجل بغضّ النظر عن أفرادها،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الَّذِينَ يُقَاتِلُونَ فِي سَبِيلِهِ صَفّاً كَأَنَّهُم بُنيَانٌ مَّرْصُوصٌ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والبنيان يلحظ فيه مجموع الأجزاء كشيء واحد ولا تلحظ أجزاؤه ومكوناته، وكذا ما ورد في الروايات من اعتبار المؤمنين كالجسد الواحد</w:t>
      </w:r>
      <w:r>
        <w:rPr>
          <w:rStyle w:val="FootnoteAnchor"/>
          <w:rtl w:val="true"/>
        </w:rPr>
        <w:footnoteReference w:id="21"/>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وراكبي السفينة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كما قال في 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نفس 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وورد بعضها في أبواب لا تناسب هذا المعنى، فقد أورد البخاري في صحيحه في كتاب الشركة، 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يُقرع في القسمة والاستهام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 القائم على حدود الله والواقع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سنن الترمذي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 كمثل قومٍ استهموا على سفينة فأصاب بعضهم أعلاها وبعضهم أسفلها، فكان الذين في أسفلها إذا استقوا من الماء مرّوا على من فوقهم،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أنَّا خرقنا في نصيبنا خرقاً ولم نؤذِ من فوقنا، فإن يتركوهم وما أرادوا هلكوا جميعاً، وإن أخذوا على أيديهم نجوا ونجوا جميعاً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مصاديق هذا التفسير الواجبات النظامية التي يحفظ بها النظام الاجتماعي العام، فإن الفرد عليه تكليفان،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فرد، وهي الواجبات العينية، 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جزء من المجتمع، فيوجّه التكليف إلى المجموع بما هو عنوان للأفراد من دون نظر خاص إلى أحدهم وإنما يراد من المجموع أن يصدر منهم هذا الفعل بأي نحوٍ كان، فإذا فعل وتحقق الغرض فيكون المجموع قد أدى ما عليه، وإن لم يتحقق الفعل خارجاً أثم الجميع لإلقاء التكليف في عهدتهم</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ضوء ذلك يعلم الرد على إيراده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عنوان مجموع المكلفين ممكن بل مستعمل في النصوص الشرعية، ويكون له عهدة يمكن إلقاء التكليف عليها بحيث يكون تعلق التكليف به طريقاً لتحميل أفراده إنجاز الفعل المطلوب عندما لا يوجد غرض للمولى بتكليف أعيان الأفراد وإنما </w:t>
      </w:r>
    </w:p>
    <w:p>
      <w:pPr>
        <w:pStyle w:val="BookText"/>
        <w:rPr/>
      </w:pPr>
      <w:r>
        <w:rPr>
          <w:rFonts w:ascii="IRNazanin" w:hAnsi="IRNazanin" w:eastAsia="IRNazanin"/>
          <w:color w:val="111111"/>
          <w:sz w:val="28"/>
          <w:sz w:val="28"/>
          <w:szCs w:val="28"/>
          <w:rtl w:val="true"/>
          <w:lang w:bidi="fa-IR"/>
        </w:rPr>
        <w:t>مراده تحقق الفعل خارجاً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أمثلتها مؤسسات الدولة وسائر المؤسسات التي لها عنوان مسؤول فإن الأنظمة الحاكمة قد تسقط وتتبدل وربما يتبدل الشعب أيضاً عبر أجيال وتبقى الدولة والمؤسسات مسؤولة عن الوفاء بالتزاماتها وما تعلق بذمتها،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فعنوان مجموع المكلفين الواحد بالاعتبار ليس مكلفاً حقيقة لتشغيل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يساعد عليه اعتبار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ولإيضاح الفكرة أكثر راجع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الاجتماعي ضرورة حضارية</w:t>
      </w:r>
      <w:r>
        <w:rPr>
          <w:rFonts w:eastAsia="Amiri" w:cs="Amiri" w:ascii="Amiri" w:hAnsi="Amiri"/>
          <w:color w:val="111111"/>
          <w:sz w:val="28"/>
          <w:szCs w:val="28"/>
          <w:rtl w:val="true"/>
          <w:lang w:bidi="ar-SA"/>
        </w:rPr>
        <w:t>)</w:t>
      </w:r>
      <w:r>
        <w:rPr>
          <w:rStyle w:val="FootnoteAnchor"/>
          <w:rtl w:val="true"/>
        </w:rPr>
        <w:footnoteReference w:id="2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ومما قلناه هناك تعقيباً على حديثي الجسد وراكبي السفينة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فلو كانت الأمة مجرد عدد رقمي للأفراد لما 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هذه الرابطة، فإن الجسد ليس مجرد مجموع عدد من الأجزاء، بل هو مركب له وجود وحقيقة وماهية، وكذا السفينة، وهما مثالان واضحان يُقرّبان فكرة أن الأمة أيضاً كيان مركب من عدد من الأفراد، وكما إن للفرد خصائص ومميزات تُكسبه الصورة الخاصة به، كذلك المجتمع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وكما إن الفرد يُولد ويموت ويمتلك مقومات القوة والبقاء ثم يضعف ويموت، كذلك الأمم تولد وتنمو وتحصل لها عناصر الديمومة والبقاء، أو تنخر في جسدها آفات العلل والأمراض فتموت، وهي كما أشارت إليه الآية المتقدمة، والتأريخ أمامنا يشهد على حصول ذلك قديماً وحديثاً، فكم من أمة أو حضارة ولدت وازدهرت ثم نخرت في جسدها الآفات والأدران الاجتماعية حتى فتكت بها واندثرت</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إن للفرد مصالحه وملاكاته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التعبير العلمي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أوجبت أن يُكلف بأحكام شرعية، فأوجب المولى تبارك وتعالى عليه </w:t>
      </w:r>
    </w:p>
    <w:p>
      <w:pPr>
        <w:pStyle w:val="BookText"/>
        <w:rPr/>
      </w:pPr>
      <w:r>
        <w:rPr>
          <w:rFonts w:ascii="Amiri" w:hAnsi="Amiri" w:eastAsia="Amiri" w:cs="Amiri"/>
          <w:color w:val="111111"/>
          <w:sz w:val="28"/>
          <w:sz w:val="28"/>
          <w:szCs w:val="28"/>
          <w:rtl w:val="true"/>
          <w:lang w:bidi="ar-SA"/>
        </w:rPr>
        <w:t xml:space="preserve">الصلاة لتنهاه عن الفحشاء والمنكر، وأوجب عليه الصوم ليقوي إرادته ويتدرب على أن يملك زمام نفسه مثلا، فكذلك الأمة لها مصالح وملاكات توجب أن يكون لها أحكام من نوع آخر متوجهة إليها كأمة مجتمعة لا كأفراد، غير ما ألفناه في الأحكام الفردية، والفرد مسؤول عن التكليفين معاً، ولكنه في أحدهما مسؤول عنه شخصياً بغض النظر عن قيام غيره به وعدمه كالصلاة والصوم، أما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تكليف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مسؤول عنه بما هو جزءٌ من هذا الكل المركب الذي سميناه الأمة أو المجتمع</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تقدم يُعلم النظر في ردّ 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التفسير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مقتضى الدليل هو أن كل واحد منأفراد المكلف موضوع للتكليف، وجعل الموضوع له مجموع أفراده على نحو العموم المجموعي، بحيث يكون كل فرد من أفراده جزءاً له لا 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الإطلاق، وأن المجموعية تحتاج إلى قرينة والمفروض عدمها</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رأينا أن هذا التفسير معقول وواقع في بعض موارد الوجوب الكفائي، وأن القرينة عليه نفس طبيعة الواجبات الكفائية كالأمثلة التي ذكرناها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الوجوب متعلقاً بجميع المكلفين على نحو العموم الاستغراقي، ونتيجته وجود وجوبات متعددة بعددهم، أي أن التكليف متوجه إلى كل مكلف</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الوجوبات المتعددة بعدد المكلفين مطلقة غير مشروطة كما تفترض بعض الصياغات الآتية، وإلى هنا يكون كالوجوب العيني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التفسير صحيح في الجملة، وتتحقق فيه خصائص الواجب الكفائي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هذا النحو من العموم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غرض المولى لم يتعلق بصدور الفعل من بعض دون بعض وإنما غرضه تحقق هذا الفعل خارجاً من أي مكلف كان، فهو متوجه إلى جميعهم على حد سواء بلا تعيين لأحدهم دون آخر؛ لأنهم متساوو النسبة إزاء هذا الوجوب، فلا يمكن تعلقه ببعضهم دون بعض سواء كان هذا البعض معيّناً أو غير معين كما افترضت بعض التفاسير السابقة فلا بد أن يتوجه الوجوب إليهم جميعاً على حد سواء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التزموا به من استحقاق الجميع للإثم إذا لم يقم به البعض، وهذا كاشف عن تعلق الوجوب بذمم الجميع، وإلا فلا موجب للإثم بدون تكليف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وكانت هذه الخصيصة للواجب الكفائي التي اتفقوا عليها مانعاً قوياً من قبول أي تفسير لا يقول بالعموم الاستغراقي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نصوص الواجبات الكفائية، فإنها لا تختلف عن خطابات الواجبات العينية في توجّه الخطاب إلى الجميع، فإن خطاب الصلاة اليومية أو الصوم أو الحج كخطاب الأمر بالمعروف والنهي عن المنكر، فالإيراد على العموم الاستغراقي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يمكن الأخذ بظاهره، وإلا فلا فرق حينئذٍ بين الواجب الكفائي والواجب العيني</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من لزوم ما لا يلزم بعد كون ظاهر النصوص في الواجبين متحدة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فالمبرر أو المقتضي لكون الوجوب على نحو العموم الاستغراقي موجود، وسنبحث في وجود المانع لاحقاً إن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يكمن الفرق بين الواجبات العينية والكفائية في عدم تعلق إرادة المولى بصدور الفعل –أي الواجب الكفائي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خارجاً من كل فرد فرد، وإنما يكتفي بما يحقق به غرضه، كتغسيل الميت والصلاة عليه فإنه يتحقق بامتثال واحد، أو الجهاد أو النفر لطلب العلوم الدينية أو تحصيل ملكة الاجتهاد أو الواجبات النظامية التي تتحقق بامتثال جماعة معينة من المجتمع وهكذا، فإذا تحقق غرض المولى انتفى موضوع الوجوب وسقط عن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طبيعة الواجبات الكفائية تقتضي عدم تحقق المخالفة بتركه الفعل خاصة ما دام يمتثل غيره ويتحقق بذلك غرض المولى وينتفي متعلق الوجوب، وإنما تتحقق المخالفة بترك الجميع، فاستحقاق العقوبة مشروط بترك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الصياغة توفّر الخصائص المذكورة للوجوب الكفائي، فسقوطه عن الآخرين بامتثال البعض متحقق لانتفاء موضوع الوجوب، وعصيانالجميع لو لم يحصل الامتثال يترتب لمخاطبتهم جميعاً بالتكليف، ولا مانع من امتثال الجميع إذا كان الفعل قابلاً للتعدد –كالصلاة على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لتوجه الأمر المصحح للعبادات إليهم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فالفرق بين العيني والكفائي ليس في خطاب التكليف أي الوجوب، وإنما في طبيعة الواجب وسنخه وشأنيته المعروفة لدى الجميع، حتى تسالموا فقهياً وأصولياً على خصائصه، فإن الواجبات الكفائية مما يتحقق فيها غرض المولى بامتثال البعض، أما العينية فلا يتحقق غرض المولى إلا بامتثال كل فرد فرد</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ونصل بذلك إلى نتيجة مهمة، وهي أن التقسيم إلى العيني والكفائي هو من تقسيمات الواجب لا الوجوب، وعدم وجود فرق بينهما على مستوى </w:t>
      </w:r>
    </w:p>
    <w:p>
      <w:pPr>
        <w:pStyle w:val="BookText"/>
        <w:rPr/>
      </w:pPr>
      <w:r>
        <w:rPr>
          <w:rFonts w:ascii="Amiri" w:hAnsi="Amiri" w:eastAsia="Amiri" w:cs="Amiri"/>
          <w:color w:val="111111"/>
          <w:sz w:val="28"/>
          <w:sz w:val="28"/>
          <w:szCs w:val="28"/>
          <w:rtl w:val="true"/>
          <w:lang w:bidi="ar-SA"/>
        </w:rPr>
        <w:t>التكليف والوجوب، وإنما الفرق في مرتبة الامتثال والإتيان بالواجب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النتيجة المهمة قد توصلنا لنتيجة أهم منها في مسألتنا وهي أن بعض ما قيل من شروط وجوب الأمر بالمعروف والنهي عن المنكر هي شروط للواجب لا للوجوب كما سيأتي في الفصل الخاص بالشروط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صحّت هذه النتيجة فإنها تصحح منظومة فكرية أسست لسيرة عملية للفقهاء والحوزات العلمية اعتبرت الشروط المذكورة شروطاً للوجوب فهو يسقط بعدم تحققها، وبما أن تلك الشروط صعبة التحقق ولا يتحقق القطع بها غالباً، فتلاشى العمل بهذه الفريضة بعد أن أقنعنا أنفسنا بسقوط الوجوب، وهذه المنظومة وجَّهت مسيرتهم خلال قرون من الزمن، والله المستعان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على هذا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الإشكال على هذا التفسير بأن العموم الاستغراقي يعني وجوبه على كل فردٍ فردٍ، ومن لوازم الوجوب عدم جواز الترك، فهذا العموميعني عدم جواز الترك من كل فرد فرد، وهو غير مراد قطعاً في الواجبات الكفائية؛ لسقوط الوجوب عن الآخرين إذا قام به من به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سنجيب عنه عند التفريق بين قول المشهور أن الواجب يسقط بامتثال البعض وما نقوله من سقوطه بانتفاء موضوعه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الإشكال الرئيس الذي يتوجه إلى هذا التفسير والذي ادعي كونه مانعاً عن القول به هو أن الملاك الذي اقتضى جعل هذا الوجوب الكفائي يفترض فيه أنه ملاك واحد تعلّق بصرف وجود الفعل، ومعنى هذا أنه يناسبه وحدة الوجوب والخطاب أيضاً، وحينئذٍ لا موجب لتعدده كما يفترض هذا التفسير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الإشكال دفع بعض الأصوليين إلى العدول عن القول بالعموم الاستغراقي، كالسيد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ورد ضمن كلماته التي نقلناها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تخصيص الجميع بذلك على نحو العموم الاستغراقي بلا مقتضٍ وموجب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رغم أننا قرّبنا ظهور بعض كلماته في العموم الاستغراقي، الذي لم يستطع نفي ظهور الأدلة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الإشكال أيضاً مع الحرص على تقديم فرق بين الوجوب العيني والكفائي هو الذي دفع القائلين بالعموم الاستغراقي إلى تقديم أطروحات وصياغات للتخلص منه، وإن لم يصرّح البعض بأن صياغته للتخلص من هذا الإشكال، إلا أن قراءة كلماته تشهد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وقبل عرض هذه الصياغات نقول أن الإشكال غير وارد أصلاً؛ لأن الملاك يمكن تصوره في المجعول أي متعلق الجعل كما يمكن تصوره في الجعل أي في نفس إلقاء الجعل إلى المكلفين بغضّ النظر عن متعلقه وامتثاله كالأوامر الامتحانية، مثل أمر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بذبح ولده إسماعيل فإن الملاك كان في نفس إلقاء التكليف بالذبح في عهدتهما وليس في ذبح إسماعيل، فهذا هو المراد بكون الملاك في الجعل أي في إلقاء التكليف في عهدة المكلفين وليس معناه أن الملاك في إنشاء الخطابحتى يقال أنه يُستوفى بنفس الجعل فلا أثر لمثل هذا الجعل ولا يحكم العقل بوجوب امتثاله</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على مستوى المجعول فإن بعض الواجبات الكفائية تقبل التعدد كالصلاة على الميت فالملاك يكون متعدداً، وأما على مستوى الجعل، فإن </w:t>
      </w:r>
    </w:p>
    <w:p>
      <w:pPr>
        <w:pStyle w:val="BookText"/>
        <w:rPr/>
      </w:pPr>
      <w:r>
        <w:rPr>
          <w:rFonts w:ascii="Amiri" w:hAnsi="Amiri" w:eastAsia="Amiri" w:cs="Amiri"/>
          <w:color w:val="111111"/>
          <w:sz w:val="28"/>
          <w:sz w:val="28"/>
          <w:szCs w:val="28"/>
          <w:rtl w:val="true"/>
          <w:lang w:bidi="ar-SA"/>
        </w:rPr>
        <w:t>الفعل المطلوب كفائياً –أي الواجب الكفائي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واحداً، إلا أنه يمكن تصوُّر وجود ملاكات في الجعل بعدد الأفراد تقتضي جعل الوجوب عليهم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الملاك يمكن أن يكون أموراً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تحميل مسؤولية إنجاز الفعل على الجميع وإلقائه في عهدتهم، حتى لا يتكل بعضهم على بعض، متذرعين بعدم كون الوجوب تعيينياً على أشخاصهم، فيتقاعس الجميع ويضيع الواجب كما هو المرتكز في أذهان الناس ونظرتهم إلى الواجبات الكفائية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الحالة 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التواكل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اسْتَجِيبُواْ لِلّهِ وَلِلرَّسُولِ إِذَا دَعَاكُم لِمَا يُحْيِيكُمْ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وورد التحذير منها بالنص في الأحاديث الشريفة كرواية الكليني في الكافي والصدوق في عقاب الأعمال والشيخ في التهذيب 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أمتي تواكلت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تواكلوا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بالمعروف والنهي عن المنكر فليأذنوا بوقاع من الله</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خلق روح التنافس واستباق الخيرات لدى عموم الناس بإعطاء فرصة القيام بالفعل بشكل متساوٍ للجميع، ودعوتهم جميعاً للامتثال،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فَاسْتَبِقُواْ الْخَيْرَاتِ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ذَلِكَ فَلْيَتَنَافَسِ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الْمُتَنَافِسُونَ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المطففين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ولذا ورد في الحديث الشريف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عليكم بأعمال الخير فتبادروها ولا يكن غيركم أحق بها منكم</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 xml:space="preserve">، 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افعلوا </w:t>
      </w:r>
    </w:p>
    <w:p>
      <w:pPr>
        <w:pStyle w:val="BookText"/>
        <w:rPr/>
      </w:pPr>
      <w:r>
        <w:rPr>
          <w:rFonts w:ascii="Amiri" w:hAnsi="Amiri" w:eastAsia="Amiri" w:cs="Amiri"/>
          <w:color w:val="111111"/>
          <w:sz w:val="28"/>
          <w:sz w:val="28"/>
          <w:szCs w:val="28"/>
          <w:rtl w:val="true"/>
          <w:lang w:bidi="ar-SA"/>
        </w:rPr>
        <w:t xml:space="preserve">الخير ولا تحقروا منه شيئا فإن صغيره كبير وقليله كثير ولا يقولن أحدكم إن أحداً أولى بفعل الخير مني فيكون والله كذلك، إن للخير والشر أهلاً فما تركتموه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كفاكموه أهله</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r>
        <w:rPr>
          <w:rFonts w:ascii="Amiri" w:hAnsi="Amiri" w:eastAsia="Amiri" w:cs="Amiri"/>
          <w:color w:val="111111"/>
          <w:sz w:val="28"/>
          <w:sz w:val="28"/>
          <w:szCs w:val="28"/>
          <w:rtl w:val="true"/>
          <w:lang w:bidi="ar-SA"/>
        </w:rPr>
        <w:t>، قصار الكلمات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إعطاء الفرصة لأكبر عدد من المؤمنين للامتثال في الواجبات القابلة للتعدد وإن كان الامتثال الواحد كافياً كالصلاة على الميت أو لتوسيع دائرة النهي عن المنكر ورفضه والغضب لله تعالى إذا عُصي، وهذا الجانب –أي الرفض للمنكر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يلتفتوا إليه في أمثلتهم التي انطلقوا منها لتفسير الوجوب الكفائي مع أن دائرة الغضب لله تعالى واسعة لا ينحصر امتثالها بواحد أو 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إشعار من لم يقم بالفعل بالحسرة والندامة على فوت الثواب لأنه كان يمكنه أن يكون هو الفائز به، وهو وإن سلم من العقاب لامتثال غيره، إلا أن ما فاته يستحق التأسف والحسرة لأنه تهاون ولم يسارع إلى رضا الله تبارك وتعالى، وورد ذلك في تفسير يوم القيامة بيوم التغابن، ويوم الحسرة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وَأَنذِرْهُمْ يَوْمَ الْحَسْرَةِ إِذْ قُضِيَ الأَمْرُ وَهُمْ فِي غَفْلَةٍ وَهُمْ لا يُؤْمِنُونَ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الشعور بالحسرة يدعوهم إلى التسابق على فعل الخير فيما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العتاب على عدم امتثال الحكم –وإن رُفِع عنهم لاحقاً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موارد عديدة،</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التجريد عن الخصوصية سواء كان رفعه بسبب نسخ الحكم أوبسقوطه لامتثال البعض كما في الواجبات الكفائية،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إِذَا نَاجَيْتُمُ الرَّسُولَ فَقَدِّمُوا بَيْنَ يَدَيْ نَجْوَاكُمْ صَدَقَةً ذَلِكَ خَيْرٌ </w:t>
      </w:r>
    </w:p>
    <w:p>
      <w:pPr>
        <w:pStyle w:val="BookText"/>
        <w:rPr/>
      </w:pPr>
      <w:r>
        <w:rPr>
          <w:rFonts w:ascii="Amiri" w:hAnsi="Amiri" w:eastAsia="Amiri" w:cs="Amiri"/>
          <w:color w:val="111111"/>
          <w:sz w:val="28"/>
          <w:sz w:val="28"/>
          <w:szCs w:val="28"/>
          <w:rtl w:val="true"/>
          <w:lang w:bidi="ar-SA"/>
        </w:rPr>
        <w:t>لَّكُمْ وَأَطْهَرُ فَإِن لَّمْ تَجِدُوا فَإِنَّ اللَّهَ غَفُورٌ رَّحِيمٌ، أَأَشْفَقْتُمْ أَن تُقَدِّمُوا بَيْنَ يَدَيْ نَجْوَاكُمْ صَدَقَاتٍ فَإِذْ لَمْ تَفْعَلُوا وَتَابَ اللَّهُ عَلَيْكُمْ فَأَقِيمُوا الصَّلاةَ وَآتُوا الزَّكَاةَ وَأَطِيعُوا اللَّهَ وَرَسُولَهُ وَاللَّهُ خَبِيرٌ بِمَا تَعْمَلُونَ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حَرِّضِ الْمُؤْمِنِينَ عَلَى الْقِتَالِ إِن يَكُن مِّنكُمْ عِشْرُونَ صَابِرُونَ يَغْلِبُواْ مِئَتَيْنِ وَإِن يَكُن مِّنكُم مِّئَةٌ يَغْلِبُواْ أَلْفاً مِّنَ الَّذِينَ كَفَرُواْ بِأَنَّهُمْ قَوْمٌ لاَّ يَفْقَهُونَ، الآنَ خَفَّفَ اللّهُ عَنكُمْ وَعَلِمَ أَنَّ فِيكُمْ ضَعْفاً فَإِن يَكُن مِّنكُم مِّئَةٌ صَابِرَةٌ يَغْلِبُواْ مِئَتَيْنِ وَإِن يَكُن مِّنكُمْ أَلْفٌ يَغْلِبُواْ أَلْفَيْنِ بِإِذْنِ اللّهِ وَاللّهُ مَعَ الصَّابِرِينَ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واتضح مما سبق عدم ورود الإشكال على هذا التفسير، بل يتعين الأخذ به لعدم إمكان الأخذ بالوجوه السابقة، ومنه يظهر عدم الحاجة إلى الأطروحات التي ذكرت للتخلص من الإشكال المذكور وإنما نذكرها لتعميق البحث، وهي</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للسيد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هناك وجوبات عديدة بعدد المكلفين غير أنّ الواجب بهذا الوجوب ليس هو صدور الفعل من كل واحد منهم وإنما هو جامع الفعل الصادر منه أو من غيره فالواجب هو حصول الفعل خارجاً،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الكفائي معناه جعل الفعل وصدوره بالنتيجة خارجاً في عهدة كل مكلّف، وقد تقدم في أبحاث التعبدي والتوصلي أن التكليف بالجامع بين فعل المكلف نفسه وفعل الغير معقول، ولو فُرض أن فعل الغير ليس تحت اختياره حتىبالتسبيب لأن الجامع بين المقدور وغير المقدور مقدور</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تساعد عليه الخطابات الشرعية ولا يمكن استظهاره من النصوص الشريفة، فإن ظاهرها تعلق الخطاب بفعل الفرد نفسه لا بالجامع بينه وبين فعل غيره، عدا ما قيل في تقريب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وَلْتَكُنْ مِنكُم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التبعيضية وقد ناقشناه</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يحلّ الإشكال؛ لأن الملاك ما زال واحداً يتعلق بالجامع ومقتضاه كون الوجوب واحداً، ولم يقدِّم لنا وجهاً لتعدد الخطابات بعدد المكلفين من دون تعدد الملاكات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غير عرفي وغير معقول، لعدم وجود جامع حقيقي بين فعل الفرد وفعل غيره، لأنهما متباينان فكيف يتعلق التكليف به، وحينئذٍ لا ينفع في جوازه ما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إمكان تعلق التكليف بفعل الفرد وفعل غيره؛ لأن إمكانه كبروياً لا يلزم منه تحققه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قلنا أن التكليف يتعلق بصرف الوجود الذي هو القدر المشترك بين الأفراد من دون ملاحظة خصوصية صدوره من هذا الفرد أو ذاك، وهو غير الجامع الذي يتضمن القدر المشترك والخصوصيات</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الوجوبات المتعددة بعدد آحاد المكلفين وجوبات مشروطة، بمعنى أن وجوبه على كل فرد مشروط بعدم إتيان فرد آخر به، </w:t>
      </w:r>
    </w:p>
    <w:p>
      <w:pPr>
        <w:pStyle w:val="BookText"/>
        <w:rPr/>
      </w:pPr>
      <w:r>
        <w:rPr>
          <w:rFonts w:ascii="Amiri" w:hAnsi="Amiri" w:eastAsia="Amiri" w:cs="Amiri"/>
          <w:color w:val="111111"/>
          <w:sz w:val="28"/>
          <w:sz w:val="28"/>
          <w:szCs w:val="28"/>
          <w:rtl w:val="true"/>
          <w:lang w:bidi="ar-SA"/>
        </w:rPr>
        <w:t>وبه يمتاز الوجوب الكفائي عن الوجوب العيني</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أصل هذا الوجه ما ورد في كلمات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المختلف وجاء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 الكفاية هو الذي إذا قام به البعض سقط عن الباقين، وإن لم يقم به البعض وجب على الجميع</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وتحاول هذه الأطروحة التخلص من الإشكال بتقريب أن الوجوبات المشروطة ترجع إلى وجوب واحد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مخالف لظواهر النصوص الشرعية من كون الوجوب مطلقاً كما قرّبناه، ونصوص الواجبات الكفائية تشهد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لازمه كون سقوط الوجوب عند امتثال البعض لانتفاء شرطه وهو عدم إتيان الآخر، بينما الصحيح بالدقة أن سقوطه بسبب انتفاء موضوعه كدفن الميت أو الصلاة عليه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واحد لأن انتفاء الوجوب بانتفاء شرطه وهو عدم إتيان الآخر يعني إتيان الآخر ومعه يتحقق الغرض وينتفي الموضوع فهذا الإشكال غير 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ليسا واحداً من خلال الالتفات إلى أكثر من أمر</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الامتثال قد لا يلزم منه انتفاء الموضوع كما في مسألتنا فلو نهى شخصٌ صاحبَ المنكر ولم يرتدع العاصي فإن الناهي امتثل لكن الغرض لم يتحقق ولم ينتفِ الموضوع فعلى غيره أن ينهى هذا العاصي أيضاً، أو يكرّر النهي نفس الشخص الناهي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عليه بسقوط الوجوب فيما لو ارتدع العاصي من تلقاء نفسه فهنا سقوط للوجوب لانتفاء الموضوع بدون امتثال، فالأول أوسع منالثاني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ثمرات هذا التفريق أنه يحلُّ به إشكال على الوجوب الكفائي حاصله أنه إذا كان الوجوب موجهاً إلى الجميع ولازم الوجوب عدم جواز الترك فكيف يسقط الوجوب عن الفرد بامتثال غيره، أما بناءً على هذا التفريق فيكون المسقط للوجوب هو انتفاء الموضوع وهو فعلاً من مسقطات التكليف، وليس امتثال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مثل دفن الميت والصلاة عليه هما واحد بحسب النتيجة ويبقى الفرق بينهما بحسب اللحاظ والسبب المباشر وهذا أيضاً يكفي لتسجيل الإشكال، مع فرق دقيق سنذكره في مبحث التعبدية والتوصلية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يحل الإشكال؛ لأنه على فرض ترك الجميع يكون الوجوب متعلقاً بذمم الجميع وهذا يعني تعدد الوجوبات من دون مبرر بعد فرض الملاك واحداً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شرطهم وهو عدم إتيان الآخر به لا يرجع إلى معنى محصَّل؛ لأنهم إن قصدوا مطلق الإتيان حتى وإن لم يتحقق به الامتثال فإنه لا يسقط وجوباً؛ لأن بعض الواجبات لا يتحقق فيها الامتثال بإتيان واحد كالجهاد وغيره مما ذكرناه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قصد الإتيان المحقق للامتثال الموجب لتحقق الغرض فيرد عليه ما ذكرناه من تعدد الأغراض في مسألتنا مما لا يهتدي إليه أحد، وإنما بنوا نظرياتهم على فرد معين من الواجبات الكفائية وهو دفن الميت والصلاة عليه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القول حينئذٍ بعدم تنجّز الواجب على أي مكلف، لعدم إحراز العلم بالشرط –وهو عدم إتيان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مسألتنا إذ لعله أمره ونهاه أحد ولا نعلم به، وهو احتمال معتد به في المجتمع المسلم، فيحصل الشك بتحقق الشرط والأصل عدمه فلا يتنجّز الواجب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السيد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في فرض إتيان أكثر من مكلّف بالواجب يلزم أن لا يكون هناك امتثال أصلاً إذ الشرط هو عدم إتيان الآخر وقد أتى بحسب الفرض وهذا الاعتراض لا محيص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أتيا به سوية كالصلاة على الميت فإن الشرط متحقق فيهما معاً ويصح امتثالهما لأنه حين مباشرة كل منهما للفعل لم يكن قد أتى به آخر فالوجوب فعلي في حقه، وإن أتيا به على التعاقب صحّ امتثال الأول لتحقق شرطه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صياغة الإشكال بأنه لا يصح على طبقه تعدد الامتثال على التعاقب –كالصلاة على الميت مكرراً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وجود المصحِّح له بعد امتثال الأول وانتفاء الشرط، اللهم إلا أن يقال إن المصحح هو دليل خارجي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جعل الوجوبات مشروطة في حين أن الأصل فيها أن تكون مطلقة، لا بد أن يكون لنكتة تسوّغه، وما قيل في تبريره من وجوه غير صالح، وقد ذُكر بهذا الصدد وجهان</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قرّبه السيد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مباني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واعتبره اتجاهاً ثالثاً لتقريب العموم الاستغراقي وهو في الحقيقة ليس تقريباً مستقلاً عن تقريب الوجوبات المشروطة، وإنما يصلح تقريباً لنكتة الأخذ به،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الاتجاه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الاستعانة بنظرية المحقق الأصفهاني المتقدمة في الواجب التخييري وتطبيقها على المقام، وذلك بافتراض أن الفعل واجب على كل المكلفين إلا أن هناك ترخيصاً في </w:t>
      </w:r>
    </w:p>
    <w:p>
      <w:pPr>
        <w:pStyle w:val="BookText"/>
        <w:rPr/>
      </w:pPr>
      <w:r>
        <w:rPr>
          <w:rFonts w:ascii="Amiri" w:hAnsi="Amiri" w:eastAsia="Amiri" w:cs="Amiri"/>
          <w:color w:val="111111"/>
          <w:sz w:val="28"/>
          <w:sz w:val="28"/>
          <w:szCs w:val="28"/>
          <w:rtl w:val="true"/>
          <w:lang w:bidi="ar-SA"/>
        </w:rPr>
        <w:t xml:space="preserve">الترك لكل منهما مشروطاً بفعل الآخر حفاظاً على مصلحة التسهيل، وهذه الفرضية معقولة بناءً على مسلك الميرزا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الوجوب، فإنها تفي حينئذٍ بتفسير الوجوب الكفائي مع خصائصه إذ لو كان أحد المكلفين قد جاء بالواجب أمكن للآخرين الترك باعتبار فعلية الترخيص في حقهم، وإلا كان الكل معاقبين لفعلية الطلب في حقهم جميعاً من دونترخيص في الترك ولو فعل الكل كان امتثالاً للطلب أيضاً وإن كان يصح أن يترك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تحتاج إلى افتراض مصلحة ثالثة هي التسهيل في الترخيص</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يبين لنا علة حكم العقل هنا لمراعاة مصلحة التسهيل والإرفاق فيرخّص إذا أتى به الغير، دون الوجوبات العينية مثلاً والمصلحة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مختارنا فالأمر واضح لأن الترخيص في الترك إذا أتى به البعض تقتضيه نفس طبيعة الواجب من جهة تعلق غرض المولى بإيجاد صرف المأمور به من أي فرد كان فينتفي موضوعه ويسقط التكليف عن الآخرين، ولا حاجة حينئذٍ إلى جعل الوجوبات مشروطة بأي نكتة ومنها التسهيل والإرفاق</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النكتة تم تقريبها على مسلك الميرزا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المبني على استفادة الوجوب من حكم العقل عند عدم الترخيص، ونحن لا نوافق عليه إذ اخترنا كونه مستفاداً من الإطلاق، وكذا لا يستقيم على المسلك الآخر القائل باستفادته من الوضع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 في ذيل كلامه إلغاء للنكتة وبدونها يبقى هذا الاتجاه مجرد شرح وبيان لخصائص الواجب الكفائي وترسيخ للإشكال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يوجد في كلمات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وعبّر عنه الشيخ الفياض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افتراض وجود التضاد بين الملاكات بحيث لا يمكن الجمع بين اثنين منها، فإذا حصل واحد منها بفعل أحدهم فات إمكان تحصيل الباقي بفعل الآخرين</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يمكن الأخذ به، فقد تقدم أنه لايعقل التضاد بين ملاكات الأحكام الشرعية، لأنها أمور معنوية لا مادية حتى يتصور التضاد والتزاحم بينها، لأنها تزيد في قرب العباد إلى الله تعالى وتخلق فيهم الصفات الكمالية والملاكات الفاضلة الإنسانية وتنمو</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الإيمان في نفوسهم، ومن الواضح إنه لا يتصور التضاد فيها، وقد سبق تفصيل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جواب ناقص، إذ كان يجب أن يفصِّل بين الملاك في الجعل وبينه في المجعول، وما ذكره ناظر إلى ملاك الجعل وقد ذكرنا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ملاكات متصورة، أما الملاك في المجعول فيمكن تصوّر التضاد فيه عندما لا يكون قابلاً للتعدد ومثاله الشرعي وجوب دفن الميت فإنه إذا دفن فلا معنى لتكليف الآخرين به، ومثاله العرفي ما لو طلب المولى ماءً لريّ عطشه، وقد جيء به وارتوى فلا ملاك في امتثال الآخر</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وقصر النظر على الملاك في المجعول هو الذي أوجب ورود الإشكال عليهم حيث تكلموا كثيراً عن تحقق الغرض بالامتثال، وحينئذٍ يسأل عن </w:t>
      </w:r>
    </w:p>
    <w:p>
      <w:pPr>
        <w:pStyle w:val="BookText"/>
        <w:rPr/>
      </w:pPr>
      <w:r>
        <w:rPr>
          <w:rFonts w:ascii="Amiri" w:hAnsi="Amiri" w:eastAsia="Amiri" w:cs="Amiri"/>
          <w:color w:val="111111"/>
          <w:sz w:val="28"/>
          <w:sz w:val="28"/>
          <w:szCs w:val="28"/>
          <w:rtl w:val="true"/>
          <w:lang w:bidi="ar-SA"/>
        </w:rPr>
        <w:t>ملاك فعل الآخر المبرّر لتوجيه الخطاب إليه، فإن الميت إذا دُفن فما ملاك تكليف الآخرين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على ما فصلنا بين ملاك الجعل والمجعول يمكن دفعه بإمكان تعدد الملاكات في مرتبته وإن كان الفعل غير قابل للتعدد كالمثال المذكور، ولا يضر حينئذٍ عدم الإمكان هذا لأنه في مقام الامتثال ومنشؤه طبيعة الواجب كما ذكرنا، وإن إشكالنا في مقام الخطاب والتكليف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الشيخ الفياض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نكتة جعل الوجوبات مشروطة، أحد الأمرين المذكورين وكأنها قضية مانعة خلو، هذا وقد قرّبنا غير ذلك وهي طبيعة الواجبات الكفائية، فإنها على نحو لو أتي بها فلا يمكن توجيه الخطاب لآخر بالإتيان بها كالمثالين الشرعي والعرفياللذين ذكرناهما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اختاره الشيخ الفياض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في الحقيقة ليست أطروحة مستقلة بل هي –بحسب تعبيره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توجيه ثالث لأطروحة الوجوبات المشروطة، وسنعتمد طريقة التعليقات المباشرة على فقرات كلامه،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الملاك في المقام واحد</w:t>
      </w:r>
      <w:r>
        <w:rPr>
          <w:rStyle w:val="FootnoteAnchor"/>
          <w:rtl w:val="true"/>
        </w:rPr>
        <w:footnoteReference w:id="40"/>
      </w:r>
      <w:r>
        <w:rPr>
          <w:rFonts w:ascii="IRNazanin" w:hAnsi="IRNazanin" w:eastAsia="IRNazanin"/>
          <w:color w:val="111111"/>
          <w:sz w:val="28"/>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الملاك الواحد قائم بطبيعي الفعل الجامع</w:t>
      </w:r>
      <w:r>
        <w:rPr>
          <w:rStyle w:val="FootnoteAnchor"/>
          <w:rtl w:val="true"/>
        </w:rPr>
        <w:footnoteReference w:id="41"/>
      </w:r>
      <w:r>
        <w:rPr>
          <w:rFonts w:ascii="Amiri" w:hAnsi="Amiri" w:eastAsia="Amiri" w:cs="Amiri"/>
          <w:color w:val="111111"/>
          <w:sz w:val="28"/>
          <w:sz w:val="28"/>
          <w:szCs w:val="28"/>
          <w:rtl w:val="true"/>
          <w:lang w:bidi="ar-SA"/>
        </w:rPr>
        <w:t xml:space="preserve">بين أفراده، وحيث أن نسبته إلى جميع </w:t>
      </w:r>
    </w:p>
    <w:p>
      <w:pPr>
        <w:pStyle w:val="BookText"/>
        <w:rPr/>
      </w:pPr>
      <w:r>
        <w:rPr>
          <w:rFonts w:ascii="Amiri" w:hAnsi="Amiri" w:eastAsia="Amiri" w:cs="Amiri"/>
          <w:color w:val="111111"/>
          <w:sz w:val="28"/>
          <w:sz w:val="28"/>
          <w:szCs w:val="28"/>
          <w:rtl w:val="true"/>
          <w:lang w:bidi="ar-SA"/>
        </w:rPr>
        <w:t>أفراد المكلف نسبة واحدة فهي تتطلب إيجاب الفعل على الجميع بإيجاب مشروط</w:t>
      </w:r>
      <w:r>
        <w:rPr>
          <w:rStyle w:val="FootnoteAnchor"/>
          <w:rtl w:val="true"/>
        </w:rPr>
        <w:footnoteReference w:id="42"/>
      </w:r>
      <w:r>
        <w:rPr>
          <w:rFonts w:ascii="Amiri" w:hAnsi="Amiri" w:eastAsia="Amiri" w:cs="Amiri"/>
          <w:color w:val="111111"/>
          <w:sz w:val="28"/>
          <w:sz w:val="28"/>
          <w:szCs w:val="28"/>
          <w:rtl w:val="true"/>
          <w:lang w:bidi="ar-SA"/>
        </w:rPr>
        <w:t>، ومرد هذه الإيجابات المشروطة لبّاً إلى إيجاب واحد</w:t>
      </w:r>
      <w:r>
        <w:rPr>
          <w:rStyle w:val="FootnoteAnchor"/>
          <w:rtl w:val="true"/>
        </w:rPr>
        <w:footnoteReference w:id="43"/>
      </w:r>
      <w:r>
        <w:rPr>
          <w:rFonts w:ascii="Amiri" w:hAnsi="Amiri" w:eastAsia="Amiri" w:cs="Amiri"/>
          <w:color w:val="111111"/>
          <w:sz w:val="28"/>
          <w:sz w:val="28"/>
          <w:szCs w:val="28"/>
          <w:rtl w:val="true"/>
          <w:lang w:bidi="ar-SA"/>
        </w:rPr>
        <w:t>روحاً وملاكاً وأثراً، أما الأول فظاهر، وأما الثاني فلأنه يسقط عن الجميع بفعل واحد منهم</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نقطة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وعلى هذا فلا يقال</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إنوحدة الملاك تتطلب وحدة الجعل، وحيث إنه في المقام واحد فهو يتطلب جعلاً واحداً ولا مبرر لجعول متعددة، وذلك لأن وحدة الملاك وإن كانت تتطلب وحدة الجعل إلا أن الالتزام بتعدد الجعل المشروط في المقام إنما هو على أساس أن نسبة ذلك الملاك الواحد إلى الكل على حد سواء</w:t>
      </w:r>
      <w:r>
        <w:rPr>
          <w:rStyle w:val="FootnoteAnchor"/>
          <w:rtl w:val="true"/>
        </w:rPr>
        <w:footnoteReference w:id="46"/>
      </w:r>
      <w:r>
        <w:rPr>
          <w:rFonts w:ascii="IRNazanin" w:hAnsi="IRNazanin" w:eastAsia="IRNazanin"/>
          <w:color w:val="111111"/>
          <w:sz w:val="28"/>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فلهذا لا يمكن إيجاب تحصيله على بعض دون بعض لأنه ترجيح من غير مرجح، فيجب حينئذٍ على الجميع لا محالة بإيجاب مشروط، ومن الواضح أن إيجابه مشروطاً على الجميع لا يكون </w:t>
      </w:r>
    </w:p>
    <w:p>
      <w:pPr>
        <w:pStyle w:val="BookText"/>
        <w:rPr/>
      </w:pPr>
      <w:r>
        <w:rPr>
          <w:rFonts w:ascii="Amiri" w:hAnsi="Amiri" w:eastAsia="Amiri" w:cs="Amiri"/>
          <w:color w:val="111111"/>
          <w:sz w:val="28"/>
          <w:sz w:val="28"/>
          <w:szCs w:val="28"/>
          <w:rtl w:val="true"/>
          <w:lang w:bidi="ar-SA"/>
        </w:rPr>
        <w:t>لغواً، فإنه</w:t>
      </w:r>
      <w:r>
        <w:rPr>
          <w:rStyle w:val="FootnoteAnchor"/>
          <w:rtl w:val="true"/>
        </w:rPr>
        <w:footnoteReference w:id="47"/>
      </w:r>
      <w:r>
        <w:rPr>
          <w:rFonts w:ascii="Amiri" w:hAnsi="Amiri" w:eastAsia="Amiri" w:cs="Amiri"/>
          <w:color w:val="111111"/>
          <w:sz w:val="28"/>
          <w:sz w:val="28"/>
          <w:szCs w:val="28"/>
          <w:rtl w:val="true"/>
          <w:lang w:bidi="ar-SA"/>
        </w:rPr>
        <w:t>بلحاظ أن بإمكان كل فرد إيجاده وتحصيله في الخارج، فإذا أوجده فيه يسقط عن الباقي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جعل الوجوب على الكل بهذه الغاية المشروطة لا يكون لغواً، فإذن لا مانع من الالتزام بهذا التوجيه ثبوتاً وإثباتاً، وأما ثبوتاً</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 بالنكتة الثبوتية ما جاء بالهامش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فلأنه لا محذور في الالتزام بجعل إيجابات متعددة بعدد أفراد المكلف المشروطة رغم وحدة الملاك في المقام وقيامه بطبيعي الفعل الجامع، لما عرفت من أن نسبة هذا الملاك الواحد إلى جميع المكلفين، حيث إنها نسبة واحدة بنفسها تتطلب جعل الإيجاب للكل مشروطاً، وقدتقدم أن منشأ هذا الاشتراط لا يمكن أن يكون فرض وجود التضاد بين الملاكات في الواقع، لما مرّ من أنه مجرد افتراض لا واقع موضوعي له، كما لا يمكن أن يكون فرض وجود مصلحة التسهيل والإرفاق، وأما إثباتاً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فلأن خطابات الواجبات الكفائية كصلاة الميت مثلاً التي هي مجعولة في الشريعة المقدسة بنحو القضية الحقيقية موجهة إلى كل فرد مشروطاً بعدم قيام الآخرين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فالنتيجة، إنه لا مانع من حمل روايات الباب على ذلك</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توجيه ضمن الأطروحتين </w:t>
      </w:r>
    </w:p>
    <w:p>
      <w:pPr>
        <w:pStyle w:val="BookText"/>
        <w:rPr/>
      </w:pPr>
      <w:r>
        <w:rPr>
          <w:rFonts w:ascii="Amiri" w:hAnsi="Amiri" w:eastAsia="Amiri" w:cs="Amiri"/>
          <w:color w:val="111111"/>
          <w:sz w:val="28"/>
          <w:sz w:val="28"/>
          <w:szCs w:val="28"/>
          <w:rtl w:val="true"/>
          <w:lang w:bidi="ar-SA"/>
        </w:rPr>
        <w:t>السابقتين أي تعلق التكليف بالجامع وكون الوجوبات مشروطة فيرد عليه ما أوردناه عليهما كما يظهر من التعليقات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الحقيقة فإن المشروط في الواجبات الكفائية بالدقة ليس الوجوب بعدم إتيان الآخر، بل استحقاق العقوبة بترك الجميع وهذا غير ذلك، كما هو واضح وهذا ما تقتضيه طبيعة الواجبات الكفائية كما تقدم، وسيأتي بيانه في الأطروحة الرابعة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يكون الوجوب الكفائي مرجعه إلى تحريم ترك الفعل المنضم إلى ترك الآخرين لا مطلق الترك وبهذا التحويل نستطيع التحفظ على كل خصائص الوجوب الكفائي إذ يكون ترك الجميع عصياناً من الجميع لصدور الترك المذكور من كل واحد منهم وعلى تقدير مجيء واحد منهم أمكن للآخرين الترك وعلى تقدير مجيء أكثر من واحد كان كل منهم قد حقق الملاك وامتثل حيث تجنب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التفسير صياغة تشريعية معقولة للإيجاب بناءً على افتراض المسلك المشهور من كون الوجوب مجعولاً شرعياً ولعل الإيجاب على الجميع بنحو الوجوب الكفائي يكون تعبيراً عرفياً عن هذه الصياغة التشريعية كما أن هذا التفسير معقول في الوجوب التخييري بلحاظ المتعلق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لا يفي بتفسير روح الوجوب إذا أُريد به الإرادة والحب كما لا يخفى</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هذه الأطروحة أن الموجب للإثم والعقوبة الترك المطلق لا مطلق الترك، وحينئذٍ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هذا الوجه أي معالجة للإشكال وإنما هو بيان لواحدة من خصائص الواجب الكفائي، إذ لم يبيّن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نكتة </w:t>
      </w:r>
      <w:bookmarkStart w:id="27" w:name="pg8133_62608"/>
    </w:p>
    <w:p>
      <w:pPr>
        <w:pStyle w:val="BookText"/>
        <w:rPr/>
      </w:pPr>
      <w:bookmarkEnd w:id="27"/>
      <w:r>
        <w:rPr>
          <w:rFonts w:ascii="Amiri" w:hAnsi="Amiri" w:eastAsia="Amiri" w:cs="Amiri"/>
          <w:color w:val="111111"/>
          <w:sz w:val="28"/>
          <w:sz w:val="28"/>
          <w:szCs w:val="28"/>
          <w:rtl w:val="true"/>
          <w:lang w:bidi="ar-SA"/>
        </w:rPr>
        <w:t>عدم تحريم ترك الفعل إلا إذا انضم إلى ترك الآخرين، مع أن مقتضى إطلاق الوجوب حرمة الترك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قياسه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الوجوب التخييري فهو قياس مع الفارق كما أوضحنا في موضع 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في ذيل كلامه من أنه لا يفي بتفسير روح الوجوب فإنه صحيح وموافق لجملة مما ذكرناه من ملاكات الجعل، إلا أن المشهور يدفعه عادة بعدم وجوب الطاعة على هذا المستوى، أي في مرتبة مقدمات الحكم</w:t>
      </w:r>
      <w:r>
        <w:rPr>
          <w:rFonts w:eastAsia="Amiri" w:cs="Amiri" w:ascii="Amiri" w:hAnsi="Amiri"/>
          <w:color w:val="111111"/>
          <w:sz w:val="28"/>
          <w:szCs w:val="28"/>
          <w:rtl w:val="true"/>
          <w:lang w:bidi="ar-SA"/>
        </w:rPr>
        <w:t>.</w:t>
      </w:r>
    </w:p>
    <w:p>
      <w:pPr>
        <w:pStyle w:val="Heading4"/>
        <w:numPr>
          <w:ilvl w:val="3"/>
          <w:numId w:val="1"/>
        </w:numPr>
        <w:rPr/>
      </w:pPr>
      <w:bookmarkStart w:id="28" w:name="__RefHeading___Toc8192997_1051229030"/>
      <w:bookmarkStart w:id="29" w:name="_Toc10"/>
      <w:bookmarkEnd w:id="28"/>
      <w:r>
        <w:rPr>
          <w:rtl w:val="true"/>
        </w:rPr>
        <w:t>القول المختار</w:t>
      </w:r>
      <w:r>
        <w:rPr>
          <w:rtl w:val="true"/>
        </w:rPr>
        <w:t>:</w:t>
      </w:r>
      <w:bookmarkEnd w:id="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الوجوبات الكفائية موجهة إلى جميع الأمة على نحو يشابه العموم الاستغراقي والعموم المجموعي من جهة ويخالفهما من جهة أخرى، ولا مانع من طرح نحو جديد للوجوب وللعموم غير ما ذكروه لأن حصرهم استقرائي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يشابه العموم الاستغراقي من حيث تعلقه بجميع الأفراد وإلقاء عهدته في ذممهم، والاجتزاء من أي فرد قام به صحيحاً محققاً للغرض واستحقاق الجميع الإثم والعقوبة لو لم يأتِ به أحد؛ لأن المخاطب به طبيعي المكلف، ويخالفه من جهة عدم مطلوبية إتيان كل فرد فرد به، لسقوط الوجوب عن الغير إذا قام به البعض على نحو يحقق غرض المولى</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ويشابه العموم المجموعي من جهة توجهه إلى الأمة بما هي أمة لأن لها كياناً قابلاً لتحمل المسؤولية وإلقاء العهدة واشتغال الذمة كالأفراد على ما قربناه، ويختلف معه من جهة عدم مطلوبية إتيان المكلفين به على نحو الاشتراك والانضمام إلى بعضهم –كما هو مقتضى الاصطلاح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يصح منه القيام بالفعل سواء اشترك معه غيره أم لا</w:t>
      </w:r>
      <w:r>
        <w:rPr>
          <w:rFonts w:eastAsia="Amiri" w:cs="Amiri" w:ascii="Amiri" w:hAnsi="Amiri"/>
          <w:color w:val="111111"/>
          <w:sz w:val="28"/>
          <w:szCs w:val="28"/>
          <w:rtl w:val="true"/>
          <w:lang w:bidi="ar-SA"/>
        </w:rPr>
        <w:t xml:space="preserve">. </w:t>
      </w:r>
      <w:bookmarkStart w:id="30" w:name="pg8133_62609"/>
    </w:p>
    <w:p>
      <w:pPr>
        <w:pStyle w:val="BookText"/>
        <w:rPr/>
      </w:pPr>
      <w:bookmarkEnd w:id="30"/>
      <w:r>
        <w:rPr>
          <w:rFonts w:ascii="Amiri" w:hAnsi="Amiri" w:eastAsia="Amiri" w:cs="Amiri"/>
          <w:color w:val="111111"/>
          <w:sz w:val="28"/>
          <w:sz w:val="28"/>
          <w:szCs w:val="28"/>
          <w:rtl w:val="true"/>
          <w:lang w:bidi="ar-SA"/>
        </w:rPr>
        <w:t>وقد أطلقنا على متعلق مثل هذه الوجوبات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الواجبات الاجتماعية، وقد ذكرتُ في رسالة</w:t>
      </w:r>
      <w:r>
        <w:rPr>
          <w:rStyle w:val="FootnoteAnchor"/>
          <w:rtl w:val="true"/>
        </w:rPr>
        <w:footnoteReference w:id="51"/>
      </w:r>
      <w:r>
        <w:rPr>
          <w:rFonts w:ascii="Amiri" w:hAnsi="Amiri" w:eastAsia="Amiri" w:cs="Amiri"/>
          <w:color w:val="111111"/>
          <w:sz w:val="28"/>
          <w:sz w:val="28"/>
          <w:szCs w:val="28"/>
          <w:rtl w:val="true"/>
          <w:lang w:bidi="ar-SA"/>
        </w:rPr>
        <w:t>مستقلة معنى التكاليف الاجتماعية، والفروق بينها وبين التكاليف الفردية من حيث الملاكات والمبادئ والآثار وطبيعة الخطاب والأصول والقواعد التي تستند إليها، وكيفية التمييز بينها، والأغراض الموجبة لتأسيس أطروحة الفقه الاجتماعي، ومبررات وضع هذا المصطلح بدل الواجبات الكفائية ونحوها من المطالب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التفسير يوفّر خصائص الوجوب الكفائي المسلّمة فقهياً وأصولياً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تختلف آليات امتثال الأمة لهذه التكاليف الاجتماعية أو الكفائية، فبعضها يجب تحققها من جميع الأفراد كإنكار المنكر بالقلب واللسان، وبعضها يكون امتثاله من البعض غير المعيّن بالأشخاص إلا أنه معيّنبالصفات كوظائف المجتهد الجامع للشرائط أو العدد الكافي للجهاد أو للتبليغ والإرشاد والدعوة إلى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وبعضها بتصدي مختصين لها كالمهن التي بها قوام حياة الناس، وعلى الأمة أن تهيئ الظروف المناسبة والمقدمات المطلوبة لإيجاد هؤلاء المختصين وتمكينهم من ممارسة مهنهم الضرورية كالطبيب والسياسي والمعلم والقاضي ونحوها، من دون انتفاء المسؤولية عن عموم الأمة، فلو حصل نقص أو تقصير في بعض هذه الجوانب فعليها سد هذا الفراغ وإلا تكون مسؤولة بأجمعها</w:t>
      </w:r>
      <w:r>
        <w:rPr>
          <w:rFonts w:eastAsia="Amiri" w:cs="Amiri" w:ascii="Amiri" w:hAnsi="Amiri"/>
          <w:color w:val="111111"/>
          <w:sz w:val="28"/>
          <w:szCs w:val="28"/>
          <w:rtl w:val="true"/>
          <w:lang w:bidi="ar-SA"/>
        </w:rPr>
        <w:t>.</w:t>
      </w:r>
    </w:p>
    <w:p>
      <w:pPr>
        <w:pStyle w:val="Heading4"/>
        <w:numPr>
          <w:ilvl w:val="3"/>
          <w:numId w:val="1"/>
        </w:numPr>
        <w:rPr/>
      </w:pPr>
      <w:bookmarkStart w:id="31" w:name="__RefHeading___Toc8192999_1051229030"/>
      <w:bookmarkStart w:id="32" w:name="_Toc11"/>
      <w:bookmarkEnd w:id="31"/>
      <w:r>
        <w:rPr>
          <w:rtl w:val="true"/>
        </w:rPr>
        <w:t>ملحق فيه فائدتان</w:t>
      </w:r>
      <w:r>
        <w:rPr>
          <w:rtl w:val="true"/>
        </w:rPr>
        <w:t>:</w:t>
      </w:r>
      <w:bookmarkEnd w:id="32"/>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نهاية هذا البحث نذكّر بما تحصّل لدينا من مناشئ لاضطراب </w:t>
      </w:r>
    </w:p>
    <w:p>
      <w:pPr>
        <w:pStyle w:val="BookText"/>
        <w:rPr/>
      </w:pPr>
      <w:r>
        <w:rPr>
          <w:rFonts w:ascii="Amiri" w:hAnsi="Amiri" w:eastAsia="Amiri" w:cs="Amiri"/>
          <w:color w:val="111111"/>
          <w:sz w:val="28"/>
          <w:sz w:val="28"/>
          <w:szCs w:val="28"/>
          <w:rtl w:val="true"/>
          <w:lang w:bidi="ar-SA"/>
        </w:rPr>
        <w:t>القول في تفسير الوجوب الكفائي، ومنها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الانطلاق من أمثلة محددة كالصلاة على الميت ودفنه كما صرّحوا به جميعاً، ففصّلوا نظرياتهم على مقاسات هذه الموارد الجزئية، وخرجوا منها بنظرية كلية، والمفروض توسيع أفق النظر ليشمل التفسير كل الواجبات الكفائية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الخلط بين مقام الخطاب بالوجوب ومقام الامتثال فالبحث في الأول لكن الذي لوحظ الثاني، فظهر القول بالوجوب على واحد بعينه أو لا بعينه، وهي إنما تصح بلحاظ الامتثال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التنظير العلمي الصرف بعيداً عن روح القرآن الكريم والسنة المطهرة وعدم استنطاق هذين المصدرين الوحيدين للتشريع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يعرف كون هذا الواجب كفائياً ؟</w:t>
      </w:r>
    </w:p>
    <w:p>
      <w:pPr>
        <w:pStyle w:val="BookText"/>
        <w:rPr/>
      </w:pPr>
      <w:r>
        <w:rPr>
          <w:rFonts w:ascii="Amiri" w:hAnsi="Amiri" w:eastAsia="Amiri" w:cs="Amiri"/>
          <w:color w:val="111111"/>
          <w:sz w:val="28"/>
          <w:sz w:val="28"/>
          <w:szCs w:val="28"/>
          <w:rtl w:val="true"/>
          <w:lang w:bidi="ar-SA"/>
        </w:rPr>
        <w:t>العينية والكفائية عناوين انتزاعية متشرعية لا نتوقع ورودها في النصوص الشريفة حتى يمكن تصنيف الواجبات إلى هذا وذاك اعتماداً على ورود العنوان في النص، وإنما هي مصطلحات وضعها العلماء للتعبيرعن معانيها، فإذا ورد في النصوص الشريفة ما يفيد معنى الواجب الكفائي، أي سقوطه إذا امتثل الغير أخذنا به، كآية النفر فإن الغرض يتحقق بنفر البعض إلى الحوزات والمعاهد العلمية ليحصِّلوا العلوم والمعارف والأخلاق والعقائد ويعلمونها الناس، والقرينة على كفاية نفر البعض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كُلِّ فِرْقَةٍ مِّنْهُمْ طَآئِفَةٌ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للتبعيض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وَلِيُنذِرُواْ قَوْمَهُمْ إِذَا رَجَعُواْ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يقتضي وجود قوم لا يجب عليهم النفر يكونون هم المنذرين ونحو ذلك من القرائن والاستظهارات</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لم يرد في النصوص شيء من ذلك، فكيف نعرف أن هذا الواجب </w:t>
      </w:r>
    </w:p>
    <w:p>
      <w:pPr>
        <w:pStyle w:val="BookText"/>
        <w:rPr/>
      </w:pPr>
      <w:r>
        <w:rPr>
          <w:rFonts w:ascii="Amiri" w:hAnsi="Amiri" w:eastAsia="Amiri" w:cs="Amiri"/>
          <w:color w:val="111111"/>
          <w:sz w:val="28"/>
          <w:sz w:val="28"/>
          <w:szCs w:val="28"/>
          <w:rtl w:val="true"/>
          <w:lang w:bidi="ar-SA"/>
        </w:rPr>
        <w:t xml:space="preserve">كفائي أو عيني؟ وقد قلنا أن الكفائية تقتضيها نفس طبيعة الواجبات </w:t>
      </w:r>
      <w:r>
        <w:rPr>
          <w:rStyle w:val="FootnoteAnchor"/>
          <w:rtl w:val="true"/>
        </w:rPr>
        <w:footnoteReference w:id="52"/>
      </w:r>
      <w:r>
        <w:rPr>
          <w:rFonts w:ascii="Amiri" w:hAnsi="Amiri" w:eastAsia="Amiri" w:cs="Amiri"/>
          <w:color w:val="111111"/>
          <w:sz w:val="28"/>
          <w:sz w:val="28"/>
          <w:szCs w:val="28"/>
          <w:rtl w:val="true"/>
          <w:lang w:bidi="ar-SA"/>
        </w:rPr>
        <w:t>، ويمكن الاستفادة من عدة مؤشرات لمعرفة كون الواجب كفائياً،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الواجبات مما يُعلم تعلق إرادة المولى بمحض تحققها في الخارج المعبَّر عنه بصرف الوجود بغضّ النظر عن فاعلها كالواجبات النظامية والمهن التي يتعلق بها قوام المجتمع الإنساني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الفعل مما لا يقبل صدوره من الجميع كدفن الميت، ولا ينافي هذا ما اخترناه من تفسير الوجوب الكفائي بتوجه الخطاب إلى الجميع على نحو العموم الاستغراقي؛ لأن هذا التفسير لا يعني قيام كل فرد فرد به بل يعني توجهه إليهم على حد سواء وأنهم متساوو النسبة للفعل والاجتزاء بصدوره من أي واحد منهم</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الارتكاز المتشرعي الذي يميز –من خلال قرائن داخلية وخارجية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الخطابات فيستظهر من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عيني على كل فرد، لكنه يستظهر من آيات الجهاد مثلاً كفاية امتثال البعض وهكذا</w:t>
      </w:r>
      <w:r>
        <w:rPr>
          <w:rFonts w:eastAsia="Amiri" w:cs="Amiri" w:ascii="Amiri" w:hAnsi="Amiri"/>
          <w:color w:val="111111"/>
          <w:sz w:val="28"/>
          <w:szCs w:val="28"/>
          <w:rtl w:val="true"/>
          <w:lang w:bidi="ar-SA"/>
        </w:rPr>
        <w:t xml:space="preserve">. </w:t>
      </w:r>
      <w:bookmarkStart w:id="33" w:name="pg8133_62612"/>
    </w:p>
    <w:p>
      <w:pPr>
        <w:pStyle w:val="Heading4"/>
        <w:numPr>
          <w:ilvl w:val="3"/>
          <w:numId w:val="1"/>
        </w:numPr>
        <w:rPr/>
      </w:pPr>
      <w:bookmarkStart w:id="34" w:name="__RefHeading___Toc8193001_1051229030"/>
      <w:bookmarkStart w:id="35" w:name="_Toc12"/>
      <w:bookmarkEnd w:id="33"/>
      <w:bookmarkEnd w:id="34"/>
      <w:r>
        <w:rPr>
          <w:rtl w:val="true"/>
        </w:rPr>
        <w:t>مقتضى الأصل عند الشك في العينية والكفائية</w:t>
      </w:r>
      <w:bookmarkEnd w:id="35"/>
    </w:p>
    <w:p>
      <w:pPr>
        <w:pStyle w:val="BookText"/>
        <w:rPr/>
      </w:pPr>
      <w:r>
        <w:rPr>
          <w:rFonts w:ascii="Amiri" w:hAnsi="Amiri" w:eastAsia="Amiri" w:cs="Amiri"/>
          <w:color w:val="111111"/>
          <w:sz w:val="28"/>
          <w:sz w:val="28"/>
          <w:szCs w:val="28"/>
          <w:rtl w:val="true"/>
          <w:lang w:bidi="ar-SA"/>
        </w:rPr>
        <w:t xml:space="preserve">إذا علمنا بكون الواجب عينياً أو كفائياً وفق الضوابط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وإذا شككنا فما هو مقتضى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والبحث تارة يكون في الأصل اللفظي وأخرى في الأصل العملي، فالكلام في مقامين</w:t>
      </w:r>
      <w:r>
        <w:rPr>
          <w:rFonts w:eastAsia="Amiri" w:cs="Amiri" w:ascii="Amiri" w:hAnsi="Amiri"/>
          <w:color w:val="111111"/>
          <w:sz w:val="28"/>
          <w:szCs w:val="28"/>
          <w:rtl w:val="true"/>
          <w:lang w:bidi="ar-SA"/>
        </w:rPr>
        <w:t>:</w:t>
      </w:r>
    </w:p>
    <w:p>
      <w:pPr>
        <w:pStyle w:val="Heading4"/>
        <w:numPr>
          <w:ilvl w:val="3"/>
          <w:numId w:val="1"/>
        </w:numPr>
        <w:rPr/>
      </w:pPr>
      <w:bookmarkStart w:id="36" w:name="__RefHeading___Toc8193003_1051229030"/>
      <w:bookmarkStart w:id="37" w:name="_Toc13"/>
      <w:bookmarkEnd w:id="36"/>
      <w:r>
        <w:rPr>
          <w:rtl w:val="true"/>
        </w:rPr>
        <w:t>(</w:t>
      </w:r>
      <w:r>
        <w:rPr>
          <w:rtl w:val="true"/>
        </w:rPr>
        <w:t>المقام الأول</w:t>
      </w:r>
      <w:r>
        <w:rPr>
          <w:rtl w:val="true"/>
        </w:rPr>
        <w:t xml:space="preserve">) </w:t>
      </w:r>
      <w:r>
        <w:rPr>
          <w:rtl w:val="true"/>
        </w:rPr>
        <w:t>مقتضى الأصل اللفظي</w:t>
      </w:r>
      <w:r>
        <w:rPr>
          <w:rtl w:val="true"/>
        </w:rPr>
        <w:t>:</w:t>
      </w:r>
      <w:bookmarkEnd w:id="37"/>
    </w:p>
    <w:p>
      <w:pPr>
        <w:pStyle w:val="BookText"/>
        <w:rPr/>
      </w:pPr>
      <w:r>
        <w:rPr>
          <w:rFonts w:ascii="Amiri" w:hAnsi="Amiri" w:eastAsia="Amiri" w:cs="Amiri"/>
          <w:color w:val="111111"/>
          <w:sz w:val="28"/>
          <w:sz w:val="28"/>
          <w:szCs w:val="28"/>
          <w:rtl w:val="true"/>
          <w:lang w:bidi="ar-SA"/>
        </w:rPr>
        <w:t xml:space="preserve">قال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قضية إطلاق الصيغة كون الوجوب نفسياً تعيينياً عينياً لكون كل واحد مما يقابلها يكون فيه تقييد الوجوب وتضييق دائرته، فإذا كان في مقام البيان ولم ينصب قرينة عليه فالحكمة تقتضي كونه مطلقاً وجب هناك شيء آخر أو لا، أُتي بشيء آخر أو لا، أتى به آخر أو لا</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البحث هو الأخير من الثلاثة، ومقتضى الإطلاق كون الوجوب عينياً؛ لأن الكفائية بمعنى سقوط الوجوب بفعل الغير يحتاج إلى مؤونة زائدة، إذ الظاهر من توجيه الأمر إلى فرد أو مجموعة بالقيام بفعل معين إرادة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نفس الفعل ومدخلية صدوره من المخاطب، كما لو أمر زيداً بالذهاب إلى السوق فإنه يريد الذهاب إلى السوق لا غيره، ويريد صدوره من زيد لا غيره، أما عدم مدخلية المخاطب التي هي مقتضى الكفائية فإنها خلاف المتفاهم العرفي وتحتاج إلى بيان</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يتضح أن المراد بالإطلاق هنا ظهور الصيغة لو خلّيت وطبعها، وليس الإطلاق الثابت بمقدمات الحكمة كما ذهب إليه في الكفاية،وستأتي </w:t>
      </w:r>
    </w:p>
    <w:p>
      <w:pPr>
        <w:pStyle w:val="BookText"/>
        <w:rPr/>
      </w:pPr>
      <w:r>
        <w:rPr>
          <w:rFonts w:ascii="Amiri" w:hAnsi="Amiri" w:eastAsia="Amiri" w:cs="Amiri"/>
          <w:color w:val="111111"/>
          <w:sz w:val="28"/>
          <w:sz w:val="28"/>
          <w:szCs w:val="28"/>
          <w:rtl w:val="true"/>
          <w:lang w:bidi="ar-SA"/>
        </w:rPr>
        <w:t>الإشارة إلى ثمرة لهذا التفريق الدقيق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فصّل السيد</w:t>
      </w:r>
      <w:r>
        <w:rPr>
          <w:rStyle w:val="FootnoteAnchor"/>
          <w:rtl w:val="true"/>
        </w:rPr>
        <w:footnoteReference w:id="54"/>
      </w:r>
      <w:r>
        <w:rPr>
          <w:rFonts w:ascii="Amiri" w:hAnsi="Amiri" w:eastAsia="Amiri" w:cs="Amiri"/>
          <w:color w:val="111111"/>
          <w:sz w:val="28"/>
          <w:sz w:val="28"/>
          <w:szCs w:val="28"/>
          <w:rtl w:val="true"/>
          <w:lang w:bidi="ar-SA"/>
        </w:rPr>
        <w:t xml:space="preserve">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تبعه البيان بعدم الفرق في هذه القضية بين أنحاء تفسير الوجوب الكفائي، ثم ذكروا تلك الأنحاء، وهو كلام لا فائدة فيه لأن المراد نفيه بالإطلاق واحد في الجميع وهو هذه الخصيصة للوجوب الكفائي وهو سقوطه بامتثال الغير، ولا دخل لوجوه تفسير الوجوب الكفائي لأن المفروض احتفاظ جميع التفاسير بهذه الخصوصية وإلا خرجت عن كونها تفسيراً للوجوب الكفائي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الذي دفعه إلى ذلك تعبير صاحب الكفائية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فالحكمة –أي مقدماتها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تقتضي كونه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به آخر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ففهم منه أنه تقريب للإطلاق بناءً على تفسير الوجوب الكفائي بالوجوبات المشروطة، وهذا الظن واضح في عبارة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ومعنى كونه كفائياً أنه منوط بعدم فعل مكلّف آخر، وهذه الإناطة تقييد في الوجوب ينفيه إطلاق دليله</w:t>
      </w:r>
      <w:r>
        <w:rPr>
          <w:rFonts w:eastAsia="Amiri" w:cs="Amiri" w:ascii="Amiri" w:hAnsi="Amiri"/>
          <w:color w:val="111111"/>
          <w:sz w:val="28"/>
          <w:szCs w:val="28"/>
          <w:rtl w:val="true"/>
          <w:lang w:bidi="ar-SA"/>
        </w:rPr>
        <w:t>»</w:t>
      </w:r>
      <w:r>
        <w:rPr>
          <w:rStyle w:val="FootnoteAnchor"/>
          <w:rtl w:val="true"/>
        </w:rPr>
        <w:footnoteReference w:id="55"/>
      </w:r>
      <w:r>
        <w:rPr>
          <w:rFonts w:ascii="Amiri" w:hAnsi="Amiri" w:eastAsia="Amiri" w:cs="Amiri"/>
          <w:color w:val="111111"/>
          <w:sz w:val="28"/>
          <w:sz w:val="28"/>
          <w:szCs w:val="28"/>
          <w:rtl w:val="true"/>
          <w:lang w:bidi="ar-SA"/>
        </w:rPr>
        <w:t>فرأى من واجبه تعميم التقريب إلى كل التفاسير الأخرى</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الفهم غير صحيح لأن المطلوب إثبات الإطلاق بلحاظ خصوصية الوجوب الكفائي وهي سقوطه إذا أتى به الغير وهو التقييد المدعى، وتعبير صاحب الكفاية صريح بذلك؛ لأن هذه الخصوصية هي محل البحث والشك، وليس الإطلاق بلحاظ الوجوب المشروط الذي هو عكس هذا التعبير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إذا لم يأتِ به الآخر، وأين هذا من ذاك؟ فلا بد أن ينصبّ تقريب الإطلاق على نفي هذه الخصوصية للواجب الكفائي الثابتة </w:t>
      </w:r>
      <w:bookmarkStart w:id="38" w:name="pg8133_62614"/>
    </w:p>
    <w:p>
      <w:pPr>
        <w:pStyle w:val="BookText"/>
        <w:rPr/>
      </w:pPr>
      <w:bookmarkEnd w:id="38"/>
      <w:r>
        <w:rPr>
          <w:rFonts w:ascii="Amiri" w:hAnsi="Amiri" w:eastAsia="Amiri" w:cs="Amiri"/>
          <w:color w:val="111111"/>
          <w:sz w:val="28"/>
          <w:sz w:val="28"/>
          <w:szCs w:val="28"/>
          <w:rtl w:val="true"/>
          <w:lang w:bidi="ar-SA"/>
        </w:rPr>
        <w:t>بغضّ النظر عن تفسير حقيقته</w:t>
      </w:r>
      <w:r>
        <w:rPr>
          <w:rFonts w:eastAsia="Amiri" w:cs="Amiri" w:ascii="Amiri" w:hAnsi="Amiri"/>
          <w:color w:val="111111"/>
          <w:sz w:val="28"/>
          <w:szCs w:val="28"/>
          <w:rtl w:val="true"/>
          <w:lang w:bidi="ar-SA"/>
        </w:rPr>
        <w:t>.</w:t>
      </w:r>
    </w:p>
    <w:p>
      <w:pPr>
        <w:pStyle w:val="Heading4"/>
        <w:numPr>
          <w:ilvl w:val="3"/>
          <w:numId w:val="1"/>
        </w:numPr>
        <w:rPr/>
      </w:pPr>
      <w:bookmarkStart w:id="39" w:name="__RefHeading___Toc8193005_1051229030"/>
      <w:bookmarkStart w:id="40" w:name="_Toc14"/>
      <w:bookmarkEnd w:id="39"/>
      <w:r>
        <w:rPr>
          <w:rtl w:val="true"/>
        </w:rPr>
        <w:t>احتمال آخر في المقام</w:t>
      </w:r>
      <w:r>
        <w:rPr>
          <w:rtl w:val="true"/>
        </w:rPr>
        <w:t>:</w:t>
      </w:r>
      <w:bookmarkEnd w:id="40"/>
    </w:p>
    <w:p>
      <w:pPr>
        <w:pStyle w:val="BookText"/>
        <w:rPr/>
      </w:pPr>
      <w:r>
        <w:rPr>
          <w:rFonts w:ascii="IRNazanin" w:hAnsi="IRNazanin" w:eastAsia="IRNazanin"/>
          <w:color w:val="111111"/>
          <w:sz w:val="28"/>
          <w:sz w:val="28"/>
          <w:szCs w:val="28"/>
          <w:rtl w:val="true"/>
          <w:lang w:bidi="fa-IR"/>
        </w:rPr>
        <w:t>نفى البعض</w:t>
      </w:r>
      <w:r>
        <w:rPr>
          <w:rStyle w:val="FootnoteAnchor"/>
          <w:rtl w:val="true"/>
        </w:rPr>
        <w:footnoteReference w:id="56"/>
      </w:r>
      <w:r>
        <w:rPr>
          <w:rFonts w:ascii="Amiri" w:hAnsi="Amiri" w:eastAsia="Amiri" w:cs="Amiri"/>
          <w:color w:val="111111"/>
          <w:sz w:val="28"/>
          <w:sz w:val="28"/>
          <w:szCs w:val="28"/>
          <w:rtl w:val="true"/>
          <w:lang w:bidi="ar-SA"/>
        </w:rPr>
        <w:t>وجود شبهة في كون مقتضى الإطلاق العينية، لذلك لم يتعرضوا للاحتمال المقابل لهذا الإطلاق</w:t>
      </w:r>
      <w:r>
        <w:rPr>
          <w:rStyle w:val="FootnoteAnchor"/>
          <w:rtl w:val="true"/>
        </w:rPr>
        <w:footnoteReference w:id="57"/>
      </w:r>
      <w:r>
        <w:rPr>
          <w:rFonts w:ascii="Amiri" w:hAnsi="Amiri" w:eastAsia="Amiri" w:cs="Amiri"/>
          <w:color w:val="111111"/>
          <w:sz w:val="28"/>
          <w:sz w:val="28"/>
          <w:szCs w:val="28"/>
          <w:rtl w:val="true"/>
          <w:lang w:bidi="ar-SA"/>
        </w:rPr>
        <w:t>، مع أنه يرى أن للوجوب العيني حداً خاصاً كالكفائي كما سيأتي، لذا يحتمل في مقابل مقتضى الإطلاق هذا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كلاً من التعيينية والنفسية والعينية خصوصية في الوجوب كخصوصية التخيير والغيرية والكفائية وكل من الوجوب التعييني والنفسي والعيني فرد خاص كالوجوب التخييري والغيري والكفائي، فكيف يكون مقتضى الإطلاق إرادة هذه الخصوصية دون تلك وتعيين هذا الفرد دون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كلاً منها فرد يقابل الآخر، وليس الوجوب العيني النفسي التعييني هو نفس طبيعة الوجوب بحيث تطرأ عليها الغيرية والكفائية كما لا يخفى</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وقرّب سيدنا الأستاذ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الاحتمال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العينية خصوصية زائدة تحتاج إلى قرينة كالكفائية، وحيث يفترض عدمها يكون الظهور بخلافها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تعارض الظهورين بعدم العنوانين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العيني والكفائي وتساقطهما</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 أن المراد بالإطلاق هنا الظهور لو خلي وطبعه </w:t>
      </w:r>
    </w:p>
    <w:p>
      <w:pPr>
        <w:pStyle w:val="BookText"/>
        <w:rPr/>
      </w:pPr>
      <w:r>
        <w:rPr>
          <w:rFonts w:ascii="Amiri" w:hAnsi="Amiri" w:eastAsia="Amiri" w:cs="Amiri"/>
          <w:color w:val="111111"/>
          <w:sz w:val="28"/>
          <w:sz w:val="28"/>
          <w:szCs w:val="28"/>
          <w:rtl w:val="true"/>
          <w:lang w:bidi="ar-SA"/>
        </w:rPr>
        <w:t>بلا قرينة فإنه يقتضي العينية ويثبت بلا حاجة إلى مؤونة زائدة وليس الإطلاق المبني على مقدمات الحكمة حتى يرد عليه الإشكال، ويعامل كالكفائي بالاحتياج إلى القرينة لأن العينية ليست خصوصية زائدة على أصل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قلنا أن العينية والكفائية ليسا عنوانين شرعيين، وإنماهما مصطلحان منتزعان من صفات وخصائص في الواجبات، والواجبات ظاهرة في العينية لو خليت وطبعها فهي مقتضى الأصل، وأن الكفائية تحتاج إلى مؤونة زائدة والمفروض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قرّبنا في الصفحة السابقة كيفية هذا الظهور، بل يمكن دعوى أن طبيعة الوجوب هي نفس الوجوب العيني خلافاً لما ادعاه المستشكل في ذيل كلامه، وسيأتي تقريبه عند إجراء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على هذا أن يكون تقسيم الوجوب إلى عيني وكفائي من تقسيم الشيء إلى نفسه وغيره وهو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قلنا أن التقسيم إلى العيني والكفائي هو من تقسيمات الواجب لا الوجوب فلا يرد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صعيد الوجوب فهما واحد، وكلاهما موجه إلى الجميع ويجتزأ بإتيانه من الجميع، ويشتركان في سقوطهما بانتفاء الموضوع، إلا أن اختلافهما من جهة طبيعة الواجب أي متعلق الوجوب فإن الكفائي مما ينتفي موضوعه بفعل الغير دون العيني، فتكون النسبة بين الواجب الكفائي والعيني كالنسبة بين الخاص والعام، وهذه الأفكار تطرق أسماع المشهور لأول مرة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 في منتقى الأصول عن الإشكال الذي أورده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التعيينية والنفسية والعينية وإن كان كل منها خصوصية طارئة على </w:t>
      </w:r>
    </w:p>
    <w:p>
      <w:pPr>
        <w:pStyle w:val="BookText"/>
        <w:rPr/>
      </w:pPr>
      <w:r>
        <w:rPr>
          <w:rFonts w:ascii="Amiri" w:hAnsi="Amiri" w:eastAsia="Amiri" w:cs="Amiri"/>
          <w:color w:val="111111"/>
          <w:sz w:val="28"/>
          <w:sz w:val="28"/>
          <w:szCs w:val="28"/>
          <w:rtl w:val="true"/>
          <w:lang w:bidi="ar-SA"/>
        </w:rPr>
        <w:t>الوجوب، إلا أنها سنخ خصوصية تتلاءم مع نحو من أنحاء الإطلاق في الوجوب وتلازمه، فإذا ثبت ذلك الإطلاق ثبت هذا الفرد الخاص بالملازمة، فحيث أن خصوصية العينية تلازم ثبوت الوجوب مطلقاً سواء أتى به آخر أو لم يأتِ به كان إثبات إطلاق الوجوب في حال إتيان الغير بالمتعلق وعدم إتيانه ملازماً لثبوت خصوصية العينية وكون الوجوب عينياً، كما أن خصوصية التعيينية ملازمة لإطلاق الوجوب من جهة وجوب شيء آخر وعدمه، فمع التمسك بالإطلاق في إحدى هذه الجهات تثبتالخصوصية الملازمة له فلاحظ</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 العينية ليست خصوصية طارئة على الوجوب،مضافاً إلى أن هذا الجواب يبقى دعوى ما لم يوجّه بدليل إذ يمكن دعوى الملاءمة مع الوجوب الكفائي أيضاً لما قلناه من أن سقوطه بسبب انتفاء موضوع الوجوب وهو أمر يشترك فيه مع الوجوب العيني، والفرق بينهما في طبيعة الواجب، كما أن الطلب مثلاً ملائم للوجوب والاستحباب معاً فلا يصح جعل هذه الملاءمة دليلاً على إفادتها للوجوب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إذا كان قصده من الملاءمة ظهوره فيه أو مطابقته له كان كافياً كما قرّبنا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التعارض الذي ذكره سيدنا الأستاذ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ظهر جوابه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وجود تعارض أصلاً؛ لظهور الوجوب في العيني،وأنه هو من دون الحاجة إلى قرينة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فُرض عدم وجود قرينة على كلتا الخصوصيتين فهو يعني </w:t>
      </w:r>
    </w:p>
    <w:p>
      <w:pPr>
        <w:pStyle w:val="BookText"/>
        <w:rPr/>
      </w:pPr>
      <w:r>
        <w:rPr>
          <w:rFonts w:ascii="Amiri" w:hAnsi="Amiri" w:eastAsia="Amiri" w:cs="Amiri"/>
          <w:color w:val="111111"/>
          <w:sz w:val="28"/>
          <w:sz w:val="28"/>
          <w:szCs w:val="28"/>
          <w:rtl w:val="true"/>
          <w:lang w:bidi="ar-SA"/>
        </w:rPr>
        <w:t>الإجمال وليس التعارض لعدم تحقق ظهور في أي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التعارض لا يمكن أن يتحقق 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القرائن المتصلة، وفيها لا يكون مقتضى الظهور موجوداً ليقع طرفاً للمعارضة، بل تكون الكلمة مجملة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التنزل فإن الإطلاقين المتنافيين المتصلين لا يتعارضان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لوجود المانع، وهو صلاحية كل منهما لتقييد الآخر والقرينية عليه، وإما لعدم المقتضي؛ لأن المتكلم الذي يكون هكذا لا يحتمل أن يكون في محل البيان من كلتا الجهتين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المستند هو الإطلاق لم يتعارضا، بل يرجع الأمر إلى 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لو كان المستند هو الظهورالسياقي، غير أن المانع هنا هو وجود المانع بعد تمامية المقتضي الذي هو الدلالة الوضعية، إلا أن المانع المتصل موجود، فلا يعمل المقتضي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يفرق فيه بين ما يكون التعارض فيه بين الظهور بالعينية والكفائية، أو بين الظهور بالعينية والظهور بعدمها، كما هو محل الشاهد</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تخلو عباراته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تسامح في التعبير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بنحو القرائن المتصلة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والمفروض عدم وجود قرائن،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الإطلاقيين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والمفروض عدمهما،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لا يفرق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وجود الفرق لأن الثاني ليس الأول إلا على القول بالأصل المثبت</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كبرى استفادة الإطلاقين من مقدمات الحكمة كما يظهر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غير تامة في مدرسة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ينتمي إليها، وإن لم يصل ببحثه الشريف إلى مباحث المطلق والمقيد حيث </w:t>
      </w:r>
      <w:bookmarkStart w:id="41" w:name="pg8133_62618"/>
    </w:p>
    <w:p>
      <w:pPr>
        <w:pStyle w:val="BookText"/>
        <w:rPr/>
      </w:pPr>
      <w:bookmarkEnd w:id="41"/>
      <w:r>
        <w:rPr>
          <w:rFonts w:ascii="Amiri" w:hAnsi="Amiri" w:eastAsia="Amiri" w:cs="Amiri"/>
          <w:color w:val="111111"/>
          <w:sz w:val="28"/>
          <w:sz w:val="28"/>
          <w:szCs w:val="28"/>
          <w:rtl w:val="true"/>
          <w:lang w:bidi="ar-SA"/>
        </w:rPr>
        <w:t xml:space="preserve">استشهد قبل ذلك، وقد شرحنا ذلك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الباهر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وقلنا أن الإطلاق يستفاد من الدلالة السياقية، أما مقدمات الحكمة فثمرتها إثبات أن تمام المراد الجدي للمتكلم في عالم الثبوت هو ما صدر منه في عالم الإثبات، وهو ما يعرف بأصالة تطابق عالمي الإثبات والثبوت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الأصل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ونبحث فيه عن الأصل العملي الجاري عند الشك في واجب أنه كفائي أو عيني، أي أن الوجوب يسقط بإتيان الغير أم لا؟</w:t>
      </w:r>
    </w:p>
    <w:p>
      <w:pPr>
        <w:pStyle w:val="BookText"/>
        <w:rPr/>
      </w:pPr>
      <w:r>
        <w:rPr>
          <w:rFonts w:ascii="Amiri" w:hAnsi="Amiri" w:eastAsia="Amiri" w:cs="Amiri"/>
          <w:color w:val="111111"/>
          <w:sz w:val="28"/>
          <w:sz w:val="28"/>
          <w:szCs w:val="28"/>
          <w:rtl w:val="true"/>
          <w:lang w:bidi="ar-SA"/>
        </w:rPr>
        <w:t>وإذا نقلنا السؤال إلى مبادئ الحكم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غرض المولى متعلق بصرف وجود هذا الفعل بغض النظر عن فاعله فيتحقق غرضه بمجرد وقوعه خارجاً؟ أم أن غرضه يتعلق بصدور الفعل من الأفراد فلا يسقط إذا امتثل البعض؟ولم تتعرض بعض المصادر</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لمناقشة الأصل العملي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فيه جريان عدة أصول</w:t>
      </w:r>
      <w:r>
        <w:rPr>
          <w:rFonts w:eastAsia="Amiri" w:cs="Amiri" w:ascii="Amiri" w:hAnsi="Amiri"/>
          <w:color w:val="111111"/>
          <w:sz w:val="28"/>
          <w:szCs w:val="28"/>
          <w:rtl w:val="true"/>
          <w:lang w:bidi="ar-SA"/>
        </w:rPr>
        <w:t>:</w:t>
      </w:r>
    </w:p>
    <w:p>
      <w:pPr>
        <w:pStyle w:val="Heading4"/>
        <w:numPr>
          <w:ilvl w:val="3"/>
          <w:numId w:val="1"/>
        </w:numPr>
        <w:rPr/>
      </w:pPr>
      <w:bookmarkStart w:id="42" w:name="__RefHeading___Toc8193007_1051229030"/>
      <w:bookmarkStart w:id="43" w:name="_Toc15"/>
      <w:bookmarkEnd w:id="42"/>
      <w:r>
        <w:rPr>
          <w:rtl w:val="true"/>
        </w:rPr>
        <w:t>(</w:t>
      </w:r>
      <w:r>
        <w:rPr>
          <w:rtl w:val="true"/>
        </w:rPr>
        <w:t>الأصل الأول</w:t>
      </w:r>
      <w:r>
        <w:rPr>
          <w:rtl w:val="true"/>
        </w:rPr>
        <w:t xml:space="preserve">: </w:t>
      </w:r>
      <w:r>
        <w:rPr>
          <w:rtl w:val="true"/>
        </w:rPr>
        <w:t>الاستصحاب</w:t>
      </w:r>
      <w:r>
        <w:rPr>
          <w:rtl w:val="true"/>
        </w:rPr>
        <w:t>):</w:t>
      </w:r>
      <w:bookmarkEnd w:id="43"/>
    </w:p>
    <w:p>
      <w:pPr>
        <w:pStyle w:val="BookText"/>
        <w:rPr/>
      </w:pPr>
      <w:r>
        <w:rPr>
          <w:rFonts w:ascii="Amiri" w:hAnsi="Amiri" w:eastAsia="Amiri" w:cs="Amiri"/>
          <w:color w:val="111111"/>
          <w:sz w:val="28"/>
          <w:sz w:val="28"/>
          <w:szCs w:val="28"/>
          <w:rtl w:val="true"/>
          <w:lang w:bidi="ar-SA"/>
        </w:rPr>
        <w:t>لم أجد من قرّب هذا الأصل هنا واكتفوا بمناقشة أصلي البراءة والاشتغال مع وجود وجه لجريانه باعترافهم كما سيأتي إن شاء الله تعالى، ومع أهميته؛ لأنه لو تم فلا موضوع للأصلين الآخرين الذي هو الشك، أو قل إن موضوعهما عدم وجود حالة سابقة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تعرّض له سيدنا الأستاذ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عدة تقريبات للأصول العملية واحتمل جريانه،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بعد امتثال </w:t>
      </w:r>
    </w:p>
    <w:p>
      <w:pPr>
        <w:pStyle w:val="BookText"/>
        <w:rPr/>
      </w:pPr>
      <w:r>
        <w:rPr>
          <w:rFonts w:ascii="Amiri" w:hAnsi="Amiri" w:eastAsia="Amiri" w:cs="Amiri"/>
          <w:color w:val="111111"/>
          <w:sz w:val="28"/>
          <w:sz w:val="28"/>
          <w:szCs w:val="28"/>
          <w:rtl w:val="true"/>
          <w:lang w:bidi="ar-SA"/>
        </w:rPr>
        <w:t>البعض يجري استصحاب اشتغال الذمة لأنه لو كان كفائياً فقد سقط، ولو كان عينياً فلا زال موجوداً، وهو منتج للعينية، لأنه عندئذٍ يجب على الباقين الامتثال أيضاً</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 استصحاب الكلي من القسم الثالث، كمثال البقة والفيل، والصحيح جريانه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التعليق بعدة نقاط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 استصحاب كلي الوجوب منتج للعينية مع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يفترض أنها فرد خاص منه، واستصحاب الكلي لا ينتج ترتيب آثار الفرد الخاص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المناقشة في الكبرى إذ لا نقول بجريان الاستصحاب في الكلي من القسم الثالث، والقول بجريانه خلاف التحقيق، ولم يمتد عمره الشريف ليباحث الاستصحاب حيث عاجلته الشهادة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المورد ليس من القسم الثالث بل من القسم الثاني؛ لأن الشك في بقاء الكلي –الذي هو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سببه الشك في نوع فرد الوجوب المتيقن سابقاً، لتردده بين ما هو باقٍ جزماً بعد امتثال الغير فيما لو كان الوجوب عينياً، وبين ما هو مرتفع جزماً بامتثال الغير فيما لو كان الوجوب كفائياً، وهذا هو القسم الثاني من استصحاب الكلي</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الذي عبروا عنه بأن الفرد الواقعي مردد بين أن يكون له عمر طويل فهو باقٍ جزماً في الزمان الثاني وبين أن يكون له عمر قصير فهو مرتفع جزماً في الزمان الثاني، ومن أجل هذا الترديد يحصل له الشك في بقاء الكلي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ولإنصاف سيدنا الأستاذ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ورود لفظ الثالث في منهج الأصول</w:t>
      </w:r>
      <w:r>
        <w:rPr>
          <w:rStyle w:val="FootnoteAnchor"/>
          <w:rtl w:val="true"/>
        </w:rPr>
        <w:footnoteReference w:id="64"/>
      </w:r>
      <w:r>
        <w:rPr>
          <w:rFonts w:ascii="Amiri" w:hAnsi="Amiri" w:eastAsia="Amiri" w:cs="Amiri"/>
          <w:color w:val="111111"/>
          <w:sz w:val="28"/>
          <w:sz w:val="28"/>
          <w:szCs w:val="28"/>
          <w:rtl w:val="true"/>
          <w:lang w:bidi="ar-SA"/>
        </w:rPr>
        <w:t xml:space="preserve">هو من سهو القلم، وإلا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به الثاني، وذِكر مثال البقة والفيل شاهد على هذا، والشاهد الآخر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يقول بجريان الاستصحاب في القسم الثالث كما صرّح في مواضع متعددة من كتابه، كقوله في نهاية مبحث التعييني والتخييري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لكنه من استصحاب الكلي من القسم الثالث، والمشهور والصحيح بطلانه</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القسم الثالث فإن منشأ الشك في وجود الكلي احتمال وجود فرد آخر غير الفرد المعلوم حدوثه وارتفاعه يقوم مقامه ويستمر وجود الكلي وإلا فإن وجود الكلي ينقطع بارتفاع الفرد الأول، والمورد الذي نحن فيه ليس من هذا القبيل بل على نحو القسم الثاني كما قرّبنا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نقول بجريان الاستصحاب في القسم الثاني فيجري هنا استصحاب اشتغال الذمة بالوجوب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تصوير الاستصحاب على هذا النحو يتوقف على أمرين علىالأقل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الوجوب الكفائي على نحو العموم الاستغراقي ليكون اشتغال ذمة الآخر بكلي الوجوب متيقناً، وإلا فإنه ليس كذلك على بعض التفاسير الأخرى كاشتغال ذمة الواحد المعين أو غير المعين، فيكون القول مبنائياً</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الوجوب الكفائي والعيني فردين متباينين يجمعهما كلي الوجوب لنبحث استصحاب الكلي دون الفرد الخاص، لكننا قرّبنا أن الأمر ليس كذلك لأن الوجوب حقيقة هو الوجوب العيني وظاهر فيه بكل </w:t>
      </w:r>
      <w:bookmarkStart w:id="44" w:name="pg8133_62621"/>
    </w:p>
    <w:p>
      <w:pPr>
        <w:pStyle w:val="BookText"/>
        <w:rPr/>
      </w:pPr>
      <w:bookmarkEnd w:id="44"/>
      <w:r>
        <w:rPr>
          <w:rFonts w:ascii="Amiri" w:hAnsi="Amiri" w:eastAsia="Amiri" w:cs="Amiri"/>
          <w:color w:val="111111"/>
          <w:sz w:val="28"/>
          <w:sz w:val="28"/>
          <w:szCs w:val="28"/>
          <w:rtl w:val="true"/>
          <w:lang w:bidi="ar-SA"/>
        </w:rPr>
        <w:t>مقتضياته، فيكون المورد من استصحاب الفرد ويتبعه الكلي، وهذا من القسم الأول المتفق على جريانه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الوجوب الكفائي فغاية ما يمكن أن يقال فيه أنه تخصيص في الوجوب، لأنه يستثني خصوصية واحدة وهي اقتضاء توجّه الوجوب إلى كل فرد فرد على نحو العموم الاستغراقي ولزوم صدوره من كل فرد فرد وإن ما قام به من يتحقق بهم الغرض، فبهذا التخصيص حصل الاكتفاء بامتثال البعض الذي يسقط به الغرض، فإذا شككنا في الخاص استصحبنا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 إلى الآن جريان استصحاب اشتغال الذمة، إما لجريانه في الفرد الخاص –أي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لجريانه في الكلي على نحو القسم الثاني وهو ملازم لحصة العينية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أردنا تصويره على نحو الكلي من القسم الثالث فيمكن تقريبه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القدر المتيقن من الوجوب ابتداءً هو تحققه مشروطاً بعدم إتيان الآخر، فإذا أتى به الغير سقط الوجوب، لكننا نحتمل وجود فرد جديد من الوجوب المشروط إما لاحتمال عدم تحقق الغرض بالامتثال الأول ونحوه، فيكون من القسم الثالث الذي لا نقول بجريانه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هذه كلها مجرد فروض علمية لشحذ الذهن، وإلا فإنالوجوب ثابت في ذمم الجميع من أول الأمر على كل تقدير سواء كان الوجوب عينياً أو كفائياً كما قرّبنا وليس عند ارتفاع الفرد الأول، وأنه مطلق غير مشروط فيجري الاستصحاب كما قرّب سيدنا الأستاذ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Heading4"/>
        <w:numPr>
          <w:ilvl w:val="3"/>
          <w:numId w:val="1"/>
        </w:numPr>
        <w:rPr/>
      </w:pPr>
      <w:bookmarkStart w:id="45" w:name="__RefHeading___Toc8193009_1051229030"/>
      <w:bookmarkStart w:id="46" w:name="_Toc16"/>
      <w:bookmarkEnd w:id="45"/>
      <w:r>
        <w:rPr>
          <w:rtl w:val="true"/>
        </w:rPr>
        <w:t>وجه لمنع جريان الاستصحاب</w:t>
      </w:r>
      <w:r>
        <w:rPr>
          <w:rtl w:val="true"/>
        </w:rPr>
        <w:t>:</w:t>
      </w:r>
      <w:bookmarkEnd w:id="46"/>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يمكن المنع من جريان الاستصحاب من جهة أخرى بناءً على القول </w:t>
      </w:r>
      <w:bookmarkStart w:id="47" w:name="pg8133_62622"/>
    </w:p>
    <w:p>
      <w:pPr>
        <w:pStyle w:val="BookText"/>
        <w:rPr/>
      </w:pPr>
      <w:bookmarkEnd w:id="47"/>
      <w:r>
        <w:rPr>
          <w:rFonts w:ascii="Amiri" w:hAnsi="Amiri" w:eastAsia="Amiri" w:cs="Amiri"/>
          <w:color w:val="111111"/>
          <w:sz w:val="28"/>
          <w:sz w:val="28"/>
          <w:szCs w:val="28"/>
          <w:rtl w:val="true"/>
          <w:lang w:bidi="ar-SA"/>
        </w:rPr>
        <w:t>بالتفصيل في حجيته بين كون منشأ الشك قصور المقتضي عن الاستمرار بالبقاء أو حصول المانع منه، فيجري في الثاني دون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 هنا أن منشأ الشك هو في سعة الوجوب وشموله لما بعد الامتثال فيكون من الشك في المقتضي ولا يجري فيه الاستصحاب، وأنا ممن يميل إلى هذا القول بهذا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ويصلح هذا المورد للنقض في مباحث الأصول على من قال بالإطلاق في حجية الاستصحاب إذا كان ممن لا يقول بنتيجة العينية عند الشك؛ لأن استصحاب كلي الوجوب جارٍ كما سننقل اعترافهم بذلك، وهو مثبت للعينية، فلماذا كانت نتيجة الأصل عندهم الكفائية؟ وإذا كان جوابهم بالاعتماد على جريان أصالة البراءة –كالسيد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الفياض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 عليهم أن الاستصحاب مقدَّم</w:t>
      </w:r>
      <w:r>
        <w:rPr>
          <w:rFonts w:eastAsia="Amiri" w:cs="Amiri" w:ascii="Amiri" w:hAnsi="Amiri"/>
          <w:color w:val="111111"/>
          <w:sz w:val="28"/>
          <w:szCs w:val="28"/>
          <w:rtl w:val="true"/>
          <w:lang w:bidi="ar-SA"/>
        </w:rPr>
        <w:t>.</w:t>
      </w:r>
    </w:p>
    <w:p>
      <w:pPr>
        <w:pStyle w:val="Heading4"/>
        <w:numPr>
          <w:ilvl w:val="3"/>
          <w:numId w:val="1"/>
        </w:numPr>
        <w:rPr/>
      </w:pPr>
      <w:bookmarkStart w:id="48" w:name="__RefHeading___Toc8193011_1051229030"/>
      <w:bookmarkStart w:id="49" w:name="_Toc17"/>
      <w:bookmarkEnd w:id="48"/>
      <w:r>
        <w:rPr>
          <w:rtl w:val="true"/>
        </w:rPr>
        <w:t>تقريبان آخران للاستصحاب</w:t>
      </w:r>
      <w:r>
        <w:rPr>
          <w:rtl w:val="true"/>
        </w:rPr>
        <w:t>:</w:t>
      </w:r>
      <w:bookmarkEnd w:id="49"/>
    </w:p>
    <w:p>
      <w:pPr>
        <w:pStyle w:val="BookText"/>
        <w:rPr/>
      </w:pPr>
      <w:r>
        <w:rPr>
          <w:rFonts w:ascii="Amiri" w:hAnsi="Amiri" w:eastAsia="Amiri" w:cs="Amiri"/>
          <w:color w:val="111111"/>
          <w:sz w:val="28"/>
          <w:sz w:val="28"/>
          <w:szCs w:val="28"/>
          <w:rtl w:val="true"/>
          <w:lang w:bidi="ar-SA"/>
        </w:rPr>
        <w:t xml:space="preserve">ثم 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الاستصحاب بوجهين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إجراء الأصل العملي في اللفظ، وهذا ما لم أره في كتبأسلافي</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ثمرة في ذلك لأن النظر قبل إجراء هذا الأصل في الأمارات وهو النص المفروض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الثمرة العملية فموجودة كما في المثال، وأما النص فالمفروض اختلاف النسخ فيه بحيث لم يترجح أحدها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فتتعارض وتتساقط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بجريان القاعدة فيه أي نفي الزيادة في اللفظ، فكيف نتصرف عندما تكون نتيجة إجراء القواعد في مدلول اللفظ أي الحكم عكس ذلك، كما في المثال، فإن القدر المتيقن من المبطل خروج الدمع بصوت وهو يثبت معنى البكاء، وإجراء القاعدة في اللفظ يثبت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فأيهما يقدَّم؟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في اللفظ لأنه بمنزلة العلة للمعنى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اللفظ غير ملحوظ بنفسه بل لحاظه طريقي للمعنى وهو قالب له وفانٍ فيه، أما الملحوظ أولاً وبالذات فهو المعنى فهو المقدَّم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اللفظ لمدخلية القالب في اللحاظ، والقالب إنما هو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الحوار إلى هنا وسجّلت في ذيله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يقوى في نفسي عدم جريان ذلك في اللفظ لأن أفراده دائماً متباينة وليست من الأقل والأكثر فلا يوجد قدر متيقن، وربما تجرأت وقلت بعدم جريان مثل هذه القاعدة في الموضوعات وإنما في الأحكام فقط</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الأصل كما يجري في عالم الخارج كذلك في الذهن وفي اللفظ،</w:t>
      </w:r>
    </w:p>
    <w:p>
      <w:pPr>
        <w:pStyle w:val="BookText"/>
        <w:rPr/>
      </w:pPr>
      <w:r>
        <w:rPr>
          <w:rFonts w:ascii="Amiri" w:hAnsi="Amiri" w:eastAsia="Amiri" w:cs="Amiri"/>
          <w:color w:val="111111"/>
          <w:sz w:val="28"/>
          <w:sz w:val="28"/>
          <w:szCs w:val="28"/>
          <w:rtl w:val="true"/>
          <w:lang w:bidi="ar-SA"/>
        </w:rPr>
        <w:t>وفتح هذا الباب شيء جيد بغضّ النظر عن ترتب أثر عملي عليه</w:t>
      </w:r>
      <w:r>
        <w:rPr>
          <w:rFonts w:eastAsia="Amiri" w:cs="Amiri" w:ascii="Amiri" w:hAnsi="Amiri"/>
          <w:color w:val="111111"/>
          <w:sz w:val="28"/>
          <w:szCs w:val="28"/>
          <w:rtl w:val="true"/>
          <w:lang w:bidi="ar-SA"/>
        </w:rPr>
        <w:t>»</w:t>
      </w:r>
      <w:r>
        <w:rPr>
          <w:rStyle w:val="FootnoteAnchor"/>
          <w:rtl w:val="true"/>
        </w:rPr>
        <w:footnoteReference w:id="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 بأن هذا الاتجاه من البحث يواجه عدة مشاكل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ترتب أثر مباشر على الأصل لأن الأصل لا ينقح ظهوراً فتكون حجيته فرع إثبات اللازم العقلي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ظهور في الألفاظ سابق رتبة على الشك وإجراء الأصل العملي لأن الظهورات من الأمارات وهي مقدمة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فقد 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الاستصحاب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 الشك في ظهور اللفظ بمنشأ انتزاع العينية، نستصحب عدمها، ولو بالأصل الأزلي، </w:t>
      </w:r>
    </w:p>
    <w:p>
      <w:pPr>
        <w:pStyle w:val="BookText"/>
        <w:rPr/>
      </w:pPr>
      <w:r>
        <w:rPr>
          <w:rFonts w:ascii="Amiri" w:hAnsi="Amiri" w:eastAsia="Amiri" w:cs="Amiri"/>
          <w:color w:val="111111"/>
          <w:sz w:val="28"/>
          <w:sz w:val="28"/>
          <w:szCs w:val="28"/>
          <w:rtl w:val="true"/>
          <w:lang w:bidi="ar-SA"/>
        </w:rPr>
        <w:t>وهو أصل عملي جار في اللفظ، فلا تثبت العينية</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وبتوضيح من تقريراتي لبحثه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عندنا صيغة نفترض إجمالها وعدم ظهورها في العينية أو الكفائية، ولكننا نحتمل أنها مقيدة ثبوتاً بأحد القيدين، إما قيد أو قرينة تنتج العينية، أو قرينة تنتج الكفائية، فحينئذٍ نقول أن تلك القرينة المحتمل وجودها في اللفظ نستصحب عدمها، وهذا استصحاب لا بأس به لكنه متوقف على القول بحجية استصحاب العدم الأزلي؛ لأن الألفاظ منذ وجدت إما مع القرينة أو بدونها، كالمرأة إما توجد هاشمية أو عامية فلا بد إذا كان هناك استصحاب يجري فمن صورة العدم إلى صورة الوجود فإنها عندما لم تكن، لم تكن هاشمية ثم وجدت، فهنا اللفظ عندما وجد لم يكن له قرينة تفيد العينية فالآن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تقريراتي توضيح للحاجة إلى إجراء استصحاب العدم الأزلي بتقريب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القرائن المتصلة تختلف بمقدار اتصالها لأنها إن كانت من ضمن كلمة واحدة كنسبة المادة إلى الهيأة وبالعكس فله باب وجواب، فعندما يصدر اللفظ يصدر مادة واحدة بهيأة ولا ينفكان فنحتاج إلى استصحاب العدم الأزلي، لكن إذا كانت متصلة لا بمنزلة الكلمة الواحدةباعتبار أن للمتكلم أن يلحق بكلامه ما يشاء فيكون من الاستصحاب الاعتيادي، فحينما قال صيغة الأمر ونحتمل إلحاقها بالقرينة ننفي هذا الاحتمال بالاستصحاب</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منهج الأصول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الظهور بمنشأ انتزاع العينية موجود وقاطع للاستصحاب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تنزلنا عن ذلك كما هو المفروض أمكن جريانه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منهج الأصول صحيح لأن الظهور متحقق وهو قاطع للاستصحاب، ولكنه خروج عن الفرض الذي هو الشك في ظهور اللفظ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تنزلنا فإن استصحاب العدم الأزلي لا يجري؛ لأنه قبل صدور اللفظ لا يوجد موضوع للظهور حتى يستصحب فيكون من القضية السالبة بانتفاء الموضوع، فلا يدخل مثله في دائرة حجية الاستصحاب،ومع ورود اللفظ ينعقد ظهور في العينية لأن إطلاق الوجوب ظاهر فيها، وهذا استدلال بالأصل اللفظي لا العملي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قلنا بجريانه تنزلاً وأنه ينتج أصالة عدم العينية فإنها لا تثبت الكفائية لإشكالين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مبتنٍ على القول بالأصل المثبت حيث أن لازم نفي العينية ثبوت الكفائية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معارض باستصحاب عدم الكفائية فيتساقطان ولا ينتج شيئاً منهما، فلا يثمر إجراء هذا الأصل القول بالكفائية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ملتفت إلى الإشكالين فحاول الإجابة عنهما فأجاب عن الأول في منهج الأصول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يكون مثبتاً باعتباره جارياً في موضوع الظهور، بل يكفينا عدم الظهور وسقوطه عن الحجية فلا تثبت العينية، ويكفي الإجمال اللفظي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هذه الصياغة غير واضحة ولا تنهض برد الإشكال، فرجعت إلى تقريراتي ووجدت فيها إيضاحاً حاصله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إننا لا نحتاج إلى الأصل المثبت لأننا لا نحتاج أصلاً إلى إثبات الضد، بل يكفينا إجراء استصحاب عدم العينية، وحينئذٍ نضم إليها ما تقتضيه الأصول المتأخرة رتبة فإذا لم </w:t>
      </w:r>
    </w:p>
    <w:p>
      <w:pPr>
        <w:pStyle w:val="BookText"/>
        <w:rPr/>
      </w:pPr>
      <w:r>
        <w:rPr>
          <w:rFonts w:ascii="Amiri" w:hAnsi="Amiri" w:eastAsia="Amiri" w:cs="Amiri"/>
          <w:color w:val="111111"/>
          <w:sz w:val="28"/>
          <w:sz w:val="28"/>
          <w:szCs w:val="28"/>
          <w:rtl w:val="true"/>
          <w:lang w:bidi="ar-SA"/>
        </w:rPr>
        <w:t>يكن عينياً فإن أصالة البراءة تجري، فينضم هذان الأصلان وينتجان براءة الذمة من العينية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نذكر هذه الأفكار كإثارات علمية وإلا فإنها غير مجدية لعدم جريان الاستصحاب أصلاً كما تقدم، والضمّ الذي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إليه لتمكّنه حينئذٍ من إجراء أصالة البراءة مباشرة كما ذهب إليه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ونحو ذلك من الإشكالات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منهج الأصول عن الثاني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يعارض بأصالة عدم الكفائية؛ لأنه عنوان انتزاعي، وأما منشأ انتزاعه فهو القرينة، فيجري استصحاب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لا يثبت العينية إلا باللازم، فيبقى استصحاب عدم الظهور بالعينية أو بمنشأ انتزاعها جارياً</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تقريراتي قرّب الإشكال كالتالي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العينية والكفائية عنوانان انتزاعيان لم يؤخذا في مواضيع الأحكام الشرعية بل ينبغي البحث عن منشأ انتزاعه، فننفي القرينة الدالة على منشأ انتزاع عنوان العينية والكفائية لا الدالة على العينية والكفائية مطابقة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بالتفريق بينهما في منشأ الظهور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منشأ انتزاع الكفائية دائماً قرينة منفصلة ومنشأ انتزاع العينية –أي ظهور القرينة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متصلة كالعموم الاستغراقي فنستصحب عدمه، فأصالة عدم الظهور بالكفائية أصالة عدم ظهور منفصلة لعدم الاستغراق مثلاً، ومعه قد يقال بالتعارض؛ لأننا نحتاج في استصحاب عدم العينية استصحاب العدم الأزلي،ولا نحتاج ذلك في القرينة الدالة على الكفائية، فلعلنا نقدّم الكفائي ويثبت لا العينية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استصحاب العدم الأزلي بعد القول بحجيته مقدم على الاستصحاب الاعتيادي؛ لأن الأزل منظور فيه فاستصحابه يجري، ولسنا ملزمين بتحصيل النتيجة الكاملة؛ لأن الجهة الأولى تامة، وليس هذا إلا تنبيهاً ذهنياً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ما فيه أنه جعل الوجوب العيني فقط على نحو العموم الاستغراقي بينما اختار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الوجوب الكفائي به أيضاً ولا فرق بينهما من هذه الناحية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استصحاب عدم تعلق الإرادة من قبل المولى بالعينية، لفرض كون الكلام مجملاً من هذه الناحية</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تقريراتي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ننظر إلى مرتبة إرادة المولى التي أصبحت علة في صدور هذا الأمر الذي ترددنا في كونه عينياً أو كفائياً، فهي محرزة لكننا نشك في كونها مقيدة بمنشأ انتزاع العينية أم الكفائية، فنجري أصالة عدم تقييد الإرادة بمنشأ انتزاع العينية فنضم لها أصلاً آخر في مقام الامتثال وهو البراءة عن التكليف الزائد فتثبت نتيجة الكفائية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يشكل عليه بما أورد على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أصالة عدم تقييد الإرادة بمنشأ انتزاع العينية يعارضه أصالة عدم تقييد الإرادة بمنشأ انتزاع الكفائية</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وأجاب في منهج الأصول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لأن الكفائية مرجعها إلى إسقاط التكليف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الشك بعد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فأصالة عدمها لا يكون سبباً لثبوت التكليف، أو قل لثبوت العينية؛ لأنه لازم عقلي، بخلاف أصالة عدم العينية، فإنها تعني بالمطابقة فراغ الذمة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في تقريراتي فقد اعترف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بوجاهة الإشكال في عالم الثبوت إذااعتبرنا كلا منهما قيداً، أما في عالم الإثبات فأجاب عن الإشكال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بسقوط المعارضة لأن التكليف الكفائي ليس له امتثال أكثر من امتثال واحد والمفروض تحققه –لأن الشك بعد امتثال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أصالة عدم تقييد الإرادة بمنشأ انتزاع الكفائية مما لا أثر له شرعاً، في حين يكون في مقابله أثر شرعي لأن العينية اشتغال ذمم كثيرة فينتج إفراغ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أن نناقشه بنقطتين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يأخذ بنظر الاعتبار ما اختاره من تفسير الوجوب الكفائي على نحو العموم الاستغراقي فيكون شاغلاً لذمم الجميع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على يقين بوجود إرادة المولى وتعلقها بصدور هذا الفعل ونشك بارتفاعها عند امتثال البعض فنستصحب بقاءها وهو يقتضي العينية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أصل الأطروحة وهي إجراء الأصل في مبادئ الحكم لا جدوى منه لأمرين على الأقل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الاستصحاب لا ثمرة فيه لأن الإرادة وسائر مبادئ الحكم مما لا تجب طاعته، فلا ثمرة تترتب على استصحاب بقائها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مناقشة التفسير الأول للوجوب الكفائي أنه على مستوى مبادئ الحكم –كالإرادة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تعلق إرادة المولى بالفعل دون ارتباطه بالفاعل لعدم وجود تكليف حتى يتطلب عهدة وذمة لإلقائه عليه، ففي هذه المرتبة لا توجد ذمة مشغولة بأي نحو من الأنحاء حتى تستصحب</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وبنفس التقريب يصوَّر على مستوى الغرض ويأتي عليه نفس الرد أيضاً</w:t>
      </w:r>
      <w:r>
        <w:rPr>
          <w:rFonts w:eastAsia="Amiri" w:cs="Amiri" w:ascii="Amiri" w:hAnsi="Amiri"/>
          <w:color w:val="111111"/>
          <w:sz w:val="28"/>
          <w:szCs w:val="28"/>
          <w:rtl w:val="true"/>
          <w:lang w:bidi="ar-SA"/>
        </w:rPr>
        <w:t xml:space="preserve">. </w:t>
      </w:r>
      <w:bookmarkStart w:id="50" w:name="pg8133_62629"/>
    </w:p>
    <w:p>
      <w:pPr>
        <w:pStyle w:val="Heading4"/>
        <w:numPr>
          <w:ilvl w:val="3"/>
          <w:numId w:val="1"/>
        </w:numPr>
        <w:rPr/>
      </w:pPr>
      <w:bookmarkStart w:id="51" w:name="__RefHeading___Toc8193013_1051229030"/>
      <w:bookmarkStart w:id="52" w:name="_Toc18"/>
      <w:bookmarkEnd w:id="50"/>
      <w:bookmarkEnd w:id="51"/>
      <w:r>
        <w:rPr>
          <w:rtl w:val="true"/>
        </w:rPr>
        <w:t>(</w:t>
      </w:r>
      <w:r>
        <w:rPr>
          <w:rtl w:val="true"/>
        </w:rPr>
        <w:t>الثاني</w:t>
      </w:r>
      <w:r>
        <w:rPr>
          <w:rtl w:val="true"/>
        </w:rPr>
        <w:t xml:space="preserve">: </w:t>
      </w:r>
      <w:r>
        <w:rPr>
          <w:rtl w:val="true"/>
        </w:rPr>
        <w:t>قاعدة الاشتغال</w:t>
      </w:r>
      <w:r>
        <w:rPr>
          <w:rtl w:val="true"/>
        </w:rPr>
        <w:t>):</w:t>
      </w:r>
      <w:bookmarkEnd w:id="52"/>
    </w:p>
    <w:p>
      <w:pPr>
        <w:pStyle w:val="BookText"/>
        <w:rPr/>
      </w:pPr>
      <w:r>
        <w:rPr>
          <w:rFonts w:ascii="Amiri" w:hAnsi="Amiri" w:eastAsia="Amiri" w:cs="Amiri"/>
          <w:color w:val="111111"/>
          <w:sz w:val="28"/>
          <w:sz w:val="28"/>
          <w:szCs w:val="28"/>
          <w:rtl w:val="true"/>
          <w:lang w:bidi="ar-SA"/>
        </w:rPr>
        <w:t xml:space="preserve">وتقريبه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الأمر إذا كان متوجهاً إلى فرد وشك في أنه كفائي أو عيني، فيرجع هذا الشك إلى الشك في السقوط بقيام الغير به وهو منموارد قاعدة الاشتغال دون البراءة</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التقريب له وجه خصوصاً على مختارنا في الوجوب الكفائي من كونه على نحو العموم الاستغراقي، وتتفق نتيجته مع الأصل السابق أعني الاستصحاب بتقريباته المتقدمة بغضّ النظر عن المانع الذي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منه من دون أي تقريب وأحال التفصيل إلى مباحث البراءة والاشتغال</w:t>
      </w:r>
      <w:r>
        <w:rPr>
          <w:rStyle w:val="FootnoteAnchor"/>
          <w:rtl w:val="true"/>
        </w:rPr>
        <w:footnoteReference w:id="7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وتبعه تلميذه الشيخ الفياض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معللاً دفع هذه الدعوى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سنخ الوجوب العيني غير سنخ الوجوب الكفائي روحاً وملاكاً، وعلى هذا فإذا توجه أمر إلى فرد وشك في أنه عيني أو كفائي، فهو حينئذٍ وإن كان يعلم بثبوت الوجوب الجامع بين العيني والكفائي ولكن لا يعلم بثبوت كل من الوجوب العيني أو الكفائي بحده الخاص؛ لأن حدوث كل منهما مشكوك فيه والعلم بالجامع لا أثر له إلا فيما إذا لم يقم غيره بالعمل، فإنه حينئذٍ يجب عليه القيام به، سواءً كان كفائياً أم عينياً، وأما إذا قام غيره به فهو عندئذٍ وإن كان شاكاً في سقوطه، إلا أن مرد هذا الشك إلى الشك في حدوث الوجوب العيني واشتغال ذمته به، ومن الواضح أن المرجع فيه أصالة البراءة</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ما دام سلّم بثبوت الجامع –أي كلي الوجوب كما قرّبنا في </w:t>
      </w:r>
    </w:p>
    <w:p>
      <w:pPr>
        <w:pStyle w:val="BookText"/>
        <w:rPr/>
      </w:pPr>
      <w:r>
        <w:rPr>
          <w:rFonts w:ascii="Amiri" w:hAnsi="Amiri" w:eastAsia="Amiri" w:cs="Amiri"/>
          <w:color w:val="111111"/>
          <w:sz w:val="28"/>
          <w:sz w:val="28"/>
          <w:szCs w:val="28"/>
          <w:rtl w:val="true"/>
          <w:lang w:bidi="ar-SA"/>
        </w:rPr>
        <w:t>جريان الاستصحاب، ويلزم منه ترتب آثاره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الوجوب العيني ثابت لأن آثار الكلي تعني لوازم الوجوب العيني، ولا نعني بآثار كلي الوجوب إلا العينية وأن عنوان العينية والكفائية انتزاعية والملحوظ منشأ انتزاعها، ولا حاجة حينئذٍ إلى إثبات الوجوب العيني بحدّه الخاصوبعنوانه حتى يقال أن استصحاب الكلي لا يلزم منه ترتب آثار الفرد الخاص فتقريب جريان قاعدة الاشتغال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وتوجد تعليقات أخرى على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سنخ الوجوب العيني غير سنخ الوجوب الكفائي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بكونهما متباينين، وأنهما فردان خاصان من كلي الوجوب، وقد تقدم عدم تمامية ذلك وأن خطابهما واحد، والفرق بينهما في طبيعة الواجب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وإن كان يعلم بثبوت الوجوب الجامع بين العيني والكفائي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اعتراف منه بجريان استصحاب الكلي، ولا نعلم وجهاً لعدم ذكره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القول بعدم وجود جامع أصلاً بين الوجوب المطلق والمشروط إلا اللفظ لعدم فعلية المشروط، فالتزامه بالوجوب المشروط لا يصحّح وجود الجامع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والعلم بالجامع لا أثر له إلا فيما إذا لم يقم به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قدمناه من عدم تمامية تفسير الوجوب الكفائي بالوجوب المشروط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الأثر خلاف الفرض لأن موضعه قبل امتثال الغير، وفرض الكلام في الأصل العملي بعد امتثال الغير، فهذا الأثر لا موضوع له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قوله هذا تقييداً لآثار الوجوب؛ لأنه يعني لزوم الفعل مطلقاً سواء قام به غيره أو لا كما حررنا في الأصل اللفظي وسلّم به، أما هذا الذي </w:t>
      </w:r>
      <w:bookmarkStart w:id="53" w:name="pg8133_62631"/>
    </w:p>
    <w:p>
      <w:pPr>
        <w:pStyle w:val="BookText"/>
        <w:rPr/>
      </w:pPr>
      <w:bookmarkEnd w:id="53"/>
      <w:r>
        <w:rPr>
          <w:rFonts w:ascii="Amiri" w:hAnsi="Amiri" w:eastAsia="Amiri" w:cs="Amiri"/>
          <w:color w:val="111111"/>
          <w:sz w:val="28"/>
          <w:sz w:val="28"/>
          <w:szCs w:val="28"/>
          <w:rtl w:val="true"/>
          <w:lang w:bidi="ar-SA"/>
        </w:rPr>
        <w:t>ذكره فهو الوجوب الكفائي نفسه بناءً على تفسيره بالوجوب المشروط بعدم إتيان الغير، وبذلك فقد وقع في المحذور الذي فرّ منه، إذ أراد نفي الحد الخاص للعينية فوقع في الحد الخاص للكفائية دون دليل على هذه المؤونة الزائدة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حدوث كل منهما مشكوك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حدوث الوجوب العينيليس مشكوكاً، فإنه متيقن وثابت بنفس ثبوت الوجوب الذي قلنا بأنه هو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يعلم النظر في قوله الآتي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مرد هذا الشك إلى الشك في حدوث الوجوب العيني</w:t>
      </w:r>
      <w:r>
        <w:rPr>
          <w:rFonts w:eastAsia="Amiri" w:cs="Amiri" w:ascii="Amiri" w:hAnsi="Amiri"/>
          <w:color w:val="111111"/>
          <w:sz w:val="28"/>
          <w:szCs w:val="28"/>
          <w:rtl w:val="true"/>
          <w:lang w:bidi="ar-SA"/>
        </w:rPr>
        <w:t>».</w:t>
      </w:r>
    </w:p>
    <w:p>
      <w:pPr>
        <w:pStyle w:val="Heading4"/>
        <w:numPr>
          <w:ilvl w:val="3"/>
          <w:numId w:val="1"/>
        </w:numPr>
        <w:rPr/>
      </w:pPr>
      <w:bookmarkStart w:id="54" w:name="__RefHeading___Toc8193015_1051229030"/>
      <w:bookmarkStart w:id="55" w:name="_Toc19"/>
      <w:bookmarkEnd w:id="54"/>
      <w:r>
        <w:rPr>
          <w:rtl w:val="true"/>
        </w:rPr>
        <w:t>(</w:t>
      </w:r>
      <w:r>
        <w:rPr>
          <w:rtl w:val="true"/>
        </w:rPr>
        <w:t>الثالث</w:t>
      </w:r>
      <w:r>
        <w:rPr>
          <w:rtl w:val="true"/>
        </w:rPr>
        <w:t xml:space="preserve">: </w:t>
      </w:r>
      <w:r>
        <w:rPr>
          <w:rtl w:val="true"/>
        </w:rPr>
        <w:t>أصالة البراءة</w:t>
      </w:r>
      <w:r>
        <w:rPr>
          <w:rtl w:val="true"/>
        </w:rPr>
        <w:t>):</w:t>
      </w:r>
      <w:bookmarkEnd w:id="55"/>
    </w:p>
    <w:p>
      <w:pPr>
        <w:pStyle w:val="BookText"/>
        <w:rPr/>
      </w:pPr>
      <w:r>
        <w:rPr>
          <w:rFonts w:ascii="Amiri" w:hAnsi="Amiri" w:eastAsia="Amiri" w:cs="Amiri"/>
          <w:color w:val="111111"/>
          <w:sz w:val="28"/>
          <w:sz w:val="28"/>
          <w:szCs w:val="28"/>
          <w:rtl w:val="true"/>
          <w:lang w:bidi="ar-SA"/>
        </w:rPr>
        <w:t xml:space="preserve">واختاره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 الشيخ الفياض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 في توجيهه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فالصحيح أن مقتضاه نفي العينية عند الشك فيها، باعتبار أن فيها كلفة زائدة، فإذا فرضنا أن المولى أمر فئة بالقيام بعمل وشككنا بأنه واجب كفائي يسقط بقيام غيرهم به أو عيني لا يسقط به، ففي مثل ذلك لا مانع من الرجوع إلى أصالة البراءة عن العينية</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العينية عنوان انتزاعي والملحوظ منشأ انتزاعها، وحينئذٍ لا فرق بين الوجوب العيني والكفائي على القول بالعموم الاستغراقي لاشتغال ذمم الجميع بالوجوب على كلا التقديرين، فإذا امتثل البعض وشككنا في بقاء الوجوب في ذمم الآخرين فقد قلنا أن مقتضى الاستصحاب ثبوته فلا مجال لجريان البراءة، لكن إذا تنزلّنا عن ذلك وشككنا في بقاء الوجوب لاحتمال سقوطه بامتثال البعض فلا مانع من إجراء البراءة لأن </w:t>
      </w:r>
    </w:p>
    <w:p>
      <w:pPr>
        <w:pStyle w:val="BookText"/>
        <w:rPr/>
      </w:pPr>
      <w:r>
        <w:rPr>
          <w:rFonts w:ascii="Amiri" w:hAnsi="Amiri" w:eastAsia="Amiri" w:cs="Amiri"/>
          <w:color w:val="111111"/>
          <w:sz w:val="28"/>
          <w:sz w:val="28"/>
          <w:szCs w:val="28"/>
          <w:rtl w:val="true"/>
          <w:lang w:bidi="ar-SA"/>
        </w:rPr>
        <w:t>مرجع الشك في أصل سعة الوجوب لما بعد امتثال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تقدم يظهر أن مقتضى الأصل العملي وفق مبانيهم يمكن أن يكون مطابقاً للأصل اللفظي، فقول الشيخ الفياض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مقتضى الأصل العملي نفي العينية، ولهذا تكون نتيجته على عكس نتيجة الأصل اللفظي</w:t>
      </w:r>
      <w:r>
        <w:rPr>
          <w:rFonts w:eastAsia="Amiri" w:cs="Amiri" w:ascii="Amiri" w:hAnsi="Amiri"/>
          <w:color w:val="111111"/>
          <w:sz w:val="28"/>
          <w:szCs w:val="28"/>
          <w:rtl w:val="true"/>
          <w:lang w:bidi="ar-SA"/>
        </w:rPr>
        <w:t>»</w:t>
      </w:r>
      <w:r>
        <w:rPr>
          <w:rStyle w:val="FootnoteAnchor"/>
          <w:rtl w:val="true"/>
        </w:rPr>
        <w:footnoteReference w:id="75"/>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يتم على إطلاقه</w:t>
      </w:r>
      <w:r>
        <w:rPr>
          <w:rFonts w:eastAsia="Amiri" w:cs="Amiri" w:ascii="Amiri" w:hAnsi="Amiri"/>
          <w:color w:val="111111"/>
          <w:sz w:val="28"/>
          <w:szCs w:val="28"/>
          <w:rtl w:val="true"/>
          <w:lang w:bidi="ar-SA"/>
        </w:rPr>
        <w:t xml:space="preserve">. </w:t>
      </w:r>
      <w:bookmarkStart w:id="56" w:name="pg8133_62633"/>
    </w:p>
    <w:p>
      <w:pPr>
        <w:pStyle w:val="Heading3"/>
        <w:numPr>
          <w:ilvl w:val="2"/>
          <w:numId w:val="1"/>
        </w:numPr>
        <w:rPr/>
      </w:pPr>
      <w:bookmarkStart w:id="57" w:name="__RefHeading___Toc8193017_1051229030"/>
      <w:bookmarkStart w:id="58" w:name="_Toc20"/>
      <w:bookmarkEnd w:id="56"/>
      <w:bookmarkEnd w:id="57"/>
      <w:r>
        <w:rPr>
          <w:rtl w:val="true"/>
        </w:rPr>
        <w:t>المطلب الثاني</w:t>
      </w:r>
      <w:r>
        <w:rPr>
          <w:rtl w:val="true"/>
        </w:rPr>
        <w:t xml:space="preserve">: </w:t>
      </w:r>
      <w:r>
        <w:rPr>
          <w:rtl w:val="true"/>
        </w:rPr>
        <w:t>الدوران بين التخصص والتخصيص</w:t>
      </w:r>
      <w:bookmarkEnd w:id="58"/>
    </w:p>
    <w:p>
      <w:pPr>
        <w:pStyle w:val="Heading4"/>
        <w:numPr>
          <w:ilvl w:val="3"/>
          <w:numId w:val="1"/>
        </w:numPr>
        <w:rPr/>
      </w:pPr>
      <w:bookmarkStart w:id="59" w:name="__RefHeading___Toc8193019_1051229030"/>
      <w:bookmarkStart w:id="60" w:name="_Toc21"/>
      <w:bookmarkEnd w:id="59"/>
      <w:r>
        <w:rPr>
          <w:rtl w:val="true"/>
        </w:rPr>
        <w:t>اشارة</w:t>
      </w:r>
      <w:bookmarkEnd w:id="60"/>
    </w:p>
    <w:p>
      <w:pPr>
        <w:pStyle w:val="BookText"/>
        <w:rPr/>
      </w:pPr>
      <w:r>
        <w:rPr>
          <w:rFonts w:ascii="Amiri" w:hAnsi="Amiri" w:eastAsia="Amiri" w:cs="Amiri"/>
          <w:color w:val="111111"/>
          <w:sz w:val="28"/>
          <w:sz w:val="28"/>
          <w:szCs w:val="28"/>
          <w:rtl w:val="true"/>
          <w:lang w:bidi="ar-SA"/>
        </w:rPr>
        <w:t>بحث علماء الأصول في انه لو تيقنا بخروج فرد من الافراد عن حكم العام ، ودار امر هذا الخروج بين التخصيص والتخصص ، فهل الأصل انه خروج تخصصي او انه تخصيصي ؟</w:t>
      </w:r>
    </w:p>
    <w:p>
      <w:pPr>
        <w:pStyle w:val="BookText"/>
        <w:rPr/>
      </w:pPr>
      <w:r>
        <w:rPr>
          <w:rFonts w:ascii="Amiri" w:hAnsi="Amiri" w:eastAsia="Amiri" w:cs="Amiri"/>
          <w:color w:val="111111"/>
          <w:sz w:val="28"/>
          <w:sz w:val="28"/>
          <w:szCs w:val="28"/>
          <w:rtl w:val="true"/>
          <w:lang w:bidi="ar-SA"/>
        </w:rPr>
        <w:t xml:space="preserve">وقد بحث سماحة الشيخ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المطلب في الجزء الثاني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مبينًا طريقة الاستدلال على ذلك ؛ لبيان الدليل على قول مشهور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ابن الزنا لا ينسب الى ابيه ، فاذا كان خروج ابن الزنا من عموم توريث الأبناء تخصصا صح ذلك دليلا على عدم نسبته لأبيه اما ان كان خروجه تخصيصا فينبغي ان نبحث عن دليل اخر لنفي الانتساب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ونص كلام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الاستدلال على قول المشهور بأصالة العموم لإثبات التخصّص دون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نقرّب قول المشهور بناءً على مطلب أصولي، وهو إمكان التمسك بأصالة العموم لنفي التخصيص عند دوران الأمر بين التخصص والتخصيص، ومثاله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العلماء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تكرم زيداً، وشككنا بأن خروج زيد تخصصاً لأنه ليس من العلماء أو تخصيصاً لأنه من العلماء ولكنه فاسق مثلاً والمولى لا يريد تكريم الفساق</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وتترتب عليه ثمرة حاصلها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بناءً على كون خروجه تخصيصاً فإنه تترتب عليه سائر أحكام موضوع العام وهم العلماء عدا وجوب إكرامه، أما إذا خرج تخصصاً فلا تجري فيه كل أحكام العلماء وليس فقط وجوب </w:t>
      </w:r>
    </w:p>
    <w:p>
      <w:pPr>
        <w:pStyle w:val="BookText"/>
        <w:rPr/>
      </w:pPr>
      <w:r>
        <w:rPr>
          <w:rFonts w:ascii="Amiri" w:hAnsi="Amiri" w:eastAsia="Amiri" w:cs="Amiri"/>
          <w:color w:val="111111"/>
          <w:sz w:val="28"/>
          <w:sz w:val="28"/>
          <w:szCs w:val="28"/>
          <w:rtl w:val="true"/>
          <w:lang w:bidi="ar-SA"/>
        </w:rPr>
        <w:t>إكرامه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وتطبيق القاعدة في المقام للاستدلال على قول المشهور أننا عندنا عام يوجب توريث الأولاد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يُوصِيكُمُ اللهُ في أولادِكُم للذَكَرِ مِثلُ حَظِّ الأُنثَيَينِ</w:t>
      </w:r>
      <w:r>
        <w:rPr>
          <w:rFonts w:eastAsia="Amiri" w:cs="Amiri" w:ascii="Amiri" w:hAnsi="Amiri"/>
          <w:color w:val="111111"/>
          <w:sz w:val="28"/>
          <w:szCs w:val="28"/>
          <w:rtl w:val="true"/>
          <w:lang w:bidi="ar-SA"/>
        </w:rPr>
        <w:t>»</w:t>
      </w:r>
      <w:r>
        <w:rPr>
          <w:rStyle w:val="FootnoteAnchor"/>
          <w:rtl w:val="true"/>
        </w:rPr>
        <w:footnoteReference w:id="76"/>
      </w:r>
      <w:r>
        <w:rPr>
          <w:rFonts w:ascii="Amiri" w:hAnsi="Amiri" w:eastAsia="Amiri" w:cs="Amiri"/>
          <w:color w:val="111111"/>
          <w:sz w:val="28"/>
          <w:sz w:val="28"/>
          <w:szCs w:val="28"/>
          <w:rtl w:val="true"/>
          <w:lang w:bidi="ar-SA"/>
        </w:rPr>
        <w:t xml:space="preserve">والروايات كثيرة، وورد 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الزنا لا يورث</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وقد شككنا في أن خروج ابن الزنا من عموم التوريث بالتخصص ومعناه انتفاء نسبه مطلقاً وأن حرمانه من الميراث لأنه ليس ابناً أصلاً فلا تترتب عليه كل أحكام البنوّة كما يذهب إليه المشهور، أو بالتخصيص أي أنه ابن وتترتب عليه كل أحكام البنوّة إلا أنه خرج من خصوص حكم التوريث وما ثبت نفيه بدليل، فهنا نتمسك بأصالة العموم لنفي التخصيص ونقول بأنه لو كان ابن الزنا ابناً شرعياً لورث، فما دام محروماً من الميراث فهو ليس بولد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ويحسُنُ نقل المثال إلى هذا المطلب في علم الأصول مضافاً إلى مثالهم المتداول في كتب الأصول وهو طهارة ماء الاستنجاء</w:t>
      </w:r>
      <w:r>
        <w:rPr>
          <w:rStyle w:val="FootnoteAnchor"/>
          <w:rtl w:val="true"/>
        </w:rPr>
        <w:footnoteReference w:id="78"/>
      </w:r>
      <w:r>
        <w:rPr>
          <w:rFonts w:ascii="Amiri" w:hAnsi="Amiri" w:eastAsia="Amiri" w:cs="Amiri"/>
          <w:color w:val="111111"/>
          <w:sz w:val="28"/>
          <w:sz w:val="28"/>
          <w:szCs w:val="28"/>
          <w:rtl w:val="true"/>
          <w:lang w:bidi="ar-SA"/>
        </w:rPr>
        <w:t>الذي توجد أدلة على طهارته والبحث فيه فقهي ليساهم كل من العلمين في ترصين وتطوير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حكى السيد الحكيم في الحقائق عن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من تأخر عنه من المحققين إمكان التمسك بأصالة العموم لنفي التخصيص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قيل أنه جرى ديدنهم عليه في الاستدلالات الفقهية</w:t>
      </w:r>
      <w:r>
        <w:rPr>
          <w:rFonts w:eastAsia="Amiri" w:cs="Amiri" w:ascii="Amiri" w:hAnsi="Amiri"/>
          <w:color w:val="111111"/>
          <w:sz w:val="28"/>
          <w:szCs w:val="28"/>
          <w:rtl w:val="true"/>
          <w:lang w:bidi="ar-SA"/>
        </w:rPr>
        <w:t>»</w:t>
      </w:r>
      <w:r>
        <w:rPr>
          <w:rStyle w:val="FootnoteAnchor"/>
          <w:rtl w:val="true"/>
        </w:rPr>
        <w:footnoteReference w:id="79"/>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ووصفه السيد </w:t>
      </w:r>
    </w:p>
    <w:p>
      <w:pPr>
        <w:pStyle w:val="BookText"/>
        <w:rPr/>
      </w:pPr>
      <w:r>
        <w:rPr>
          <w:rFonts w:ascii="Amiri" w:hAnsi="Amiri" w:eastAsia="Amiri" w:cs="Amiri"/>
          <w:color w:val="111111"/>
          <w:sz w:val="28"/>
          <w:sz w:val="28"/>
          <w:szCs w:val="28"/>
          <w:rtl w:val="true"/>
          <w:lang w:bidi="ar-SA"/>
        </w:rPr>
        <w:t xml:space="preserve">الخوئي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في الألسنة</w:t>
      </w:r>
      <w:r>
        <w:rPr>
          <w:rFonts w:eastAsia="Amiri" w:cs="Amiri" w:ascii="Amiri" w:hAnsi="Amiri"/>
          <w:color w:val="111111"/>
          <w:sz w:val="28"/>
          <w:szCs w:val="28"/>
          <w:rtl w:val="true"/>
          <w:lang w:bidi="ar-SA"/>
        </w:rPr>
        <w:t>»</w:t>
      </w:r>
      <w:r>
        <w:rPr>
          <w:rStyle w:val="FootnoteAnchor"/>
          <w:rtl w:val="true"/>
        </w:rPr>
        <w:footnoteReference w:id="8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فيمكن في المثال نفي كون زيد من العلماء ونفى خروجه بالتخصيص، ويثبت التخصص وهو أنه ليس فرد الموضوع أصلاً؛ لأنه لو كان زيد من العلماء لوجب إكرامه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تحليل قضية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دام لم يجب إكرامه فهو ليس من العلماء، كما 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ماء 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وُجد شيء ليس بسائل فلا يمكن أنيكون ماءً لأنه خلف القضية 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تقريبه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مقتضى أصالة العموم أو الإطلاق في القضية الكلية ثبوت عكس نقيضها وهو انتفاء موضوعها عند انتفاء محمولها، فإذا ثبت بدليل انتفاء المحمول في موردٍ ثبت بالملازمة انتفاء الموضوع وهو معنى التخصص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قضية حقيقية وإن كانت حملية إلا أنها في قوة قضية شرطية مفادها أنه كلما صدق الموضوع ثبت المحمول وانتفاء الشرط عند انتفاء الجزاء لازم عقلي لا محالة، فإذا ثبت بدليل انتفاؤه ثبت انتفاء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المدلول وإن كان التزامياً بالنسبة لظهور العام أو المطلق إلا أن المفروض حجية مثبتات الظهور لكونه من الأمارات وعدم اختصاص حجيته بالمداليل المطابقية خاصة</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على هذا التقريب عدة لوازم لا يقولون بها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وجود التخصيص واعتبار كل فرد خارج من حكم العام هو من باب التخصص لأن مقتضى الملازمة التي ذكروها أن كل فرد غير محكوم </w:t>
      </w:r>
    </w:p>
    <w:p>
      <w:pPr>
        <w:pStyle w:val="BookText"/>
        <w:rPr/>
      </w:pPr>
      <w:r>
        <w:rPr>
          <w:rFonts w:ascii="Amiri" w:hAnsi="Amiri" w:eastAsia="Amiri" w:cs="Amiri"/>
          <w:color w:val="111111"/>
          <w:sz w:val="28"/>
          <w:sz w:val="28"/>
          <w:szCs w:val="28"/>
          <w:rtl w:val="true"/>
          <w:lang w:bidi="ar-SA"/>
        </w:rPr>
        <w:t>بحكم العام فهو خارج من موضوعه مطلقاً وليس في حالة الشك فقط، وهذه النتيجة خلاف ما تبانوا عليه من وجود التخصيص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التمسّك بالعام قبل الفحص عن المخصِّص لأن حكم العام لا يخرج عنه إلا ما خرج من عنوانه فالفحص يكون عن الموضوع وأفراده لا الحكم وتخصيصه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أشكل المحقق صاحب الكفاية</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ومن جاء بعده من المحققين على جواز العمل بهذه القاعدة؛ لأن أصالة العموم من الأصول اللفظيةالتي يرجع إليها عند الشك في مراد المتكلم كما لو علمنا بدخول فرد في العام وشككنا في شمول حكمه له لخروجه بالخاص مثلاً فهنا نأخذ بأصالة العموم ونحكم على هذا الفرد بحكم العام، والمقام ليس من هذا القبيل لأننا نجزم بخروج زيد من وجوب الإكرام، وابن الزنا من حكم التوريث فلا يصح التمسك بأصالة العموم فلا تكون حجة فضلاً عن مثبتاتها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هذا الرد لا يكفي إذ يمكن تصوير المسألة على أنها شك في المراد باعتبار أننا نشك أن العام المجعول في عالم الثبوت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يُوصِيكُمُ اللّهُ فِي أَوْلاَدِكُمْ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الابن المتولد من ماء الرجل والمرأة عدا ما كان من الزنا بأن يكون مقيداً بقيد يخرج ابن الزنا عن موضوع العام فيثبت التخصص، أم أنه ليس مقيّداً به وأن المراد هو المعنى اللغوي والعرفي الذي يكتفي بالتولد من مائه، فيمكن هنا التمسك بأصالة العموم والإطلاق لإثبات إطلاق الجعل وعدم أخذ قيد فيه ولازمه العقلي ثبوت التخصيص في ذلك الفرد</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وبالعودة إلى تقريب الاستدلال على صحة التمسك بأصالة العموم فقد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قد برهن في محله على أن صدق عكس النقيض من لوازم صدق القضية، فإذا صحَّ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إنسان 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أن يصح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ليس بحيوان فهو ليس إنساناً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الأصول اللفظية من قبيل الظواهر وهي داخلة في الأمارات، والأمارات كما هي حجة في مداليلها المطابقية فإنها حجة في مداليلها الالتزامية وتثبت بها لوازمها الشرعية والعقلية والعادية، فيكون العموم دائماً دالاً بالالتزام على أن كل ما لا يكون محكوماً بحكمه ليس من أفراده، فما دام إكرام زيد غير واجب فهو ليس من العلماء، وما دام ابن الزنا غير محكوم بحكم العام وهو توريث الأولاد فهو ليس ولداً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أجاب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الإشكال بما بيّنه بعض تلامذته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وإن اشتهر أن المثبت من الأمارات حجة بمعنى أنالأمارات تكون حجة في المدلول الالتزامي إلا أنه ليس ذلك بنحو الكلية بل يختلف باختلاف مقدار دلالة دليل الحجية فإذا كان مطلقاً كان مقتضياً للحجية على اللازم مطلقاً وإن كان مهملاً اقتصر على المتيقن من دلالته وحيث أن دليل حجية الظهور بناء العقلاء الذي هو من الأدلة اللبية كان اللازم الاقتصار على المتيقن من دلالته ولم يثبت بناء العقلاء على حجية الظهور بالإضافة إلى عكس نقيض القضية فلا يحكم بحجيته فيه بل يرجع إلى أصالة عدم الحجية ونظيره اليد وأصالة الصحة بناء على أنهما من الأمارات فإنهما لا يكونان حجة على لوازم الملكية والصحة</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شمول حجية الظواهر للوازمها من القدر المتيقن وأن العقلاء يبنون على ذلك، فكما أن السيرة ثبتت على ما لو علمنا بدخول زيد في العام إلا أننا شككنا في خروجه منه بالتخصيص فنتمسك هنا بشمول </w:t>
      </w:r>
    </w:p>
    <w:p>
      <w:pPr>
        <w:pStyle w:val="BookText"/>
        <w:rPr/>
      </w:pPr>
      <w:r>
        <w:rPr>
          <w:rFonts w:ascii="Amiri" w:hAnsi="Amiri" w:eastAsia="Amiri" w:cs="Amiri"/>
          <w:color w:val="111111"/>
          <w:sz w:val="28"/>
          <w:sz w:val="28"/>
          <w:szCs w:val="28"/>
          <w:rtl w:val="true"/>
          <w:lang w:bidi="ar-SA"/>
        </w:rPr>
        <w:t xml:space="preserve">العام له، فكذلك إذا تحققت الملازمة في ما نحن فيه فإن حجيتها ثابتة، وإلا فإن سؤالاً يُثار عن سبب تفريق العقلاء في الحجة بين الموردين مع أن بناءهم في حجية الأمارات على نكتة واحدة وهي الكشف والطريقية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وحينئذٍ تكون كاشفية هذا الدليل عن الموجبة الكلية وعن عكس النقيض بنفس القوة بعد فرض التلازم بينهما</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يتعرض أحد لهذا السؤال وجوابه إلا ما حكاه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المحقق العراقي</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وملخصه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التمسك بأصالة العموم لإثبات التخصص يعني أننا نرجع إلى المولى في حل شبهة موضوعية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نثبت بها جزئية هذا الفرد من عنوان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ليست من وظائفه وهي عين نكتة عدم جواز التمسك بالعام في الشبهة المصداقية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السيد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 هذه النكتة أنها غير صحيحة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التبعيض في الحجية بالنسبة لبعض المداليل وإن كان معقولاً ثبوتاً، لكن هو خلاف المرتكز العقلائي، فالأمارية نسبتها إلى كل المداليل على حد واحد</w:t>
      </w:r>
      <w:r>
        <w:rPr>
          <w:rFonts w:eastAsia="Amiri" w:cs="Amiri" w:ascii="Amiri" w:hAnsi="Amiri"/>
          <w:color w:val="111111"/>
          <w:sz w:val="28"/>
          <w:szCs w:val="28"/>
          <w:rtl w:val="true"/>
          <w:lang w:bidi="ar-SA"/>
        </w:rPr>
        <w:t>»</w:t>
      </w:r>
      <w:r>
        <w:rPr>
          <w:rStyle w:val="FootnoteAnchor"/>
          <w:rtl w:val="true"/>
        </w:rPr>
        <w:footnoteReference w:id="86"/>
      </w:r>
      <w:r>
        <w:rPr>
          <w:rFonts w:ascii="Amiri" w:hAnsi="Amiri" w:eastAsia="Amiri" w:cs="Amiri"/>
          <w:color w:val="111111"/>
          <w:sz w:val="28"/>
          <w:sz w:val="28"/>
          <w:szCs w:val="28"/>
          <w:rtl w:val="true"/>
          <w:lang w:bidi="ar-SA"/>
        </w:rPr>
        <w:t>ثم أفاض في تحقيق ذلك وذكر صوراً يصح كلام المحقق العراقي على بعضها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وأرى أن يقال بأن حل الشبهة الموضوعية وإن لم يكن من وظائف المولى أي لا يجب عليه إلا أنه يجوز له ذلك ولا مانع منه إذا اقتضت الحاجة كما في الموضوعات المستنبطة، ونظير ذلك وظائف الفقيه فإنها لا تشمل الفحص عن الموضوع إلا أنه يقوم بذلك أحياناً لأمرٍ ما ككونه من أهل الخبرة أو وكيلاً عن المكلف لعجزه ونحو ذلك، ويكون الجواز أوضح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ما لو كان هذا البيان يأتي بدلالة التزامية وليس من نفس الخطاب</w:t>
      </w:r>
      <w:r>
        <w:rPr>
          <w:rFonts w:eastAsia="Amiri" w:cs="Amiri" w:ascii="Amiri" w:hAnsi="Amiri"/>
          <w:color w:val="111111"/>
          <w:sz w:val="28"/>
          <w:szCs w:val="28"/>
          <w:rtl w:val="true"/>
          <w:lang w:bidi="ar-SA"/>
        </w:rPr>
        <w:t xml:space="preserve">. </w:t>
      </w:r>
      <w:bookmarkStart w:id="61" w:name="pg8133_62640"/>
    </w:p>
    <w:p>
      <w:pPr>
        <w:pStyle w:val="Heading4"/>
        <w:numPr>
          <w:ilvl w:val="3"/>
          <w:numId w:val="1"/>
        </w:numPr>
        <w:rPr/>
      </w:pPr>
      <w:bookmarkStart w:id="62" w:name="__RefHeading___Toc8193021_1051229030"/>
      <w:bookmarkStart w:id="63" w:name="_Toc22"/>
      <w:bookmarkEnd w:id="61"/>
      <w:bookmarkEnd w:id="62"/>
      <w:r>
        <w:rPr>
          <w:rtl w:val="true"/>
        </w:rPr>
        <w:t>الرأي المختار</w:t>
      </w:r>
      <w:bookmarkEnd w:id="63"/>
    </w:p>
    <w:p>
      <w:pPr>
        <w:pStyle w:val="BookText"/>
        <w:rPr/>
      </w:pPr>
      <w:r>
        <w:rPr>
          <w:rFonts w:ascii="Amiri" w:hAnsi="Amiri" w:eastAsia="Amiri" w:cs="Amiri"/>
          <w:color w:val="111111"/>
          <w:sz w:val="28"/>
          <w:sz w:val="28"/>
          <w:szCs w:val="28"/>
          <w:rtl w:val="true"/>
          <w:lang w:bidi="ar-SA"/>
        </w:rPr>
        <w:t>والصحيح في الرد على جواز التمسك بأصالة العموم لإثبات التخصص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القضايا التي بنوا عليها برهانهم في الملازمة بالصدق بين الموجبة الكلية وبين عكس النقيض هي قضايا خارجية واقعية تكوينية كقضية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ماء 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إنسان 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تتصف بالكلية، لكنها تختلف في طبيعتها عن قضايا الأحكام الشرعية التي هي قضايا اعتبارية وكلّيّتها بيد المعتبر فتقبل هذه من عدم الملازمة ما لا تقبله 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صياغة القضايا الشرعية على نحو الكلية أمر غير صحيح على إطلاقه لاحتمال خروج أفراد منها بالتخصيص، بل إن أكثر الأحكام كذلك، لذا اشتهر عنهم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عام إلا وقد 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وباختصار فإن احتمال التخصيص ما دام موجوداً فإن عكس النقيض لا يمكن الجزم بصحته لاحتمال خروجه بالتخصيص، فلا يصح أن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دام إكرام زيد غير واجب فهو ليس من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تخصيصه لأمرٍ ما، فنكتة صدق عكس النقيض غير متحققة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توجد عندنا في المسألة محل البحث كبرى كلية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ولد يرث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يقال أن عكس نقيضها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لم يرث فهو ليس بولد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عمومات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يُوصِيكُمُ اللّهُ فِي أَوْلاَدِكُمْ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مخصصة بعدم المانع من الميراث كالكفر أو القتل أو الحاجب كحجب الولد المباشر لولد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فيمكن أن يقال هنا أن الولادة من الزنا مانع من الميراث كبقية الموانع فيكون خروج ابن الزنا بالتخصيص</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لو أمكن إثبات أن قضية العام كبرى كلية وهو العام الذي يصفونه </w:t>
      </w:r>
    </w:p>
    <w:p>
      <w:pPr>
        <w:pStyle w:val="BookText"/>
        <w:rPr/>
      </w:pPr>
      <w:r>
        <w:rPr>
          <w:rFonts w:ascii="Amiri" w:hAnsi="Amiri" w:eastAsia="Amiri" w:cs="Amiri"/>
          <w:color w:val="111111"/>
          <w:sz w:val="28"/>
          <w:sz w:val="28"/>
          <w:szCs w:val="28"/>
          <w:rtl w:val="true"/>
          <w:lang w:bidi="ar-SA"/>
        </w:rPr>
        <w:t>بأنه آبٍ عن التخصيص فإنه يمكن التمسك بأصالة العموم لإثبات التخصص؛ لأن هذا الظهور يحقق صغرى الملازمة التي هي ثابتة على أي حال، فالصحيح القول بالتفصيل، ولا يمكن القول في هذه المسألةبالجواز وعدمه على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استظهار خروج الفرد على نحو التخصص كما لو استعمل المولى لفظاً صريحاً في العموم قوي الدلالة على الشمول لتمام أفراده بحيث يكون آبياً عن التخصيص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 جميع كتبي،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تبع الكتاب الفلاني، فيظهر من ذلك أن هذا الكتاب ليس من كتبه وإنما هو وقف أو إعارة مثلاً ووجه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من كتبه لكان من غير اللائق استعمال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ويستلزم هذا الاستثناء كذب أحد لوازم صدق القضية؛ لأن لازم بيع جميع الكتب عدم كون ما لا يجب بيعه من كتبي إلا أن يتصل المخصص بالعام، لكن لو قال بع كتبي واستثنى فإن المورد يكون قابلاً للتخصيص ولا تتحقق هذه النكتة التي لم يلتفت إليها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تعاطى مع المثال المذكور كغيره</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ولم يُشر إلى هذا التفصيل</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استظهار خروج الفرد على نحو التخصيص عندما يكون إطلاق الخاص من القوة بحيث أنه حتى لو كان الفرد المشكوك داخلاً في موضوع العام فإنه يخرجه منه، ومقامنا من هذا القبيل فإن أدلة عدم توريث ابن الزنا من القوة والوضوح بحيث تمنعه من ذلك حتى لو كان ابناً شرعاً وليس فقط لغة وعرفاً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هاتين النتيجتين من الاستدلال تحتاجان إلى التمسّك بالظهور في المرتبة السابقة على التمسك بأصالة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فالصحيح في رد هذا التقريب المذكور لقول المشهور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السبب هو عدم كلية الكبرى، وليس عدم صدق الملازمة بين صدق القضية وصدق عكس نقيضها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صحة إثبات خروج الفرد بالتخصص ليس من جهة عدم صحة الملازمة وإنما لأن كلّيّة الكبرى غير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ما قلناه من قوة إطلاق 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عدم توريث ابن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وإخراجه الفرد المشكوك من حكم العام بالتخصيص مطلقاً وعلى أي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تقدمت منّا في بعض الأبحاث السابقة</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ونص ما قاله سماحته هناك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خرج فرد من حكم عام، فهل الأصل في خروجه التخصص أم التخصيص؟ فيقال في الجواب أن الأصل هو التخصص لأن الأصل أن الأحكام تتبع موضوعاتها، فما دام الحكم قد تغير فهو يكشف أن الموضوع قد انتفى إلا أن يدل الدليل على أن هذا الفرد داخل في موضوع العام إلا أنه خرج حكماً بالتخصيص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في مستوى من مستويات التفكير دعوى أن الكثير من موارد التخصيص هي أيضاً تخصص في الحقيقة، فعندما يقول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المعدود من العلماء فإن الخطاب الثاني يعتبر قرينة على أن المراد من الموضوع في الخطاب الأول ليس كل العلماء وإنما هم باستثناء زيد وأنه ليس عالماً حقيقة، فخروجه تخصصي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استشهد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المطلب بعبارة للسيد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السيد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فصل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التمسك بالعام لإثبات التخصص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مقتضى أصالة العموم أو الإطلاق في القضية الكلية ثبوت عكس نقيضها وهو انتفاء موضوعها عند انتفاء محمولها فإذا ثبت بدليل انتفاء المحمول في مورد ثبت بالملازمة انتفاء الموضوع وهو معنى التخصص</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فكرة مفادها أن كل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تخصيص يرجع في الحقيقة إلى التخصّص؛ لأن استثناء الخاص كزيد من العام كوجوب إكرام كل عالم لا بد أن يكون لنكتة ككونه ليس متقياً وإلا لو كان زيد كبقية العلماء لا يختلف عنهم بشيء فإن إخراجه من حكمالعام سيكون عبثياً، وحينئذٍ يكشف هذا الاستثناء عن كون موضوع العام ليس مطلق العلماء وإنما بقيد التقوى، ونتيجة ذلك أن موضوع العام هم العلماء المتقون، وفي ضوء هذه النتيجة يكون خروج زيد من هذا الموضوع تخصصاً</w:t>
      </w:r>
      <w:r>
        <w:rPr>
          <w:rFonts w:eastAsia="Amiri" w:cs="Amiri" w:ascii="Amiri" w:hAnsi="Amiri"/>
          <w:color w:val="111111"/>
          <w:sz w:val="28"/>
          <w:szCs w:val="28"/>
          <w:rtl w:val="true"/>
          <w:lang w:bidi="ar-SA"/>
        </w:rPr>
        <w:t xml:space="preserve">. </w:t>
      </w:r>
      <w:bookmarkStart w:id="64" w:name="pg8133_62644"/>
    </w:p>
    <w:p>
      <w:pPr>
        <w:pStyle w:val="Heading3"/>
        <w:numPr>
          <w:ilvl w:val="2"/>
          <w:numId w:val="1"/>
        </w:numPr>
        <w:rPr/>
      </w:pPr>
      <w:bookmarkStart w:id="65" w:name="__RefHeading___Toc8193023_1051229030"/>
      <w:bookmarkStart w:id="66" w:name="_Toc23"/>
      <w:bookmarkEnd w:id="64"/>
      <w:bookmarkEnd w:id="65"/>
      <w:r>
        <w:rPr>
          <w:rtl w:val="true"/>
        </w:rPr>
        <w:t>المطلب الثالث</w:t>
      </w:r>
      <w:r>
        <w:rPr>
          <w:rtl w:val="true"/>
        </w:rPr>
        <w:t xml:space="preserve">: </w:t>
      </w:r>
      <w:r>
        <w:rPr>
          <w:rtl w:val="true"/>
        </w:rPr>
        <w:t>التسامح في ادلة السنن</w:t>
      </w:r>
      <w:bookmarkEnd w:id="66"/>
    </w:p>
    <w:p>
      <w:pPr>
        <w:pStyle w:val="Heading4"/>
        <w:numPr>
          <w:ilvl w:val="3"/>
          <w:numId w:val="1"/>
        </w:numPr>
        <w:rPr/>
      </w:pPr>
      <w:bookmarkStart w:id="67" w:name="__RefHeading___Toc8193025_1051229030"/>
      <w:bookmarkStart w:id="68" w:name="_Toc24"/>
      <w:bookmarkEnd w:id="67"/>
      <w:r>
        <w:rPr>
          <w:rtl w:val="true"/>
        </w:rPr>
        <w:t>اشارة</w:t>
      </w:r>
      <w:bookmarkEnd w:id="68"/>
    </w:p>
    <w:p>
      <w:pPr>
        <w:pStyle w:val="BookText"/>
        <w:rPr/>
      </w:pPr>
      <w:r>
        <w:rPr>
          <w:rFonts w:ascii="Amiri" w:hAnsi="Amiri" w:eastAsia="Amiri" w:cs="Amiri"/>
          <w:color w:val="111111"/>
          <w:sz w:val="28"/>
          <w:sz w:val="28"/>
          <w:szCs w:val="28"/>
          <w:rtl w:val="true"/>
          <w:lang w:bidi="ar-SA"/>
        </w:rPr>
        <w:t xml:space="preserve">ذكر سماحة الشيخ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الجزء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ملحقا بعد بحثه في مسالة حكم نقل الميت بعد دفنه إلى العتبات المقدسة ، وقد ناقش سماحته في هذا الملحق مفاد اخبار من بلغ ، حيث رفض فكرة التوسع في قبول الاخبار الضعيفة في مجال السنن وفق هذه القاعدة ، وانتهى الى ان هذه القاعدة تأتي في خصوص الروايات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ونص كلامه في هذه المسالة هو</w:t>
      </w:r>
      <w:r>
        <w:rPr>
          <w:rFonts w:eastAsia="Amiri" w:cs="Amiri" w:ascii="Amiri" w:hAnsi="Amiri"/>
          <w:color w:val="111111"/>
          <w:sz w:val="28"/>
          <w:szCs w:val="28"/>
          <w:rtl w:val="true"/>
          <w:lang w:bidi="ar-SA"/>
        </w:rPr>
        <w:t>:</w:t>
      </w:r>
    </w:p>
    <w:p>
      <w:pPr>
        <w:pStyle w:val="Heading4"/>
        <w:numPr>
          <w:ilvl w:val="3"/>
          <w:numId w:val="1"/>
        </w:numPr>
        <w:rPr/>
      </w:pPr>
      <w:bookmarkStart w:id="69" w:name="__RefHeading___Toc8193027_1051229030"/>
      <w:bookmarkStart w:id="70" w:name="_Toc25"/>
      <w:bookmarkEnd w:id="69"/>
      <w:r>
        <w:rPr>
          <w:rtl w:val="true"/>
        </w:rPr>
        <w:t xml:space="preserve">تنبيهات في مفاد أخبار </w:t>
      </w:r>
      <w:r>
        <w:rPr>
          <w:rtl w:val="true"/>
        </w:rPr>
        <w:t>(</w:t>
      </w:r>
      <w:r>
        <w:rPr>
          <w:rtl w:val="true"/>
        </w:rPr>
        <w:t>من بلغ</w:t>
      </w:r>
      <w:r>
        <w:rPr>
          <w:rtl w:val="true"/>
        </w:rPr>
        <w:t>)</w:t>
      </w:r>
      <w:bookmarkEnd w:id="70"/>
    </w:p>
    <w:p>
      <w:pPr>
        <w:pStyle w:val="BookText"/>
        <w:rPr/>
      </w:pPr>
      <w:r>
        <w:rPr>
          <w:rFonts w:ascii="Amiri" w:hAnsi="Amiri" w:eastAsia="Amiri" w:cs="Amiri"/>
          <w:color w:val="111111"/>
          <w:sz w:val="28"/>
          <w:sz w:val="28"/>
          <w:szCs w:val="28"/>
          <w:rtl w:val="true"/>
          <w:lang w:bidi="ar-SA"/>
        </w:rPr>
        <w:t xml:space="preserve">توجد عدة روايات معتبرة يطلق عليها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جعلوها مستنداً لقاعدة التسامح في أدلة السنن التي يستدلون بها على كثير من المستحبات والمكروهات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هشام بن سالم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سمع شيئاً من الثواب على شيء فصنعه كان له، وإن لم يكن على ما بلغه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معتبرته الأخرى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بلغه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شيء من الثواب فعمله كان أجر ذلك له وإن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يقله</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محمد بن مروان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بلغه عن </w:t>
      </w:r>
    </w:p>
    <w:p>
      <w:pPr>
        <w:pStyle w:val="BookText"/>
        <w:rPr/>
      </w:pP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شيء من الثواب ففعل ذلك طلب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له ذلك الثواب، وإن 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صفوان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بلغه شيء من الثواب على شيء من فعل الخير فعمل به كان له أجر ذلك، وإن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وذكر هذا المعنى أحمد بن فهد الحلي في عدة الداعي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الصدوق عن محمد بن يعقوب، بطرقه إلى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بلغه شيء من الخير فعمل به كان له من الثواب ما بلغه وإن لم يكن الأمر كما نقل إليه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السيد ابن طاووس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بلغه شيء من الخير فعمل به كان له ذلك وإن لم يكن الأمر كما بلغه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طريق العامة ما رواه عبد الرحمن الحلواني مرفوعاً إلى جابر بن عبد الله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بلغه من الله فضيلة فأخذ بها إيماناً بالله ورجاءَ ثوابه، أعطاه الله ذلك وإن لم يكن كذلك</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والمفهوم لدى الأصحاب من معنى هذه القاعدة أنه لو وجد خبر غير تام الحجية دالّ على مطلوبية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 من الوجوب والاستحباب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فيعتبر مفيداً للاستحباب بعد تتميم حجّيّته بأخبار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لذا احتوت الكتب الفقهية على مستحبات كثيرة لم يرد بها دليل تام وإنما بُني القول باستحبابها على هذه القاعدة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قيل في مفاد هذه الأخبار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حجية خبر الضعيف الذي قام على وجوب شيء، أو استحبابه، بالنسبة إلى استحبابه، فيكون حجة على استحباب ذلك الشيء ولو كان ظاهراً في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وبيان دلالة هذه الأخبار </w:t>
      </w:r>
    </w:p>
    <w:p>
      <w:pPr>
        <w:pStyle w:val="BookText"/>
        <w:rPr/>
      </w:pPr>
      <w:r>
        <w:rPr>
          <w:rFonts w:ascii="Amiri" w:hAnsi="Amiri" w:eastAsia="Amiri" w:cs="Amiri"/>
          <w:color w:val="111111"/>
          <w:sz w:val="28"/>
          <w:sz w:val="28"/>
          <w:szCs w:val="28"/>
          <w:rtl w:val="true"/>
          <w:lang w:bidi="ar-SA"/>
        </w:rPr>
        <w:t>على هذا الاحتمال هو دلالتها على ترتب الثواب على العمل الذي بلغه أن فيه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أن ترتب الثواب على عمل دليل على استحبابه، والمثبت لهذاالاستحباب هو عنوان البلوغ</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والقراءة الدقيقة لهذه الروايات تفيد عدة معانٍ وسنجد من خلالها أن الأصحاب توسعوا في فهم معناها من عدة جهات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خبر صفوان وما نقله ابن فهد الحلي والسيد ابن طاووس وخبر جابر الأنصاري تفسّر العمل بأنه من فعل الخير في نفسه وليس إن 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تؤسس استحبابه؛ نعم، هي تؤسس إعطاء الثواب الخاص، فلو صلى شخص ركعتي أول الشهر أو صام كل خميس رجاءَ ثوابهما الخاص أُعطي إياه وإن لم يكن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قاله ما دام الفعل خيراً في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تنافي بين خبر صفوان وغيره حتى تحمل عليه؛ كما لو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الهاشميين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يقيّد الأولى بالثانية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صحيح بحسب القواعد في الظهورات لكننا ندّعي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بجعل بعض الروايات قرينة على البعض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هو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الفعل حتى لو لم يكن خيراً في نفسه فإنه مشمول بهذه الأخبار لأنه بترتب الثواب عليه سيكون مستحباً ومن فعل الخير</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غير تام لأن القضية لا تثبت موضوعها بل لا بد أن يثبت الموضوع ليكون صغرى للحديث</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تقدّم في النقطة الآنفة فإن الأخبار لا تختص بالمستحبات وإنما تعم الواجبات لأنها متّصفة أيضاً بالخير والفضيلة، وبلوغ الثواب عليها ينجّز الوعد المذكور في الأخبار مع الالتفات إلى بقية الملاحظات المذكورة كما لو ورد الخبر في ثواب من صام شهر رمضان أو أدّى صلاة الصبح، فلا وجه لحصر مفاد الأخبار في المستحبات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الاستحباب الناشئ من القاعدة بحسب ما عرضوه لمّا كان مبنياً على التسامح فلا يصلح أن يتصرف في ما ثبت بدليل معتبر كتخصيص العام أو تقييد المطلق لأنه ليس أقوى ظهوراً منها، ومن أمثلة ذلك كراهة مناكحة الأكراد المقيدة لإطلاق تزويج الكفؤ رغم أنه آبٍ عن التخصيص أو استحباب ختان النساء المعارض لقاعدة لا ضرر، وسنبحث هذين المثالين مستقلاً إن شاء الله تعالى</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الأخبار لا تفيد كراهة ما وردت كراهيته في الأخبار غير المعتبرة كالمسألة التي نحن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ترك المكروه مستحب فإذا ورد خبر ضعيف في كراهية شيء كمسألتنا كان تركه مستحباً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طبّقها على المكروهات من لا يقول بهذه الملازمة كالسيد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في أصل المسألة فهذا نقض عليه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لو قلنا بهذه الملازمة وكان ترك المكروه مستحباً فإن هذا المستحب لا يكون صغرى 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واضح، لأنها لا تتضمن بلوغ ثواب على فعل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العرف لا يرى ترك كل مكروه مستحباً حتى يصدق على الترك معنى الفعل والعمل، ولا يرى كل ترك للمستحب مكروهاً حتى يصدق عليه نفس المعنى، ففي مسألتنا كان التعجيل بتجهيز الميت فعلاً مستحباً والتأخير بتجهيزه فعلاً مكروهاً فإذا ورد خبر ضعيف في كراهة أمرٍ وصدق على تركه عنوان الفعل أمكن إجراء القاعدة على مبناهم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افتُرض ورود أخبار على استحباب ترك بعض الأفعال كانت مشمولة بأخبار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كصوم يوم عرفة لمن يضعفه عن الدعاء وكذااستحباب ترك بعض الأمور للحاج أو في البيع والشراء كرؤية العبد ثمنه وكذا في النكاح أو في العلاقات الاجتماعية كمناداة شخص باسمه وغيرها كثير، ولكن هذا غير مقصود لهم في باب المكروهات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الروايات تضمنت مفردة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 الأولى التي ورد في صدرها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يكون من تصرف الراوي باعتبار إذن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بالنقل بالمعنى، وذيل الرواية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ما بلغه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على أنها لم تخرج عن سياق الروايات الأخرى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والبلوغ والتبليغ لا يصدق عرفاً إلا إذا كان النقل معتبراً وعليه يبنون في توجيه الدعوات والأوامر وغيرها، ولا يشمل مطلق الخبر حتى وإن كان معلوم الضعف؛ وسيأتي في المحكي عن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المعنى، ويشهد له الوضع اللغوي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البلوغ والبلاغ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الانتهاء إلى أقصى المقصد والمنتهى</w:t>
      </w:r>
      <w:r>
        <w:rPr>
          <w:rFonts w:eastAsia="Amiri" w:cs="Amiri" w:ascii="Amiri" w:hAnsi="Amiri"/>
          <w:color w:val="111111"/>
          <w:sz w:val="28"/>
          <w:szCs w:val="28"/>
          <w:rtl w:val="true"/>
          <w:lang w:bidi="ar-SA"/>
        </w:rPr>
        <w:t>»</w:t>
      </w:r>
      <w:r>
        <w:rPr>
          <w:rStyle w:val="FootnoteAnchor"/>
          <w:rtl w:val="true"/>
        </w:rPr>
        <w:footnoteReference w:id="93"/>
      </w:r>
      <w:r>
        <w:rPr>
          <w:rFonts w:ascii="IRNazanin" w:hAnsi="IRNazanin" w:eastAsia="IRNazanin"/>
          <w:color w:val="111111"/>
          <w:sz w:val="28"/>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يرد في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حدود استقرائي الناقص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 الإخبار الصادق كتبليغ الله تبارك وتعالى والأنبياء والرسل صلوات الله عليهم أجمعين، أما في غيره فيستعمل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جَاءكُمْ </w:t>
      </w:r>
    </w:p>
    <w:p>
      <w:pPr>
        <w:pStyle w:val="BookText"/>
        <w:rPr/>
      </w:pPr>
      <w:r>
        <w:rPr>
          <w:rFonts w:ascii="Amiri" w:hAnsi="Amiri" w:eastAsia="Amiri" w:cs="Amiri"/>
          <w:color w:val="111111"/>
          <w:sz w:val="28"/>
          <w:sz w:val="28"/>
          <w:szCs w:val="28"/>
          <w:rtl w:val="true"/>
          <w:lang w:bidi="ar-SA"/>
        </w:rPr>
        <w:t>فَاسِقٌ بِنَبَأٍ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جَاءهُمْ أَمْرٌ مِّنَ الأَمْنِ أَوِ الْخَوْفِ أَذَاعُواْ بِهِ وَلَوْ رَدُّوهُ إِلَى الرَّسُولِ وَإِلَى أُوْلِي الأَمْرِ مِنْهُمْ لَعَلِمَهُ الَّذِينَ يَسْتَنبِطُونَهُ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ويمكن استظهار هذا المعنى من ذيل الأخبار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يعني أن حجية الخبر مكتملة في نفسها، ويأتي هذا الذيل لتأمين احتمال عدم مطابقة الواقع، فإن أهل الفن والمحاورة يرون هذا الذيل مناسباً للخبر ذي القيمة لا الخبر غير ذي القيمة؛ الذي هو ساقط في نفسه فلا معنى لتأمين احتمال عدم مطابقته للواقع لأنه لا يُعبأ به ابتداءً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استنطقنا الوجدان عن هذا المعنى فنقول لو عكسنا الحالة أي لو بلغ المكلف خبر غير معتبر بوجوب شيء فلم يفعله أو حرمة شيء فلم يجتنبه لعدم الوثوق بالخبر ثم ظهر أنه مطابق للواقع فإنه لا يؤاخذ عليه لعدم صدق البلوغ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وبالتالي عدم تنجّز التكليف وهذا المعنى واضح حتى عند من يلتزم بمسلك حق طاعة المولى عند احتمال التكليف والالتفات إليه وليس بقاعدة قبح العقاب بلا بيان كالسيد الشهيد الصدر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صحيح لكن الفرق بينهما أن المقام قد تممت حجيته بأخبار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مورد النقض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بصدد شرح معنى البلوغ لا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التتميم موجود بالاحتياط العقلي لوجود الاحتمال المنجّز له بناءً على مسلك حق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فالعرف وظهور الروايات والوضع اللغوي والوجدان كلها شاهدة على هذا المعنى</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الأخبار خاصة ببلوغ الثواب على فعل شيء ولا تشمل كل ما ورد في طلب فعل معين ما لم يقترن بذكر الثواب ليكون صغرى 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p>
    <w:p>
      <w:pPr>
        <w:pStyle w:val="BookText"/>
        <w:rPr/>
      </w:pP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فليس صحيحاً إجراؤهم القاعدة في كثير من الأخبار غير المعتبرة التي تطلب فعلاً معيناً أو تنهى عن فعل معين ولما لم يمكن استنباط حكم إلزامي منهما لعدم اعتبار الدليل فإنهم يحملونهما على الحكم غير الإلزامي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عدم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 عدم تحقق صغرى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الأمر ظاهر في الوجوب، والنهي ظاهر في الحرمة، فإذا سقطت الرواية عن الاعتبار فلا وجوب ولا حرمة، ولا ينتقل الظهور إلى الاستحباب والكراهة إلا بالقرائن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على مذهب من قال بأن الوجوب مركّب من جنس وفصل هما الشيء والنهي عن تركه يمكن القول بحلول الاستحباب محل الوجوب باعتبار سقوط الفصل من التعريف وهو النهي عن الترك فيبقى الجنس وهو طلب الشيء الذي يحمل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مردود بعدم مساعدة العرف عليه لأن الوجوب بسيط أما النهي عن الترك فيستفاد من الإطلاق وليس من الوضع، ولو قلنا بالتركيب فإن الجنس يسقط أيضاً كالفصل عند عدم اعتبار الدليل، فعلى مختارهم لا بد من وجود طلب استحبابي ولو ضعيف ليكون صغرى لهذه القاعدة ولا يكفي مطلق الطلب</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بنوا عليه من تتميم حجّيّة الخبر الضعيف الذي يفيد الاستحباب بأخبار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صحيح، فالخبر غير الحجة لا يصبح حجة في استحباب الفعل بتتميم حجيته بأخبار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وإنما يحقق هذا الخبر موضوع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وتبقى الحجية 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اشتمال الموضوع على كل العناصر التي اشترطناها، فما لم يقترن مفاد الخبر غير الحجة بعنوان البلوغ فلا يكون الفعل سبباً للثواب وبالتالي لا يكون </w:t>
      </w:r>
    </w:p>
    <w:p>
      <w:pPr>
        <w:pStyle w:val="BookText"/>
        <w:rPr/>
      </w:pPr>
      <w:r>
        <w:rPr>
          <w:rFonts w:ascii="Amiri" w:hAnsi="Amiri" w:eastAsia="Amiri" w:cs="Amiri"/>
          <w:color w:val="111111"/>
          <w:sz w:val="28"/>
          <w:sz w:val="28"/>
          <w:szCs w:val="28"/>
          <w:rtl w:val="true"/>
          <w:lang w:bidi="ar-SA"/>
        </w:rPr>
        <w:t>مستحباً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الأخبار خاصة بمن بلغه الثواب فعمله ولا تشمل الفقيه ليفتي به لأن الأخبار لا تؤسس لاستحباب العمل وإنما يعطى فاعله الثواب الذي دفعه إلى العمل، فالقاعدة المستفادة من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فقهية وليست أصولية كما نُسب إلى جملة من الأساطين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نتيجتها وهي حجية خبر الضعيف تقع كبرى في قياس الاستنباط</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فهي من هذه الناحية كقاعدة الطهارة والحل ونحوهما التي يطبقها المكلف مباشرة على المصداق ولا تكون حداً أوسط في عملية الاستنباط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المكلف الذي يأخذ الاستحباب من الرسالة العملية لا يكون صغرى للأخبار لأنه ليس ممن بلغه ثواب عمل من أفعال الخير، إلا أن ينقل الفقيه في رسالته الثواب المروي على العمل، كما يحصل أحياناً نادرة، أو ما يرد من الثواب في كتب السنن والمستحبات ككتاب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وتوجد بعض الأمور التي ذكرناها في كلمات السلف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قدست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كاشتراط عدم بلوغ الخبر حد الوضع والاختلاق، أو اختصاص القاعدة بأخبار الفضائل والمحكي عن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الدراية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جوّز الأكثر العمل بالخبر الضعيف في نحو القصص والمواعظ وفضائل الأعمال، لا في صفات الله تعالى، وأحكام الحلال والحرام، وهو حسن حيث لم يبلغ الضعيف حد الوضع والاختلاق</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والمحكي عن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أخبار الفضائل يتسامح فيها عند أهل العلم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وخلاصة المراد من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تحفيز المؤمنين على فعل الخير ونفي احتمال عدم حصول العامل على الثواب الموعود لاحتمال عدم مطابقته للواقع وتطمينه بأنه يُعطى الثواب حتى لو لم يكن صادراً من الشارع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فالأخبار لا تدل على القاعدة التي ذكروها ولا يمكن الاستدلال بها على استحباب ما وردت به أخبار ضعيفة، فلا بد من الحزم والدقة في الاستفادة من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خشية الوقوع في الحرمة بنسبة أمور إلى الدين وهي ليست منه ويتحقق ذلك بالالتزام بهذه التنبيهات بفضل الله تبارك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والاقتصار في مفاد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الحدود التي ذكرناها وإن التوسع الذي تعامل به الفقهاء يفتح الباب واسعاً لدخول كل ما هو مستهجن في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بالكذب والافتراء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يكون للقاعدة دليل آخر غير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حكم العقل بحسن امتثال أوامر المولى حتى لو وردت بطريق ضعيف ما لم يعارضها دليل على الحرمة، وبحسن اجتناب ما ينهى عنه المولى ولو ورد بطريق غير معتبر ما لم يعارضه دليل على الوجوب، وهو حكم صحيح كحكم العقل بحسن الاحتياط، لكنه غير الحكم بالاستحباب والكراهة الذي فهموه من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لا نجد مانعاً من الإفتاء باستحباب ما ورد في أخبار الفضائل والأخلاق والمواعظ حتى لو لم يكن الخبر تاماً ما دام منسجماً مع أحكام الشريعة وكان فضيلة في نفسه كصلاة ليلة الدفن أو أول الشهر أو بعض الأغسال المسنونة ونحوها</w:t>
      </w:r>
      <w:r>
        <w:rPr>
          <w:rFonts w:eastAsia="Amiri" w:cs="Amiri" w:ascii="Amiri" w:hAnsi="Amiri"/>
          <w:color w:val="111111"/>
          <w:sz w:val="28"/>
          <w:szCs w:val="28"/>
          <w:rtl w:val="true"/>
          <w:lang w:bidi="ar-SA"/>
        </w:rPr>
        <w:t xml:space="preserve">. </w:t>
      </w:r>
      <w:bookmarkStart w:id="71" w:name="pg8133_62653"/>
    </w:p>
    <w:p>
      <w:pPr>
        <w:pStyle w:val="Heading3"/>
        <w:numPr>
          <w:ilvl w:val="2"/>
          <w:numId w:val="1"/>
        </w:numPr>
        <w:rPr/>
      </w:pPr>
      <w:bookmarkStart w:id="72" w:name="__RefHeading___Toc8193029_1051229030"/>
      <w:bookmarkStart w:id="73" w:name="_Toc26"/>
      <w:bookmarkEnd w:id="71"/>
      <w:bookmarkEnd w:id="72"/>
      <w:r>
        <w:rPr>
          <w:rtl w:val="true"/>
        </w:rPr>
        <w:t>المطلب الرابع</w:t>
      </w:r>
      <w:r>
        <w:rPr>
          <w:rtl w:val="true"/>
        </w:rPr>
        <w:t xml:space="preserve">: </w:t>
      </w:r>
      <w:r>
        <w:rPr>
          <w:rtl w:val="true"/>
        </w:rPr>
        <w:t>التفصيل في حجية الاستصحاب بين الشك في الرافع والشك في المقتضي</w:t>
      </w:r>
      <w:bookmarkEnd w:id="73"/>
    </w:p>
    <w:p>
      <w:pPr>
        <w:pStyle w:val="BookText"/>
        <w:rPr/>
      </w:pPr>
      <w:r>
        <w:rPr>
          <w:rFonts w:ascii="Amiri" w:hAnsi="Amiri" w:eastAsia="Amiri" w:cs="Amiri"/>
          <w:color w:val="111111"/>
          <w:sz w:val="28"/>
          <w:sz w:val="28"/>
          <w:szCs w:val="28"/>
          <w:rtl w:val="true"/>
          <w:lang w:bidi="ar-SA"/>
        </w:rPr>
        <w:t xml:space="preserve">في الجزء الرابع من موسوعة فقه الخلاف ، وهو الجزء المخصص لطرق ثبوت الهلال ذكر سماحة الشيخ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ملحقا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فيه دليله على التفصيل في حجية الاستصحاب بين الشك في الرافع والشك في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 كلام سماحته في هذه المسالة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التفصيل في حجية الاستصحاب بين الشك في الرافع والشك في المقتضي</w:t>
      </w:r>
    </w:p>
    <w:p>
      <w:pPr>
        <w:pStyle w:val="BookText"/>
        <w:rPr/>
      </w:pPr>
      <w:r>
        <w:rPr>
          <w:rFonts w:ascii="Amiri" w:hAnsi="Amiri" w:eastAsia="Amiri" w:cs="Amiri"/>
          <w:color w:val="111111"/>
          <w:sz w:val="28"/>
          <w:sz w:val="28"/>
          <w:szCs w:val="28"/>
          <w:rtl w:val="true"/>
          <w:lang w:bidi="ar-SA"/>
        </w:rPr>
        <w:t xml:space="preserve">للأصوليين عدة تفصيلات في حجية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في الحجية بين كون الشك في الرافع أو كونه في المقتضي فذهب عدد من الأعاظم إلى حجيته في الأول دون الثاني كالشيخ الأنصاري والشيخ النائيني ومن المعاصرين السيد حسن البجنوردي والسيد الروحاني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للأكثر حيث ذهبوا إلى حجيته مطلقاً كصاحب الكفاية ومشهور المعاصرين كالسيد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وتلامذته كالشيخ الفياض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وكالسيد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وتلامذته</w:t>
      </w:r>
      <w:r>
        <w:rPr>
          <w:rStyle w:val="FootnoteAnchor"/>
          <w:rtl w:val="true"/>
        </w:rPr>
        <w:footnoteReference w:id="96"/>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حكى السيد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التفصيل موضوعاً في ذهن المحقق في المعارج كما في عبارته الآتية، وعلى أي حال فالصحيح </w:t>
      </w:r>
    </w:p>
    <w:p>
      <w:pPr>
        <w:pStyle w:val="BookText"/>
        <w:rPr/>
      </w:pPr>
      <w:r>
        <w:rPr>
          <w:rFonts w:ascii="Amiri" w:hAnsi="Amiri" w:eastAsia="Amiri" w:cs="Amiri"/>
          <w:color w:val="111111"/>
          <w:sz w:val="28"/>
          <w:sz w:val="28"/>
          <w:szCs w:val="28"/>
          <w:rtl w:val="true"/>
          <w:lang w:bidi="ar-SA"/>
        </w:rPr>
        <w:t>هو القول بالتفصيل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ولكي لا نخرج من غرض البحث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بغضّ النظر عما قيل من المحتملات في المراد من المقتضي إلا أن الصحيح في المراد بالمقتضي استعداد المتيقن السابق للبقاء وترتيب الآثار عليه في الزمان الثاني لو خلي وطبعه، إذ أن الشك في الزمان اللاحق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ركن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منشأه الشك في قابلية المتيقن في نفسه على البقاء إلى الزمان الثاني واحتمال انتفائه بانتهاء أمده، وقد يكون منشأه حصول رافع لوجوده مع قابليته في نفسه على البقاء، فالأول هو الشك في المقتضي والثاني في الرافع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ومثّلوا للأول من عالم الموضوعات الخارجية بوجود حيوان في الداريدور أمره بين ما يعيش خمس سنين مثلاً وما يعيش خمسة أشهر فإذا شك في بقاء الحيوان في الدار بعد خمسة أشهر كان من الشك في المقتضي، ومثلوا له في الأحكام الشرعية بخيار الغبن مثلاً إذا شك في بقائه في الزمن الثاني بعد علمه بالغبن لاحتمال اختصاصه بالزمن الأول الممتد من العقد الغبني إلى حين حصول العلم بالغبن فهذا من الشك في المقتضي في البقاء إلى الزمن الثاني مع اليقين بوجوده في الزمن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وتطبيق المطلب في مسألتنا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طرق ثبوت 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شك في بقاء الشهر الحالي من جهة الشك في قابليته على البقاء فيما لو رؤي الهلال في بلد غير متحد بالأفق، فإن كانت رؤية الهلال فيه كافية لثبوته في هذا البلد فقد انتفى الشهر السابق وحلَّ الشهر الجديد وإن لم تكن كافية والرؤية المعتبرة مختصة بالبلدان المتحدة في الأفق فإن الشهر الحالي باقٍ</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والدليل على التفصيل نقدّمه باختصار ووضوح ليتناسب مع منهجنا في تناول مسائل علم الأصول في ضوء الغرض المطلوب منه وحاصل </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قصور أدلة حجية الاستصحاب عن إفادة الإطلاق وشمول صورة الشك في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عمدة الدليل على حجية الاستصحاب هو بناء العقلاء والأخبار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دليل لبّي يُقتصر به على القدر المتيقن وهو إبقاء ما كان استعداده للبقاء في نفسه محرزاً إذا شُك في حصول الرافع له، ولم يثبت بناؤهم على إجراء الاستصحاب وإبقاء ما شُك في استعداده للبقاء عند الشك في 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ثبت بناؤهم في بعض الموارد على الاستصحاب مع كون الشك في المقتضي فإنه قد لا يكون للاستصحاب وإنما لأهمية المحتمل كحياة الإنسان أو لمصلحة اجتماعية كقاعدة التيسير وحفظ النظام الاجتماعيالعام ومداراة الناس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فلعدة تقريبات</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مورد الروايات الشك في الرافع مع إحراز المقتضي كالشك في بقاء الوضوء من جهة الشك في تحقق النوم كما في صحيحة زرارة</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الأولى، والشك في بقاء طهارة الثوب من جهة الشك في وقوع النجاسة عليه كما في صحيحته الثانية</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وهكذا، ونتمسك بالإطلاق في المقدار الذي يتحقق فيه التجريد عن الخصوصية كالتعدي من الطهارة إلى غيرها ومن النوم إلى غيره ونحو ذلك وليس منه التعدي إلى صورة الشك في المقتضي فلا إطلاق لهذه الروايات، ولا نعلم ماذا سيكون جواب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سُئل عن مثل هذه الصورة فالرواية مجملة من هذه الناحية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الروايات يمكن أن ينظر إليها على أنها إرشادية إلى ما تبانى عليه العقلاء والمفروض أنه لا يشمل الشك في المقتضي فتتقيد سعة الروايات بهذا المقدار ولا يتم لها 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يكون بناء العقلاء قرينة ارتكازية بيّنة لدى المتكلم والسامع تقيّد إطلاق الكلام، وهذه القرينة الملحوظة عند التخاطب غير ما اشترطهصاحب الكفاية لانعقاد الإطلاق واعترضنا عليه من عدم وجود قدر متيقن في مقام التخاطب؛ لوجود اللحاظ المعيّن للظهور في هذه دون 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أقل من كون بناء العقلاء مجملاً من هذه الناحية فيسري إجماله ولا يتم للكلام إطلاق</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الشواهد على كون الروايات إرشادية صحيحة عبد الله بن سنان الواردة في من يعير ثوبه للذمي وهو يعلم أنه يشرب الخمر ويأكل لحم الخنزير فعلل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غسله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لأنك أعرته إياه وهو طاهر، ولم تتيقن أنه نجّسه</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 xml:space="preserve">فإن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اكتفى ببيان تحقق موضوع القاعدة وترك تطبيقها إلى السائل معتمداً على ارتكازه العقلائي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إليه الشيخ الأنصاري</w:t>
      </w:r>
      <w:r>
        <w:rPr>
          <w:rStyle w:val="FootnoteAnchor"/>
          <w:rtl w:val="true"/>
        </w:rPr>
        <w:footnoteReference w:id="1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وأثار جدلاً عند من بعده واكتفى بعض القائلين بالحجية مطلقاً بالرد عليه لإثبات بطلان هذا القول وهذا خطأ منهجي آخر وهو الاكتفاء برد الاستدلال السابق وعدم استيعاب الأدلة المحتملة للقول الآخر، وأحياناً الأقوال الأخرى في المسألة، حيث توجد هنا وجوه أخرى للاستدلال على التفصيل 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فإن حاصل تقريب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النقض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يصدق إلا على ما له قابلية البقاء لأن النقض لا يتحقق إلا في الأمر المبرم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ما كان المقتضي فيه تاماً، فإجراء القاعدة في ما عداه يكون من التمسك بالعام في الشبهة المصداقية، وهو 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وبيان ذلك يتحقق بعدة مقدمات، إذ أن المراد من هذه العبارة ترتيب آثار المتيقن والجري العملي على طبقه؛ لأنه لا أثر لليقين في نفسه كي يكون الإبقاء وحرمة النقض بلحاظ آثاره أي لم يؤخذ اليقين على نحوالموضوعية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فحرمة النقض وإن كانت متعلقة باليقين ولكن باعتباره مرآة للمتيقن وأنه عنوان له كالذي نقوله في مبحث تعلق الأوامر بالطبائع لا الأفراد، وبذلك فقد التزمنا بظاهر اللفظ من تعلق النقض باليقين فلا يقال أن حمل اليقين على المتيقن مجاز</w:t>
      </w:r>
      <w:r>
        <w:rPr>
          <w:rStyle w:val="FootnoteAnchor"/>
          <w:rtl w:val="true"/>
        </w:rPr>
        <w:footnoteReference w:id="101"/>
      </w:r>
      <w:r>
        <w:rPr>
          <w:rFonts w:ascii="Amiri" w:hAnsi="Amiri" w:eastAsia="Amiri" w:cs="Amiri"/>
          <w:color w:val="111111"/>
          <w:sz w:val="28"/>
          <w:sz w:val="28"/>
          <w:szCs w:val="28"/>
          <w:rtl w:val="true"/>
          <w:lang w:bidi="ar-SA"/>
        </w:rPr>
        <w:t xml:space="preserve">، والذي أدى إلى إشكالات مطوّلة ردّوا بها استدلال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المعلوم أن عدم الجري العملي على طبق المتيقن عند الشك </w:t>
      </w:r>
    </w:p>
    <w:p>
      <w:pPr>
        <w:pStyle w:val="BookText"/>
        <w:rPr/>
      </w:pPr>
      <w:r>
        <w:rPr>
          <w:rFonts w:ascii="Amiri" w:hAnsi="Amiri" w:eastAsia="Amiri" w:cs="Amiri"/>
          <w:color w:val="111111"/>
          <w:sz w:val="28"/>
          <w:sz w:val="28"/>
          <w:szCs w:val="28"/>
          <w:rtl w:val="true"/>
          <w:lang w:bidi="ar-SA"/>
        </w:rPr>
        <w:t xml:space="preserve">في بقائه يصدق عليه أنه نقض لليقين باعتبار آثار المتيقن فيما إذا كان للمتيقن استعداد البقاء في ظرف الشك في بقائه، والشك في بقائه يكون مستنداً إلى الرافع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إلى احتمال وجود حادث زماني أوجب انعدامه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فلا معنى للنقض؛ لأن نفس اليقين انتقض بالشك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ونحن نبني على أن حقيقة الاستصحاب المعبّر عنها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اليقين بالشك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تنزيل الشك منزلة اليقين لا المشكوك منزلة المتيقن كما توهم، أي جرّ اليقين من حيث الجري العملي إلى ظرف الشك ولكن باعتبار مرآتيته وطريقيته لا صفتيته وموضوعيته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دليل الاستصحاب غير منحصر في الأخبار المشتملة على لفظ النقض حتى يختص بالشك في الرافع، بل هناك خبران آخران لا يشتملان على لفظ النقض، فيعمّان بإطلاقهما موارد الشك في المقتضي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عبد الله بن سنان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الواردة في من يعير ثوبه للذمي وهو يعلم أنه يشرب الخمر ويأكل لحم الخنزير،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فأغسله قبل أن أصلي فيه؟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فيه ولا تغسله منأجل ذلك فإنك أعرته إياه وهو طاهر ولم تستيقن أنه نجّسه</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إسحاق بن عمار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لي أبو الحسن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شككت فابن على اليقين،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أصل؟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يجاب إجمالاً بأن أدلة التفصيل لا تنحصر بمدلول لفظ النقض وإنما توجد وجوه أخرى كما سنورده في البحث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ويجاب تفصيلاً عن الحديثين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فمورده هو الشك في الرافع، لأن الطهارة مما له دوام في نفسه لولا الرافع، فلا وجه للتعدي عنه إلى الشك في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التعدي عن خصوصية الثوب إلى غيره وعن خصوصية الذمي إلى نجاسة أخرى وعن خصوصية الطهارة المتيقنة إلى غيرها، فإنما هو للقطع بعدم دخل هذه الخصوصيات في الحكم، ولكن التعدي عن الشك في الرافع إلى الشك في المقتضي يكون بلا دليل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مضافاً إلى ما ذكرناه من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يذكر قضية الاستصحاب وإنما نقّح موضوعه فقط وترك إجراءه للسائل وفق ما تبانى عليه العقلاء وقد علمنا عدم سعته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أشكلوا على السند من جهة أن الشيخ الصدوق لم يبتدئ باسم إسحاق حتى يكون مشمولاً بطريقه المعتبر في المشيخة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إسحاق بن عمار، ومثل هذا قد لا يكون مشمولاً بقول الصدوق في المشيخة أن ما يرويه عن إسحاق فسنده فلان عن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وصف بعضهم للحديث بالموثق بناءً على عدم التفريق بين التعبيرين أو بلحاظ ما في الوسائل حيث نقله عن الصدوق بإسناده عنإسحاق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اشتباه منه</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 xml:space="preserve">وهذا التفريق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ابتداء الشيخ الصدوق باسم الراوي فيكون مشمولاً بما ورد في المشيخة وبين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مشمولاً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بنى عليه السيد الخوئي والشهيد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فالرواية مرسلة عندهم</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الإشكال في السند غير تام والأقرب عدم التفريق وحجية </w:t>
      </w:r>
    </w:p>
    <w:p>
      <w:pPr>
        <w:pStyle w:val="BookText"/>
        <w:rPr/>
      </w:pPr>
      <w:r>
        <w:rPr>
          <w:rFonts w:ascii="Amiri" w:hAnsi="Amiri" w:eastAsia="Amiri" w:cs="Amiri"/>
          <w:color w:val="111111"/>
          <w:sz w:val="28"/>
          <w:sz w:val="28"/>
          <w:szCs w:val="28"/>
          <w:rtl w:val="true"/>
          <w:lang w:bidi="ar-SA"/>
        </w:rPr>
        <w:t xml:space="preserve">التعبيرين، وإن هذا الاختلاف تنوع في التعبير من الشيخ الصدوق لا أثر له، ولو فرضنا أن قول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رويته عن فلان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يشمل الرواية محل البحث فإنه أكثر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عن فلان فهو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العبارة تشمل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بنى على عدم التفريق صاحب الوسائل وجامع أحاديث الشيعة فإسناد صاحب الوسائل إلى إسحاق موافق لمبناه وليس اشتباهاً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وتبعهم على ذلك بعض من حضرنا بحثه الشريف الذي ذكر عدة وجوه لرد التفريق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بحسب التتبع نجد أن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لم يتقيد بتعبير واحد واستعمل التعبيرين، فقد ينقل في مواضع متعددة عن مصدر واحد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فلان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بحسب معرفتنا بالمصدر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في المجلد الأول عن الفضل بن شاذان فقد جزم بالرواية في أربعة مواضع وصرّح بالنقل عن الفضل، وفي المورد الخامس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العلل التي يروى أن الفضل قد سمعها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الفطر إنما جُعل ليكون</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 xml:space="preserve">هذا في الجزء الأول، 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طبعة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فيالموارد الأربعة ففي الصفحات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أكثر في الفقيه التعبير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 عن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في المشيخة السند إلى خصوص من عبَّر عنهم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ولازم 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ذكر السند في المشيخة لغو وقد أحصيت خمسين شخصاً على هذا النحو، فتكون الموارد أكثر من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بناءً على ما أشرنا إليه وهو الصحيح إن ترتيب المشيخة بحسب ترتيب الفقيه إلا نادراً فيما لو غفل مثلاً وإلا فالقاعدة عنده أن يبتدئ أولاً بما ابتدأ به أولاً في الفقيه، وبناءً على هذا فإننا نرى الشيخ الصدوق قد لاحظ في المشيخة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مورداً بخصوص من قال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 عن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القول بالتفريق لا يكون له وجه عقلائي إذ لا توجد مناسبة لذكر الطريق وهو لم يروِ عنه</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حكى السيد الشهيد الصدر اشتباه بعض كتب الأصحاب بنسبة الرواية إلى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غير عمار والد إسحاق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وكأن منشأ الاشتباه كان هو الشيخ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عبّر في رسائله عن هذا الحديث بموثقة عمار، وقد وقع هذا الحديث في بعض نسخ الوسائل في 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السابق على هذا في نفس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وأشير إلى الاشتباه في الحاشية، وذاك الحديث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علي بن الحسين بإسناده عن عمار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عمار أجمع لك السهو كله في كلمتين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فوقع بعد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حديث إسحاق بن عمار، فلعل نسخة الشيخ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من هذا القبيل فأوقعته في الاشتباه</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من جهة السند، وأما من جهة المتن فإن الإشكال بها لا يتم لأن الأمر بالبناء على اليقين مساوق للنهي عن نقضه؛ لأن البناء هو الجري علىطبق ما له ثبات ودوام</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أن ورودها في باب الخلل والشك في الركعات يرجح كونها واردة لتأسيس قاعدة التجاوز والبناء على صحة الفعل بعد الفراغ منه فهي </w:t>
      </w:r>
    </w:p>
    <w:p>
      <w:pPr>
        <w:pStyle w:val="BookText"/>
        <w:rPr/>
      </w:pPr>
      <w:r>
        <w:rPr>
          <w:rFonts w:ascii="Amiri" w:hAnsi="Amiri" w:eastAsia="Amiri" w:cs="Amiri"/>
          <w:color w:val="111111"/>
          <w:sz w:val="28"/>
          <w:sz w:val="28"/>
          <w:szCs w:val="28"/>
          <w:rtl w:val="true"/>
          <w:lang w:bidi="ar-SA"/>
        </w:rPr>
        <w:t>أجنبية عن الاستصحاب، وما قيل من وجوه لاستبعاد هذا الاحتمال يمكن دفعها كقولهم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اليقين في هذه القاعدة غير موجود</w:t>
      </w:r>
      <w:r>
        <w:rPr>
          <w:rFonts w:eastAsia="Amiri" w:cs="Amiri" w:ascii="Amiri" w:hAnsi="Amiri"/>
          <w:color w:val="111111"/>
          <w:sz w:val="28"/>
          <w:szCs w:val="28"/>
          <w:rtl w:val="true"/>
          <w:lang w:bidi="ar-SA"/>
        </w:rPr>
        <w:t>»</w:t>
      </w:r>
      <w:r>
        <w:rPr>
          <w:rStyle w:val="FootnoteAnchor"/>
          <w:rtl w:val="true"/>
        </w:rPr>
        <w:footnoteReference w:id="108"/>
      </w:r>
      <w:r>
        <w:rPr>
          <w:rFonts w:ascii="Amiri" w:hAnsi="Amiri" w:eastAsia="Amiri" w:cs="Amiri"/>
          <w:color w:val="111111"/>
          <w:sz w:val="28"/>
          <w:sz w:val="28"/>
          <w:szCs w:val="28"/>
          <w:rtl w:val="true"/>
          <w:lang w:bidi="ar-SA"/>
        </w:rPr>
        <w:t xml:space="preserve">إذ يمكن فرض اليقين باعتبار أنه لم يكن شاكاً حين الفعل وكان حينئذٍ أذكر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بعض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المقدار كافٍ لوصفه أنه على يقين، إذ القضية مانعة خلو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يتضح المراد بقاعدة الفراغ وليس تحصيل الفراغ اليقيني حتى يرد عليه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 المقصود ذلك كان ينبغي أن يأمر بتحصيله لا البناء على يقين مفروغ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يقتضيه سياق الأمر</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يرد في لسانها أي إشارة إلى كون الشك في الفراغ عن الصلاة ومجرد ذكر الشيخ الصدوق لها في باب الخلل في الصلاة لا يصلح أن يكون شاهداً على ذلك إذ لعله كان من أجل التطبيق على الصلاة</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مجرد الاحتمال كافٍ لإبطال الاستدلال وإن استظهار الشيخ الصدوق يكشف عن قرب هذا المعنى، حتى أن بعضهم أدخلها في رواية عمار في الاشتباه السابق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السيد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الحديث الثاني ضمن هذا الإيراد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خبر محمد بن مسلم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كان على يقين فشك فليمض يقينه فإن اليقين لا يدفع بالشك</w:t>
      </w:r>
      <w:r>
        <w:rPr>
          <w:rFonts w:eastAsia="IRNazanin" w:cs="IRNazanin"/>
          <w:color w:val="111111"/>
          <w:sz w:val="28"/>
          <w:szCs w:val="28"/>
          <w:rtl w:val="true"/>
          <w:lang w:bidi="fa-IR"/>
        </w:rPr>
        <w:t>»).(</w:t>
      </w:r>
      <w:r>
        <w:rPr>
          <w:rStyle w:val="FootnoteAnchor"/>
          <w:rtl w:val="true"/>
        </w:rPr>
        <w:footnoteReference w:id="110"/>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خبر الخصال في حديث الأربعمائة بسنده عن محمد بنمسلم وأبي بصير عن الصادق عن آبائه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وسنده غير تام بالقاسم بن يحيى الذي لم تثبت وثاقته، وفي ما ذكره تحريف فإن في </w:t>
      </w:r>
    </w:p>
    <w:p>
      <w:pPr>
        <w:pStyle w:val="BookText"/>
        <w:rPr/>
      </w:pPr>
      <w:r>
        <w:rPr>
          <w:rFonts w:ascii="Amiri" w:hAnsi="Amiri" w:eastAsia="Amiri" w:cs="Amiri"/>
          <w:color w:val="111111"/>
          <w:sz w:val="28"/>
          <w:sz w:val="28"/>
          <w:szCs w:val="28"/>
          <w:rtl w:val="true"/>
          <w:lang w:bidi="ar-SA"/>
        </w:rPr>
        <w:t xml:space="preserve">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الشك لا ينقض باليقين</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وحينئذٍ فهي متضمنة للفظ النقض ولا يتم الإشكال بالرواية</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وأرى أن الأولى في رد تقريب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يصلح شاهداً وليس دليلاً لأنه لم يُعلم أنه مراد للمتكلم فإن ظاهر العبارة النهي عن التوقف بالعمل باليقين السابق لمجرد طروّ الشك عليه، أما أن نفهم التفصيل من كلمة النقض فهذه استفادة عرضية من الكلام فتصلح شاهداً ومؤيداً، فلا بد من تقديم أدلة أخرى على التفصيل كما قرّبنا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محاولات لتقريب جريان الاستصحاب مطلقاً بإتمام اليقين بالمقتضي</w:t>
      </w:r>
      <w:r>
        <w:rPr>
          <w:rStyle w:val="FootnoteAnchor"/>
          <w:rtl w:val="true"/>
        </w:rPr>
        <w:footnoteReference w:id="113"/>
      </w:r>
      <w:r>
        <w:rPr>
          <w:rFonts w:ascii="IRNazanin" w:hAnsi="IRNazanin" w:eastAsia="IRNazanin"/>
          <w:color w:val="111111"/>
          <w:sz w:val="28"/>
          <w:sz w:val="28"/>
          <w:szCs w:val="28"/>
          <w:rtl w:val="true"/>
          <w:lang w:bidi="fa-IR"/>
        </w:rPr>
        <w:t xml:space="preserve">لا نطيل في إيرادها لأنها خلاف الفرض الذي هو الشك في المقتضي ومنها محاولة للسيد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متعلق اليقين والشك لوحظ بالنظر المسامحي العرفي وإلغاء خصوصية الزمان بالتعبد الشرعي، من أن تطبيق نقض اليقين بالشك على مورد الاستصحاب إنما هو بالتعبد الشرعي فيصدق نقض اليقين بالشك حتى في موارد الشك في المقتضي فإن خيار الغبن كان متيقناً حين ظهور الغبن وهو متعلق الشك بعد إلغاء الخصوصية، فعدم ترتيب الأثر عليه في ظرف الشك نقض لليقين بالشك فتستفاد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اليقين بالشك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حجية الاستصحاب مطلقاً</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كما ترى خلاف الفرض، وهذا التسامح العرفي بلحاظتحقق ركني الاستصحاب أي وحدة القضية المتيقنة والمشكوكة وإلا فإنهما بالدقة </w:t>
      </w:r>
    </w:p>
    <w:p>
      <w:pPr>
        <w:pStyle w:val="BookText"/>
        <w:rPr/>
      </w:pPr>
      <w:r>
        <w:rPr>
          <w:rFonts w:ascii="Amiri" w:hAnsi="Amiri" w:eastAsia="Amiri" w:cs="Amiri"/>
          <w:color w:val="111111"/>
          <w:sz w:val="28"/>
          <w:sz w:val="28"/>
          <w:szCs w:val="28"/>
          <w:rtl w:val="true"/>
          <w:lang w:bidi="ar-SA"/>
        </w:rPr>
        <w:t>ليسا واحداً، ولا تتحقق وحدتهما إلا على نحو الشك الساري ويكون مجرى لقاعدة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والملفت أن بعض الأعلام نفى وجود حالة الشك في المقتضي وأن الحالة سالبة بانتفاء الموضوع، فقد حكى السيد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المحقق في المعارج كلاماً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يُشعر بهذا التفصيل حيث أفاد بأن فرض عدم بقاء المستصحب إما يكون من باب احتمال عدم المقتضي أو وجود المانع والأول خلاف المفروض لأن الكلام بعد الفراغ عن وجوده</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خلاف الواقع كما تشهد به الأمثلة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دليلان آخران على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ينقدح في الذهن تقريب وجهين آخرين لهذا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عند الشك في المقتضي تكون له حصتان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حصة متيقنة وأخرى مشكوكة فنفتقد في الزمان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اليوم الثلاثون من الشهر السابق بحسب مورد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ركن الاستصحاب وهو اليقين بالحالة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الشك في الزمان الثاني أي الحصة المشكوكة عندما يتعلق بالمقتضي يكون من الشك الساري ويكون مورداً لقاعدة اليقين وليس الاستصحاب</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التقسيم بين الحصتين ليس عرفياً وليس له حد فاصل، وجوابه أنه صحيح لكن الوجدان يتحسس أنه في أي الحصتين وهل هو في الحصة المتيقنة أم المشكوكة، وأن بناء العقلاء الذي هو دليل حجية الاستصحاب مستند إلى هذا الإحساس الوجداني بالاستمرار والبقاء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لا يجرون الاستصحاب في بعض صور الشك في المقتضي وذلك عندما يكون الشك ناشئاً من حصول شبهة مفهومية في المستصحب وبضميمة عدم الفصل بين صور الشك في المقتضي تكون النتيجة عدم جريان الاستصحاب عند الشك فيه كما في مسألتنا هذه إذ أن الشك في دخول الشهر الجديد ناشئ من إجمال ما يتحقق به وأنه هل تكفي فيه الرؤية في البلد البعيد أم يشترط فيه تحقق رؤية الهلال في البلد القريب، فإذا تحققت رؤية في بلد بعيد وشككنا في بقاء الشهر السابق أو انتفائه فلا يجري استصحاب بقائه؛ لأن الصحيح عدم جريان الاستصحاب في الموضوع الذي يكون مفهومه مشتبهاً، فهذا الشك يمكن تصوره على أنه شك في مقتضي بقاء الشهر السابق وأنه هل له قابلية البقاء فيما لو اشترطنا الرؤية في البلد القريب أم ليست له ذلك فيما لو اكتفينا برؤيته في البلد البعيد، ومثاله الآخر ما لو شك في أن الغروب الذي جُعل غاية لصلاة الظهرين هل هو استتار القرص أو ذهاب الحمرة المشرقية فهذه شبهة مفهومية حكمية وهي من موارد الشك في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قلنا بعدم جريان الاستصحاب في موردها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التقريب يمكن أن يكون دليلاً على التفصيل أو نقضاً على إطلاقهم جريان الاستصحاب عند الشك في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 بعض الأعلام على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بموارد أجرى فيها الاستصحاب وهي من الشك في المقتضي</w:t>
      </w:r>
      <w:r>
        <w:rPr>
          <w:rStyle w:val="FootnoteAnchor"/>
          <w:rtl w:val="true"/>
        </w:rPr>
        <w:footnoteReference w:id="115"/>
      </w:r>
      <w:r>
        <w:rPr>
          <w:rFonts w:ascii="Amiri" w:hAnsi="Amiri" w:eastAsia="Amiri" w:cs="Amiri"/>
          <w:color w:val="111111"/>
          <w:sz w:val="28"/>
          <w:sz w:val="28"/>
          <w:szCs w:val="28"/>
          <w:rtl w:val="true"/>
          <w:lang w:bidi="ar-SA"/>
        </w:rPr>
        <w:t>فيكون قد خالف بذلك مختاره في التفصيل</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الدفاع عن الشيخ بمنع كونها من هذا الباب ولا نريد الإطالة في </w:t>
      </w:r>
    </w:p>
    <w:p>
      <w:pPr>
        <w:pStyle w:val="BookText"/>
        <w:rPr/>
      </w:pPr>
      <w:r>
        <w:rPr>
          <w:rFonts w:ascii="IRNazanin" w:hAnsi="IRNazanin" w:eastAsia="IRNazanin"/>
          <w:color w:val="111111"/>
          <w:sz w:val="28"/>
          <w:sz w:val="28"/>
          <w:szCs w:val="28"/>
          <w:rtl w:val="true"/>
          <w:lang w:bidi="fa-IR"/>
        </w:rPr>
        <w:t xml:space="preserve">سردها ومناقشتها ونذكر أحدها وهو مرتبط بمسألتنا، قال السيد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 إذا شك في ظهور هلال شوال فإن الشك فيه من قبيلالشك في المقتضي، لأن الشك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ظهور هلال 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الحقيقة شك في أن شهر رمضان كان تسعة وعشرين يوماً أو لا، فلم يحرز المقتضي من أول الأمر مع أن الشيخ قائل بجريان الاستصحاب فيه، بل الاستصحاب مع الشك في هلال شوال منصوص بناءً على دلالة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 للرؤية وأفطر للرؤية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الاستصحاب</w:t>
      </w:r>
      <w:r>
        <w:rPr>
          <w:rFonts w:eastAsia="IRNazanin" w:cs="IRNazanin"/>
          <w:color w:val="111111"/>
          <w:sz w:val="28"/>
          <w:szCs w:val="28"/>
          <w:rtl w:val="true"/>
          <w:lang w:bidi="fa-IR"/>
        </w:rPr>
        <w:t>»</w:t>
      </w:r>
      <w:r>
        <w:rPr>
          <w:rStyle w:val="FootnoteAnchor"/>
          <w:rtl w:val="true"/>
        </w:rPr>
        <w:footnoteReference w:id="116"/>
      </w:r>
      <w:r>
        <w:rPr>
          <w:rFonts w:ascii="Amiri" w:hAnsi="Amiri" w:eastAsia="Amiri" w:cs="Amiri"/>
          <w:color w:val="111111"/>
          <w:sz w:val="28"/>
          <w:sz w:val="28"/>
          <w:szCs w:val="28"/>
          <w:rtl w:val="true"/>
          <w:lang w:bidi="ar-SA"/>
        </w:rPr>
        <w:t xml:space="preserve">، وقال الشيخ الفياض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التطبيق لم يلتزم به حرفياً في تمام الموارد، إذ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على جريان استصحاب بقاء شهر شعبان إذا شك في بقائه من جهة الشك في رؤية الهلال، أو بقاء شهر شوال مع أن هذه الموارد من الشك في المقتضي</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الواضح أن المورد من الشك في الرافع وهي رؤية الهلال التي ينتهي الشهر السابق بتحققها وإلا فإن الشهر له قابلية الاستمرار للزمان الثاني وإكمال العدة إذا لم يُر الهلال، والرواية التي ذكرها دالة على ذلك أي على عكس ما ذكروه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الشك في دخول الشهر الجديد له منشآن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رؤية الهلال أصلاً وهذا من الشك في الرافع لأن الشهر فيه مقتضي البقاء إلى اليوم الثلاثين وإتمام العدة إذا لم يرَ الهلال</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كفاية رؤية الهلال المتحققة في بلد لثبوته في بلد آخر غير متحد معه في الأفق، فهنا يوجد يقين برؤية الهلال وإنما الشك في </w:t>
      </w:r>
    </w:p>
    <w:p>
      <w:pPr>
        <w:pStyle w:val="BookText"/>
        <w:rPr/>
      </w:pPr>
      <w:r>
        <w:rPr>
          <w:rFonts w:ascii="Amiri" w:hAnsi="Amiri" w:eastAsia="Amiri" w:cs="Amiri"/>
          <w:color w:val="111111"/>
          <w:sz w:val="28"/>
          <w:sz w:val="28"/>
          <w:szCs w:val="28"/>
          <w:rtl w:val="true"/>
          <w:lang w:bidi="ar-SA"/>
        </w:rPr>
        <w:t>المقتضي لأننا لا نعلم بقابلية الشهر على البقاء في مثل هذه الحالة لاحتمال كفاية الرؤية في البلد البعيد</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فالمستشكل اعتبر إجراء الاستصحاب في الصورة الأولى نقضاً على الشيخ الأنصاري وهي ليست كذلك؛ لأنها من الشك في الرافع</w:t>
      </w:r>
      <w:r>
        <w:rPr>
          <w:rFonts w:eastAsia="Amiri" w:cs="Amiri" w:ascii="Amiri" w:hAnsi="Amiri"/>
          <w:color w:val="111111"/>
          <w:sz w:val="28"/>
          <w:szCs w:val="28"/>
          <w:rtl w:val="true"/>
          <w:lang w:bidi="ar-SA"/>
        </w:rPr>
        <w:t xml:space="preserve">. </w:t>
      </w:r>
      <w:bookmarkStart w:id="74" w:name="pg8133_62668"/>
    </w:p>
    <w:p>
      <w:pPr>
        <w:pStyle w:val="Heading2"/>
        <w:numPr>
          <w:ilvl w:val="1"/>
          <w:numId w:val="1"/>
        </w:numPr>
        <w:rPr/>
      </w:pPr>
      <w:bookmarkStart w:id="75" w:name="__RefHeading___Toc8193031_1051229030"/>
      <w:bookmarkStart w:id="76" w:name="_Toc27"/>
      <w:bookmarkEnd w:id="74"/>
      <w:bookmarkEnd w:id="75"/>
      <w:r>
        <w:rPr>
          <w:rtl w:val="true"/>
        </w:rPr>
        <w:t>الفصل الثاني</w:t>
      </w:r>
      <w:r>
        <w:rPr>
          <w:rtl w:val="true"/>
        </w:rPr>
        <w:t xml:space="preserve">: </w:t>
      </w:r>
      <w:r>
        <w:rPr>
          <w:rtl w:val="true"/>
        </w:rPr>
        <w:t>المباني والتطبيقات الأصولية</w:t>
      </w:r>
      <w:bookmarkEnd w:id="76"/>
    </w:p>
    <w:p>
      <w:pPr>
        <w:pStyle w:val="Heading3"/>
        <w:numPr>
          <w:ilvl w:val="2"/>
          <w:numId w:val="1"/>
        </w:numPr>
        <w:rPr/>
      </w:pPr>
      <w:bookmarkStart w:id="77" w:name="__RefHeading___Toc8193033_1051229030"/>
      <w:bookmarkStart w:id="78" w:name="_Toc28"/>
      <w:bookmarkEnd w:id="77"/>
      <w:r>
        <w:rPr>
          <w:rtl w:val="true"/>
        </w:rPr>
        <w:t>الفصل الثاني</w:t>
      </w:r>
      <w:r>
        <w:rPr>
          <w:rtl w:val="true"/>
        </w:rPr>
        <w:t xml:space="preserve">: </w:t>
      </w:r>
      <w:r>
        <w:rPr>
          <w:rtl w:val="true"/>
        </w:rPr>
        <w:t>المباني والتطبيقات الأصولية</w:t>
      </w:r>
      <w:bookmarkEnd w:id="78"/>
    </w:p>
    <w:p>
      <w:pPr>
        <w:pStyle w:val="BookText"/>
        <w:rPr/>
      </w:pPr>
      <w:r>
        <w:rPr>
          <w:rFonts w:ascii="Amiri" w:hAnsi="Amiri" w:eastAsia="Amiri" w:cs="Amiri"/>
          <w:color w:val="111111"/>
          <w:sz w:val="28"/>
          <w:sz w:val="28"/>
          <w:szCs w:val="28"/>
          <w:rtl w:val="true"/>
          <w:lang w:bidi="ar-SA"/>
        </w:rPr>
        <w:t>في هذا الفصل سنذكر المطالب الأصولية التي ذُكرت في موسوعة فقه الخلاف ، وقد جاء ذكرها اما على نحو التطبيق للقاعدة الأصولية على موردها الفقهي او كأعراب عن المباني الأصولية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سماحة الشيخ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هذه المطالب مناقشات وأدلة لما يتبناه ، ولَم يذكر في بعضها الاخر الا رأيه الأصولي خاصة سيما اذا كان هذا الرأي هو المشهور بين علماء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رتبت هذه المطالب بالشكل الذي يحتاج اليه الفقيه في عملية الاستنباط ، فقدمت الكلام أولا عن الأدلة المحرزة التي يُستنبط منها الحكم الشرعي ، وبدأت بالدليل الشرعي اللفظي ثم اتبعته بالدليل الشرعي غير اللفظي ثم الدليل المحرز غير الشرعي ، وذكرت بعد ذلك مطالب الأدلة غير المحرزة التي تسمى بالأصول العملية والتي يستنبط منها الموقف العملي تجاه الحكم الشرعي المشكوك ، وبعدها ذكرت مطالب بحث التعارض</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ما لم يذكر تحت عنوان مستقل في الكتب الأصولية المعروفة او ما ذكر فيها في مباحث التمهيد فقد ذكرته أولا كتمهيد للمطالب الأصولية</w:t>
      </w:r>
      <w:r>
        <w:rPr>
          <w:rFonts w:eastAsia="Amiri" w:cs="Amiri" w:ascii="Amiri" w:hAnsi="Amiri"/>
          <w:color w:val="111111"/>
          <w:sz w:val="28"/>
          <w:szCs w:val="28"/>
          <w:rtl w:val="true"/>
          <w:lang w:bidi="ar-SA"/>
        </w:rPr>
        <w:t xml:space="preserve">. </w:t>
      </w:r>
      <w:bookmarkStart w:id="79" w:name="pg8133_62669"/>
    </w:p>
    <w:p>
      <w:pPr>
        <w:pStyle w:val="Heading3"/>
        <w:numPr>
          <w:ilvl w:val="2"/>
          <w:numId w:val="1"/>
        </w:numPr>
        <w:rPr/>
      </w:pPr>
      <w:bookmarkStart w:id="80" w:name="__RefHeading___Toc8193035_1051229030"/>
      <w:bookmarkStart w:id="81" w:name="_Toc29"/>
      <w:bookmarkEnd w:id="79"/>
      <w:bookmarkEnd w:id="80"/>
      <w:r>
        <w:rPr>
          <w:rtl w:val="true"/>
        </w:rPr>
        <w:t>تمهيد المطالب الأصولية</w:t>
      </w:r>
      <w:bookmarkEnd w:id="81"/>
    </w:p>
    <w:p>
      <w:pPr>
        <w:pStyle w:val="Heading4"/>
        <w:numPr>
          <w:ilvl w:val="3"/>
          <w:numId w:val="1"/>
        </w:numPr>
        <w:rPr/>
      </w:pPr>
      <w:bookmarkStart w:id="82" w:name="__RefHeading___Toc8193037_1051229030"/>
      <w:bookmarkStart w:id="83" w:name="_Toc30"/>
      <w:bookmarkEnd w:id="82"/>
      <w:r>
        <w:rPr>
          <w:rtl w:val="true"/>
        </w:rPr>
        <w:t>اشارة</w:t>
      </w:r>
      <w:bookmarkEnd w:id="83"/>
    </w:p>
    <w:p>
      <w:pPr>
        <w:pStyle w:val="BookText"/>
        <w:rPr/>
      </w:pPr>
      <w:r>
        <w:rPr>
          <w:rFonts w:ascii="Amiri" w:hAnsi="Amiri" w:eastAsia="Amiri" w:cs="Amiri"/>
          <w:color w:val="111111"/>
          <w:sz w:val="28"/>
          <w:sz w:val="28"/>
          <w:szCs w:val="28"/>
          <w:rtl w:val="true"/>
          <w:lang w:bidi="ar-SA"/>
        </w:rPr>
        <w:t>ذكرت في هذا التمهيد اثني عشر امرًا ،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تبعية الدلالة الالتزامية للمطابقية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الاكتشافات العلمية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المجتهد الى مجتهد اخر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تصرف الشارع في الحقائق التكوينية والعرفية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حديث لا 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المباشرة والتسبيب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الحقيقة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والأعم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اللفظ في اكثر من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القاعدة العامة في الاستنباط</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واليك هذه الأمور مفصلاً</w:t>
      </w:r>
      <w:r>
        <w:rPr>
          <w:rFonts w:eastAsia="Amiri" w:cs="Amiri" w:ascii="Amiri" w:hAnsi="Amiri"/>
          <w:color w:val="111111"/>
          <w:sz w:val="28"/>
          <w:szCs w:val="28"/>
          <w:rtl w:val="true"/>
          <w:lang w:bidi="ar-SA"/>
        </w:rPr>
        <w:t xml:space="preserve">: </w:t>
      </w:r>
      <w:bookmarkStart w:id="84" w:name="pg8133_62670"/>
    </w:p>
    <w:p>
      <w:pPr>
        <w:pStyle w:val="Heading4"/>
        <w:numPr>
          <w:ilvl w:val="3"/>
          <w:numId w:val="1"/>
        </w:numPr>
        <w:rPr/>
      </w:pPr>
      <w:bookmarkStart w:id="85" w:name="__RefHeading___Toc8193039_1051229030"/>
      <w:bookmarkStart w:id="86" w:name="_Toc31"/>
      <w:bookmarkEnd w:id="84"/>
      <w:bookmarkEnd w:id="85"/>
      <w:r>
        <w:rPr>
          <w:rtl w:val="true"/>
        </w:rPr>
        <w:t>أولا</w:t>
      </w:r>
      <w:r>
        <w:rPr>
          <w:rtl w:val="true"/>
        </w:rPr>
        <w:t xml:space="preserve">: </w:t>
      </w:r>
      <w:r>
        <w:rPr>
          <w:rtl w:val="true"/>
        </w:rPr>
        <w:t>الحكم الشرعي</w:t>
      </w:r>
      <w:bookmarkEnd w:id="86"/>
    </w:p>
    <w:p>
      <w:pPr>
        <w:pStyle w:val="Heading5"/>
        <w:numPr>
          <w:ilvl w:val="4"/>
          <w:numId w:val="1"/>
        </w:numPr>
        <w:rPr/>
      </w:pPr>
      <w:bookmarkStart w:id="87" w:name="__RefHeading___Toc8193041_1051229030"/>
      <w:bookmarkStart w:id="88" w:name="_Toc32"/>
      <w:bookmarkEnd w:id="87"/>
      <w:r>
        <w:rPr>
          <w:rtl w:val="true"/>
        </w:rPr>
        <w:t>اشارة</w:t>
      </w:r>
      <w:bookmarkEnd w:id="88"/>
    </w:p>
    <w:p>
      <w:pPr>
        <w:pStyle w:val="BookText"/>
        <w:rPr/>
      </w:pPr>
      <w:r>
        <w:rPr>
          <w:rFonts w:ascii="Amiri" w:hAnsi="Amiri" w:eastAsia="Amiri" w:cs="Amiri"/>
          <w:color w:val="111111"/>
          <w:sz w:val="28"/>
          <w:sz w:val="28"/>
          <w:szCs w:val="28"/>
          <w:rtl w:val="true"/>
          <w:lang w:bidi="ar-SA"/>
        </w:rPr>
        <w:t>لم يفرد علماء الاصول عنوانًا خاصًا لبحث الحكم الشرعي الا في المؤلفات الأصولية المتأخرة ؛ اذ كانت هذه المباحث متناثرة بين بقية الأبحاث الأصولية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موسوعة فقه الخلاف تطرق سماحة الشيخ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لمباحث عديدة للحكم الشرعي رتبتها في سبع عشرة مسالة وهي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المسألة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انحاء أوامر ونواهي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إلزامية بعض الافعال ضمن فعل 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الكراهة بالمعنى الاعم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مدخلية العلم بإرادة المولى في تنجيز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الوجوب لا يثبت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الأوامر على الاحكام الوضعية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الاستحباب والكراهة الوضعيان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الفساد والبطلان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الوجوب حتى مع انعدام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تاثير الزمان والمكان على الحكم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الاحكام على نحو القضية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فتوى الفقيه وحكم الحاكم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الثالثة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احكام الولي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الرابعة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حدود ولاية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الخامسة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اعمال الفقيه لولايته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السادسة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شروط إنفاذ الفقيه لولايته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السابعة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احكام الحاكم الشرعي</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واليك الكلام في هذه المسائل مفصلاً</w:t>
      </w:r>
      <w:r>
        <w:rPr>
          <w:rFonts w:eastAsia="Amiri" w:cs="Amiri" w:ascii="Amiri" w:hAnsi="Amiri"/>
          <w:color w:val="111111"/>
          <w:sz w:val="28"/>
          <w:szCs w:val="28"/>
          <w:rtl w:val="true"/>
          <w:lang w:bidi="ar-SA"/>
        </w:rPr>
        <w:t xml:space="preserve">: </w:t>
      </w:r>
      <w:bookmarkStart w:id="89" w:name="pg8133_62671"/>
    </w:p>
    <w:p>
      <w:pPr>
        <w:pStyle w:val="Heading5"/>
        <w:numPr>
          <w:ilvl w:val="4"/>
          <w:numId w:val="1"/>
        </w:numPr>
        <w:rPr/>
      </w:pPr>
      <w:bookmarkStart w:id="90" w:name="__RefHeading___Toc8193043_1051229030"/>
      <w:bookmarkStart w:id="91" w:name="_Toc33"/>
      <w:bookmarkEnd w:id="89"/>
      <w:bookmarkEnd w:id="90"/>
      <w:r>
        <w:rPr>
          <w:rtl w:val="true"/>
        </w:rPr>
        <w:t>المسألة الأولى</w:t>
      </w:r>
      <w:r>
        <w:rPr>
          <w:rtl w:val="true"/>
        </w:rPr>
        <w:t xml:space="preserve">: </w:t>
      </w:r>
      <w:r>
        <w:rPr>
          <w:rtl w:val="true"/>
        </w:rPr>
        <w:t xml:space="preserve">انحاء أوامر ونواهي المعصومين </w:t>
      </w:r>
      <w:r>
        <w:rPr>
          <w:rtl w:val="true"/>
        </w:rPr>
        <w:t>(</w:t>
      </w:r>
      <w:r>
        <w:rPr>
          <w:rtl w:val="true"/>
        </w:rPr>
        <w:t>علیهم السلام</w:t>
      </w:r>
      <w:r>
        <w:rPr>
          <w:rtl w:val="true"/>
        </w:rPr>
        <w:t>).</w:t>
      </w:r>
      <w:bookmarkEnd w:id="91"/>
    </w:p>
    <w:p>
      <w:pPr>
        <w:pStyle w:val="BookText"/>
        <w:rPr/>
      </w:pPr>
      <w:r>
        <w:rPr>
          <w:rFonts w:ascii="IRNazanin" w:hAnsi="IRNazanin" w:eastAsia="IRNazanin"/>
          <w:color w:val="111111"/>
          <w:sz w:val="28"/>
          <w:sz w:val="28"/>
          <w:szCs w:val="28"/>
          <w:rtl w:val="true"/>
          <w:lang w:bidi="fa-IR"/>
        </w:rPr>
        <w:t xml:space="preserve">بيّن الشيخ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أوامر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ونواهيهم التي وصلتنا ليست على نحو واحد وانما هي على ثلاثة انحاء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فمنها ما يصدر من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بصفته وليًا على الأموال والأنفس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الامر واجب الطاعة ، ولكن الفقيه لا يستنبط منه حكمًا شرعيًا كليًا ، فان هذا الامر يمثل حكما خاصا في مورد خاص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 ما يكون إخبارًا وتبليغًا عن الاحكام الشرعية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القسم هو الذي يستنبط منه الحكم الشرعي الكلي الذي هو غاية الفقيه في عملية الاستنباط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يكون إخبارا عن تحقق موضوع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وتصدر هذه الأوامر عندما يكون الحكم الكلي واضحا ، ولكن يتردد الناس في تحقق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سماحته هذا المطلب في الجزء الأول من موسوعة فقه الخلاف في طبعتها الأولى ضمن مسالة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ثبوت الهلال بحكم الحاكم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وذكره أيضا مع بعض الاختلاف في التعبير في الجزء الرابع من الطبعة الثانية ، ونص كلامه في الجزء الأول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أوامر المعصومين ونواهيهم على ثلاثة أنحاء</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مستنداً إلى وجوب طاعتهم من جهة الولاية على الأموال والأنفس وتجب طاعتهم في ذلك وقد اعتادوا التمثيل بما لو أمر زيداً ان يطلق زوجته وهو غير مناسب فيمكن التمثيل برواية هشام بن سالم قال جاءني عبد الرحمن 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أبا عبد الله يقول لك أمسك عن الكلام هذه الأيام</w:t>
      </w:r>
      <w:r>
        <w:rPr>
          <w:rStyle w:val="FootnoteAnchor"/>
          <w:rtl w:val="true"/>
        </w:rPr>
        <w:footnoteReference w:id="118"/>
      </w:r>
      <w:r>
        <w:rPr>
          <w:rFonts w:ascii="Amiri" w:hAnsi="Amiri" w:eastAsia="Amiri" w:cs="Amiri"/>
          <w:color w:val="111111"/>
          <w:sz w:val="28"/>
          <w:sz w:val="28"/>
          <w:szCs w:val="28"/>
          <w:rtl w:val="true"/>
          <w:lang w:bidi="ar-SA"/>
        </w:rPr>
        <w:t>أي المحاججة مع الآخرين، وما عن عمار الساباطي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IRNazanin" w:hAnsi="IRNazanin" w:eastAsia="IRNazanin"/>
          <w:color w:val="111111"/>
          <w:sz w:val="28"/>
          <w:sz w:val="28"/>
          <w:szCs w:val="28"/>
          <w:rtl w:val="true"/>
          <w:lang w:bidi="fa-IR"/>
        </w:rPr>
        <w:t xml:space="preserve">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 ولسليمان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حرّمت عليكم المتعة ما دمتم بالمدينة لأنكما تكثران الدخول عليّ وأخاف أن تؤخذا فيقال هؤلاء أصحاب جعفر</w:t>
      </w:r>
      <w:r>
        <w:rPr>
          <w:rFonts w:eastAsia="IRNazanin" w:cs="IRNazanin"/>
          <w:color w:val="111111"/>
          <w:sz w:val="28"/>
          <w:szCs w:val="28"/>
          <w:rtl w:val="true"/>
          <w:lang w:bidi="fa-IR"/>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تصلح أمثلة للأوامر المولوية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يكون صادراً عنهم ارشاداً وتبليغاً بالنسبة للأحكام الكلية فلا يكون أوامرهم مولوية بل إرشادية من باب تبليغ الأحكام ومرجعها الإخبار عن ثبوت الحكم وهذا كثير في الروايات وقد يكون بصيغة الأمر ففي بعض الروايات 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من فاتته الصلاة أن يقضي، وأمرهم ان ينحروا في منازلهم</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وعن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 الناس الا يجتمعوا في رمضان للنوافل</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فهذه أخبار بعدم المشروعية، وفي بعض الروايات 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يطاف عن المبطون والكسير</w:t>
      </w:r>
      <w:r>
        <w:rPr>
          <w:rStyle w:val="FootnoteAnchor"/>
          <w:rtl w:val="true"/>
        </w:rPr>
        <w:footnoteReference w:id="122"/>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وان صدرت بصيغة الإرشاد لكنها </w:t>
      </w:r>
    </w:p>
    <w:p>
      <w:pPr>
        <w:pStyle w:val="BookText"/>
        <w:rPr/>
      </w:pPr>
      <w:r>
        <w:rPr>
          <w:rFonts w:ascii="Amiri" w:hAnsi="Amiri" w:eastAsia="Amiri" w:cs="Amiri"/>
          <w:color w:val="111111"/>
          <w:sz w:val="28"/>
          <w:sz w:val="28"/>
          <w:szCs w:val="28"/>
          <w:rtl w:val="true"/>
          <w:lang w:bidi="ar-SA"/>
        </w:rPr>
        <w:t>إخبار عن الحكم الكلي من باب تعليم الأحكام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يصدر منهم لبيان تحقق الموضوع بمعنى ان الحكم الكليواضح لكن التردد في تحقق موضوعه فيأمر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بالإتيان بهذا كما لو أمر الإمام يوم الشك بوجوب الصوم فمرجع هذا ان ما ثبت في الشريعة من وجوب رمضان قد تحقق موضوعه فإن هذا اليوم من 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القسم الأول تجب الطاعة بلا إشكال وفي الثاني تجب الطاعة لله تعالى لا للإمام بما انه صدر عنه الا إذا كان عن تقية فلا، والأمثلة كثيرة نحو سألت الإمام عن الصلاة خلف العثمانية في البصرة فجوّز لي فرجعت إلى الفضيل بن يسار فأخبرته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اتقاك فتركتُ 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 القسم الثالث فيعتمد على الطريق فإن كان مستنداً إلى طريق يحصّل القطع بالمؤدى وتحقق الموضوع كالحس والرؤية بالنسبة للهلال فهو وان كان مستنداً إلى طريق نحتمل خطأه فلا</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نحن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ثبوت 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القسم الثالث فإن المفروض شهادة عدلين برؤية الهلال وكانت الشهادة اما قبل الزوال أو بعده وقد </w:t>
      </w:r>
    </w:p>
    <w:p>
      <w:pPr>
        <w:pStyle w:val="BookText"/>
        <w:rPr/>
      </w:pPr>
      <w:r>
        <w:rPr>
          <w:rFonts w:ascii="Amiri" w:hAnsi="Amiri" w:eastAsia="Amiri" w:cs="Amiri"/>
          <w:color w:val="111111"/>
          <w:sz w:val="28"/>
          <w:sz w:val="28"/>
          <w:szCs w:val="28"/>
          <w:rtl w:val="true"/>
          <w:lang w:bidi="ar-SA"/>
        </w:rPr>
        <w:t xml:space="preserve">صرحت الرواية </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بذلك ويمكن استفادتها من عدم أمر الإمام ابتداءًفهذا يعني انه اعتمد على طريق وحجة وليس على الحس وإلا لأمرهم ابتداءً بالإفطار فيحصل العلم ان الإمام قد اعتمد على حجة 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ونفس الشيء يعتقده عامة الناس في مرجع التقليد والحاكم الشرعي حينما يقول هذا حلال وهذا حرام انه اعتمد على الحجج والطرق لا القطع الوجداني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ذكرناه من النزاع في هذا الأمر هل انه صادر عن الإمام بصفته ولياً مطلقاً أو كونه ولياً للأمور العامة مما لا أساس له لكليهما فإن الظاهر ان الأمر إرشاد لبيان تحقق الموضوع بالاعتماد على طريق معتبر بعد غض النظر بأن الإمام له ذلك</w:t>
      </w:r>
      <w:r>
        <w:rPr>
          <w:rStyle w:val="FootnoteAnchor"/>
          <w:rtl w:val="true"/>
        </w:rPr>
        <w:footnoteReference w:id="125"/>
      </w:r>
      <w:r>
        <w:rPr>
          <w:rFonts w:ascii="Amiri" w:hAnsi="Amiri" w:eastAsia="Amiri" w:cs="Amiri"/>
          <w:color w:val="111111"/>
          <w:sz w:val="28"/>
          <w:sz w:val="28"/>
          <w:szCs w:val="28"/>
          <w:rtl w:val="true"/>
          <w:lang w:bidi="ar-SA"/>
        </w:rPr>
        <w:t>فلا بد ان يقال ان حكم الحاكم المستند إلى البينة حجة كما عن المدارك لكن مبناه غير صحيح فإن الأمر 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بالنسبة للأمر ان صدر عن غير المعصوم من الفقيه الجامع للشرائط ان هذا طاهر أو نجس أو فيه لحم خنزير</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ونحوه فإن حصل اطمئنان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الغالب للعوام في تقليدهم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فالاطمئنان حجة</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ما جاء في الجزء الرابع من الطبعة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فهو قوله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ولمزيد من الفائدة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الأوامر والنواهي المولوية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تكون مستندة إلى الولاية العامة على الأنفس والأموال ويمثلون له عادة بما لو أمر زيداً أن يطلق زوجته وهو أمر غير معهود في سيرتهم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نعم يمكن التمثيل له بنهي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أكل الحمر الأهليةفي خيبر</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مثلاً أو النهي الوارد في رواية عمار الساباطي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 ولسليمان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حرّمت عليكم المتعة ما دمتم بالمدينة لأنكما تكثران الدخول عليّ وأخاف أن تؤخذا فيقال هؤلاء أصحاب جعفر</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وكنهي هشام بن سالم عن المناظرات</w:t>
      </w:r>
      <w:r>
        <w:rPr>
          <w:rStyle w:val="FootnoteAnchor"/>
          <w:rtl w:val="true"/>
        </w:rPr>
        <w:footnoteReference w:id="129"/>
      </w:r>
      <w:r>
        <w:rPr>
          <w:rFonts w:ascii="Amiri" w:hAnsi="Amiri" w:eastAsia="Amiri" w:cs="Amiri"/>
          <w:color w:val="111111"/>
          <w:sz w:val="28"/>
          <w:sz w:val="28"/>
          <w:szCs w:val="28"/>
          <w:rtl w:val="true"/>
          <w:lang w:bidi="ar-SA"/>
        </w:rPr>
        <w:t>وهذا النحو من الأمر تجب طاعته بلا إشكال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ويتفرع عن هذه الولاية العامة ولاية الأمور العامة التي فيها حفظ نظام المجتمع وإقامة الحق والعدل، وهي التي تنتقل إلى الفقيه الجامع للشرائط دون الأولى الخاصة بالمعصوم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تكون تعبيراً عن بيان الحكم الفرعي الكلي في المسألة ففي بعض الروايات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من فاتته الصلاة أن يقضي، وأمرهم أن </w:t>
      </w:r>
    </w:p>
    <w:p>
      <w:pPr>
        <w:pStyle w:val="BookText"/>
        <w:rPr/>
      </w:pPr>
      <w:r>
        <w:rPr>
          <w:rFonts w:ascii="Amiri" w:hAnsi="Amiri" w:eastAsia="Amiri" w:cs="Amiri"/>
          <w:color w:val="111111"/>
          <w:sz w:val="28"/>
          <w:sz w:val="28"/>
          <w:szCs w:val="28"/>
          <w:rtl w:val="true"/>
          <w:lang w:bidi="ar-SA"/>
        </w:rPr>
        <w:t>ينحروا في منازلهم وأن يأكلوا من أضاحيهم</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وأمر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ألا يجتمعوا في رمضان للنوافل</w:t>
      </w:r>
      <w:r>
        <w:rPr>
          <w:rStyle w:val="FootnoteAnchor"/>
          <w:rtl w:val="true"/>
        </w:rPr>
        <w:footnoteReference w:id="13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بعض الروايات 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يطاف عنالمبطون والكسير</w:t>
      </w:r>
      <w:r>
        <w:rPr>
          <w:rStyle w:val="FootnoteAnchor"/>
          <w:rtl w:val="true"/>
        </w:rPr>
        <w:footnoteReference w:id="13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فهذه أوامر وردت لبيان الأحكام الشرعية لتلك المسائل من المشروعية وعدمها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النحو من الأمر تجب طاعته أيضاً إلا إذا عُلم صدوره على غير جهة الحكم الواقعي وإنما للتقية</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ونحوها</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في المقام فقد ورد لبيان تحقق موضوع الرؤية ودخول الشهر؛ لشهادة عادلين بالرؤية فأمره بالإفطار إعلان لتحقق ما ثبت في </w:t>
      </w:r>
      <w:bookmarkStart w:id="92" w:name="pg8133_62677"/>
    </w:p>
    <w:p>
      <w:pPr>
        <w:pStyle w:val="BookText"/>
        <w:rPr/>
      </w:pPr>
      <w:bookmarkEnd w:id="92"/>
      <w:r>
        <w:rPr>
          <w:rFonts w:ascii="Amiri" w:hAnsi="Amiri" w:eastAsia="Amiri" w:cs="Amiri"/>
          <w:color w:val="111111"/>
          <w:sz w:val="28"/>
          <w:sz w:val="28"/>
          <w:szCs w:val="28"/>
          <w:rtl w:val="true"/>
          <w:lang w:bidi="ar-SA"/>
        </w:rPr>
        <w:t>الشريعة من طرق ثبوت الهلال، والشاهد على أن الأمر هنا على هذا النحو تأخر الإمام بالإعلان عنه إلى نهار اليوم التالي حين جاءته البينة يعني أنه اعتمد على حجة معتبرة، ولم يكن أمراً مولوياً ولو كان كذلك لابتدأهم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فالأمر هنا كاشف عن تحقق موضوع الحكم الشرعي وهو طريق لتحصيل العلم به فلا يؤخذ به إلا مع الاطمئنان لصحة الطريق وهو ما يعتقده عامة الناس في مرجع التقليد لذا فإنهم يأخذون بقوله</w:t>
      </w:r>
      <w:r>
        <w:rPr>
          <w:rFonts w:eastAsia="Amiri" w:cs="Amiri" w:ascii="Amiri" w:hAnsi="Amiri"/>
          <w:color w:val="111111"/>
          <w:sz w:val="28"/>
          <w:szCs w:val="28"/>
          <w:rtl w:val="true"/>
          <w:lang w:bidi="ar-SA"/>
        </w:rPr>
        <w:t>.</w:t>
      </w:r>
    </w:p>
    <w:p>
      <w:pPr>
        <w:pStyle w:val="Heading5"/>
        <w:numPr>
          <w:ilvl w:val="4"/>
          <w:numId w:val="1"/>
        </w:numPr>
        <w:rPr/>
      </w:pPr>
      <w:bookmarkStart w:id="93" w:name="__RefHeading___Toc8193045_1051229030"/>
      <w:bookmarkStart w:id="94" w:name="_Toc34"/>
      <w:bookmarkEnd w:id="93"/>
      <w:r>
        <w:rPr>
          <w:rtl w:val="true"/>
        </w:rPr>
        <w:t>المسألة الثانية</w:t>
      </w:r>
      <w:r>
        <w:rPr>
          <w:rtl w:val="true"/>
        </w:rPr>
        <w:t xml:space="preserve">: </w:t>
      </w:r>
      <w:r>
        <w:rPr>
          <w:rtl w:val="true"/>
        </w:rPr>
        <w:t>إلزامية بعض الافعال ضمن فعل مستحب</w:t>
      </w:r>
      <w:r>
        <w:rPr>
          <w:rtl w:val="true"/>
        </w:rPr>
        <w:t>.</w:t>
      </w:r>
      <w:bookmarkEnd w:id="94"/>
    </w:p>
    <w:p>
      <w:pPr>
        <w:pStyle w:val="BookText"/>
        <w:rPr/>
      </w:pPr>
      <w:r>
        <w:rPr>
          <w:rFonts w:ascii="Amiri" w:hAnsi="Amiri" w:eastAsia="Amiri" w:cs="Amiri"/>
          <w:color w:val="111111"/>
          <w:sz w:val="28"/>
          <w:sz w:val="28"/>
          <w:szCs w:val="28"/>
          <w:rtl w:val="true"/>
          <w:lang w:bidi="ar-SA"/>
        </w:rPr>
        <w:t>نحن نعلم ان بعض الاحكام الشرعية تكون تكليفية تجب طاعتها ، ويؤثم المكلف على مخالفتها ، وبعضها الاخر تكون إرشادية كأن تكون اخبارًا عن جزئية جزء ، او مانعية مانع ، او شرط صحة او فساد ، او ما شابه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المعروف ان الاحكام التكليفية تقتصر على خمسة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 والحرمة ، والاستحباب ، والكراهة ، والإباحة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الاحكام الإرشادية فلا حصر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الراسخ في اذهاننا ان أجزاء الواجب واجبة ، وأجزاء المستحب مستحبة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الشيخ الاستاذ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 الجزء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مسالة مفطرية رمس الرأس في الماء إمكانية تصور جزء واجب او محرم ضمن فعل مستحب اذا توفرت شروط معينة ،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يمكن تصوُّر حرمة فعل أو وجوب آخر في الفعل المستحب حينما يلحظ ظرف استمرار الشخص بإتيانه والتزامه بإتمام العمل وإن كان قادراً على ترك العمل من أساسه وأمثلته في الشريعة كثيرة كالمحرمات على المعتكف في اليومين الأولين وهو فعل مستحب،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الظاهر أن </w:t>
      </w:r>
      <w:bookmarkStart w:id="95" w:name="pg8133_62678"/>
    </w:p>
    <w:p>
      <w:pPr>
        <w:pStyle w:val="BookText"/>
        <w:rPr/>
      </w:pPr>
      <w:bookmarkEnd w:id="95"/>
      <w:r>
        <w:rPr>
          <w:rFonts w:ascii="Amiri" w:hAnsi="Amiri" w:eastAsia="Amiri" w:cs="Amiri"/>
          <w:color w:val="111111"/>
          <w:sz w:val="28"/>
          <w:sz w:val="28"/>
          <w:szCs w:val="28"/>
          <w:rtl w:val="true"/>
          <w:lang w:bidi="ar-SA"/>
        </w:rPr>
        <w:t>المحرمات المذكورة مفسدة للاعتكاف من دون فرق بين وقوعها في الليل والنهار، وفي حرمتها تكليفاً إذا لم يكن واجباً معيَّناً ولو لأجل انقضاء يومين منه إشكال، وإن كان أحوط وجوباً</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 w:name="__RefHeading___Toc8193047_1051229030"/>
      <w:bookmarkStart w:id="97" w:name="_Toc35"/>
      <w:bookmarkEnd w:id="96"/>
      <w:r>
        <w:rPr>
          <w:rtl w:val="true"/>
        </w:rPr>
        <w:t>المسألة الثالثة</w:t>
      </w:r>
      <w:r>
        <w:rPr>
          <w:rtl w:val="true"/>
        </w:rPr>
        <w:t xml:space="preserve">: </w:t>
      </w:r>
      <w:r>
        <w:rPr>
          <w:rtl w:val="true"/>
        </w:rPr>
        <w:t>الكراهة بالمعنى الاعم</w:t>
      </w:r>
      <w:r>
        <w:rPr>
          <w:rtl w:val="true"/>
        </w:rPr>
        <w:t>.</w:t>
      </w:r>
      <w:bookmarkEnd w:id="97"/>
    </w:p>
    <w:p>
      <w:pPr>
        <w:pStyle w:val="Heading6"/>
        <w:numPr>
          <w:ilvl w:val="5"/>
          <w:numId w:val="1"/>
        </w:numPr>
        <w:rPr/>
      </w:pPr>
      <w:bookmarkStart w:id="98" w:name="__RefHeading___Toc8193049_1051229030"/>
      <w:bookmarkStart w:id="99" w:name="_Toc36"/>
      <w:bookmarkEnd w:id="98"/>
      <w:r>
        <w:rPr>
          <w:rtl w:val="true"/>
        </w:rPr>
        <w:t>اشارة</w:t>
      </w:r>
      <w:bookmarkEnd w:id="99"/>
    </w:p>
    <w:p>
      <w:pPr>
        <w:pStyle w:val="BookText"/>
        <w:rPr/>
      </w:pPr>
      <w:r>
        <w:rPr>
          <w:rFonts w:ascii="Amiri" w:hAnsi="Amiri" w:eastAsia="Amiri" w:cs="Amiri"/>
          <w:color w:val="111111"/>
          <w:sz w:val="28"/>
          <w:sz w:val="28"/>
          <w:szCs w:val="28"/>
          <w:rtl w:val="true"/>
          <w:lang w:bidi="ar-SA"/>
        </w:rPr>
        <w:t>الكراهة حكم تكليفي يعني وجود حزازة ومفسدة في الفعل ، ولكنها لا تصل الى حد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وبمعنى اخر فالكراهة تعني المرجوحية ولكن بحد دون المنع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ان الشيخ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 الجزء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مسالة احكام الصوم في السفر ان هذا المعنى هو المعنى الأخص للكراهة ، ويوجد للكراهة معنى اعم وهو ترك الأفضل لأجل فعل المفضول او ما يعبر عنه بترك الأولى ، فكراهة الفعل بهذا المعنى لا تعني مرجوحيته بحد ذاته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w:t>
      </w:r>
    </w:p>
    <w:p>
      <w:pPr>
        <w:pStyle w:val="Heading6"/>
        <w:numPr>
          <w:ilvl w:val="5"/>
          <w:numId w:val="1"/>
        </w:numPr>
        <w:rPr/>
      </w:pPr>
      <w:bookmarkStart w:id="100" w:name="__RefHeading___Toc8193051_1051229030"/>
      <w:bookmarkStart w:id="101" w:name="_Toc37"/>
      <w:bookmarkEnd w:id="100"/>
      <w:r>
        <w:rPr>
          <w:rtl w:val="true"/>
        </w:rPr>
        <w:t>ونشير هنا إلى فوائد مرتبطة بالمسألة</w:t>
      </w:r>
      <w:r>
        <w:rPr>
          <w:rtl w:val="true"/>
        </w:rPr>
        <w:t>:</w:t>
      </w:r>
      <w:bookmarkEnd w:id="101"/>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المراد بالكراهة التي قرن المشهور حكم الجواز بها، فهل المراد بالكراهة المعنى الأخص أي المرجوحية؟ أم أن الحكم هو أفضلية الإقامة فلو سافر يكون قد ارتكب الكراهة بالمعنى الأعم أي تقديم عمل مستحب على آخر أفضل منه في مورد التزاحم بين مستحبين، أي ترك الأولى ؟ </w:t>
      </w:r>
      <w:bookmarkStart w:id="102" w:name="pg8133_62679"/>
    </w:p>
    <w:p>
      <w:pPr>
        <w:pStyle w:val="Heading5"/>
        <w:numPr>
          <w:ilvl w:val="4"/>
          <w:numId w:val="1"/>
        </w:numPr>
        <w:rPr/>
      </w:pPr>
      <w:bookmarkStart w:id="103" w:name="__RefHeading___Toc8193053_1051229030"/>
      <w:bookmarkStart w:id="104" w:name="_Toc38"/>
      <w:bookmarkEnd w:id="102"/>
      <w:bookmarkEnd w:id="103"/>
      <w:r>
        <w:rPr>
          <w:rtl w:val="true"/>
        </w:rPr>
        <w:t>المسألة الرابعة</w:t>
      </w:r>
      <w:r>
        <w:rPr>
          <w:rtl w:val="true"/>
        </w:rPr>
        <w:t xml:space="preserve">: </w:t>
      </w:r>
      <w:r>
        <w:rPr>
          <w:rtl w:val="true"/>
        </w:rPr>
        <w:t>مدخلية العلم بإرادة المولى في تنجيز الحكم</w:t>
      </w:r>
      <w:r>
        <w:rPr>
          <w:rtl w:val="true"/>
        </w:rPr>
        <w:t>.</w:t>
      </w:r>
      <w:bookmarkEnd w:id="104"/>
    </w:p>
    <w:p>
      <w:pPr>
        <w:pStyle w:val="BookText"/>
        <w:rPr/>
      </w:pPr>
      <w:r>
        <w:rPr>
          <w:rFonts w:ascii="Amiri" w:hAnsi="Amiri" w:eastAsia="Amiri" w:cs="Amiri"/>
          <w:color w:val="111111"/>
          <w:sz w:val="28"/>
          <w:sz w:val="28"/>
          <w:szCs w:val="28"/>
          <w:rtl w:val="true"/>
          <w:lang w:bidi="ar-SA"/>
        </w:rPr>
        <w:t>تذكر كتب الأصول ان الحكم الشرعي له مراتب متعددة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الإرادة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الاعتبار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الفعلية بتحقق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المنجزية الحاصلة بالعلم بفعلية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نوقشت مسالة إمكانية تنجز الحكم بمجرد العلم بالملاك او الإرادة ، او ان المنجزية موقوفة على العلم بإنشاء الحكم وفعليته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الجزء الخامس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مسالة زكاة أموال التجارة يبين سماحة الشيخ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رأيه في هذه المسالة ، فيذكر ان مجرد العلم بارادة المولى وان كانت تنجز الحكم على المستوى الأخلاقي ولكن التنجيز القانوني للحكم الشرعي لا يتحقق الابالعلم بإنشاء الحكم وفعليته ،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ورد في أخبار مستفيضة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الزكاة على تسعة وعفا عما سواها والعفو لا يكون إلا مع وجود المصلحة والمقتضي، فيظهر من ذلك وجود المصلحة في تزكية كل شيء، فيثبت الاستحباب لوجود الملاك وإنما رفع الإلزام تسهيلاً</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وفيه مع حُسنه على المستوى الأخلاقي فقد ورد في 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من تُحل به عُقد المكاره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ومضت على إرادتك الأشياء فهي بمشيئتك دون قولك مؤتمرة، وبإرادتك دون نهيك منزجرة</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فالعلم بإرادة المولى وإن لم تبلغ مرحلة الجعل والإنشاء كافية لتحريك </w:t>
      </w:r>
    </w:p>
    <w:p>
      <w:pPr>
        <w:pStyle w:val="BookText"/>
        <w:rPr/>
      </w:pPr>
      <w:r>
        <w:rPr>
          <w:rFonts w:ascii="Amiri" w:hAnsi="Amiri" w:eastAsia="Amiri" w:cs="Amiri"/>
          <w:color w:val="111111"/>
          <w:sz w:val="28"/>
          <w:sz w:val="28"/>
          <w:szCs w:val="28"/>
          <w:rtl w:val="true"/>
          <w:lang w:bidi="ar-SA"/>
        </w:rPr>
        <w:t>المكلف نحو الطاعة، بشرط العلم بهذه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على مستوى القواعد المعمول بها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الاستحباب حكم شرعي والأحكام لا تصل مرحلة التنجيز إلا بعد الإنشاء والفعلية، فرجحان الملاك وحده غير كافٍ للتحريك، مضافاً إلى أن الوجوب إذا سقط للعفو أو التخفيف فلا يلزم منه ثبوت الاستحباب، وإنما له حكمه الذي يثبت بالدليل فالتخفيف عن المسافر بقصر الصلاة لا يعني استحباب التمام، والتخفيف عن المقاتلين عندما يتجاوز العدد الضعف قد يلزم منه حرمة القتال إذا كان انتحاراً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اننا ذكرنا كلامًا لسماحته في مبحث حقيقة الوجوب الكفائي يظهر منه ان مجرد العلم بالملاك لا ينجز الاحكام الشرعية ، وان وجوب الطاعة موقوف على صدور خطاب من المولى ،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فالوجوه التي قيلت لتفسير الوجوب الكفائي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للوجوب الكفائي إلا طرف واحد وهو المكلف به المتعلق به الإيجاب، وأما بلحاظ المكلفين فلا طرف له أصلاًفهو إيجاب للفعل دون أن يلحظ في جعله مكلف أصلاً</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فقده لأحد مقومات الطلب وهو المطلوب منه، فلا طلب حقيقة بدونه؛ لأنه نسبة لا تتقوم إلا بأطرافها، فإذا لم يكن هناك مكلف فمن هو المخاطب بالوجوب، وفي عهدة مَنْ يُلقى الواجب؟</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تنزّلنا وقلنا بإمكانه ولو بتقريب إمكان تصوره على مستوى </w:t>
      </w:r>
      <w:bookmarkStart w:id="105" w:name="pg8133_62681"/>
    </w:p>
    <w:p>
      <w:pPr>
        <w:pStyle w:val="BookText"/>
        <w:rPr/>
      </w:pPr>
      <w:bookmarkEnd w:id="105"/>
      <w:r>
        <w:rPr>
          <w:rFonts w:ascii="Amiri" w:hAnsi="Amiri" w:eastAsia="Amiri" w:cs="Amiri"/>
          <w:color w:val="111111"/>
          <w:sz w:val="28"/>
          <w:sz w:val="28"/>
          <w:szCs w:val="28"/>
          <w:rtl w:val="true"/>
          <w:lang w:bidi="ar-SA"/>
        </w:rPr>
        <w:t>مبادئ الحكم كمرتبة الملاك أو الحب والبغض أو الإرادة فإنه في هذه المراتب يمكن تصوره لكفاية وجود الحب والمحبوب، أو المريد والمراد ولا مدخلية لمن يتحقق به المراد، وحينئذٍ يقال بكفاية هذا التحقق لألقائه في عهدة المكلفين واشتغال ذممهم به لحكم العقل بوجوب طاعة المولى في هذه المرتبة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التقريب تصور نظري فقط لأن خطابات الواجب الكفائي موجودة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فنقل الكلام إلى مبادئ الحكم لا موضوع له، مضافاً إلى عدم تمامية كبرى حكم العقل، للعجز عن اكتشاف إرادة المولى وحبّه وبغضه قبل أن يبرزه بالخطاب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 مَا فِي نَفْسِي وَلاَ أَعْلَمُ مَا فِي نَفْسِكَ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تنزّلنا فإنه غير كافٍ لعدم وجوب الطاعة حتى يصدر الخطاب فلا وجه لاشتغال ذمم المكلفين به</w:t>
      </w:r>
      <w:r>
        <w:rPr>
          <w:rFonts w:eastAsia="Amiri" w:cs="Amiri" w:ascii="Amiri" w:hAnsi="Amiri"/>
          <w:color w:val="111111"/>
          <w:sz w:val="28"/>
          <w:szCs w:val="28"/>
          <w:rtl w:val="true"/>
          <w:lang w:bidi="ar-SA"/>
        </w:rPr>
        <w:t>.</w:t>
      </w:r>
    </w:p>
    <w:p>
      <w:pPr>
        <w:pStyle w:val="Heading5"/>
        <w:numPr>
          <w:ilvl w:val="4"/>
          <w:numId w:val="1"/>
        </w:numPr>
        <w:rPr/>
      </w:pPr>
      <w:bookmarkStart w:id="106" w:name="__RefHeading___Toc8193055_1051229030"/>
      <w:bookmarkStart w:id="107" w:name="_Toc39"/>
      <w:bookmarkEnd w:id="106"/>
      <w:r>
        <w:rPr>
          <w:rtl w:val="true"/>
        </w:rPr>
        <w:t>المسألة الخامسة</w:t>
      </w:r>
      <w:r>
        <w:rPr>
          <w:rtl w:val="true"/>
        </w:rPr>
        <w:t xml:space="preserve">: </w:t>
      </w:r>
      <w:r>
        <w:rPr>
          <w:rtl w:val="true"/>
        </w:rPr>
        <w:t>سقوط الوجوب لا يثبت الاستحباب</w:t>
      </w:r>
      <w:r>
        <w:rPr>
          <w:rtl w:val="true"/>
        </w:rPr>
        <w:t>.</w:t>
      </w:r>
      <w:bookmarkEnd w:id="107"/>
    </w:p>
    <w:p>
      <w:pPr>
        <w:pStyle w:val="BookText"/>
        <w:rPr/>
      </w:pPr>
      <w:r>
        <w:rPr>
          <w:rFonts w:ascii="Amiri" w:hAnsi="Amiri" w:eastAsia="Amiri" w:cs="Amiri"/>
          <w:color w:val="111111"/>
          <w:sz w:val="28"/>
          <w:sz w:val="28"/>
          <w:szCs w:val="28"/>
          <w:rtl w:val="true"/>
          <w:lang w:bidi="ar-SA"/>
        </w:rPr>
        <w:t>الثابت في علم الأصول ان الاحكام الشرعية التكليفية متضادة فيما بينها ، وان لكل منها ملاكا يختلف عن الاخر ، فالوجوب حكم شرعي مضاد للاستحباب ، ولا يُقبل قول من يرى ان الاستحباب اذا اشتد يمكن ان يصبح وجوبًا ، وان الوجوب اذا خُفف يصير استحبابًا ، فكلحكم من هذه الاحكام لا يثبت الا بجعله مستقلا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أشار سماحة الشيخ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هذه الحقيقة في عبارته السابقة وهي</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الوجوب إذا سقط للعفو أو التخفيف فلا يلزم منه ثبوت الاستحباب، وإنما له حكمه الذي يثبت بالدليل فالتخفيف عن المسافر بقصر الصلاة لا يعني استحباب التمام، والتخفيف عن المقاتلين عندما يتجاوز العدد </w:t>
      </w:r>
    </w:p>
    <w:p>
      <w:pPr>
        <w:pStyle w:val="BookText"/>
        <w:rPr/>
      </w:pPr>
      <w:r>
        <w:rPr>
          <w:rFonts w:ascii="Amiri" w:hAnsi="Amiri" w:eastAsia="Amiri" w:cs="Amiri"/>
          <w:color w:val="111111"/>
          <w:sz w:val="28"/>
          <w:sz w:val="28"/>
          <w:szCs w:val="28"/>
          <w:rtl w:val="true"/>
          <w:lang w:bidi="ar-SA"/>
        </w:rPr>
        <w:t>الضعف قد يلزم منه حرمة القتال إذا كان انتحاراً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مبحث التسامح في ادلة السنن ذكر سماحته ان الدليل غير المعتبر الذي يكون مفاده الوجوب لا يمكن ان نعتبره دالا على الاستحباب ؛ لان الاستحباب ليس مرتبة من مراتب الوجوب فاذا لم تثبت المرتبة الأعلى ثبتت الأدنى كما قد يتوهم البعض ، ونص عبارته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الأخبار خاصة ببلوغ الثواب على فعل شيء ولا تشمل كل ما ورد في طلب فعل معين ما لم يقترن بذكر الثواب ليكون صغرى 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صحيحاً إجراؤهم القاعدة في كثير من الأخبار غير المعتبرة التي تطلب فعلاً معيناً أو تنهى عن فعل معين ولما لم يمكن استنباط حكم إلزامي منهما لعدم اعتبار الدليل فإنهم يحملونهما على الحكم غير الإلزامي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عدم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 عدم تحقق صغرى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الأمر ظاهر في الوجوب، والنهي ظاهر في الحرمة، فإذا سقطت الرواية عن الاعتبار فلا وجوب ولا حرمة، ولا ينتقل الظهور إلى الاستحباب والكراهة إلا بالقرائن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على مذهب من قال بأن الوجوب مركّب من جنس وفصل هما الشيء والنهي عن تركه يمكن القول بحلول الاستحباب محل الوجوب باعتبار سقوط الفصل من التعريف وهو النهي عن الترك فيبقى الجنسوهو طلب الشيء الذي يحمل على الاستحباب</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هذا مردود بعدم مساعدة العرف عليه لأن الوجوب بسيط أما النهي عن الترك فيستفاد من الإطلاق وليس من الوضع، ولو قلنا بالتركيب فإن الجنس يسقط أيضاً كالفصل عند عدم اعتبار الدليل، فعلى مختارهم لا بد من وجود طلب استحبابي ولو ضعيف ليكون صغرى لهذه القاعدة ولا يكفي مطلق الطلب</w:t>
      </w:r>
      <w:r>
        <w:rPr>
          <w:rFonts w:eastAsia="Amiri" w:cs="Amiri" w:ascii="Amiri" w:hAnsi="Amiri"/>
          <w:color w:val="111111"/>
          <w:sz w:val="28"/>
          <w:szCs w:val="28"/>
          <w:rtl w:val="true"/>
          <w:lang w:bidi="ar-SA"/>
        </w:rPr>
        <w:t xml:space="preserve">. </w:t>
      </w:r>
      <w:bookmarkStart w:id="108" w:name="pg8133_62683"/>
    </w:p>
    <w:p>
      <w:pPr>
        <w:pStyle w:val="Heading5"/>
        <w:numPr>
          <w:ilvl w:val="4"/>
          <w:numId w:val="1"/>
        </w:numPr>
        <w:rPr/>
      </w:pPr>
      <w:bookmarkStart w:id="109" w:name="__RefHeading___Toc8193057_1051229030"/>
      <w:bookmarkStart w:id="110" w:name="_Toc40"/>
      <w:bookmarkEnd w:id="108"/>
      <w:bookmarkEnd w:id="109"/>
      <w:r>
        <w:rPr>
          <w:rtl w:val="true"/>
        </w:rPr>
        <w:t>المسألة السادسة</w:t>
      </w:r>
      <w:r>
        <w:rPr>
          <w:rtl w:val="true"/>
        </w:rPr>
        <w:t xml:space="preserve">: </w:t>
      </w:r>
      <w:r>
        <w:rPr>
          <w:rtl w:val="true"/>
        </w:rPr>
        <w:t>دلالة الأوامر على الاحكام الوضعية</w:t>
      </w:r>
      <w:r>
        <w:rPr>
          <w:rtl w:val="true"/>
        </w:rPr>
        <w:t>.</w:t>
      </w:r>
      <w:bookmarkEnd w:id="110"/>
    </w:p>
    <w:p>
      <w:pPr>
        <w:pStyle w:val="BookText"/>
        <w:rPr/>
      </w:pPr>
      <w:r>
        <w:rPr>
          <w:rFonts w:ascii="Amiri" w:hAnsi="Amiri" w:eastAsia="Amiri" w:cs="Amiri"/>
          <w:color w:val="111111"/>
          <w:sz w:val="28"/>
          <w:sz w:val="28"/>
          <w:szCs w:val="28"/>
          <w:rtl w:val="true"/>
          <w:lang w:bidi="ar-SA"/>
        </w:rPr>
        <w:t xml:space="preserve">يوجد بحث في علم الأصول في ان الاحكام الوضعية مجعولة على نحو الاستقلال ام انها منتزعة من الاحكام التكليفية ؟ وبغض النظر عن هذا البحث فان الجميع متفق على ان هناك أحكاما وضعية منتزعة من الاحكام التكليفية كالجزئية والشرطية والمانعية ، وقد أشار سماحة الشيخ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هذا المطلب مبينًا ان الامر اذا تعلق بشيء مرتبط بعبادة او معاملة عرفنا ان ذلك الشيء شرط في صحة تلك العبادة او المعاملة ، كما ان النهي يفيد المانعية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كل امر او نهي يعني ان الحكم تكليفي ، ففي مثل هذه الصور نستفيد أحكامًا وضعية من الأوامر والنواهي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 هذا الكلام في الجزء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مسالة مفطرية رمس الرأس في الماء ،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العرف يفهم من الأمر بشيء مرتبط بعبادة أو معاملة شرطيته في الصحة ومن النهي تأثيره في الفساد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بقرينة كون المقصد الأهم للشارع بيان الصحة والفساد، حتى صار ذلك من تفاهم أهل العرف في خطاب المتعلق بعبادة أو معاملة مما يوصف بالصحة والفساد، وعليه بنوا كثيراً منالشرائط والموانع كما لا يخفى على المتتبع</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بيّن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اخر من الجزء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ذكرناه وان كان هو الأصل والقاعدة ولكن في بعض الأحيان يتعذر حمل هذه الأوامر او النواهي على الحكم الوضعي فنحملها عندئذ على الحكم التكليفي ،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الأصل في الأوامر والنواهي في مقام بيان الماهيات ما ذكر إلا أنها </w:t>
      </w:r>
      <w:bookmarkStart w:id="111" w:name="pg8133_62684"/>
    </w:p>
    <w:p>
      <w:pPr>
        <w:pStyle w:val="BookText"/>
        <w:rPr/>
      </w:pPr>
      <w:bookmarkEnd w:id="111"/>
      <w:r>
        <w:rPr>
          <w:rFonts w:ascii="Amiri" w:hAnsi="Amiri" w:eastAsia="Amiri" w:cs="Amiri"/>
          <w:color w:val="111111"/>
          <w:sz w:val="28"/>
          <w:sz w:val="28"/>
          <w:szCs w:val="28"/>
          <w:rtl w:val="true"/>
          <w:lang w:bidi="ar-SA"/>
        </w:rPr>
        <w:t>يمكن حملها على الأحكام التكليفية كالحرمة والوجوب إذا تعذر حملها على الوضعية كما استدل أصحاب هذا القول، وأمثلته في الفقه كثيرة كجملة من تروك الإحرام ومنها النظر في المرآة</w:t>
      </w:r>
      <w:r>
        <w:rPr>
          <w:rFonts w:eastAsia="Amiri" w:cs="Amiri" w:ascii="Amiri" w:hAnsi="Amiri"/>
          <w:color w:val="111111"/>
          <w:sz w:val="28"/>
          <w:szCs w:val="28"/>
          <w:rtl w:val="true"/>
          <w:lang w:bidi="ar-SA"/>
        </w:rPr>
        <w:t>.</w:t>
      </w:r>
    </w:p>
    <w:p>
      <w:pPr>
        <w:pStyle w:val="Heading5"/>
        <w:numPr>
          <w:ilvl w:val="4"/>
          <w:numId w:val="1"/>
        </w:numPr>
        <w:rPr/>
      </w:pPr>
      <w:bookmarkStart w:id="112" w:name="__RefHeading___Toc8193059_1051229030"/>
      <w:bookmarkStart w:id="113" w:name="_Toc41"/>
      <w:bookmarkEnd w:id="112"/>
      <w:r>
        <w:rPr>
          <w:rtl w:val="true"/>
        </w:rPr>
        <w:t>المسألة السابعة</w:t>
      </w:r>
      <w:r>
        <w:rPr>
          <w:rtl w:val="true"/>
        </w:rPr>
        <w:t xml:space="preserve">: </w:t>
      </w:r>
      <w:r>
        <w:rPr>
          <w:rtl w:val="true"/>
        </w:rPr>
        <w:t>الاستحباب والكراهة الوضعيان</w:t>
      </w:r>
      <w:r>
        <w:rPr>
          <w:rtl w:val="true"/>
        </w:rPr>
        <w:t>.</w:t>
      </w:r>
      <w:bookmarkEnd w:id="113"/>
    </w:p>
    <w:p>
      <w:pPr>
        <w:pStyle w:val="Heading6"/>
        <w:numPr>
          <w:ilvl w:val="5"/>
          <w:numId w:val="1"/>
        </w:numPr>
        <w:rPr/>
      </w:pPr>
      <w:bookmarkStart w:id="114" w:name="__RefHeading___Toc8193061_1051229030"/>
      <w:bookmarkStart w:id="115" w:name="_Toc42"/>
      <w:bookmarkEnd w:id="114"/>
      <w:r>
        <w:rPr>
          <w:rtl w:val="true"/>
        </w:rPr>
        <w:t>اشارة</w:t>
      </w:r>
      <w:bookmarkEnd w:id="115"/>
    </w:p>
    <w:p>
      <w:pPr>
        <w:pStyle w:val="BookText"/>
        <w:rPr/>
      </w:pPr>
      <w:r>
        <w:rPr>
          <w:rFonts w:ascii="Amiri" w:hAnsi="Amiri" w:eastAsia="Amiri" w:cs="Amiri"/>
          <w:color w:val="111111"/>
          <w:sz w:val="28"/>
          <w:sz w:val="28"/>
          <w:szCs w:val="28"/>
          <w:rtl w:val="true"/>
          <w:lang w:bidi="ar-SA"/>
        </w:rPr>
        <w:t xml:space="preserve">مما ألفناه واعتدنا عليه في دراستنا لعلم الأصول ان كلاً من الاستحباب والكراهة حكمان تكليفياًن ، ولكن هناك ما يسمى بالاستحباب الوضعي والكراهة الوضعية ، وقد بيّن سماحة الشيخ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هذين المصطلحين</w:t>
      </w:r>
      <w:r>
        <w:rPr>
          <w:rFonts w:eastAsia="Amiri" w:cs="Amiri" w:ascii="Amiri" w:hAnsi="Amiri"/>
          <w:color w:val="111111"/>
          <w:sz w:val="28"/>
          <w:szCs w:val="28"/>
          <w:rtl w:val="true"/>
          <w:lang w:bidi="ar-SA"/>
        </w:rPr>
        <w:t>:</w:t>
      </w:r>
    </w:p>
    <w:p>
      <w:pPr>
        <w:pStyle w:val="Heading6"/>
        <w:numPr>
          <w:ilvl w:val="5"/>
          <w:numId w:val="1"/>
        </w:numPr>
        <w:rPr/>
      </w:pPr>
      <w:bookmarkStart w:id="116" w:name="__RefHeading___Toc8193063_1051229030"/>
      <w:bookmarkStart w:id="117" w:name="_Toc43"/>
      <w:bookmarkEnd w:id="116"/>
      <w:r>
        <w:rPr>
          <w:rtl w:val="true"/>
        </w:rPr>
        <w:t>الاستحباب الوضعي</w:t>
      </w:r>
      <w:bookmarkEnd w:id="117"/>
    </w:p>
    <w:p>
      <w:pPr>
        <w:pStyle w:val="BookText"/>
        <w:rPr/>
      </w:pPr>
      <w:r>
        <w:rPr>
          <w:rFonts w:ascii="Amiri" w:hAnsi="Amiri" w:eastAsia="Amiri" w:cs="Amiri"/>
          <w:color w:val="111111"/>
          <w:sz w:val="28"/>
          <w:sz w:val="28"/>
          <w:szCs w:val="28"/>
          <w:rtl w:val="true"/>
          <w:lang w:bidi="ar-SA"/>
        </w:rPr>
        <w:t xml:space="preserve">بحث الشيخ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الجزء الاول من موسوعة فقه الخلاف مسالة نجاسة الخمر ، وأورد هناك طائفتين من الروايات ، أُستدِل بالأولى على نجاسة الخمر ، واستدِل بالثانية على طهارته ثم ناقش تلك الروايات وبيّن خمسة مراتب لعلاج التعارض بينهما ، وكانت المرتبة الثالثة منها هي محاولة الجمع العرفي بين الطائفتين ، وذكر سماحته عدة تقريبات للجمع العرفي ، وجاء شرح معنى الاستحباب الوضعي في التقريب الأول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ونص كلام سماحته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سبق من حمل روايات الطائفة الأولى على التنزيه ورفع الحزازة من النفس وعدم وجود ما يمنع من حمل روايات الطائفة الأولى على هذا المعنى، وأيّدناه بموارد مشابهة له وذكرنا جملة من القرائن على هذا الحمل</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استحباب مولوي بحمل ما ورد من الأمر بالغسل في الطائفة الأولى </w:t>
      </w:r>
    </w:p>
    <w:p>
      <w:pPr>
        <w:pStyle w:val="BookText"/>
        <w:rPr/>
      </w:pPr>
      <w:r>
        <w:rPr>
          <w:rFonts w:ascii="IRNazanin" w:hAnsi="IRNazanin" w:eastAsia="IRNazanin"/>
          <w:color w:val="111111"/>
          <w:sz w:val="28"/>
          <w:sz w:val="28"/>
          <w:szCs w:val="28"/>
          <w:rtl w:val="true"/>
          <w:lang w:bidi="fa-IR"/>
        </w:rPr>
        <w:t xml:space="preserve">على الاستحباب وهو أيضاً استحباب وضعي إرشادي لإزالة التنفّر والحزازة من النفس، بقرينة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صحيحة علي بن رئاب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فيه إلا أن تقذره فتغسل منه موضع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خبر الحسن بن أبي سارة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تشتهي أن تغسله لأثره</w:t>
      </w:r>
      <w:r>
        <w:rPr>
          <w:rFonts w:eastAsia="IRNazanin" w:cs="IRNazanin"/>
          <w:color w:val="111111"/>
          <w:sz w:val="28"/>
          <w:szCs w:val="28"/>
          <w:rtl w:val="true"/>
          <w:lang w:bidi="fa-IR"/>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وتؤيد بقرائن أخرى على التنزيه كوحدة السياق في موثّقة عمار </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 xml:space="preserve">فإن صدرها محمول على التنزيه قطعاً، وبقرينة الإضافة على موثّقة عمار بنقل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التهذيب وفيها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سأله عن الإناء يُشرب فيه النبيذ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تغسله سبع مرات وكذلك الكلب</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بتقريب أنه من غير المحتمل أن يكون حكم النبيذ أشد من حكم الخمر التي وصفها القرآن بأنها رجس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وورد مثل هذا الاستحباب الوضعي في خبر علي بن أبي حمزة عن عرق الجنب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سُئل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حاضر عن رجل أجنب في ثوبه فيعرق فيه،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أرى به بأساً،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يعرق حتى لو شاء أن يعصره عصره،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فقطّب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وجه الرجل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أبيتم فشيءمن ماء فانضحه به</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ولدفع الاستغراب عن مثل هذا الاستحباب الذي صدر من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سابقة نقول إنه يشبه النصيحة الطبية أو الاجتماعية وهو </w:t>
      </w:r>
      <w:bookmarkStart w:id="118" w:name="pg8133_62686"/>
    </w:p>
    <w:p>
      <w:pPr>
        <w:pStyle w:val="BookText"/>
        <w:rPr/>
      </w:pPr>
      <w:bookmarkEnd w:id="118"/>
      <w:r>
        <w:rPr>
          <w:rFonts w:ascii="Amiri" w:hAnsi="Amiri" w:eastAsia="Amiri" w:cs="Amiri"/>
          <w:color w:val="111111"/>
          <w:sz w:val="28"/>
          <w:sz w:val="28"/>
          <w:szCs w:val="28"/>
          <w:rtl w:val="true"/>
          <w:lang w:bidi="ar-SA"/>
        </w:rPr>
        <w:t xml:space="preserve">يقترن باستحباب شرعي بحسب الدليل الدال عليه أو لا يقترن وموارده في الفقه كثير كعرض الإنسان نفسه على الخلاء قبل النوم وعدم النوم ممتلئاً واختيار المرأة الحسناء والبيضاء في الزواج فإننا لا نتوقع أن الإنسان يؤجر لمجرد أنه تزوّج امرأة حسناء أو كشف عن امرأة بيضاء أو طمثت بنته وهي في بيت 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معانٍ وردت في أحاديث 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فالاستحباب هنا وضعي إرشادي، نعم قد يحصل على الأجر إذا توفّرت عناوين أخرى</w:t>
      </w:r>
      <w:r>
        <w:rPr>
          <w:rFonts w:eastAsia="Amiri" w:cs="Amiri" w:ascii="Amiri" w:hAnsi="Amiri"/>
          <w:color w:val="111111"/>
          <w:sz w:val="28"/>
          <w:szCs w:val="28"/>
          <w:rtl w:val="true"/>
          <w:lang w:bidi="ar-SA"/>
        </w:rPr>
        <w:t>..</w:t>
      </w:r>
    </w:p>
    <w:p>
      <w:pPr>
        <w:pStyle w:val="Heading6"/>
        <w:numPr>
          <w:ilvl w:val="5"/>
          <w:numId w:val="1"/>
        </w:numPr>
        <w:rPr/>
      </w:pPr>
      <w:bookmarkStart w:id="119" w:name="__RefHeading___Toc8193065_1051229030"/>
      <w:bookmarkStart w:id="120" w:name="_Toc44"/>
      <w:bookmarkEnd w:id="119"/>
      <w:r>
        <w:rPr>
          <w:rtl w:val="true"/>
        </w:rPr>
        <w:t>الكراهة الوضعية</w:t>
      </w:r>
      <w:bookmarkEnd w:id="120"/>
    </w:p>
    <w:p>
      <w:pPr>
        <w:pStyle w:val="BookText"/>
        <w:rPr/>
      </w:pPr>
      <w:r>
        <w:rPr>
          <w:rFonts w:ascii="Amiri" w:hAnsi="Amiri" w:eastAsia="Amiri" w:cs="Amiri"/>
          <w:color w:val="111111"/>
          <w:sz w:val="28"/>
          <w:sz w:val="28"/>
          <w:szCs w:val="28"/>
          <w:rtl w:val="true"/>
          <w:lang w:bidi="ar-SA"/>
        </w:rPr>
        <w:t xml:space="preserve">جاء في الجزء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البحث في مسالة مفطرية رمس الرأس في الماء الكلام عن الكراهة الوضعية تحت عنوان الفات نظر في ضمن مناقشة لكلام السيد محسن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ونص كلام الشيخ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الكراهة الوضعية هناك هو</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أذكر هنا معنى للكراهة الوضعية لكنه لم يَدُر في خلد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 ولا هو مناسب للانطباق على محل البحث ولكنه معنىً للعنوان فأقول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الكراهة الوضعية هي حكم المورد الذي تتحقق فيه مفسدة وضعية لم تبلغ حداً ينطبق عليه حكم إلزامي ولم يرد فيه دليل شرعي على الكراهة حتى يدخل ضمن الأحكام الإلزامية؛ كالتدخين الذي ثبتت فيه عدة مفاسد صحية واقتصادية واجتماعية ولكنها لم ترقَ إلىمستوى الإفتاء بحرمته، وكموارد التقبيح العقلي التي لا تصل إلى مستوى ملزم</w:t>
      </w:r>
      <w:r>
        <w:rPr>
          <w:rFonts w:eastAsia="Amiri" w:cs="Amiri" w:ascii="Amiri" w:hAnsi="Amiri"/>
          <w:color w:val="111111"/>
          <w:sz w:val="28"/>
          <w:szCs w:val="28"/>
          <w:rtl w:val="true"/>
          <w:lang w:bidi="ar-SA"/>
        </w:rPr>
        <w:t xml:space="preserve">. </w:t>
      </w:r>
      <w:bookmarkStart w:id="121" w:name="pg8133_62687"/>
    </w:p>
    <w:p>
      <w:pPr>
        <w:pStyle w:val="Heading5"/>
        <w:numPr>
          <w:ilvl w:val="4"/>
          <w:numId w:val="1"/>
        </w:numPr>
        <w:rPr/>
      </w:pPr>
      <w:bookmarkStart w:id="122" w:name="__RefHeading___Toc8193067_1051229030"/>
      <w:bookmarkStart w:id="123" w:name="_Toc45"/>
      <w:bookmarkEnd w:id="121"/>
      <w:bookmarkEnd w:id="122"/>
      <w:r>
        <w:rPr>
          <w:rtl w:val="true"/>
        </w:rPr>
        <w:t>المسألة الثامنة</w:t>
      </w:r>
      <w:r>
        <w:rPr>
          <w:rtl w:val="true"/>
        </w:rPr>
        <w:t xml:space="preserve">: </w:t>
      </w:r>
      <w:r>
        <w:rPr>
          <w:rtl w:val="true"/>
        </w:rPr>
        <w:t>الفرق بين الفساد والبطلان</w:t>
      </w:r>
      <w:r>
        <w:rPr>
          <w:rtl w:val="true"/>
        </w:rPr>
        <w:t>.</w:t>
      </w:r>
      <w:bookmarkEnd w:id="123"/>
    </w:p>
    <w:p>
      <w:pPr>
        <w:pStyle w:val="BookText"/>
        <w:rPr/>
      </w:pPr>
      <w:r>
        <w:rPr>
          <w:rFonts w:ascii="Amiri" w:hAnsi="Amiri" w:eastAsia="Amiri" w:cs="Amiri"/>
          <w:color w:val="111111"/>
          <w:sz w:val="28"/>
          <w:sz w:val="28"/>
          <w:szCs w:val="28"/>
          <w:rtl w:val="true"/>
          <w:lang w:bidi="ar-SA"/>
        </w:rPr>
        <w:t>بما ان الاحكام الوضعية كثيرة جدا ، ولا حصر لها ؛ لم نجد في الكتب الأصولية من افرد لكل منها عنوانا خاصا لبيان معنى ذلك الحكم والفرق بينه وبين غيره من الاحكام الوضعية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المنطلق لم نجد من فرّق بين الفساد والبطلان حتى ان الكثير يعتقد انهما لفظان مترادفان ، ولكن سماحة الشيخ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 الجزء السابع في مسالة الفاصل الزماني بين عمرتين مفردتين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تفريقا بينهما ، ومما يزيد من أهمية هذا التفريق وجود الأثر العملي المهم الذي يترتب عليه ،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الفرق بين الفساد والبطلان –بحسب فهمي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الفساد منشأه وجود مانع أو انخرام شرط مع بقاء المقتضي لكمال العمل وصحته فيمكن إتمامه بإزالة المانع أو توفير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البطلان فمنشأه خلل في المقتضي فيكون قاصراً عن بلوغ الصحة والتمام</w:t>
      </w:r>
      <w:r>
        <w:rPr>
          <w:rFonts w:eastAsia="Amiri" w:cs="Amiri" w:ascii="Amiri" w:hAnsi="Amiri"/>
          <w:color w:val="111111"/>
          <w:sz w:val="28"/>
          <w:szCs w:val="28"/>
          <w:rtl w:val="true"/>
          <w:lang w:bidi="ar-SA"/>
        </w:rPr>
        <w:t>.</w:t>
      </w:r>
    </w:p>
    <w:p>
      <w:pPr>
        <w:pStyle w:val="Heading5"/>
        <w:numPr>
          <w:ilvl w:val="4"/>
          <w:numId w:val="1"/>
        </w:numPr>
        <w:rPr/>
      </w:pPr>
      <w:bookmarkStart w:id="124" w:name="__RefHeading___Toc8193069_1051229030"/>
      <w:bookmarkStart w:id="125" w:name="_Toc46"/>
      <w:bookmarkEnd w:id="124"/>
      <w:r>
        <w:rPr>
          <w:rtl w:val="true"/>
        </w:rPr>
        <w:t>المسألة التاسعة</w:t>
      </w:r>
      <w:r>
        <w:rPr>
          <w:rtl w:val="true"/>
        </w:rPr>
        <w:t xml:space="preserve">: </w:t>
      </w:r>
      <w:r>
        <w:rPr>
          <w:rtl w:val="true"/>
        </w:rPr>
        <w:t>بقاء الوجوب حتى مع انعدام موضوعه</w:t>
      </w:r>
      <w:r>
        <w:rPr>
          <w:rtl w:val="true"/>
        </w:rPr>
        <w:t>.</w:t>
      </w:r>
      <w:bookmarkEnd w:id="125"/>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عرفنا فيما سبق ان للأحكام الشرعية ملاكاتٍ وأغراضًا ، ومما يبني عليه المشهور ان الغرض من الامر هو إيجاد متعلق الامر خارجًا ؛ فَلَو انعدم الموضوع سقط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الشيخ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يذهب الى ان هذا الكلام قد يكون صحيحا اذا كان ملاك الحكم الشرعي واحداً ، اما اذا كان الملاك متعددا فقد يبقى الغرض من الحكم الشرعي موجودا وان انعدم موضوعه ، بل ترّقى اكثر من ذلك وذهب الى انه حتى على رأي المشهور من وحدةالملاك قد يبقى الغرض مع انعدام موضوع الحكم ،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الجزء الثامن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bookmarkStart w:id="126" w:name="pg8133_62688"/>
    </w:p>
    <w:p>
      <w:pPr>
        <w:pStyle w:val="BookText"/>
        <w:rPr/>
      </w:pPr>
      <w:bookmarkEnd w:id="126"/>
      <w:r>
        <w:rPr>
          <w:rFonts w:ascii="Amiri" w:hAnsi="Amiri" w:eastAsia="Amiri" w:cs="Amiri"/>
          <w:color w:val="111111"/>
          <w:sz w:val="28"/>
          <w:sz w:val="28"/>
          <w:szCs w:val="28"/>
          <w:rtl w:val="true"/>
          <w:lang w:bidi="ar-SA"/>
        </w:rPr>
        <w:t>وقد ذكروا في موارد هذا الشرط سقوط الأمر والنهي عند انعدام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عُدم موضوع الفريضة أو موضوع المنكر سقط الوجوب وإن كان بفعل المكلف، كما لو أراق الماء المنحصر الذي يجب حفظه للطهارة أو لحفظ نفس محترمة</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صحيح بناءً على فهم المشهور من كون غرض الأمر والنهي إيجاد متعلقهما في الخارج، أما بناء على ما اخترناه من تعدد أغراض الفريضة كإظهار الغضب لله أو لخلق أمة آمرة بالمعروف ناهية عن المنكر فإن الوجوب قائم، بل لا يبعد الوجوب بناءً على المشهور ولكن بعنوان الإرشاد أو تعليم الحكم أو الموعظة أو النهي عن إعادة مثلها ونحو ذلك بحسب حال الفاعل من العلم والجهل والعمد والإصرار</w:t>
      </w:r>
      <w:r>
        <w:rPr>
          <w:rFonts w:eastAsia="Amiri" w:cs="Amiri" w:ascii="Amiri" w:hAnsi="Amiri"/>
          <w:color w:val="111111"/>
          <w:sz w:val="28"/>
          <w:szCs w:val="28"/>
          <w:rtl w:val="true"/>
          <w:lang w:bidi="ar-SA"/>
        </w:rPr>
        <w:t>.</w:t>
      </w:r>
    </w:p>
    <w:p>
      <w:pPr>
        <w:pStyle w:val="Heading5"/>
        <w:numPr>
          <w:ilvl w:val="4"/>
          <w:numId w:val="1"/>
        </w:numPr>
        <w:rPr/>
      </w:pPr>
      <w:bookmarkStart w:id="127" w:name="__RefHeading___Toc8193071_1051229030"/>
      <w:bookmarkStart w:id="128" w:name="_Toc47"/>
      <w:bookmarkEnd w:id="127"/>
      <w:r>
        <w:rPr>
          <w:rtl w:val="true"/>
        </w:rPr>
        <w:t>المسألة العاشرة</w:t>
      </w:r>
      <w:r>
        <w:rPr>
          <w:rtl w:val="true"/>
        </w:rPr>
        <w:t xml:space="preserve">: </w:t>
      </w:r>
      <w:r>
        <w:rPr>
          <w:rtl w:val="true"/>
        </w:rPr>
        <w:t>تأثير الزمان والمكان على الحكم الشرعي</w:t>
      </w:r>
      <w:r>
        <w:rPr>
          <w:rtl w:val="true"/>
        </w:rPr>
        <w:t>.</w:t>
      </w:r>
      <w:bookmarkEnd w:id="128"/>
    </w:p>
    <w:p>
      <w:pPr>
        <w:pStyle w:val="BookText"/>
        <w:rPr/>
      </w:pPr>
      <w:r>
        <w:rPr>
          <w:rFonts w:ascii="Amiri" w:hAnsi="Amiri" w:eastAsia="Amiri" w:cs="Amiri"/>
          <w:color w:val="111111"/>
          <w:sz w:val="28"/>
          <w:sz w:val="28"/>
          <w:szCs w:val="28"/>
          <w:rtl w:val="true"/>
          <w:lang w:bidi="ar-SA"/>
        </w:rPr>
        <w:t>ذهب البعض من الأصوليين الى ان الاحكام الشرعية يمكن ان تتغير بتغير الزمان والمكان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فلكل زمان حكمه الخاص به ، ولكل مكان حكمه كذلك ، ومن هنا فقد تكون بعض الاحكام خاصة بصدر الإسلام ولا بقاء لها في زماننا هذا ، كما ان بعض الاحكام قد تكون خاصة بمكان معين وبيئة خاصة ولا تجري في أماكن وبيئات أخرى</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أشار سماحة الشيخ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هذه المسالة في الجزء العاشر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الكلام عن احتمالية اختصاص الحكم بتصوير ذوات الأرواح بزمان صدر الاسلام موضحا ان القول باختصاص </w:t>
      </w:r>
    </w:p>
    <w:p>
      <w:pPr>
        <w:pStyle w:val="BookText"/>
        <w:rPr/>
      </w:pPr>
      <w:r>
        <w:rPr>
          <w:rFonts w:ascii="Amiri" w:hAnsi="Amiri" w:eastAsia="Amiri" w:cs="Amiri"/>
          <w:color w:val="111111"/>
          <w:sz w:val="28"/>
          <w:sz w:val="28"/>
          <w:szCs w:val="28"/>
          <w:rtl w:val="true"/>
          <w:lang w:bidi="ar-SA"/>
        </w:rPr>
        <w:t>الحكم بزمان ما يحتاج الى قرائن وأدلة ،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اختصاص الحكم بزمان صدر الإسلام لنكتة خطرت في البال قبل أكثر من عشرين عاماً كمثال على أطروحة قدمتها إلى السيد الشهيد الصدر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أسميتها في حينها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ما وراء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كعامل مؤثر في استنباط الحكم من النصوص واستظهاره والذي بدأ يثار بعد ذلك بسنين في حوزة قم المقدسة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تأثير عاملي الزمان والمكان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 البعض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فلسفة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وقلت فيه بما يناسب ثقافتي الفقهية والفكرية يومئذٍ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حرّم الفقهاء تصوير ذوات الأرواح مطلقاً بناءً على عمل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ظاهر النصوص ولكن بمساعدة فهم الظروف والملابسات المحيطة بالحكم كالفترة التأريخية للحكم وكون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قائد ثورة تغييرية لمجتمع ذي تقاليد جاهلية معينة ونحو ذلك نقول بالاستفادة من ذلك نفهم أن الهدف منه هو قطع دابر الوثنية وعبادة الأصنام، أما اليوم وبعد أن أصبحت الأصنام المعبودة من دون الله تعالى من غير الحجارة والخشب والمواد الأخرى فيظهر أن حكم التحريم يجب أن يعاد النظر فيه حيث أصبح الهدف من تجسيم ذوات الأرواح أموراً أخرى غير محرمة كالزينة وتخليد العظماء ولعب الأطفال</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علّق عليه 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مرفوض فقهياً لأن النص الناهي عن التماثيل يحتوي على ما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بالإطلاق الزماني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شموله لكل زمان حتى زماننا هذا ولو كان معللاً بما في كلامكم لأمكن التجاوز عن الحكم مع زوال العلة، وهو أمر صحيح أصولياً، إلا أنه غير معلل لفظياً وإنما العلة المذكورة أمر ذهني مفروض على النص </w:t>
      </w:r>
    </w:p>
    <w:p>
      <w:pPr>
        <w:pStyle w:val="BookText"/>
        <w:rPr/>
      </w:pPr>
      <w:r>
        <w:rPr>
          <w:rFonts w:ascii="IRNazanin" w:hAnsi="IRNazanin" w:eastAsia="IRNazanin"/>
          <w:color w:val="111111"/>
          <w:sz w:val="28"/>
          <w:sz w:val="28"/>
          <w:szCs w:val="28"/>
          <w:rtl w:val="true"/>
          <w:lang w:bidi="fa-IR"/>
        </w:rPr>
        <w:t>من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يمكن أن نؤيد استنباط هذه العلة بخبر عمرو بن جميع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الصلاة في المساجد المصوّرة،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أكره ذلك ولكن لا يضرّكم ذلك اليوم، ولو قد قام العدل لرأيتم كيف يصنع في ذلك</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 xml:space="preserve">لكن ضعف الخبر يجعل ما 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صحيحاً مضافاً إلى ما يمكن أن يقال من النقض عليه ببعض النصوص التي صدرت عن أئمة متأخرين كالإمام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يكن ذلك الاحتمال موجوداً لظهور أمر التوحيد وإنما ضعفنا هذا الرد الثاني باعتبار أن عودة عوام الناس إلى عبادة هياكل القديسين والأنبياء والأولياء العظام من دون الله تعالى واتخاذها وسائط للفيض الإلهي أمر يسير ويجد استجابة لدعوته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ولكن الفكرة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أعني تأثير الزمان والمكان وجملة من العوامل وراء النص أي التي لا تظهر من ألفاظه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ودلّت عليها عدة روايات ففي نهج البلاغة أنه سُئل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غيّروا الشيب ولا تشبّهوا باليهود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والدين قُل، وأما الآن وقد اتسع نطاقُه، وضربَ بجرانه، فامرؤٌ وما اختار</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 إكمال الدين بسنده عن محمد بن جعفر الأسدي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فيما ورد عليّ من الشيخ محمد بن عثمان في جواب مسائلي إلى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ما سألت عنه من أمر المصلي والنار والصورة والسراج بين يديه هل تجوز صلاته؟ فإن الناس اختلفوا في ذلك قبلك، فإنه جائز لمن لم يكن من أولاد عبدة الأصنام </w:t>
      </w:r>
      <w:bookmarkStart w:id="129" w:name="pg8133_62691"/>
    </w:p>
    <w:p>
      <w:pPr>
        <w:pStyle w:val="BookText"/>
        <w:rPr/>
      </w:pPr>
      <w:bookmarkEnd w:id="129"/>
      <w:r>
        <w:rPr>
          <w:rFonts w:ascii="Amiri" w:hAnsi="Amiri" w:eastAsia="Amiri" w:cs="Amiri"/>
          <w:color w:val="111111"/>
          <w:sz w:val="28"/>
          <w:sz w:val="28"/>
          <w:szCs w:val="28"/>
          <w:rtl w:val="true"/>
          <w:lang w:bidi="ar-SA"/>
        </w:rPr>
        <w:t>والنيران أن يصلي والنار والصورة والسراج بين يديه، ولا يجوز ذلك لمن كان من أولاد عبدة الأصنام والنيران</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الفقيه عن عمر بن أذينة عن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سألتهعن المريض كيف يسجد؟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خُمرةٍ أو على مروحة أو على سواك يرفع إليه، وهو أفضل من الإيماء، إنما كره من كره السجود على المروحة من أجل الأوثان التي كانت تُعبد من دون الله، وإنّا لم نعبد غير الله قط، فاسجدوا على المروحة وعلى السواك وعلى عود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ومن مصاديقها الأحكام التي صدرت بالولاية، واكتشاف هذه العوامل المؤثرة لا يكون بالظن والاستحسان والقياس وتنقيح المناط ونحوها من الطرق غير المعتبرة، بل لا بد من قرائن معتبرة على هذا الحمل والتفصيل موكول إلى محله من علم الأصول</w:t>
      </w:r>
      <w:r>
        <w:rPr>
          <w:rFonts w:eastAsia="Amiri" w:cs="Amiri" w:ascii="Amiri" w:hAnsi="Amiri"/>
          <w:color w:val="111111"/>
          <w:sz w:val="28"/>
          <w:szCs w:val="28"/>
          <w:rtl w:val="true"/>
          <w:lang w:bidi="ar-SA"/>
        </w:rPr>
        <w:t>.</w:t>
      </w:r>
    </w:p>
    <w:p>
      <w:pPr>
        <w:pStyle w:val="Heading5"/>
        <w:numPr>
          <w:ilvl w:val="4"/>
          <w:numId w:val="1"/>
        </w:numPr>
        <w:rPr/>
      </w:pPr>
      <w:bookmarkStart w:id="130" w:name="__RefHeading___Toc8193073_1051229030"/>
      <w:bookmarkStart w:id="131" w:name="_Toc48"/>
      <w:bookmarkEnd w:id="130"/>
      <w:r>
        <w:rPr>
          <w:rtl w:val="true"/>
        </w:rPr>
        <w:t>المسألة الحادية عشرة</w:t>
      </w:r>
      <w:r>
        <w:rPr>
          <w:rtl w:val="true"/>
        </w:rPr>
        <w:t xml:space="preserve">: </w:t>
      </w:r>
      <w:r>
        <w:rPr>
          <w:rtl w:val="true"/>
        </w:rPr>
        <w:t>جعل الاحكام على نحو القضية الحقيقية</w:t>
      </w:r>
      <w:r>
        <w:rPr>
          <w:rtl w:val="true"/>
        </w:rPr>
        <w:t>.</w:t>
      </w:r>
      <w:bookmarkEnd w:id="131"/>
    </w:p>
    <w:p>
      <w:pPr>
        <w:pStyle w:val="BookText"/>
        <w:rPr/>
      </w:pPr>
      <w:r>
        <w:rPr>
          <w:rFonts w:ascii="Amiri" w:hAnsi="Amiri" w:eastAsia="Amiri" w:cs="Amiri"/>
          <w:color w:val="111111"/>
          <w:sz w:val="28"/>
          <w:sz w:val="28"/>
          <w:szCs w:val="28"/>
          <w:rtl w:val="true"/>
          <w:lang w:bidi="ar-SA"/>
        </w:rPr>
        <w:t xml:space="preserve">من المسائل المبحوثة في علم الأصول ان الاحكام الشرعية مجعولة على نحو القضية الحقيقية التي يكون موضوعها مقدر الوجود ام على نحو القضية الخارجية التي يكون موضوعها محقق الوجود ؟ وقد ذهب سماحة الشيخ الأستاذ مع المشهور في كون اغلبها مجعولة على نحو القضية الحقيقية ، وقد جاء ذلك في الجزء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مسالة طهارة الكحول ، اذ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والقولان الثالث والرابع وإن اختلفا مفهوماً إلا أنهما متّحدان مصداقاً فإن ما تعارف شربه هو ما يسمى خمراً عرفاً، لكن دليل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bookmarkStart w:id="132" w:name="pg8133_62692"/>
    </w:p>
    <w:p>
      <w:pPr>
        <w:pStyle w:val="BookText"/>
        <w:rPr/>
      </w:pPr>
      <w:bookmarkEnd w:id="132"/>
      <w:r>
        <w:rPr>
          <w:rFonts w:ascii="Amiri" w:hAnsi="Amiri" w:eastAsia="Amiri" w:cs="Amiri"/>
          <w:color w:val="111111"/>
          <w:sz w:val="28"/>
          <w:sz w:val="28"/>
          <w:szCs w:val="28"/>
          <w:rtl w:val="true"/>
          <w:lang w:bidi="ar-SA"/>
        </w:rPr>
        <w:t xml:space="preserve">على هذه النتيجة مختلف عن دليلنا فإنه لمّا كان دليله على النجاسة صحيحة علي بن مهزيار بعد تساقط الطائفتين المتعارضتين أفاد في تقريب الاستدلال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الصحيحة إنما دلّت على نجاسة خصوص النبيذ المسكر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دلالة لها على المدّعى وهو نجاسة كل مسكر وإن لم يتعارف شربه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يعتمد على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ورد في نجاستها لابتلائهابالمعارض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المسكر ينصرف إلى المسكرات المتعارف شربها وأما ما لم يتعارف شربه بين الناس أو لم يمكن شربه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يوجب الإسكار على تقدير شربه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أمر خارج عن إطلاق المسكر في الموثقة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موثّقة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بلحاظ عدم تحققه في زمان تحريم الخمر والمسكر لأنه إنما وُجدَ في الأعصار المتأخرة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المادة الألكلية المعروفة بالسبرتو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أن انصراف المطلق إلى فرد لا يقيّده به وهو ما بنى عليه في علم الأصول إلا أن يدّعى ظهوره فيه وانصرافه عمّا سواه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فدعوى انصراف المسكر عن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المسكر غير المتعارف شربه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بمستبعدة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الأحكام الشرعية مأخوذة على نحو القضايا الحقيقية لا الخارجية، فما دام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منطبقاً على المادة المستحدثة جرى عليها حكمه وإن لم تكن معروفة في زمن صدور النصّ</w:t>
      </w:r>
      <w:r>
        <w:rPr>
          <w:rFonts w:eastAsia="Amiri" w:cs="Amiri" w:ascii="Amiri" w:hAnsi="Amiri"/>
          <w:color w:val="111111"/>
          <w:sz w:val="28"/>
          <w:szCs w:val="28"/>
          <w:rtl w:val="true"/>
          <w:lang w:bidi="ar-SA"/>
        </w:rPr>
        <w:t>.</w:t>
      </w:r>
    </w:p>
    <w:p>
      <w:pPr>
        <w:pStyle w:val="Heading5"/>
        <w:numPr>
          <w:ilvl w:val="4"/>
          <w:numId w:val="1"/>
        </w:numPr>
        <w:rPr/>
      </w:pPr>
      <w:bookmarkStart w:id="133" w:name="__RefHeading___Toc8193075_1051229030"/>
      <w:bookmarkStart w:id="134" w:name="_Toc49"/>
      <w:bookmarkEnd w:id="133"/>
      <w:r>
        <w:rPr>
          <w:rtl w:val="true"/>
        </w:rPr>
        <w:t>المسألة الثانية عشرة</w:t>
      </w:r>
      <w:r>
        <w:rPr>
          <w:rtl w:val="true"/>
        </w:rPr>
        <w:t xml:space="preserve">: </w:t>
      </w:r>
      <w:r>
        <w:rPr>
          <w:rtl w:val="true"/>
        </w:rPr>
        <w:t>فتوى الفقيه وحكم الحاكم الشرعي</w:t>
      </w:r>
      <w:r>
        <w:rPr>
          <w:rtl w:val="true"/>
        </w:rPr>
        <w:t>.</w:t>
      </w:r>
      <w:bookmarkEnd w:id="134"/>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ركزت الأبحاث الأصولية على بيان قواعد استنباط الاحكام الشرعية من أدلتها المعتبرة ؛ لان هذا هو الغرض من علم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ما يصدر عن الفقهاء من فتاوى فهو استنباط لذلك الحكم الشرعي من أدلته المعتبرة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هناك ما يسمى بأحكام الحاكم الشرعي ، فان الفقيه لا يصدرها بما هو مفتٍ بل بما هو حاكم شرعي ، وهذه الاحكام لم يتم تسليط الضوء عليها وعلى قواعدها بالقدر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امتاز به بحث سماحة الشيخ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إلقاء الضوء على هذا الموضوع ، حيث بيّن الفرق بين الفتوى وحكم الحاكم ، ثم ذكر اقسام احكام الحاكم الشرعي ، ومما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الفرق بين الفتوى وحكم الحاكم ما جاء في الجزءالرابع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مسالة طرق ثبوت الهلال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تلخيص الفروق بين الفتوى والحكم بأمور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حيث طبيعتهما وموردهما، فإن الفتوى إخبار عن حكم الله تعالى في موضوع ما حتى لو كان افتراضياً باستنباطه من أدلته التفصيلية حتى لو كان بصيغة الجملة الإنشائية كمن سأل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إناءين وقعت في أحدهما نجاسة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اهريقهما وتيمم وطبيعتها كلية حتى لو وردت في واقعة جزئية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الحكم فهو إنشاء لرأي الحاكم في قضية معينة بإلزامٍ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أمر زيداً بدفع مال لعمرو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حكم بحرية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قولاً وهذا واضح أو عملاً كما لو قام الحاكم وأطلق مسجوناً دليلاً على براءته من خلال إجراء وتطبيق القوانين والأحكام الشرعية على واقعة خاصة وإنفاذها حتى لو كان بصيغة الجملة الخبرية كما لو قال حكمت بكذا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يختص الحكم الإنشائي بالخصومات والمرافعات بل يشمل الأحكام العامة التي تتعلق بالمصالح العامة كالحكم بوجوب الجهاد أو إقامة صلاة الجمعة ونحو ذلك مما يرجع إلى حفظ النظام الاجتماعي العام</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ضوء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بغضّ النظر عن القول بالولاية العامة للفقيه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 </w:t>
      </w:r>
    </w:p>
    <w:p>
      <w:pPr>
        <w:pStyle w:val="BookText"/>
        <w:rPr/>
      </w:pPr>
      <w:r>
        <w:rPr>
          <w:rFonts w:ascii="Amiri" w:hAnsi="Amiri" w:eastAsia="Amiri" w:cs="Amiri"/>
          <w:color w:val="111111"/>
          <w:sz w:val="28"/>
          <w:sz w:val="28"/>
          <w:szCs w:val="28"/>
          <w:rtl w:val="true"/>
          <w:lang w:bidi="ar-SA"/>
        </w:rPr>
        <w:t xml:space="preserve">الإشكال في كلام 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خصّ الحكم بمورد الخصومة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 بين الفتوى والحكم مع أن كلاً منهما إخبارٌ عن حكم الله تعالى يلزم المكلف اعتقاده من حيث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الفتوى مجرد إخبار عن الله تعالى بأن حكمه في هذه القضية كذا والحكم إنشاء إطلاق أو إلزامٍ مما يتنازع فيه الخصمان لمصالح المعاش</w:t>
      </w:r>
      <w:r>
        <w:rPr>
          <w:rFonts w:eastAsia="Amiri" w:cs="Amiri" w:ascii="Amiri" w:hAnsi="Amiri"/>
          <w:color w:val="111111"/>
          <w:sz w:val="28"/>
          <w:szCs w:val="28"/>
          <w:rtl w:val="true"/>
          <w:lang w:bidi="ar-SA"/>
        </w:rPr>
        <w:t>»</w:t>
      </w:r>
      <w:r>
        <w:rPr>
          <w:rStyle w:val="FootnoteAnchor"/>
          <w:rtl w:val="true"/>
        </w:rPr>
        <w:footnoteReference w:id="1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إلا أن يريد بالخصومة معناها العام الشامل لاختلال النظام وهو مستفاد من بيانه لوجه التقييد بمصالح المعاش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وبمصالح المعاش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تخرج العبادات، فإنه لا مدخل للحكم فيها، فلو حكم الحاكم بصحة صلاة زيد لم يلزم صحتها، بل إن كانت صحيحة في نفس الأمر فذاك، وإلا فهي فاسدة، وكذا الحكم بأن مال التجارة لا زكاة فيه أو أن الميراث لا خمس فيه، فإن الحكم به لا يرفع الخلاف بل لحاكم غيره أن يخالفه في ذلك، نعم لو اتصل بها أخذ الحاكم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للزكاة أو الخمس أي جبايتهما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حكم عليه بالوجوب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يجز نقضه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المجرد عن اتصال الآخذ إخبار، كالفتوى، وأخذه للفقراء حكم باستحقاقهم، فلا ينقض إذا كان في محل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اشتملت الواقعة على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احدهما من مصالح المعاد والآخر من مصالح المعاش، كما لو حكم بصحة حج من أدرك اضطراري المشعر وكان نائباً، فإنه لا اثر له في براءة ذمة النائب في نفس الأمر، ولكن يؤثر في عدم رجوعهم عليه بالأجرة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فالحكم يتضمن تطبيق الفتوى ويستند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ويترتب على هذا الفرق</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 الشرعي في الفتوى ينسب لله تعالى، وفي الحكم </w:t>
      </w:r>
    </w:p>
    <w:p>
      <w:pPr>
        <w:pStyle w:val="BookText"/>
        <w:rPr/>
      </w:pPr>
      <w:r>
        <w:rPr>
          <w:rFonts w:ascii="Amiri" w:hAnsi="Amiri" w:eastAsia="Amiri" w:cs="Amiri"/>
          <w:color w:val="111111"/>
          <w:sz w:val="28"/>
          <w:sz w:val="28"/>
          <w:szCs w:val="28"/>
          <w:rtl w:val="true"/>
          <w:lang w:bidi="ar-SA"/>
        </w:rPr>
        <w:t>الاصطلاحي للحاكم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الفتوى هي الملزم بها والمنفذّة، والحكم هو الإلزام بها وآلة تنفيذها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الفتوى يجوز نقضها للمجتهد الآخر في صورة ما إذا خالفه في المبنى والمستند، أي يشترط في نفوذ الفتوى تطابق المستند، ولا تجري على مقلّدي غيره، بخلاف الحكم فإنه ماضٍ في حقهما وإن اختلفت الفتوى ما لم ينكشف الخلاف ويحصل العلم بالخطأ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المجتهد الآخر الأخذ بالحكم ما دام صادراً من أهله وفي محله ولا يجب عليه الفحصعن صحة مستند الحكم، وكذلك على المقلد الأخذ بالحكم من دون الفحص عن الأعلمية مثلاً ونحوها من شرائط مرجع التقليد، بخلاف الفتوى فإنه لا يجوز للمجتهد الآخر الأخذ بها ما لم يفحص عن مستندها ويكون صحيحاً لديه ولا المقلد ما لم تكن من الأعلم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ذلك أن الغرض من الحكم المنع من حدوث الفوضى في المجتمع، وتوحيد المجتمع في رأي واحد وحكم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كانت الفتوى تنقض الحكم، فلا يمكن أن تنقطع الفوضى في المجتمع، لاختلاف المجتهدين في الرأي غالباً، واختلاف مبانيهم في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ويترتب على هذا أن الفتوى تنقض بالحكم، ولا ينقض الحكم بالفتوى بمعنى أن حكم الحاكم لما كان واجب الالتزام به حتى على غير مقلديه، وهم قد يرجعون إلى مجتهد مختلف معه في الفتوى فسريان حكم الحاكم عليهم يعني نقض فتوى مرجعهم بهذا الحكم</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الفتوى ليست حجة في الموضوعات، إذ ليس للمفتي إلا أن يخبر عن الأحكام الشرعية الكلية، والمقلد هو الذي ينظر في الموضوعات، وأمر تشخيص الموضوعات موكول إلى نظر العرف دون المجتهد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وذلك بعكس الحكم حيث يكون حجة في الموضوعات، فينفَذ حكم الحاكم في حرية شخص وكفر شخص وكون الأرض مسجداً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حكم بحرية شخص، فلا يجوز شراؤه واستعباده وإذا حكم بكون الأرض مسجداً فلا يجوز شراؤه وبيعه وإهداؤه وغير ذلك، وبناءً على هذا فقد قال المشهور أنه إذا حكم بثبوت هلال شوّال فلا يجوز صوم ذلك اليوم؛ لأن حكم الحاكم يجري في الموضوعات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وبالجملة فالفتوى ليس فيها منع للغير عن مخالفة مقتضاها من المفتي ولا من المستفتي، أما من المفتي فظاهر، وأمامن المستفتي فلأن المستفتي له أن يستفتي آخر، وإذا اختلفا عمل بقول الأعلم، ثم الأورع ثم يتخير مع التساوي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والحكم لما كان إنشاءً خاصاً في واقعة خاصة رفعَ الخلاف في تلك الواقعة بحيث لا يجوز لغيره نقضها كما لو حكم حاكم بتوريث ابن العم، ومنع العم للأب، وفي المسألة خال، فإنه يقتضي بخصوصه منع حاكم آخر بتوريث العم والخال في هذه المسألة لأنه لو جاز له نقضها لجاز لآخر نقض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وهلمّ جراً، فيؤدي إلى عدم استقرار الأحكام، وهو منافٍ للمصلحة التي لأجلها شرع نصب الحكام من نظم أمور أهل الإسلام، ولا يكون ذلك رفعاً للخلاف في سائر الوقائع المشتملة على مثل هذه الواقعة</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صاحب العروة الوثقى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والفرق بينه وبين الفتوى أن الفتوى عبارة عن بيان الأحكام الكلية من دون نظر إلى تطبيقها على مواردها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تكون حجة إلا على من يجب عليه تقليد المفتي بها، والعبرة </w:t>
      </w:r>
      <w:bookmarkStart w:id="135" w:name="pg8133_62697"/>
    </w:p>
    <w:p>
      <w:pPr>
        <w:pStyle w:val="BookText"/>
        <w:rPr/>
      </w:pPr>
      <w:bookmarkEnd w:id="135"/>
      <w:r>
        <w:rPr>
          <w:rFonts w:ascii="Amiri" w:hAnsi="Amiri" w:eastAsia="Amiri" w:cs="Amiri"/>
          <w:color w:val="111111"/>
          <w:sz w:val="28"/>
          <w:sz w:val="28"/>
          <w:szCs w:val="28"/>
          <w:rtl w:val="true"/>
          <w:lang w:bidi="ar-SA"/>
        </w:rPr>
        <w:t>في التطبيق إنما هي بنظره دون نظر المفتي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القضاء فهو الحكم بالقضايا الشخصية التي هي مورد الترافع والتشاجر، فيحكم القاضي بأن المال الفلاني لزيد أو أن المرأة الفلانية زوجة فلان وما شاكل ذلك، وهو نافذ على كل احد حتى إذا كان احد المتخاصمين أو كلاهما مجتهداً</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6" w:name="__RefHeading___Toc8193077_1051229030"/>
      <w:bookmarkStart w:id="137" w:name="_Toc50"/>
      <w:bookmarkEnd w:id="136"/>
      <w:r>
        <w:rPr>
          <w:rtl w:val="true"/>
        </w:rPr>
        <w:t>المسألة الثالثة عشرة</w:t>
      </w:r>
      <w:r>
        <w:rPr>
          <w:rtl w:val="true"/>
        </w:rPr>
        <w:t xml:space="preserve">: </w:t>
      </w:r>
      <w:r>
        <w:rPr>
          <w:rtl w:val="true"/>
        </w:rPr>
        <w:t>احكام الولي الفقيه</w:t>
      </w:r>
      <w:r>
        <w:rPr>
          <w:rtl w:val="true"/>
        </w:rPr>
        <w:t>.</w:t>
      </w:r>
      <w:bookmarkEnd w:id="137"/>
    </w:p>
    <w:p>
      <w:pPr>
        <w:pStyle w:val="BookText"/>
        <w:rPr/>
      </w:pPr>
      <w:r>
        <w:rPr>
          <w:rFonts w:ascii="Amiri" w:hAnsi="Amiri" w:eastAsia="Amiri" w:cs="Amiri"/>
          <w:color w:val="111111"/>
          <w:sz w:val="28"/>
          <w:sz w:val="28"/>
          <w:szCs w:val="28"/>
          <w:rtl w:val="true"/>
          <w:lang w:bidi="ar-SA"/>
        </w:rPr>
        <w:t xml:space="preserve">ومما تميز به فقه الخلاف لسماحة الشيخ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ماهية الاحكام التي تصدر عن الولي الفقيه ، فقد وجدنا ان تبنيه لمبدأ ولاية الفقيه قد انعكس على آرائه الفقهيةكما انعكس على التأصيل لهذه الاحكام ، وقد جاء في الجزء الحادي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الكلام عن توريث أولاد الأولاد مع وجود الولد المباشر بيان لماهية حكم الولي الفقيه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صعيد الحكم الثانوي بأمر الولي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نعني بهذا المستوى أن الفقيه ينطلق من المصلحة المشخّصة في إشراك أولاد الأولاد بالميراث فيأمر بذلك بالولاية –كما يظهر من بعض فقهاء العامة والقوانين الوضعية وستأتي الإشارة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المستند للولي الفقيه أثبتنا عدم صحته في بحث المشاركة في السلطة في كتاب الأمر بالمعروف والنهي عن المنكر، وإنما نعني بالعنوان وجود المسوّغ الشرعي الذي يستند إليه الولي الفقيه ضمن صلاحياته كما سنبين إن شاء الله تعالى</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أن من وظائف ولي الأمر مراعاة الإنصاف في تطبيق القوانين وتنفيذها؛ لأن العدالة التي روعيت في سنّها قد تحتاج في تطبيقها على </w:t>
      </w:r>
    </w:p>
    <w:p>
      <w:pPr>
        <w:pStyle w:val="BookText"/>
        <w:rPr/>
      </w:pPr>
      <w:r>
        <w:rPr>
          <w:rFonts w:ascii="Amiri" w:hAnsi="Amiri" w:eastAsia="Amiri" w:cs="Amiri"/>
          <w:color w:val="111111"/>
          <w:sz w:val="28"/>
          <w:sz w:val="28"/>
          <w:szCs w:val="28"/>
          <w:rtl w:val="true"/>
          <w:lang w:bidi="ar-SA"/>
        </w:rPr>
        <w:t>مواردها إلى هذا التدخل أحياناً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وبصياغة قانونية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الدين الإسلامي فيه مبادئ عامة ككلمة التوحيد وتوحيد الكلمة وكرامة الإنسان وحقه في الاختيار والعدالة والإحسان ومراعاة الفطرة الإنسانية وحقوق الإنسان وهذه بمثابة الدستور، وفيه قوانين وأحكام شرعية تفصيلية تسمى الشريعة، ويشترط في القوانين والأحكام أن لا تخالف مبادئ الدستور، والولي الفقيه هو القيّم على هذه الحالة المراقب لها، وهي من وظائفه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ولبيان هذه الفكرة الرائدة في الاستنباط الفقهي أنطلق من أساسين قرآنيين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الروايات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وَدَاوُودَ وَسُلَيْمَانَ إِذ يَحْكُمَانِ فِي الْحَرْثِ إِذْ نَفَشَتْ فِيهِ غَنَمُ الْقَوْمِ وَكُنَّا لِحُكْمِهِمْ شَاهِدِينَ،فَفَهَّمْنَاهَا سُلَيْمَانَ وَكُلاً آتَيْنَا حُكْماً وَعِلْماً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روى الكليني في الكافي بسنده عن أبي بصير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وَدَاوُودَ وَسُلَيْمَانَ إِذْ يَحْكُمَانِ فِي الْحَرْثِ إِذْ نَفَشَتْ فِيهِ غَنَمُ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يكون النفش إلا بالليل، إن على صاحب الحرث أن يحفظه بالنهار، وليس على صاحب الماشية حفظها بالنهار، وإنما رعيها بالنهار وأرزاقها، فما أفسدت فليس عليها، وعلى صاحب الماشية حفظ الماشية بالليل عن حرث الناس، فما أفسدت بالليل فقد ضمنوا، وهو النفش، وإن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للذي أصاب زرعه رقاب الغنم، وحكم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الرِسل والثَلَّة، وهو اللبن والصوف في ذلك العام</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مجمع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كرْماً وقد بدت عناقيده، فحكم داوود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بالغنم لصاحب الكرم، فقال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هذا يا نبي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يُدفع الكرم إلى صاحب الغنم فيقوم عليه حتى يعود كما كان، وتدفع الغنم إلى صاحب الكرم فيصيب منها، حتى إذا عاد الكرم كما كان ثم دفع كل واحد منهما إلى صاحبه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ذلك عن أبي جعفر وأبي عبد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حكم به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مقتضى العدل والضمان وبه جاءت شريعة الأنبياء السابقين –كما في روايات الحادثة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 يضرّ صاحب الغنم، أما ما حكم به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حافظ على مقتضى العدل وأوجب الضمان على المتلف إلا أنه بطريقة حفظت لصاحب الغنم غنمه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وتأسيساً على هذه الحادثة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واجبات ولي الأمر مراعاة الإنصاف إن لم نقل الإحسان في تطبيق القوانين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 بِالْعَدْلِ وَالإِحْسَانِ وَإِيتَاء ذِي الْقُرْبَى وَيَنْهَى عَنِ الْفَحْشَاء وَالْمُنكَرِ وَالْبَغْيِ يَعِظُكُمْ لَعَلَّكُمْ تَذَكَّرُونَ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أعطي الحاكم الشرعي مثلهذه الصلاحيات في عدة مواضع فقهية كعفوه عن مستحق الحد أو تأجيله في ظروف معينة، ومحل الشاهد أن تطبيق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الأقرب يمنع الأبعد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يكون ضمن هذه الحدود، علماً بأنه تتوفر المبررات الكافية لتدخل ولي الأمر والالتزام بدفع حصة الابن المتوفى إلى أولاده، لتنزيلهم منزلة الولد في النصوص لضعفهم وحاجتهم ودخولهم في ولاية الجد، مضافاً إلى التوصيات المؤكدة بهم مما تقدم في النحو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ذكرناه في هذه النقطة مستند إلى المسوّغات الشرعية، ولا يعني الحرية التامة له في تغيير القوانين بما يراه من المصالح؛ لأن عليه التعبد بها ولا يعلم المصالح والمفاسد الواقعية إلا الله تبارك وتعالى</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استفدناه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 مُعَقِّبَاتٌ مِّن بَيْنِ يَدَيْهِ وَمِنْ </w:t>
      </w:r>
    </w:p>
    <w:p>
      <w:pPr>
        <w:pStyle w:val="BookText"/>
        <w:rPr/>
      </w:pPr>
      <w:r>
        <w:rPr>
          <w:rFonts w:ascii="Amiri" w:hAnsi="Amiri" w:eastAsia="Amiri" w:cs="Amiri"/>
          <w:color w:val="111111"/>
          <w:sz w:val="28"/>
          <w:sz w:val="28"/>
          <w:szCs w:val="28"/>
          <w:rtl w:val="true"/>
          <w:lang w:bidi="ar-SA"/>
        </w:rPr>
        <w:t>خَلْفِهِ يَحْفَظُونَهُ مِنْ أَمْرِ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شرحناها في خطاب مستقل</w:t>
      </w:r>
      <w:r>
        <w:rPr>
          <w:rStyle w:val="FootnoteAnchor"/>
          <w:rtl w:val="true"/>
        </w:rPr>
        <w:footnoteReference w:id="152"/>
      </w:r>
      <w:r>
        <w:rPr>
          <w:rFonts w:ascii="Amiri" w:hAnsi="Amiri" w:eastAsia="Amiri" w:cs="Amiri"/>
          <w:color w:val="111111"/>
          <w:sz w:val="28"/>
          <w:sz w:val="28"/>
          <w:szCs w:val="28"/>
          <w:rtl w:val="true"/>
          <w:lang w:bidi="ar-SA"/>
        </w:rPr>
        <w:t>ومما قلت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تعالى عند كل أحد ملائكة تتعاقب عليه في جميع أوقاته وأحواله لتحفظه بأمر الله تعالى من أمر الله تعالى الذي قضى بجريان السنن والقوانين التي تحكم على الموجودات أن تؤثر فيه</w:t>
      </w:r>
    </w:p>
    <w:p>
      <w:pPr>
        <w:pStyle w:val="BookText"/>
        <w:rPr/>
      </w:pPr>
      <w:r>
        <w:rPr>
          <w:rFonts w:ascii="Amiri" w:hAnsi="Amiri" w:eastAsia="Amiri" w:cs="Amiri"/>
          <w:color w:val="111111"/>
          <w:sz w:val="28"/>
          <w:sz w:val="28"/>
          <w:szCs w:val="28"/>
          <w:rtl w:val="true"/>
          <w:lang w:bidi="ar-SA"/>
        </w:rPr>
        <w:t xml:space="preserve">مثلاً نزول المطر فيه غيث ورحمة للناس المزارعين وأمثالهم من المستفيدين، لكنه يضرّ شخصاً له بيت متهالك يسقط سقفه بنزول المطر، ولا يمكن أن تتوقف الإرادة الإلهية بإنزال المطر لأجل هذا المتضرر، فتقوم الملائكة بأمر الله بحفظ هذا المسكين من أمر الله، وكما أن الله تعالى يغلِّب رحمته بأمره تبارك وتعالى على عدله الذي هو من أمره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سبقت رحمته غضبه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رواية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يفسّر فيها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يَحْفَظُونَهُ مِنْ 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بأمر الله حتى إذا جاء القدر خلّوا بينه وبينه، يدفعونهإلى المقادير، وهما ملكان يحفظانه بالليل وملكان بالنهار يتعاقبانه</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ومثله حديث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نهج البلاغة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مع كل إنسان ملكين يحفظانه فإذا جاء القدر خليا بينه وبينه</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الملائكة موكّلة من قبل الله تعالى بحفظ الإنسان من جريان القوانين الطبيعية التي أودعها الله تعالى في الكون عدلاً ونظاماً على خلاف مصلحته وخيره رحمة به وفضلاً من الله تعالى عليه، إذ الإنسان أعجز من أن يواجه وحده كل تقلبات الكون وأحداثه وحوادثه والعوامل المؤثرة فيه </w:t>
      </w:r>
    </w:p>
    <w:p>
      <w:pPr>
        <w:pStyle w:val="BookText"/>
        <w:rPr/>
      </w:pPr>
      <w:r>
        <w:rPr>
          <w:rFonts w:ascii="Amiri" w:hAnsi="Amiri" w:eastAsia="Amiri" w:cs="Amiri"/>
          <w:color w:val="111111"/>
          <w:sz w:val="28"/>
          <w:sz w:val="28"/>
          <w:szCs w:val="28"/>
          <w:rtl w:val="true"/>
          <w:lang w:bidi="ar-SA"/>
        </w:rPr>
        <w:t>وهي كلها من أمر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الحقيقة التكوينية وهو أن القوانين الكونية التي تسير على طبق العدل والمصالح العامة قد تكون على خلاف مصلحة بعض الأفراد فلضمان الإنصاف والرحمة في تطبيقها جعل الله تبارك وتعالى على كل فرد ملائكة تتعاقبه لتحميه وتصونه من هذه الآثار والتداعيات إلى أن يقضي الله أمراً كان مفعولاً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هذه الحقيقة التكوينية ننتقل إلى الوظيفة الشرعية فإن القوانين الشرعية وضعت مراعية للعدل والمصالح العامة كقانون الأقرب أولى من الأبعد بالميراث، لكن الحاكم الشرعي يراقب التطبيقات التي هي وفق العدل لكنها إذا خالفت المبادئ العامة فإنه يتدخل للمحافظة على تلك المبادئ</w:t>
      </w:r>
      <w:r>
        <w:rPr>
          <w:rStyle w:val="FootnoteAnchor"/>
          <w:rtl w:val="true"/>
        </w:rPr>
        <w:footnoteReference w:id="1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تقتضي أيضاً أن يكون العدل منصفاً وإلا فإن الأخذ بالعدل قد يُعد سيئة أو ظلماً بنحو ما ولو على المستوى الأخلاقي، كما قيل في بعض وجوه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وَجَزَاء سَيِّئَةٍ سَيِّئَةٌ مِّثْلُهَا فَمَنْ عَفَا وَأَصْلَحَ فَأَجْرُهُ عَلَى اللَّهِ إِنَّهُ لا يُحِبُّ الظَّالِمِينَ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فسمّى الأخذ بالمثل سيئة، وهو عدل</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اعتَدَى عَلَيكُم فَاعتَدُوا عَلَيهِ بِمِثلِ مَا اعتَدَى </w:t>
      </w:r>
    </w:p>
    <w:p>
      <w:pPr>
        <w:pStyle w:val="BookText"/>
        <w:rPr/>
      </w:pP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سمّى الرد بالمثل عدواناً مع أنه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معتبرة حماد بن عثمان الواردة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يَصِلُونَ مَا أَمَرَ اللّهُ بِهِ أَن يُوصَلَ وَيَخْشَوْنَ رَبَّهُمْ وَيَخَافُونَ سُوءَ الحِسَابِ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 رجل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فشكا إليه رجلاً من أصحابه، فلم يلبث أن جاء المشكو، فقال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لفلان يشكوك؟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يشكوني أني استقصيت</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منه حقي،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أبو عبد الله مغضباً،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إذا استقضيت حقك لم تسئ؟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ما حكى الله عز وجل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يَخَافُونَ سُوءَ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أترى أنهم خافوا الله أن يجور عليهم أو يظلمهم؟ لا والله ما خافوا إلا الاستقصاء، فسمّاه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سُوءَ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استقصى فقد أساء</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المعاني لا ينافيها الوضع اللغوي لهذه المفردات؛ لأن ما يقابل العدل لغة هو الجور وليس الظلم، وهذه المقابلة مصرّح بها في النصوصففي رواية مسعدة بن صدقة عن جعفر بن محمد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عدل في وصيته كان كمن تصدّق بها في حياته، ومن جار في وصيته لقي الله عز وجل يوم القيامة وهو عنه معرض</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مرفوعة علي بن النعمان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دعائه إذا صعد الصفا واستقبل القبلة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أصبحت أتقي عدلك ولا أخاف جورك، فيا من </w:t>
      </w:r>
    </w:p>
    <w:p>
      <w:pPr>
        <w:pStyle w:val="BookText"/>
        <w:rPr/>
      </w:pPr>
      <w:r>
        <w:rPr>
          <w:rFonts w:ascii="Amiri" w:hAnsi="Amiri" w:eastAsia="Amiri" w:cs="Amiri"/>
          <w:color w:val="111111"/>
          <w:sz w:val="28"/>
          <w:sz w:val="28"/>
          <w:szCs w:val="28"/>
          <w:rtl w:val="true"/>
          <w:lang w:bidi="ar-SA"/>
        </w:rPr>
        <w:t>هو عدل لا يجور ارحمني</w:t>
      </w:r>
      <w:r>
        <w:rPr>
          <w:rFonts w:eastAsia="Amiri" w:cs="Amiri" w:ascii="Amiri" w:hAnsi="Amiri"/>
          <w:color w:val="111111"/>
          <w:sz w:val="28"/>
          <w:szCs w:val="28"/>
          <w:rtl w:val="true"/>
          <w:lang w:bidi="ar-SA"/>
        </w:rPr>
        <w:t>)</w:t>
      </w:r>
      <w:r>
        <w:rPr>
          <w:rStyle w:val="FootnoteAnchor"/>
          <w:rtl w:val="true"/>
        </w:rPr>
        <w:footnoteReference w:id="158"/>
      </w:r>
      <w:r>
        <w:rPr>
          <w:rFonts w:ascii="Amiri" w:hAnsi="Amiri" w:eastAsia="Amiri" w:cs="Amiri"/>
          <w:color w:val="111111"/>
          <w:sz w:val="28"/>
          <w:sz w:val="28"/>
          <w:szCs w:val="28"/>
          <w:rtl w:val="true"/>
          <w:lang w:bidi="ar-SA"/>
        </w:rPr>
        <w:t>، وغيرها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فيمكن للعدل أن يجتمع مع الظلم، وهذه المعاني تستحق مبحثاً مفصلاً</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والمهم أن نقول هنا أن وظيفة الحاكم الشرعي في القوانين التشريعية كوظيفة تلك الملائكة في الحالة التكوينية ومسألتنا من هذا القبيل فإن مقتضى القانون توريث الأقرب وحجب الأبعد، وتطبيقه في المقام توريث الابن المباشر دون ابن الابن لأنه الأقرب ولما كان هذا التطبيق مخالفاً لمبادئ الإنصاف والإحسان والوصية باليتيم فيتدخل الحاكم الشرعي وفق المسوغات المتقدمة ليفرض بالولاية لأولاد الأولاد حصة واسطتهم على نحو الوصية الواجبة مراعاة لإنصاف هؤلاء الضعاف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ولنا بعد هذين الأساسين القرآنيين وما سيأتي في النحو الرابع إن شاء الله تعالى شاهد على مثل هذه الوظيفة لولي الأمر من كتاب الميراث وهو ما ورد في طعمة جد الميت عندما لا يكون وارثاً لوجود واسطته إلى الميت وهما والدا الميت اللذان هما أقرب إليه منهما كصحيحة جميل بن دراج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أطعم الجدة أم الأمالسدس، وابنتها حية</w:t>
      </w:r>
      <w:r>
        <w:rPr>
          <w:rFonts w:eastAsia="IRNazanin" w:cs="IRNazanin"/>
          <w:color w:val="111111"/>
          <w:sz w:val="28"/>
          <w:szCs w:val="28"/>
          <w:rtl w:val="true"/>
          <w:lang w:bidi="fa-IR"/>
        </w:rPr>
        <w:t>)</w:t>
      </w:r>
      <w:r>
        <w:rPr>
          <w:rStyle w:val="FootnoteAnchor"/>
          <w:rtl w:val="true"/>
        </w:rPr>
        <w:footnoteReference w:id="160"/>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وصحيحة عبد الرحمن بن أبي عبد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دخلت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وعنده أبان بن تغلب،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أصلحك الله إن ابنتي هلكت، وأمي حيّة، فقال 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ليس لأمك شيء،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أعطها السدس</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وروايات أخرى غيرها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والملفت للنظر تعبير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والتسبيح يعني التنزيه، فالإمام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ينزّه الله تعالى عن الحكم بحرمان الجدة مع وجود الأب وهو ابنها الذي تتقرب به وهو حكم على طبق القواعد ومفاد الروايات، أي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ينزّه الله تبارك وتعالى عن تطبيق القانون من دون مراعاة المبادئ الإنسانية العليا، فيعطي للجدة حصة بالولاية وإن لم تستحقها بالميراث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إرث الجد مع الأبوين أو أحدهما هو المشهور بين الأصحاب، لا نعلم فيه مخالفاً إلا ابن الجنيد، فإنه جعل الفاضل عن سهام البنت والأبوين للجدين أو الجدتين، لكن على المشهور يستحب للأبوين أن يطعما أبويهما شيئاً من نصيبهما</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ابن الجنيد بالوجوب مطابق لظاهر الروايات؛ لأن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بإخراج السدس من دون استئذان الوارث، ولو كان الحكم الاستحباب فالمفروض إيكال أمره إلى المكلف لأنه حكم غير إلزامي ولا يستلزم الأمر بالإخراج، وهذا الوجوب لم يكن بالوصية لعدم الإشارة إليها في كل روايات الباب، فيتعين كون إطعام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بالولاية لأن الجد لا يرث هنا ولا كان موصى له، فنحن نتفق مع ابن الجنيد في الوجوب ونختلف معه في منشأه إذ جعله بالميراث ونحن بالأمر الولائي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ويتم تقريب الاستدلال بضم وحدة المناط بل الأولوية لأن ما نحن فيه –وهو رعاية حق أولاد الأولاد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أولى من الأجداد فإن كان أولئك –أي الأجداد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آباء فهؤلاء –أي أولاد الأولاد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أبناء لأنهما متضايفان، ولأنهم مجمعون على </w:t>
      </w:r>
    </w:p>
    <w:p>
      <w:pPr>
        <w:pStyle w:val="BookText"/>
        <w:rPr/>
      </w:pPr>
      <w:r>
        <w:rPr>
          <w:rFonts w:ascii="Amiri" w:hAnsi="Amiri" w:eastAsia="Amiri" w:cs="Amiri"/>
          <w:color w:val="111111"/>
          <w:sz w:val="28"/>
          <w:sz w:val="28"/>
          <w:szCs w:val="28"/>
          <w:rtl w:val="true"/>
          <w:lang w:bidi="ar-SA"/>
        </w:rPr>
        <w:t>ذلك هنا، ولهم بعد ذلك حق الضعف والعجز واليتم والحاجة ونحو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الشيخ الكليني عقب هذه الروايات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قد روي وهي أخبار صحيحة إلا أن إجماع العصابة أن منزلة الجد منزلة الأخ من الأب يرث ما يرث الأخ وإذا كانت منزلة الجد منزلة الأخ من الأب يرث ما يرث الأخ يجوز أنها أخبار خاصة إلا أنه أخبرني بعض أصحابنا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أطعم الجد السدس مع الأب ولم يعطه مع الولد، وليس هذا أيضاً مما يوافق إجماع العصابة أن منزلة الأخ والجد بمنزلة واحدة</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بكونها أخباراً خاصة أنها استثناء على خلاف القاعدة فتخصِّص العمومات، وليس هو الحكم الأولي في المسألة لأن الأب يمنع الجد من الميراث كما دلت عليه الروايات والقواعد، وهذا يعني ميله إلى الوجوب، ولو كان الحكم الاستحباب فإنه لا منافاة توجب التفسير بالاستثناء؛ لأن الاستحباب يجتمع مع مقتضى القاعدة وهو عدم وجوب نصيب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يسأل عن منشأ الخصوصية والوجوب والأقرب إلى فهم السياق أنه حكم ولائي مجعول من الشارع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هذه الروايات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تنافي ما قدمناه من الأخبار من أن الجد لا يستحق الميراث مع الأبوين لأن هذا إنما جعل للجد أو الجدة على جهة الطعمة لا على وجه الميراث، على أن الطعمة إنما تكون للجد أو الجدة إذا كان ولدهما حياً فأما مع عدمه فليس لها طعمةأيضاً</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صاحب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توجيه هذه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ويمكن الحمل </w:t>
      </w:r>
      <w:bookmarkStart w:id="138" w:name="pg8133_62706"/>
    </w:p>
    <w:p>
      <w:pPr>
        <w:pStyle w:val="BookText"/>
        <w:rPr/>
      </w:pPr>
      <w:bookmarkEnd w:id="138"/>
      <w:r>
        <w:rPr>
          <w:rFonts w:ascii="Amiri" w:hAnsi="Amiri" w:eastAsia="Amiri" w:cs="Amiri"/>
          <w:color w:val="111111"/>
          <w:sz w:val="28"/>
          <w:sz w:val="28"/>
          <w:szCs w:val="28"/>
          <w:rtl w:val="true"/>
          <w:lang w:bidi="ar-SA"/>
        </w:rPr>
        <w:t>على الجواز مع الأبوين لأن الطعمة على وجه الاستحباب لا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توجيه كلام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الإجماع على نفي الوجوب والاستحقاق فلا ينافي ثبوت الطعمة على وجه الاستحباب والظاهر أن هذا مراد الكليني من آخر كلامه</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ثابت على عدم استحقاق الأجداد مع وجود الوالدين من جهة الميراث، وهو لا ينافي استحقاقهما بعنوان آخر كالطعمة على نحو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وكلام الأصحاب لا يأبى الحمل عليه بل صرح ابن الجنيد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الوجه الذي ذكرناه لمراد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مما ذكره صاحب الوسائل من جهة عدم احتياج الاستحباب لتفسير أخباره بأنها خاصة لعدم المنافاة، ولكنه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عن الأخبار بكونها خاصة لأن تأويلها بما ذكرناه كان غير محدد في ذهنه، ولو أراد الاستحباب كما قرّب في الوسائل لذكره، ثم إن الاستحباب لا يجيز الإطعام حتى يأذن به المطعم ولا تشير الرواية إلى شيء من ذلك، لكن الأمر الملزم يمكن إخراجه بدون 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 أن هذا الشاهد تام</w:t>
      </w:r>
      <w:r>
        <w:rPr>
          <w:rFonts w:eastAsia="Amiri" w:cs="Amiri" w:ascii="Amiri" w:hAnsi="Amiri"/>
          <w:color w:val="111111"/>
          <w:sz w:val="28"/>
          <w:szCs w:val="28"/>
          <w:rtl w:val="true"/>
          <w:lang w:bidi="ar-SA"/>
        </w:rPr>
        <w:t>.</w:t>
      </w:r>
    </w:p>
    <w:p>
      <w:pPr>
        <w:pStyle w:val="Heading5"/>
        <w:numPr>
          <w:ilvl w:val="4"/>
          <w:numId w:val="1"/>
        </w:numPr>
        <w:rPr/>
      </w:pPr>
      <w:bookmarkStart w:id="139" w:name="__RefHeading___Toc8193079_1051229030"/>
      <w:bookmarkStart w:id="140" w:name="_Toc51"/>
      <w:bookmarkEnd w:id="139"/>
      <w:r>
        <w:rPr>
          <w:rtl w:val="true"/>
        </w:rPr>
        <w:t>المسألة الرابعة عشرة</w:t>
      </w:r>
      <w:r>
        <w:rPr>
          <w:rtl w:val="true"/>
        </w:rPr>
        <w:t xml:space="preserve">: </w:t>
      </w:r>
      <w:r>
        <w:rPr>
          <w:rtl w:val="true"/>
        </w:rPr>
        <w:t>حدود ولاية الفقيه</w:t>
      </w:r>
      <w:r>
        <w:rPr>
          <w:rtl w:val="true"/>
        </w:rPr>
        <w:t>.</w:t>
      </w:r>
      <w:bookmarkEnd w:id="140"/>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المعلوم ان هناك اتجاهًا يرى ثبوت الولاية للفقيه ، في قبال من لا يرى ذلك ، ولكن حتى القائلين بولاية الفقيه اختلفوا في مدى صلاحيات هذه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بين من يرى انهيمتلك نفس ولاية المعصوم فيكون وليًا على الأموال والأنفس ، وبين من يرى ان ولايته محدودة بالأمور العامة وتنظيم أحوال المجتمع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جاء بيان راي سماحة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فيوضاته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المسالة في الكلام الذي نقلناه في المسألة الثانية عشرة عندما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يختص الحكم الإنشائي بالخصومات والمرافعات بل يشمل الأحكام العامة التي تتعلق بالمصالح العامة كالحكم بوجوب الجهاد أو إقامة صلاة الجمعة ونحو ذلك مما يرجع إلى حفظ النظام الاجتماعي العام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نقلنا كلام سماحته عن هذه المسالة عند بيان انحاء أوامر ونواهي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قال سماحته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ولمزيد من الفائدة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الأوامر والنواهي المولوية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تكون مستندة إلى الولاية العامة على الأنفس والأموال ويمثلون له عادة بما لو أمر زيداً أن يطلق زوجته وهو أمر غير معهود في سيرتهم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نعم يمكن التمثيل له بنهي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أكل الحمر الأهلية في خيبر</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مثلاً أو النهي الوارد في رواية عمار الساباطي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 ولسليمان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حرّمت عليكم المتعة ما دمتم بالمدينة لأنكما تكثران الدخول عليّ وأخاف أن تؤخذا فيقال هؤلاء أصحاب جعفر</w:t>
      </w:r>
      <w:r>
        <w:rPr>
          <w:rFonts w:eastAsia="IRNazanin" w:cs="IRNazanin"/>
          <w:color w:val="111111"/>
          <w:sz w:val="28"/>
          <w:szCs w:val="28"/>
          <w:rtl w:val="true"/>
          <w:lang w:bidi="fa-IR"/>
        </w:rPr>
        <w:t>)</w:t>
      </w:r>
      <w:r>
        <w:rPr>
          <w:rStyle w:val="FootnoteAnchor"/>
          <w:rtl w:val="true"/>
        </w:rPr>
        <w:footnoteReference w:id="166"/>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وكنهي هشام بن سالم عن المناظرات</w:t>
      </w:r>
      <w:r>
        <w:rPr>
          <w:rStyle w:val="FootnoteAnchor"/>
          <w:rtl w:val="true"/>
        </w:rPr>
        <w:footnoteReference w:id="167"/>
      </w:r>
      <w:r>
        <w:rPr>
          <w:rFonts w:ascii="Amiri" w:hAnsi="Amiri" w:eastAsia="Amiri" w:cs="Amiri"/>
          <w:color w:val="111111"/>
          <w:sz w:val="28"/>
          <w:sz w:val="28"/>
          <w:szCs w:val="28"/>
          <w:rtl w:val="true"/>
          <w:lang w:bidi="ar-SA"/>
        </w:rPr>
        <w:t>وهذا النحو من الأمرتجب طاعته بلا إشكال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ويتفرع عن هذه الولاية العامة ولاية الأمور العامة التي فيها حفظ نظام المجتمع وإقامة الحق والعدل، وهي التي تنتقل إلى الفقيه الجامع للشرائط دون الأولى الخاصة بالمعصوم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حدود ولاية الفقيه وصلاحياته في الجزء التاسع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اذ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حدود ولاية الفقيه والأُطُر العامة لها هي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ما فوّضه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نوابهم وتقتضيه وظيفتهم الفقهية كالإفتاء والقضاء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 من وظائف ولي الأمر باعتباره راعياً للأمة وسائساً لأمور الناس من دون خصوصية للمعصوم في ممارستها، والتي يتعذر على الإمام المعصوم والحجة الغائب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 بها مباشرة لمنافاتها لمقتضى المصلحة الإلهية بإخفاء أمره على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يرجع إلى تدبير شؤون الناس ديناً ودنياً بحيث لا يرضى الشارع المقدس والعقلاء بإهمالها وتعطيلها ودلّ الدليل على اهتمام الشارع المقدس بإيجادها في الخارج مما يسمى بالأمور الحسبية والقدر المتيقن من المخاطبين هم الفقهاء</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وإنما قلنا بأن لها حدوداً للتقليل من المبالغة التي وردت في كلمات البعض كقول السيد الخميني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لكل منهم –أي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الولاية على أمور المسلمين، من بيت المال إلى إجراء الحدود، بل على نفوس المسلمين إذا اقتضت الحكومة التصرف فيها، فيكون لهم في الجهات المربوطة بالحكومة، كل ما كان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من بعده صلواتالله عليهم </w:t>
      </w:r>
    </w:p>
    <w:p>
      <w:pPr>
        <w:pStyle w:val="BookText"/>
        <w:rPr/>
      </w:pPr>
      <w:r>
        <w:rPr>
          <w:rFonts w:ascii="Amiri" w:hAnsi="Amiri" w:eastAsia="Amiri" w:cs="Amiri"/>
          <w:color w:val="111111"/>
          <w:sz w:val="28"/>
          <w:sz w:val="28"/>
          <w:szCs w:val="28"/>
          <w:rtl w:val="true"/>
          <w:lang w:bidi="ar-SA"/>
        </w:rPr>
        <w:t>أجمعين</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السعة في ولاية الأمور حتى على النفوس فيها مجازفة لأن عمل الحكومة مبني على المصالح المظنونة لعدم العلم بالملاكات الواقعية، ولم يثبت أن المصالح المظنونة التي يتوصل إليها غير المعصوم مبرِّرٌ كافٍ للتصرف في النفوس أو الأعراض أو الأموال لمجرد اقتضاء عمل الحكومة ذلك من دون دخولها في عنوان معلوم الحكم شرعاً، فهل يحق للولي الفقيه أن يأمر بذبح الهدي عن الحجاج في بلدانهم للاستفادة من لحومها بدل هدر ملايين الأضاحي في منى لوجود مصلحة في ذلك؟ وهل له أن يأمر بقتل شخص أو طلاق امرأة لأن المصلحة تقتضي ذلك؟ كما يصور بعض القائلين بالولاية العامة بأن له أن يطلق زوجة فلان ويأخذ أموال فلان من دون أن يسأل عن السبب لأنه ولي هذه الأمور كما سنبين إن شاء الله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فالقول بهذا المستوى من التفويض للفقهاء يحتاج إلى قوة قلب واطمئنان إلى حصول نور الفرقان في القلب ليميز بين الحق والباطل حتى يتبين له أنه الحق في كل قرار وموقف وإجراء،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إَن تَتَّقُواْ اللّهَ يَجْعَل لَّكُمْ فُرْقَاناً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على نفوس المسلمين إذا اقتضت الحكومة التصرف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للمعصومين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يحدث ولا في واقعة واحدة صدور تصرف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النفوس أو الأعراض أو الأموال بمقتضى ولايتهم محضاً أي ولو من دون انطباق عنوان أحد القوانين الشرعية المعمول بها ظاهراً، فالنبي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بقلع عذق سمرة لكن لأنه أصبح مضاراً ومنع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إقطاع الأراضي </w:t>
      </w:r>
    </w:p>
    <w:p>
      <w:pPr>
        <w:pStyle w:val="BookText"/>
        <w:rPr/>
      </w:pPr>
      <w:r>
        <w:rPr>
          <w:rFonts w:ascii="IRNazanin" w:hAnsi="IRNazanin" w:eastAsia="IRNazanin"/>
          <w:color w:val="111111"/>
          <w:sz w:val="28"/>
          <w:sz w:val="28"/>
          <w:szCs w:val="28"/>
          <w:rtl w:val="true"/>
          <w:lang w:bidi="fa-IR"/>
        </w:rPr>
        <w:t xml:space="preserve">واختصاص الماء مراعاة للعدالة، والإمام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بقتلفارس بن حاتم لكن لأنه كان فتّاناً مبتدعاً</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ولم تحصل حالة مثل قتل العبد الصالح للغلام والذي كان بالولاية محضاً التي منحها الله تبارك وتعالى له مما أوجب اعتراض النبي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نعم توجد حالات مماثلة كأمر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بقتل ذي الثدية حرقوص بن زهير لأنه سيمرق من الدين ويقود الخوارج إلا أن القتل لم يقع، وكأمر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هارون المكفوف أن يدخل التنور إلا أنه لم يحترق، وجعلت النار برداً وسلاماً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وللإنصاف فقد وجدنا في كلمات السيد الخميني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يشير إلى أنه لا يلتزم بهذه السعة لولاية الفقيه وإن هذه الصلاحيات خارجة تخصصاً لعدم شمول دليل ولاية الفقيه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ما ثبت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جهة ولايته وسلطنته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للفقيه، وأما ما ثبت لهم من غير هذه الناحية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الولاية على طلاق زوجة الرجل، أو بيع ماله، أو أخذه منه ولو لم تقتضه المصلحة العامة، لم يثبت ذلك للفقيه ولا دلالة للأدلة المتقدمة على ثبوتها له حتى يكون الخروج القطعي من قبيل التخصيص</w:t>
      </w:r>
      <w:r>
        <w:rPr>
          <w:rFonts w:eastAsia="IRNazanin" w:cs="IRNazanin"/>
          <w:color w:val="111111"/>
          <w:sz w:val="28"/>
          <w:szCs w:val="28"/>
          <w:rtl w:val="true"/>
          <w:lang w:bidi="fa-IR"/>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ينحصر الخلاف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أن الولي الفقيه له النظر المستقل في تقدير المصلحة العامة، وأن نظره كافٍ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لإعمال ولايته واتخاذ الإجراء المناسب، ونحن لا نقول بكفايته لعدم علم الفقيه بالمصالح الواقعية إلا أن يندرج الإجراء في أحد القوانين التي </w:t>
      </w:r>
    </w:p>
    <w:p>
      <w:pPr>
        <w:pStyle w:val="BookText"/>
        <w:rPr/>
      </w:pPr>
      <w:r>
        <w:rPr>
          <w:rFonts w:ascii="Amiri" w:hAnsi="Amiri" w:eastAsia="Amiri" w:cs="Amiri"/>
          <w:color w:val="111111"/>
          <w:sz w:val="28"/>
          <w:sz w:val="28"/>
          <w:szCs w:val="28"/>
          <w:rtl w:val="true"/>
          <w:lang w:bidi="ar-SA"/>
        </w:rPr>
        <w:t>سنذكرها وهي واسعة جداً، فيستكشف من انطباق بعض تلك العناوين عليه وجود المصلحة فيه، ومنها على سبيل المثال الضرر ففرق بين أن نشق شارعاً وما يستلزمه من هدم دور الناس واستملاك أراضيهممن أجل مصلحة تراها الحكومة أو أن نفعل ذلك لدفع ضرر وحرج على الناس إن لم ننفذ هذا المشروع أو اتخاذ قرار بمنع الحج فتارة يكون لتحقيق مصلحة سياسية معينة، وأخرى لوقاية الحجاج من خطر أمني محدق بهم أو وباء قاتل ونحو ذلك، فالثاني –في المثالين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مسوِّغ دون الأول بناءً على ما ذكرناه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فالفقهاء وإن كانوا نوّاباً 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ولاية أمور الأمة وفوّضوا لهم صلاحياتهم إلا أن ذلك ليس في كل شيء كأن يقول الفقيه أن المصلحة تقتضي كذا بغض النظر عن وجود عنوان شرعي ينطبق عليه فضلاً عن كونه على خلاف الأحكام الثابتة شرعاً</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ونستطيع تقريب عدة وجوه للاستدلال على هذا التحديد والتأطير لصلاحيات الولي الفقيه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نفس ما استدلوا به على ولاية الفقيه كمقبولة عمر بن حنظلة فإن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حكم بحكمنا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ومشهورة أبي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اجعلوا بينكم رجلاً قد عرف حلالنا وحرامنا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والتوقيع الشريف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فارجعوا فيها إلى رواة حديثنا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وكلها تتضمن وجود شاهد من النصوص الشرعية المأثورة على ما يحكم به الولي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إلى أحاديث أخرى كقول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لَهِيَ –أي النعل البالي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إليَّ من إمرتكم إلا أن أقيم حقاً –أي شريعة الله وأحكامه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أدفع باطلاً</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وهو ما سوى ذلك من الظنون التي لا تغني من الحق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عند الشك في جريان ولاية الفقيه وعدمه في موردٍ ما فإن الأصل يقتضي العدم لما أسسناه من أن الأصل عدم ولاية أحد على أحد إلا ما جعله الله تبارك وتعالى والمفروض عدم ثبوته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التصرف من دون عنوان شرعي أي إعمال الولاية لمجرد المصلحة قد يحرم بالعنوان الثانوي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سيدنا الأستاذ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مثلاً إذا كان ينتج من التصرف مفسدة عامة أو إيقاع شك في العقيدة أو ضرر شخصية بليغ بلا مبرر شرعي أو عقلائي فيكون ذلك التصرف حراماً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الضمان إذا ثبت عدم المبرر،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قلنا بجواز إتلافه –أي الولي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لأموال الغير بلا مبرر لم نقبل ببراءة ذمته للمال المضمون، بل يجب عليه دفع مثله أو قيمته إلى صاحبه</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جعل المصلحة مصححاً للفعل يسوقنا إلى تأسيس قواعد وفروع </w:t>
      </w:r>
      <w:bookmarkStart w:id="141" w:name="pg8133_62713"/>
    </w:p>
    <w:p>
      <w:pPr>
        <w:pStyle w:val="BookText"/>
        <w:rPr/>
      </w:pPr>
      <w:bookmarkEnd w:id="141"/>
      <w:r>
        <w:rPr>
          <w:rFonts w:ascii="Amiri" w:hAnsi="Amiri" w:eastAsia="Amiri" w:cs="Amiri"/>
          <w:color w:val="111111"/>
          <w:sz w:val="28"/>
          <w:sz w:val="28"/>
          <w:szCs w:val="28"/>
          <w:rtl w:val="true"/>
          <w:lang w:bidi="ar-SA"/>
        </w:rPr>
        <w:t xml:space="preserve">نسلّم ببطلانها كقانون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الغاية تبرر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أثبتنا عدم مشروعيته، وقد ثبت في علم الأصول بطلان الاستحسان والمصالح المرسلة كمستند للحكم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جعل المصلحة أساساً للعمل إذا صححناها بأحد الإجراءات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نقصد بها معنى صحيحاً كقول أستاذنا الشهيد الصدر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ونقصد بالمصلحة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الأمور العامة والاجتماعية التي يتعذّر على الأفراد القيام بها باستقلالهم أو قل بدون توجيه مركزي أو قيادي أو إدارة عامة كالجيش والشرطة والسجون والصحة العامة والمدارس وغيرها كثير</w:t>
      </w:r>
      <w:r>
        <w:rPr>
          <w:rFonts w:eastAsia="Amiri" w:cs="Amiri" w:ascii="Amiri" w:hAnsi="Amiri"/>
          <w:color w:val="111111"/>
          <w:sz w:val="28"/>
          <w:szCs w:val="28"/>
          <w:rtl w:val="true"/>
          <w:lang w:bidi="ar-SA"/>
        </w:rPr>
        <w:t>»</w:t>
      </w:r>
      <w:r>
        <w:rPr>
          <w:rStyle w:val="FootnoteAnchor"/>
          <w:rtl w:val="true"/>
        </w:rPr>
        <w:footnoteReference w:id="174"/>
      </w:r>
      <w:r>
        <w:rPr>
          <w:rFonts w:ascii="Amiri" w:hAnsi="Amiri" w:eastAsia="Amiri" w:cs="Amiri"/>
          <w:color w:val="111111"/>
          <w:sz w:val="28"/>
          <w:sz w:val="28"/>
          <w:szCs w:val="28"/>
          <w:rtl w:val="true"/>
          <w:lang w:bidi="ar-SA"/>
        </w:rPr>
        <w:t>لكن هذا المعنى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بالمصالح العامة المقطوع بها وليست الحدسية والمظنونة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مورد مراعاتها الأمور الإجرائية التنفيذية وليس بناء أصل القرار عليها كمشاورة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أصحابه قبل معركة أحد في أن الأصلح التحصّن بالمدينة أم الخروج لملاقاة مشركي قريش</w:t>
      </w:r>
      <w:r>
        <w:rPr>
          <w:rFonts w:eastAsia="IRNazanin" w:cs="IRNazanin"/>
          <w:color w:val="111111"/>
          <w:sz w:val="28"/>
          <w:szCs w:val="28"/>
          <w:rtl w:val="true"/>
          <w:lang w:bidi="fa-IR"/>
        </w:rPr>
        <w:t>.</w:t>
      </w:r>
    </w:p>
    <w:p>
      <w:pPr>
        <w:pStyle w:val="Heading5"/>
        <w:numPr>
          <w:ilvl w:val="4"/>
          <w:numId w:val="1"/>
        </w:numPr>
        <w:rPr/>
      </w:pPr>
      <w:bookmarkStart w:id="142" w:name="__RefHeading___Toc8193081_1051229030"/>
      <w:bookmarkStart w:id="143" w:name="_Toc52"/>
      <w:bookmarkEnd w:id="142"/>
      <w:r>
        <w:rPr>
          <w:rtl w:val="true"/>
        </w:rPr>
        <w:t>المسألة الخامسة عشرة</w:t>
      </w:r>
      <w:r>
        <w:rPr>
          <w:rtl w:val="true"/>
        </w:rPr>
        <w:t xml:space="preserve">: </w:t>
      </w:r>
      <w:r>
        <w:rPr>
          <w:rtl w:val="true"/>
        </w:rPr>
        <w:t>موارد اعمال ولاية الفقيه</w:t>
      </w:r>
      <w:r>
        <w:rPr>
          <w:rtl w:val="true"/>
        </w:rPr>
        <w:t>.</w:t>
      </w:r>
      <w:bookmarkEnd w:id="143"/>
    </w:p>
    <w:p>
      <w:pPr>
        <w:pStyle w:val="Heading6"/>
        <w:numPr>
          <w:ilvl w:val="5"/>
          <w:numId w:val="1"/>
        </w:numPr>
        <w:rPr/>
      </w:pPr>
      <w:bookmarkStart w:id="144" w:name="__RefHeading___Toc8193083_1051229030"/>
      <w:bookmarkStart w:id="145" w:name="_Toc53"/>
      <w:bookmarkEnd w:id="144"/>
      <w:r>
        <w:rPr>
          <w:rtl w:val="true"/>
        </w:rPr>
        <w:t>اشارة</w:t>
      </w:r>
      <w:bookmarkEnd w:id="145"/>
    </w:p>
    <w:p>
      <w:pPr>
        <w:pStyle w:val="BookText"/>
        <w:rPr/>
      </w:pPr>
      <w:r>
        <w:rPr>
          <w:rFonts w:ascii="Amiri" w:hAnsi="Amiri" w:eastAsia="Amiri" w:cs="Amiri"/>
          <w:color w:val="111111"/>
          <w:sz w:val="28"/>
          <w:sz w:val="28"/>
          <w:szCs w:val="28"/>
          <w:rtl w:val="true"/>
          <w:lang w:bidi="ar-SA"/>
        </w:rPr>
        <w:t xml:space="preserve">بعد ان بيّن سماحة الشيخ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حدود وصلاحيات الولي الفقيه ، ذكر موارد اعمال ولاية الفقيه في الجزء التاسع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اذ قال</w:t>
      </w:r>
      <w:r>
        <w:rPr>
          <w:rFonts w:eastAsia="Amiri" w:cs="Amiri" w:ascii="Amiri" w:hAnsi="Amiri"/>
          <w:color w:val="111111"/>
          <w:sz w:val="28"/>
          <w:szCs w:val="28"/>
          <w:rtl w:val="true"/>
          <w:lang w:bidi="ar-SA"/>
        </w:rPr>
        <w:t>:</w:t>
      </w:r>
    </w:p>
    <w:p>
      <w:pPr>
        <w:pStyle w:val="Heading6"/>
        <w:numPr>
          <w:ilvl w:val="5"/>
          <w:numId w:val="1"/>
        </w:numPr>
        <w:rPr/>
      </w:pPr>
      <w:bookmarkStart w:id="146" w:name="__RefHeading___Toc8193085_1051229030"/>
      <w:bookmarkStart w:id="147" w:name="_Toc54"/>
      <w:bookmarkEnd w:id="146"/>
      <w:r>
        <w:rPr>
          <w:rtl w:val="true"/>
        </w:rPr>
        <w:t>موارد إعمال ولاية الفقيه</w:t>
      </w:r>
      <w:r>
        <w:rPr>
          <w:rtl w:val="true"/>
        </w:rPr>
        <w:t>:</w:t>
      </w:r>
      <w:bookmarkEnd w:id="147"/>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يمكن تحليل الأطر العامة التي ذكرناها آنفاً إلى خطوط عريضة لولاية </w:t>
      </w:r>
    </w:p>
    <w:p>
      <w:pPr>
        <w:pStyle w:val="BookText"/>
        <w:rPr/>
      </w:pPr>
      <w:r>
        <w:rPr>
          <w:rFonts w:ascii="Amiri" w:hAnsi="Amiri" w:eastAsia="Amiri" w:cs="Amiri"/>
          <w:color w:val="111111"/>
          <w:sz w:val="28"/>
          <w:sz w:val="28"/>
          <w:szCs w:val="28"/>
          <w:rtl w:val="true"/>
          <w:lang w:bidi="ar-SA"/>
        </w:rPr>
        <w:t>الفقيه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الولاية الخاصة التي اتفق عليها الفقهاء وتسمى بالأمور الحسبية كرعاية أموال المفقود والقاصر وطلاق الممتنع وإرث من لا أرث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الواجبات التي سميناها بالاجتماعية كإقامة الجمعة والحدود وتنصيب القضاة وإعلان الجهاد وفرض التجنيد الإلزامي، وقبض الأموال العائدة للإمام وصرفها في مواردها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اتخاذ الموقف الواضح من الشبهات الموضوعية والموضوعات</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المستنبطة التي لها مساس بدين الناس ودنياهم لجمع أمر الناس ومنع التنازع كتحديد أوائل الشهور وكانتهاك المقدسات والاعتداء على بيضة الإسلام الموجب للدفاع المسلح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الأمور ذات النفع العام كالأوقاف العامة ومؤسسات الدولة والأموال العامة فلا يجوز التصرف فيها إلا بإذنه لضمان استعمالها فيما خصصت له من إعمار البلاد وصلاح العباد، فلو قررت الحكومة والبرلمان شيئاً ما ولم يحظ بموافقة الولي الفقيه فإنه غير نافذ</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فيه حفظ النظام الاجتماعي العام وتيسير أمور معيشة الناس كوضع القوانين المكلفة بذلك وكإجبار المحتكر على البيع وتسعير السلع الضرورية إذا أجحفت أسعارها بالناس ومحاسبة الفاسدين والمقصرين والأمر بإنشاء مؤسسات الدولة كالجيش والشرطة والمحاكم والسجون والوزارات الأخرى وبناء المستشفيات والجسور والمدارس وسائر المؤسسات الخدمية وشق الطرق ويمنح الإذن في استصلاح الأراضي وإحياء الموات واستخراج المعادن ذات المالية العامة بالكيفية والشروط التي تحفظ حقوق الناس جميعاً في الجيل الموجود والأجيال الآتية، أما </w:t>
      </w:r>
    </w:p>
    <w:p>
      <w:pPr>
        <w:pStyle w:val="BookText"/>
        <w:rPr/>
      </w:pPr>
      <w:r>
        <w:rPr>
          <w:rFonts w:ascii="Amiri" w:hAnsi="Amiri" w:eastAsia="Amiri" w:cs="Amiri"/>
          <w:color w:val="111111"/>
          <w:sz w:val="28"/>
          <w:sz w:val="28"/>
          <w:szCs w:val="28"/>
          <w:rtl w:val="true"/>
          <w:lang w:bidi="ar-SA"/>
        </w:rPr>
        <w:t xml:space="preserve">مباشرة أو بمنح الشرعية للسلطة الحاكمة، قال الشيخ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نصب الفقيه المنصوب من الإمام بالإذن العام سلطاناً أو حاكماً لأهل الإسلام لم يكن من حكام الجور كما كان ذلك في بني إسرائيل فإن حاكم الشرع والعرف كليهما منصوبان من حكم الشارع</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الضرر عن الناس في الحاضر والمستقبل كتوسيع الطرق الضيقة وهدم الأبنية الآيلة للسقوط ومنع التصرفات المضرّة بالآخرين كما في قضية عذق سمرة بن جندب تطبيقاً 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مراعاة الأولويات ودرء المفاسد وحفظ المصالح العليا المقطوع بها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كوحدة الشعب وحريته وكرامته واستقلال البلاد والتحفظ على ملاكات الأحكام وتقديم الأهم على المهم في موارد التزاحم مراعياً رضا الله تبارك وتعالى وصلاح العباد، كتحريم المجدد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لتناول التبغ لقطع يد الأجنبي عن بلاد المسلمين وثرواتهم، وكفرض الضرائب على السلع المستوردة لحماية المنتوج الوطني، أو منع تهريب الثروة الحيوانية إلى خارج البلاد لمنع ارتفاع أسعارها المجحف بالعامة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التدخل لضمان تفسير وتطبيق القوانين بشكل عادل ورحيم لأن التطبيق الحدّي قد يظلم أو يجحف، وشرحنا له مثالاً حرمان أولاد الولد المتوفى في حياة أبيه من الميراث إذا كان لهذا الجد أولاد مباشرون تطبيقاً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الأقرب يمنع الأبعد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أنها قاعدة عادلة في نفسها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إسقاط الحقوق والأحكام العامة إن وُجد المسوِّغ لذلك كإسقاط الحدود وإصدار العفو العام عن السجناء ونحو ذلك</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استخدام الوسائل المتاحة لتطبيق الشريعة الإسلامية في </w:t>
      </w:r>
    </w:p>
    <w:p>
      <w:pPr>
        <w:pStyle w:val="BookText"/>
        <w:rPr/>
      </w:pPr>
      <w:r>
        <w:rPr>
          <w:rFonts w:ascii="Amiri" w:hAnsi="Amiri" w:eastAsia="Amiri" w:cs="Amiri"/>
          <w:color w:val="111111"/>
          <w:sz w:val="28"/>
          <w:sz w:val="28"/>
          <w:szCs w:val="28"/>
          <w:rtl w:val="true"/>
          <w:lang w:bidi="ar-SA"/>
        </w:rPr>
        <w:t xml:space="preserve">كل شؤون الحياة والسعي لتوسيع دائرتها تحت عنوان الأمر بالمعروف والنهي عن المنكر والدعوة الى الله تبارك وتعالى وتبليغ الرسالة، ومنها المشاركة في العملية السياسية أو من خلال التأثير على الحكومة أو البرلمان لسنّ القوانين الصالحة وإلغاء الفاسدة وبذل الوسع في التقدم بالوسائل المتاحة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جَاهَدُوا فِينَا لَنَهْدِيَنَّهُمْ سُبُلَنَا وَإِنَّ اللَّهَ لَمَعَ الْمُحْسِنِينَ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تصل إلى تأسيس حكومة الإسلام، وقد ذهب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وجوب هذا التحرك،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فإقامة الحكومة وتشكيل أساس الدولة الإسلامية، من قبيل الواجب الكفائي على الفقهاء العدول، فإن وُفّق أحدهم لتشكيل الحكومة يجب على غيره الاتباع، وإن لم يتيسّر إلا باجتماعهم يجب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القيام مجتمعين</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في وجه ذلك ما يقرب مما نحن بصدده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الأحكام الإلهية –سواء الأحكام المربوطة بالماليات أو السياسيات أو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تنسخ، بل تبقى إلى يوم القيامة، ونفس بقاء تلك الأحكام يقضي بضرورة حكومة وولاية تضمن حفظ سيادة القانون الإلهي، وتتكفل بإجرائه، ولا يمكن إجراء أحكام الله إلا بها، لئلا يلزم الهرج والمرج</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وخلاصة النقاط المتقدمة أن ولاية الفقيه ليست عنواناً مستقلاً لإنشاء الأحكام طبقاً للمصالح ويكون حاكماً على العناوين الأولية كحكومة عنوان التقية والضرر والحرج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حكي عن السيد الخميني</w:t>
      </w:r>
      <w:r>
        <w:rPr>
          <w:rStyle w:val="FootnoteAnchor"/>
          <w:rtl w:val="true"/>
        </w:rPr>
        <w:footnoteReference w:id="178"/>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وتلميذهالشيخ </w:t>
      </w:r>
    </w:p>
    <w:p>
      <w:pPr>
        <w:pStyle w:val="BookText"/>
        <w:rPr/>
      </w:pPr>
      <w:r>
        <w:rPr>
          <w:rFonts w:ascii="Amiri" w:hAnsi="Amiri" w:eastAsia="Amiri" w:cs="Amiri"/>
          <w:color w:val="111111"/>
          <w:sz w:val="28"/>
          <w:sz w:val="28"/>
          <w:szCs w:val="28"/>
          <w:rtl w:val="true"/>
          <w:lang w:bidi="ar-SA"/>
        </w:rPr>
        <w:t xml:space="preserve">المنتظري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هو تطبيق للأحكام الأولية والثانوية والعمل في إطارها ويستمد صلاحياته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إجراء الأحكام الشرعية والعمل بمقتضى العناوين الثانوية من صلاحيات كل المكلفين ولا يختص بالفقيه كالتقية والضرر والحرج والاضطرار ونحو ذلك فما فرق الفقيه حينئذٍ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الفروق عديدة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أخذ المكلف بالعناوين الثانوية يكون في الأمور الشخصية أما الأمور العامة كالإضرار بالصالح العام فليس لسائر الناس تشخيصها أو اتخاذ الإجراء بإزائها إلا بإذن الولي الفقيه وإلا لزمت الفوضى</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تحقق العناوين الثانوية في الحالات العامة مما لا يتيسّر معرفته لآحاد الناس لعدم معرفتهم بسائر الحيثيات الدخيلة وحصول التزاحم بينها فيكون تحديدها من قبل الولي الفقيه</w:t>
      </w:r>
      <w:r>
        <w:rPr>
          <w:rFonts w:eastAsia="Amiri" w:cs="Amiri" w:ascii="Amiri" w:hAnsi="Amiri"/>
          <w:color w:val="111111"/>
          <w:sz w:val="28"/>
          <w:szCs w:val="28"/>
          <w:rtl w:val="true"/>
          <w:lang w:bidi="ar-SA"/>
        </w:rPr>
        <w:t xml:space="preserve">. </w:t>
      </w:r>
      <w:bookmarkStart w:id="148" w:name="pg8133_62718"/>
    </w:p>
    <w:p>
      <w:pPr>
        <w:pStyle w:val="Heading5"/>
        <w:numPr>
          <w:ilvl w:val="4"/>
          <w:numId w:val="1"/>
        </w:numPr>
        <w:rPr/>
      </w:pPr>
      <w:bookmarkStart w:id="149" w:name="__RefHeading___Toc8193087_1051229030"/>
      <w:bookmarkStart w:id="150" w:name="_Toc55"/>
      <w:bookmarkEnd w:id="148"/>
      <w:bookmarkEnd w:id="149"/>
      <w:r>
        <w:rPr>
          <w:rtl w:val="true"/>
        </w:rPr>
        <w:t>المسألة السادسة عشرة</w:t>
      </w:r>
      <w:r>
        <w:rPr>
          <w:rtl w:val="true"/>
        </w:rPr>
        <w:t xml:space="preserve">: </w:t>
      </w:r>
      <w:r>
        <w:rPr>
          <w:rtl w:val="true"/>
        </w:rPr>
        <w:t>شروط إنفاذ الفقيه لولايته</w:t>
      </w:r>
      <w:r>
        <w:rPr>
          <w:rtl w:val="true"/>
        </w:rPr>
        <w:t>.</w:t>
      </w:r>
      <w:bookmarkEnd w:id="150"/>
    </w:p>
    <w:p>
      <w:pPr>
        <w:pStyle w:val="BookText"/>
        <w:rPr/>
      </w:pPr>
      <w:r>
        <w:rPr>
          <w:rFonts w:ascii="Amiri" w:hAnsi="Amiri" w:eastAsia="Amiri" w:cs="Amiri"/>
          <w:color w:val="111111"/>
          <w:sz w:val="28"/>
          <w:sz w:val="28"/>
          <w:szCs w:val="28"/>
          <w:rtl w:val="true"/>
          <w:lang w:bidi="ar-SA"/>
        </w:rPr>
        <w:t xml:space="preserve">بيّن سماحته شروط نفوذ الولاية للفقيه في الجزء التاسع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لكن الفقيه الذي قلنا بثبوت الولاية العامة له لما كان غير معصوم ولا يتلقى علمه اللدني من الله تبارك وتعالى كالمعصوم وليس مطلعاً على الملاكات الواقعية من المصالح والمفاسد، هذا من جهة، ومن جهة أخرى فإن الصلاحيات التي تقتضيها ولايته قد تتسع حتى تبلغ ممارسة السلطة والحكم، فإنه لا يمكن التعاطي مع ولاية الفقيه كما نتعاطى مع ولاية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المطلقة لذا كان نفوذ ولايته ووجوب طاعته في الأوامر الولائية مشروطاً ومحدوداً، فالكلام في جهتين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يعود إلى ذات الفقيه وهي شروطمرجع التقليد وزيادة تقتضيها خطورة الوظيفة التي يتصدى لها وهي قيادة الأمة فيجب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ذا فطنة حتى لا يخدع أو يُستغفل أو تنطلي عليه أساليب المكر والخداع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شجاعاً قوي القلب حتى لا يتردد في اتخاذ القرارات الصعبة التي تتطلبها المسؤولية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ذا خبرة بشؤون الأمة مطلعاً على مجريات الأحداث حتى لا تلتبس عليه الأمور فيفرط في حقوق الأمة، ورد في الحديث الشريف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العالم بزمانه لا تهجم عليه اللوابس</w:t>
      </w:r>
      <w:r>
        <w:rPr>
          <w:rFonts w:eastAsia="IRNazanin" w:cs="IRNazanin"/>
          <w:color w:val="111111"/>
          <w:sz w:val="28"/>
          <w:szCs w:val="28"/>
          <w:rtl w:val="true"/>
          <w:lang w:bidi="fa-IR"/>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تتوفر فيه الصفات التي ذكرتها الآيات والروايات كقوله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جَاءكُمْ رَسُولٌ مِّنْ أَنفُسِكُمْ عَزِيزٌ عَلَيْهِ مَا عَنِتُّمْ حَرِيصٌ عَلَيْكُم بِالْمُؤْمِنِينَ رَؤُوفٌ 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شفيقاً على الأمة ورؤوفاً بها ومنصفاً للناس وحريصاً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على درجة عالية من الورع والتقوى وإنصاف الناس ليجعل الله تعالى له نوراً يميّز به القرار الصائب ويمنعه من التخبّط والعشوائية، ويعرف من خلاله الملاكات الواقعية للأحكام،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تَتَّقُواْ اللّهَ يَجْعَل لَّكُمْ فُرْقَاناً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يَتَّقِ اللَّهَ يَجْعَل لَّهُ مَخْرَجاً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يَجْعَل لَّهُ مِنْ أَمْرِهِ يُسْراً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يعود إلى غيره، كالذي قلته في الرسالة العملية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يفرض الفقيه ولايته على الأمة بالإكراه أو الادعاء كما ينقل عن البعض أن الفقيه إذا بسط ولايته وجبت طاعته، وإنّما يشترط تحقق إرادة الأمة واقتناعها بولايته، نعم، لا نقصد بالأمة كل الأمة ولا يتم اختيار الولي الفقيه بالانتخابات العامة لكل الناس وإنّما نقصد بالأمة أهل الخبرة والاختصاصمنها في هذا المجال وهم العلماء وكبار وأساتذة الحوزة العلمية الشريفة المتصفون بالورع والنزاهة والإنصاف والمعرفة بمتطلبات العمل الاجتماعي وتطبيق المشروع الإسلامي المبارك</w:t>
      </w:r>
      <w:r>
        <w:rPr>
          <w:rFonts w:eastAsia="Amiri" w:cs="Amiri" w:ascii="Amiri" w:hAnsi="Amiri"/>
          <w:color w:val="111111"/>
          <w:sz w:val="28"/>
          <w:szCs w:val="28"/>
          <w:rtl w:val="true"/>
          <w:lang w:bidi="ar-SA"/>
        </w:rPr>
        <w:t>»</w:t>
      </w:r>
      <w:r>
        <w:rPr>
          <w:rStyle w:val="FootnoteAnchor"/>
          <w:rtl w:val="true"/>
        </w:rPr>
        <w:footnoteReference w:id="180"/>
      </w:r>
      <w:r>
        <w:rPr>
          <w:rFonts w:ascii="IRNazanin" w:hAnsi="IRNazanin" w:eastAsia="IRNazanin"/>
          <w:color w:val="111111"/>
          <w:sz w:val="28"/>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فتوضع آلية لتشكيل هيئة أو مجلس لأهل الخبرة بالمواصفات المذكورة، وإذا شهد هؤلاء لفقيه بالأعلمية والخبرة والكفاءة لولاية أمور الأمة وكان لهم حضور قوي في الحوزة العلمية فمن الطبيعي أن تكون القاعدة الشعبية المؤمنة بقيادة هذا الفقيه واسعة بالدرجة التي تمكّنه من قيادة مشروع الإسلام العظيم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وقلت أيضاً في بعض أحاديثي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ويدل على هذا الشرط باختصار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إِكْرَاهَ فِي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يستطيع الفقيه فرضها على الأمة حتى ولو كان مستحقاً لها ثبوتاً وواقعاً، وتدل السيرة العملية للمعصومين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أنهم لم يُعملوا ولايتهم العامة لشؤون الأمة –مع أنها ثابتة لهم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بعد أخذ البيعة من الناس على السمع والطاعة، فإن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يُعمل ولايته لشؤون الناس ولم يقِم دولته المباركة في مكة وإنما أقامها في المدينة بعد أن بايعه أهلها على السمع والطاعة في بيعة العقبة الأولى والثانية وأن يمنعوه مما يمنعون منه نساءهم وأموالهم، بل تجد أن التكاليف الاجتماعية المرتبطة بظروف التمكين –كالجهاد وإقامة صلاة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تنزل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مكة لأنها ظروف استضعاف، وكذا أمير المؤمنين فإنه ما تصدى للخلافة إلا بعد أن ازدحم الناس على بيعته بعد مقتل الخليفة عثمان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مشيراً إلى هذا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والذي فلق الحبة وبرأ النسمة لولا حضور الحاضر وقيام الحجة بوجود الناصر وما أخذ الله على العلماء أن لا يقارّوا على كظّة ظالم ولا سغب مظلوم لألقيت حبلها على غاربها ولسقيت آخرها بكأس أولها، ولألفيتم دنياكم هذه أزهدعندي من عفطة عنز</w:t>
      </w:r>
      <w:r>
        <w:rPr>
          <w:rFonts w:eastAsia="IRNazanin" w:cs="IRNazanin"/>
          <w:color w:val="111111"/>
          <w:sz w:val="28"/>
          <w:szCs w:val="28"/>
          <w:rtl w:val="true"/>
          <w:lang w:bidi="fa-IR"/>
        </w:rPr>
        <w:t>)</w:t>
      </w:r>
      <w:r>
        <w:rPr>
          <w:rStyle w:val="FootnoteAnchor"/>
          <w:rtl w:val="true"/>
        </w:rPr>
        <w:footnoteReference w:id="181"/>
      </w:r>
      <w:r>
        <w:rPr>
          <w:rFonts w:ascii="Amiri" w:hAnsi="Amiri" w:eastAsia="Amiri" w:cs="Amiri"/>
          <w:color w:val="111111"/>
          <w:sz w:val="28"/>
          <w:sz w:val="28"/>
          <w:szCs w:val="28"/>
          <w:rtl w:val="true"/>
          <w:lang w:bidi="ar-SA"/>
        </w:rPr>
        <w:t>فلا يكفي ادعاء الولاية ولا بسطها من دون إرادة الأمة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وبهذه الالتفاتة الدقيقة نحل جملة من الإشكالات حول ولاية الفقيه كمسألة تعددهم في مجتمع واحد أو بسط ولاية فقيه مقيم في بلد على بلد آخر أو ما يحلو للبعض أن يقول أنه إذا ادعاها فقيه وجب على الآخرين طاعته والانقياد له لأن هذه الأمور ستحسم بقرارات من هيأة أهل </w:t>
      </w:r>
      <w:bookmarkStart w:id="151" w:name="pg8133_62721"/>
    </w:p>
    <w:p>
      <w:pPr>
        <w:pStyle w:val="BookText"/>
        <w:rPr/>
      </w:pPr>
      <w:bookmarkEnd w:id="151"/>
      <w:r>
        <w:rPr>
          <w:rFonts w:ascii="Amiri" w:hAnsi="Amiri" w:eastAsia="Amiri" w:cs="Amiri"/>
          <w:color w:val="111111"/>
          <w:sz w:val="28"/>
          <w:sz w:val="28"/>
          <w:szCs w:val="28"/>
          <w:rtl w:val="true"/>
          <w:lang w:bidi="ar-SA"/>
        </w:rPr>
        <w:t>الخبرة</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فأثر هذه البيعة في زمان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العهد على الناس بأن يطيعوه وينصروه لأنه مأمور بالعمل بالوسائل الطبيعية وليس بالإعجازية على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 فيكون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البيعة في زمان الغيبة والنيابة عن المعصوم فهي ضرورية لأكثر من 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لاكتشاف الفقيه الجامع لشروط ولاية أمر الأمة باعتباره غير معيّن بالنص الخاص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ولتقديمه إلى الأمة بهذا العنوان الذي يثبت وجوب طاعة المتصف به لتتحمل مسؤوليتها في طاعته ونصرته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ولقطع الطريق أمام من يدّعي هذا الموقع الشريف الخطير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وليتمكن من تطبيق الشريعة باختيار الناس وإرادتهم من دون قهر أو عنف أو قسر، بعد أن التزموا له بالطاعة والمتابعة</w:t>
      </w:r>
      <w:r>
        <w:rPr>
          <w:rFonts w:eastAsia="Amiri" w:cs="Amiri" w:ascii="Amiri" w:hAnsi="Amiri"/>
          <w:color w:val="111111"/>
          <w:sz w:val="28"/>
          <w:szCs w:val="28"/>
          <w:rtl w:val="true"/>
          <w:lang w:bidi="ar-SA"/>
        </w:rPr>
        <w:t>.</w:t>
      </w:r>
    </w:p>
    <w:p>
      <w:pPr>
        <w:pStyle w:val="Heading5"/>
        <w:numPr>
          <w:ilvl w:val="4"/>
          <w:numId w:val="1"/>
        </w:numPr>
        <w:rPr/>
      </w:pPr>
      <w:bookmarkStart w:id="152" w:name="__RefHeading___Toc8193089_1051229030"/>
      <w:bookmarkStart w:id="153" w:name="_Toc56"/>
      <w:bookmarkEnd w:id="152"/>
      <w:r>
        <w:rPr>
          <w:rtl w:val="true"/>
        </w:rPr>
        <w:t>المسألة السابعة عشرة</w:t>
      </w:r>
      <w:r>
        <w:rPr>
          <w:rtl w:val="true"/>
        </w:rPr>
        <w:t xml:space="preserve">: </w:t>
      </w:r>
      <w:r>
        <w:rPr>
          <w:rtl w:val="true"/>
        </w:rPr>
        <w:t>احكام الحاكم الشرعي</w:t>
      </w:r>
      <w:r>
        <w:rPr>
          <w:rtl w:val="true"/>
        </w:rPr>
        <w:t>.</w:t>
      </w:r>
      <w:bookmarkEnd w:id="153"/>
    </w:p>
    <w:p>
      <w:pPr>
        <w:pStyle w:val="BookText"/>
        <w:rPr/>
      </w:pPr>
      <w:r>
        <w:rPr>
          <w:rFonts w:ascii="Amiri" w:hAnsi="Amiri" w:eastAsia="Amiri" w:cs="Amiri"/>
          <w:color w:val="111111"/>
          <w:sz w:val="28"/>
          <w:sz w:val="28"/>
          <w:szCs w:val="28"/>
          <w:rtl w:val="true"/>
          <w:lang w:bidi="ar-SA"/>
        </w:rPr>
        <w:t xml:space="preserve">جاء في الجزء 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اقسام حكم الحاكم الشرعي ضمن الكلامفي مسالة ثبوت الهلال بحكم الحاكم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ان سماحته ذكرها باعتبارها أنواعاً للحكم بثبوت الهلال الا انها لا تختص بذلك المورد</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وبيّن سماحته انها على ثلاثة اقسام ، ونص كلام سماحته هو</w:t>
      </w:r>
      <w:r>
        <w:rPr>
          <w:rFonts w:eastAsia="Amiri" w:cs="Amiri" w:ascii="Amiri" w:hAnsi="Amiri"/>
          <w:color w:val="111111"/>
          <w:sz w:val="28"/>
          <w:szCs w:val="28"/>
          <w:rtl w:val="true"/>
          <w:lang w:bidi="ar-SA"/>
        </w:rPr>
        <w:t xml:space="preserve">: </w:t>
      </w:r>
      <w:bookmarkStart w:id="154" w:name="pg8133_62722"/>
    </w:p>
    <w:p>
      <w:pPr>
        <w:pStyle w:val="Heading5"/>
        <w:numPr>
          <w:ilvl w:val="4"/>
          <w:numId w:val="1"/>
        </w:numPr>
        <w:rPr/>
      </w:pPr>
      <w:bookmarkStart w:id="155" w:name="__RefHeading___Toc8193091_1051229030"/>
      <w:bookmarkStart w:id="156" w:name="_Toc57"/>
      <w:bookmarkEnd w:id="154"/>
      <w:bookmarkEnd w:id="155"/>
      <w:r>
        <w:rPr>
          <w:rtl w:val="true"/>
        </w:rPr>
        <w:t>أنواع الحكم بثبوت الهلال</w:t>
      </w:r>
      <w:r>
        <w:rPr>
          <w:rtl w:val="true"/>
        </w:rPr>
        <w:t>:</w:t>
      </w:r>
      <w:bookmarkEnd w:id="156"/>
    </w:p>
    <w:p>
      <w:pPr>
        <w:pStyle w:val="BookText"/>
        <w:rPr/>
      </w:pPr>
      <w:r>
        <w:rPr>
          <w:rFonts w:ascii="Amiri" w:hAnsi="Amiri" w:eastAsia="Amiri" w:cs="Amiri"/>
          <w:color w:val="111111"/>
          <w:sz w:val="28"/>
          <w:sz w:val="28"/>
          <w:szCs w:val="28"/>
          <w:rtl w:val="true"/>
          <w:lang w:bidi="ar-SA"/>
        </w:rPr>
        <w:t>إن حكم الحاكم الشرعي بثبوت الهلال يمكن أن يكون على ثلاثة أنحاء لا بد من بيانها لمعرفة محل النزاع ومصبّ الاستدلال، ولعل أحد مناشئ الاختلاف في المسألة عدم تحديد نحو الحكم المقصود فالذي نظر إليه المثبت غير الذي نظر إليه النافي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الحكم بثبوت الشهر بعد قيام الحجة المعتبرة عند الحاكم وهي الحالة المعتادة لمراجع التقليد وهو هنا يؤدي وظيفته كواحد من أهل الخبرة في تنقيح الموضوع لوجود خصوصيات في رؤية الهلال لا يعرفها إلا أهل الاختصاص وقد تقدمت ولأن التحقيق في ثبوت الشهر من الوظائف الاجتماعية التي يقتضيها مقامه كونه مقرباً إلى طاعة الله ومبعداً عن معصيته وهذا يستلزم هداية الأمة إلى صومها وفطرها ونحرها فهذان سببان يوجبان على الفقيه المتصدي لرعاية شؤون الأمة أن يتصدى لمسألة الهلال وتثبيت أوائل الشهور لذا كانت نتيجة انحراف الأمة عن قيادتها الشرعية تضييع ذلك وقد وردت عدة روايات في هذا المعنى منها ما ورد عن الإمام الصادق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ضرب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بالسيف فسقط ثم ابتُدر ليُقطع رأسه نادى منادٍ من بطنان العرش ألا أيتها الأمة المتحيرة الضالة بعد نبيها لا وفقكم الله لأضحى ولا لفطر</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والحجة حينئذٍ مستند حكم الحاكم لا الحكم نفسه فإنه لاموضوعية له ويكون أثره طريقياً، أي أن حجية قول الحاكم الشرعي في طول حجية مستنده كالبينة وليس في عرضها</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على نحو الحكم القضائي في باب المنازعات كما لو اتفق </w:t>
      </w:r>
    </w:p>
    <w:p>
      <w:pPr>
        <w:pStyle w:val="BookText"/>
        <w:rPr/>
      </w:pPr>
      <w:r>
        <w:rPr>
          <w:rFonts w:ascii="Amiri" w:hAnsi="Amiri" w:eastAsia="Amiri" w:cs="Amiri"/>
          <w:color w:val="111111"/>
          <w:sz w:val="28"/>
          <w:sz w:val="28"/>
          <w:szCs w:val="28"/>
          <w:rtl w:val="true"/>
          <w:lang w:bidi="ar-SA"/>
        </w:rPr>
        <w:t>الزوجان على نهاية الأجل عند ثبوت الهلال واختلفا في ثبوته تلك الليلة أو في حلول أجل الدين ونحو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على نحو الحكم الولائي، أي إعمالاً لولاية الفقيه ضمن حدودها التي تجري فيها كحفظ النظام الاجتماعي العام ودفع الضرر وتقديم الأهم على المهم وإقامة الفرائض ونحو ذلك فقد يصدر الحاكم الشرعي حكماً بثبوت الهلال بصفته وليّاً فقيهاً ضمن حدود صلاحياته لا بصفته مفتياً، كما لو رأى أن اختلاف مراجع الدين في الهلال يؤدي إلى فتنة في البلاد وتمزيق النسيج الاجتماعي فحكم بتحديد أول الشهر، أو أنه كان باسطاً ولايته في دولة كبيرة، ورؤي الهلال في أقصى جنوب الغرب وكان يستحيل رؤيته في أقصى شمال الشرق فإن وحدة البلاد تدعوه إلى جعل أول الشهر واحداً لجميع المواطنين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الفقهاء عنوان المسألة مجملاً فلم يتّضح منه المراد من الحكم في المسألة المبحوثة، أو التفريق بين الأنواع، والملحوظ في السيرة الجارية لدى الفقهاء هو الأول، وهو إلى الإخبار وتطبيق الفتوى أقرب وليس من موارد حكم الحاكم، فالمعمول به خارجاً ليس من موارد حكم الحاكم، وما هو من موارد حكم الحاكم غير معمول به خارجاً فيتّضح من ذلك مقدار الإجمال في المسألة</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وتوجد إشارة مختصرة لتعريف العنوان في كلام السيد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في رسالته العملية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ونريد بحكم الحاكم الشرعي اتخاذه قراراً بثبوت الشهر أو أمره للمسلمين بالعمل على هذا الأساس، وأما إذا حصلت لديه قناعة بثبوت الشهر ولكن لم يتّخذ قراراً ولم يُصدر أمراً للمسلمين بتحديد موقفهم العملي على هذا الأساس فلا تكون هذهالقناعة ملزمة إلا من اقتنع على أساسها وحصل لديه الاطمئنان الشخصي بسببها، </w:t>
      </w:r>
    </w:p>
    <w:p>
      <w:pPr>
        <w:pStyle w:val="BookText"/>
        <w:rPr/>
      </w:pPr>
      <w:r>
        <w:rPr>
          <w:rFonts w:ascii="Amiri" w:hAnsi="Amiri" w:eastAsia="Amiri" w:cs="Amiri"/>
          <w:color w:val="111111"/>
          <w:sz w:val="28"/>
          <w:sz w:val="28"/>
          <w:szCs w:val="28"/>
          <w:rtl w:val="true"/>
          <w:lang w:bidi="ar-SA"/>
        </w:rPr>
        <w:t>وفي حالة إصدار الحاكم الشرعي للحكم يجب اتباعه حتى على غير مقلديه ممن يؤمن بتوفر شروط الحاكم الشرعي فيه</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التمييز بين الاتجاهين ليس منوطاً بإرادة الفقيه فحسب كما يظهر من العبارة بل مما تقتضيه طبيعة المورد وفق التقسيم المتقدم، إلا إذا وُجِد المبرِّر لإصدار القرار في مورده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احتملنا أن النافين لثبوت الهلال بحكم الحاكم الشرعي لاحظوا مقتضى هذه السيرة الغالبة وهو ليس حكماً إنشائياً بل إخبار عن تطبيق الفتوى، ولذا لم يقولوا بسريانه لأنه مشروط بتطابق الفتوى، ولعلهم لا يجدون المورد من صلاحيات الحاكم الشرعي في إصدار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النوع الثاني فمحدود في باب المنازعات والثالث غير ملحوظ لهم، والشاهد على ذلك أنهم بعد أن أفتوا بنفوذ حكم الحاكم ووجوب اتباعه حتى على من لم يعرف صحة مستنده بل يكفي عدم العلم بخطئه استثنوا من وجوب الاتباع مَن علمَ بخطأ الحاكم وهو إنما يقال على الحكم القضائي لا الحكم الولائي الذي يجب أن يُطاع حتى لو علم بخطأ مستنده لأن القائل بولاية الفقيه يرى أنّ لحكم الولي الفقيه جهة موضوعية كالعناوين الثانوية تغير العنوان الأولي</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ضوء التفصيل المتقدم لأنواع الحكم نستطيع التوفيق بين المنع من ثبوت الهلال بحكم الحاكم وبين الالتزام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الاجتهاد والتقليد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جواز نقض حكم الحاكم الشرعي حتى لمجتهد غيره فإنهم يرون خروج حكم الحاكم في مسألة الهلال تخصصاً عن مسألة نفوذ حكم الحاكم لا تخصيصاً لأن حكم الهلال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بنوعه الأول وهو الذي جرى عليه عمل </w:t>
      </w:r>
    </w:p>
    <w:p>
      <w:pPr>
        <w:pStyle w:val="BookText"/>
        <w:rPr/>
      </w:pPr>
      <w:r>
        <w:rPr>
          <w:rFonts w:ascii="Amiri" w:hAnsi="Amiri" w:eastAsia="Amiri" w:cs="Amiri"/>
          <w:color w:val="111111"/>
          <w:sz w:val="28"/>
          <w:sz w:val="28"/>
          <w:szCs w:val="28"/>
          <w:rtl w:val="true"/>
          <w:lang w:bidi="ar-SA"/>
        </w:rPr>
        <w:t>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صغرى لهذه المسألة باعتبار أنه تنقيحللموضوع وتعبير عن القناعة التي توصل إليها المجتهد باعتباره من أهل الخبرة ولا تضمن إنشاء حكم لكن الإجمال في تعبيرهم هو الذي أنتج اختلاف الأقوال، فالسيد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التزم بعدم جواز نقض حكم الحاكم الشرعي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الاجتهاد والتقليد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من ثبوت الهلال بحكمه وقال في وجه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ينفذ حكم الحاكم ويحرم نقضه في غير موارد الترافع أيضاً كثبوت الهلال ونصب القيّم والمتولي ونحوها؟ يأتي عليه الكلام ونبين هناك انه لا دليل على نفوذ حكم الحاكم في غير موارد الترافع</w:t>
      </w:r>
      <w:r>
        <w:rPr>
          <w:rFonts w:eastAsia="Amiri" w:cs="Amiri" w:ascii="Amiri" w:hAnsi="Amiri"/>
          <w:color w:val="111111"/>
          <w:sz w:val="28"/>
          <w:szCs w:val="28"/>
          <w:rtl w:val="true"/>
          <w:lang w:bidi="ar-SA"/>
        </w:rPr>
        <w:t>»</w:t>
      </w:r>
      <w:r>
        <w:rPr>
          <w:rStyle w:val="FootnoteAnchor"/>
          <w:rtl w:val="true"/>
        </w:rPr>
        <w:footnoteReference w:id="185"/>
      </w:r>
      <w:r>
        <w:rPr>
          <w:rFonts w:ascii="Amiri" w:hAnsi="Amiri" w:eastAsia="Amiri" w:cs="Amiri"/>
          <w:color w:val="111111"/>
          <w:sz w:val="28"/>
          <w:sz w:val="28"/>
          <w:szCs w:val="28"/>
          <w:rtl w:val="true"/>
          <w:lang w:bidi="ar-SA"/>
        </w:rPr>
        <w:t xml:space="preserve">وأشار بذلك إلى قوله لاحقاً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هنا يظهر أن الفقيه ليس له الحكم بثبوت الهلال ولا نصب القيم أو المتولي من دون انعزالهما بموته، لأن هذا كله من شؤون الولاية المطلقة وقد عرفت عدم ثبوتها بدليل، وإنما الثابت أن له التصرف في الأمور التي لا بد من تحققها في الخارج</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يؤكّد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يقول بعدم ثبوت الهلال بحكم الحاكم الشرعي، لأنه لا يرى المورد مصداقاً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وبحسب التنوع المتقدم للأحكام، تتعدد حيثيات هذه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جهة طريقية محضة وليس للإنشاء أي موضوعية فيه كتعامل العلماء مع المسألة محل البحث فهي ليست إنشاءً وإنما إخبار عن تحقق الحجة المعتبرة على ثبوت الهلال، وهذا لا يكون حجة إلا على من يطمئن إلى صحة الطريق من حيث المستند والاستناد</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للإنشاء جهة موضوعية وطريقية كأحكام القضاء </w:t>
      </w:r>
    </w:p>
    <w:p>
      <w:pPr>
        <w:pStyle w:val="BookText"/>
        <w:rPr/>
      </w:pPr>
      <w:r>
        <w:rPr>
          <w:rFonts w:ascii="Amiri" w:hAnsi="Amiri" w:eastAsia="Amiri" w:cs="Amiri"/>
          <w:color w:val="111111"/>
          <w:sz w:val="28"/>
          <w:sz w:val="28"/>
          <w:szCs w:val="28"/>
          <w:rtl w:val="true"/>
          <w:lang w:bidi="ar-SA"/>
        </w:rPr>
        <w:t>الصادرة من الفقيه فإصدار الحكم له جهة موضوعية لأنه سبب للزوم ترتيب الأثر، وله جهة طريقية لأن الغرض منه الوصول إلى الحق والواقعبحسب المقدمات المتوفرة وحينئذٍ لا يجوز نقضها؛لجهتها الموضوعية إلا إذا عُلمَ مخالفتها للواقع لانتفاء طريقيتها</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فيها للإنشاء جهة موضوعية صرفة كالأحكام الصادرة بولاية الفقيه فإنه لا يجوز نقضها حتى لو عُلِمَ بمخالفتها للحكم الواقعي الأولي؛ لأن ولاية الفقيه سبب تام لإنشاء الأحكام عند القائل بها كالعناوين الثانوية</w:t>
      </w:r>
      <w:r>
        <w:rPr>
          <w:rFonts w:eastAsia="Amiri" w:cs="Amiri" w:ascii="Amiri" w:hAnsi="Amiri"/>
          <w:color w:val="111111"/>
          <w:sz w:val="28"/>
          <w:szCs w:val="28"/>
          <w:rtl w:val="true"/>
          <w:lang w:bidi="ar-SA"/>
        </w:rPr>
        <w:t xml:space="preserve">. </w:t>
      </w:r>
      <w:bookmarkStart w:id="157" w:name="pg8133_62727"/>
    </w:p>
    <w:p>
      <w:pPr>
        <w:pStyle w:val="Heading4"/>
        <w:numPr>
          <w:ilvl w:val="3"/>
          <w:numId w:val="1"/>
        </w:numPr>
        <w:rPr/>
      </w:pPr>
      <w:bookmarkStart w:id="158" w:name="__RefHeading___Toc8193093_1051229030"/>
      <w:bookmarkStart w:id="159" w:name="_Toc58"/>
      <w:bookmarkEnd w:id="157"/>
      <w:bookmarkEnd w:id="158"/>
      <w:r>
        <w:rPr>
          <w:rtl w:val="true"/>
        </w:rPr>
        <w:t>ثانيًا</w:t>
      </w:r>
      <w:r>
        <w:rPr>
          <w:rtl w:val="true"/>
        </w:rPr>
        <w:t xml:space="preserve">: </w:t>
      </w:r>
      <w:r>
        <w:rPr>
          <w:rtl w:val="true"/>
        </w:rPr>
        <w:t>التقية</w:t>
      </w:r>
      <w:bookmarkEnd w:id="159"/>
    </w:p>
    <w:p>
      <w:pPr>
        <w:pStyle w:val="Heading5"/>
        <w:numPr>
          <w:ilvl w:val="4"/>
          <w:numId w:val="1"/>
        </w:numPr>
        <w:rPr/>
      </w:pPr>
      <w:bookmarkStart w:id="160" w:name="__RefHeading___Toc8193095_1051229030"/>
      <w:bookmarkStart w:id="161" w:name="_Toc59"/>
      <w:bookmarkEnd w:id="160"/>
      <w:r>
        <w:rPr>
          <w:rtl w:val="true"/>
        </w:rPr>
        <w:t>اشارة</w:t>
      </w:r>
      <w:bookmarkEnd w:id="161"/>
    </w:p>
    <w:p>
      <w:pPr>
        <w:pStyle w:val="BookText"/>
        <w:rPr/>
      </w:pPr>
      <w:r>
        <w:rPr>
          <w:rFonts w:ascii="IRNazanin" w:hAnsi="IRNazanin" w:eastAsia="IRNazanin"/>
          <w:color w:val="111111"/>
          <w:sz w:val="28"/>
          <w:sz w:val="28"/>
          <w:szCs w:val="28"/>
          <w:rtl w:val="true"/>
          <w:lang w:bidi="fa-IR"/>
        </w:rPr>
        <w:t xml:space="preserve">يعد بحث التقية من الأبحاث المهمة ، والتي لها تأثير واضح في عملية استنباط الحكم الشرعي ، اذ ان كثيرًا من الروايات صدرت عن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تقيةً ، وهذا يعني ان مثل هذه الروايات لا تصلح لان يستنبط منها حكم شرعي ؛ لانها لا تعبر عن المراد الجدي للمعصوم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هنا برزت الحاجة لوضع القواعد والأسس التي نميز على وفقها مثل هذه الروايات</w:t>
      </w:r>
    </w:p>
    <w:p>
      <w:pPr>
        <w:pStyle w:val="BookText"/>
        <w:rPr/>
      </w:pPr>
      <w:r>
        <w:rPr>
          <w:rFonts w:ascii="Amiri" w:hAnsi="Amiri" w:eastAsia="Amiri" w:cs="Amiri"/>
          <w:color w:val="111111"/>
          <w:sz w:val="28"/>
          <w:sz w:val="28"/>
          <w:szCs w:val="28"/>
          <w:rtl w:val="true"/>
          <w:lang w:bidi="ar-SA"/>
        </w:rPr>
        <w:t xml:space="preserve">وسنحاول هنا إبراز كلمات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الموضوع من خلال ما جاء في أبحاث موسوعة فقه الخلاف في خمس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جراب النورة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إلقاء الخلاف بين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معايير صدور الخبر 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تقية في تحديد الموضوعات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اخر للتقية</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واليك تفاصيل هذه المسائل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جراب النورة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واحدة من طرق تمييز الاخبار الصادرة تقية إخبار الاصحاب عن ذلك ؛ اذ انهم كانوايعبّرون عن بعض هذه الاخبار بانها من جراب النورة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سماحة الشيخ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المسالة في اكثر من موضع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الجزء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مسالة تحديد سن البلوغ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 البعض بروايات الخمس عشرة لأن العمل بها أشهر حتى كاد أن يكون إجماعاً مضافاً إلى موافقتها للأصل وهو استصحاب عدم البلوغ حتى الحد الثاني وحمل السيد صاحب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الثلاث عشرة على التقية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فالعجب كل العجب من الكفاية حيث استوجه العمل بها مع عدم تصريح منه بقائل بها بالمرة</w:t>
      </w:r>
      <w:r>
        <w:rPr>
          <w:rFonts w:eastAsia="Amiri" w:cs="Amiri" w:ascii="Amiri" w:hAnsi="Amiri"/>
          <w:color w:val="111111"/>
          <w:sz w:val="28"/>
          <w:szCs w:val="28"/>
          <w:rtl w:val="true"/>
          <w:lang w:bidi="ar-SA"/>
        </w:rPr>
        <w:t>»</w:t>
      </w:r>
      <w:r>
        <w:rPr>
          <w:rStyle w:val="FootnoteAnchor"/>
          <w:rtl w:val="true"/>
        </w:rPr>
        <w:footnoteReference w:id="187"/>
      </w:r>
      <w:r>
        <w:rPr>
          <w:rFonts w:ascii="IRNazanin" w:hAnsi="IRNazanin" w:eastAsia="IRNazanin"/>
          <w:color w:val="111111"/>
          <w:sz w:val="28"/>
          <w:sz w:val="28"/>
          <w:szCs w:val="28"/>
          <w:rtl w:val="true"/>
          <w:lang w:bidi="fa-IR"/>
        </w:rPr>
        <w:t>، ودفعها –أي روايات الثلاث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استبعاد خفاء مثل ذلك على الأساطين، سيما مع معروفية ما يقع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تقية بين خواصّهم، حتى كان بعضهم يقول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أعطاك من جراب النورة</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ويشير بالفقرة الأخيرة إلى رواية سلمة بن محرز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مات وله عندي مال وله ابنة وله موالي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فأعط البنت النصف وأمسك عن الباقي، فلما جئت أخبرت أصحابنا بذلك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أعطاك من جراب النورة، فرجعت إليه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أصحابنا قالوا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أعطاك من جراب النورة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أعطيتك من جراب النورة، علمَ بها أحد؟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 البنت الباقي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وسائل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الفرائض والمواريث، أبواب ميراث ولاء العتق،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مجمع البحرين </w:t>
      </w:r>
      <w:r>
        <w:rPr>
          <w:rFonts w:eastAsia="IRNazanin" w:cs="IRNazanin"/>
          <w:color w:val="111111"/>
          <w:sz w:val="28"/>
          <w:szCs w:val="28"/>
          <w:rtl w:val="true"/>
          <w:lang w:bidi="fa-IR"/>
        </w:rPr>
        <w:t>(</w:t>
      </w:r>
      <w:r>
        <w:rPr>
          <w:rFonts w:eastAsia="IRNazanin" w:cs="IRNazanin"/>
          <w:color w:val="111111"/>
          <w:sz w:val="28"/>
          <w:szCs w:val="28"/>
          <w:lang w:bidi="fa-IR"/>
        </w:rPr>
        <w:t>3/506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أعطاك من جراب النورة لا من العين الصافية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الاستعارة، والأصل فيه أنه سأل سائل محتاج من حاكم قسي القلب شيئاً فعلق على رأسه جراب نورة عند فمه وأنفه كلما تنفس دخل في أنفه منها شيء، فصار مثلاً يضرب لكل مكروه غير مرضي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ضوء هذا قال الشيخ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تعالى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المكذوب منها لا ينتشر بكثرة الأسانيد، انتشار الصحيح المصدوق على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وما خرج للتقية لا تكثر روايته عنهم، كما تكثر رواية المعمول به، بل لا بد من الرجحان في أحد الطرفين على الآخر من جهة الرواة حسب ما ذكرته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تجمع العصابة على شيء كان الحكم فيه تقيةً ولا شيء دُلِّس فيه ووضع مخروصاً عليهم وكذب في إضافته إليهم،فإذا وجدنا أحد الحديثين متفقاً على العمل به دون الآخر علمنا أن الذي اتفق على العمل به هو الحق في ظاهره وباطنه، وإن الآخر غير معمول به، إما للقول فيه على وجه التقية، أو لوقوع الكذب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وإذا وجدنا حديثاً يرويه عشرة من أصحاب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يخالفه حديث آخر في لفظه ومعناه، ولا يصحّ الجمع بينهما على حال، رواه اثنان أو ثلاثة، قضينا بما رواه العشرة ونحوهم على الحديث الذي رواه الاثنان أو الثلاثة، وحملنا ما رواه القليل على وجه التقية أو توهم ناقله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تصحيح الاعتقاد</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تبريز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استطردنا في ذكر هذه المباني لأنها جارية في أبواب الفقه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2" w:name="pg8133_62729"/>
    </w:p>
    <w:p>
      <w:pPr>
        <w:pStyle w:val="BookText"/>
        <w:rPr/>
      </w:pPr>
      <w:bookmarkEnd w:id="162"/>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الجزء الخامس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البحث في ما تجب فيه الزكاة ،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بعض الأكابر من الرواة كزرارة ومحمد بن مسلم الذين نقلوا روايات الإمامين الصادقين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حصرت الزكاة في الأربع، هم أنفسهم نقلوا روايات ثبوت الزكاة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لغيرها، فنقلهم ينافي صدوره تقية، وقد عُرف عنهم أنهم إذا نقلوا رواية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 تقية يعرّضون فيها ويقولون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من جراب النورة</w:t>
      </w:r>
      <w:r>
        <w:rPr>
          <w:rFonts w:eastAsia="IRNazanin" w:cs="IRNazanin"/>
          <w:color w:val="111111"/>
          <w:sz w:val="28"/>
          <w:szCs w:val="28"/>
          <w:rtl w:val="true"/>
          <w:lang w:bidi="fa-IR"/>
        </w:rPr>
        <w:t>).</w:t>
      </w:r>
    </w:p>
    <w:p>
      <w:pPr>
        <w:pStyle w:val="Heading5"/>
        <w:numPr>
          <w:ilvl w:val="4"/>
          <w:numId w:val="1"/>
        </w:numPr>
        <w:rPr/>
      </w:pPr>
      <w:bookmarkStart w:id="163" w:name="__RefHeading___Toc8193097_1051229030"/>
      <w:bookmarkStart w:id="164" w:name="_Toc60"/>
      <w:bookmarkEnd w:id="163"/>
      <w:r>
        <w:rPr>
          <w:rtl w:val="true"/>
        </w:rPr>
        <w:t>المسألة الثانية</w:t>
      </w:r>
      <w:r>
        <w:rPr>
          <w:rtl w:val="true"/>
        </w:rPr>
        <w:t xml:space="preserve">: </w:t>
      </w:r>
      <w:r>
        <w:rPr>
          <w:rtl w:val="true"/>
        </w:rPr>
        <w:t>إلقاء الخلاف بين الشيعة</w:t>
      </w:r>
      <w:r>
        <w:rPr>
          <w:rtl w:val="true"/>
        </w:rPr>
        <w:t>.</w:t>
      </w:r>
      <w:bookmarkEnd w:id="164"/>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يتصور البعض ان الخبر الصادر تقية هو خصوص الخبر الموافق لرأي </w:t>
      </w:r>
    </w:p>
    <w:p>
      <w:pPr>
        <w:pStyle w:val="BookText"/>
        <w:rPr/>
      </w:pPr>
      <w:r>
        <w:rPr>
          <w:rFonts w:ascii="IRNazanin" w:hAnsi="IRNazanin" w:eastAsia="IRNazanin"/>
          <w:color w:val="111111"/>
          <w:sz w:val="28"/>
          <w:sz w:val="28"/>
          <w:szCs w:val="28"/>
          <w:rtl w:val="true"/>
          <w:lang w:bidi="fa-IR"/>
        </w:rPr>
        <w:t>العامة على اختلاف مذاهبهم ، اما اذا كان موافقا لبعضهم دون بعض فلا يكون تقية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رفض شيخنا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المعيار لتمييز اخبار التقية اذ ان الخبر قد يكون موافقا لبعض العامة ومخالفا لبعضهم الاخر ومع ذلك يكون تقية ؛ لان بعض الاخبار صدرت عن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بداعي إلقاء الخلاف بين شيعتهم ؛ لحمايتهم من الظلمة ، مع ان العامة غير متفقين على راي واحد في نفس تلك المسالة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ذكر سماحته هذا المعنى في الجزء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عند البحث في مسالة مفطرية رمس الرأس، حيث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بركاته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شيخنا الأستاذ الفياض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الرد على هذا الترجيح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ودعوى أن الموثقة موافقة للعامة، والصحيحة مخالفة لهم فلا بد من تقديم الصحيحة عليها تطبيقاً للترجيح بمخالفة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تطبيق هذا الترجيح منوط بكون الموثقة موافقة لكل مذاهب العامة على نحو لا تكون مندوحة للتخلص عن الحمل عليها، وأما إذا كانت موافقة لبعضها ومخالفة لبعضها الآخر فلا مقتضي لحملها على التقية تطبيقاً للترجيح بمخالفة العامة لتوفر الطريق للتخلص عنها والمقام من هذا القبيل فجواز الارتماس وعدم بطلان الصوم به ليس أمراً اتفاقياً لدى العامة كلاً، فإذن لا موجب لحملها على التقية لإمكان التخلص عنها</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رددنا على مثل هذا الدفع فيما تقدم بأن الحمل على التقية لا يشترط فيه ذلك، لأن التقية قد تقتضي إلقاء الخلاف بين الشيعة لدفع كيد الظالم فيجيب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بأجوبة مختلفة يكون الحق منها أحدها والأخرى </w:t>
      </w:r>
      <w:bookmarkStart w:id="165" w:name="pg8133_62731"/>
    </w:p>
    <w:p>
      <w:pPr>
        <w:pStyle w:val="BookText"/>
        <w:rPr/>
      </w:pPr>
      <w:bookmarkEnd w:id="165"/>
      <w:r>
        <w:rPr>
          <w:rFonts w:ascii="Amiri" w:hAnsi="Amiri" w:eastAsia="Amiri" w:cs="Amiri"/>
          <w:color w:val="111111"/>
          <w:sz w:val="28"/>
          <w:sz w:val="28"/>
          <w:szCs w:val="28"/>
          <w:rtl w:val="true"/>
          <w:lang w:bidi="ar-SA"/>
        </w:rPr>
        <w:t>تشابه أقوالاً عند غيرهم وإن لم يكن متفقاً عليها</w:t>
      </w:r>
      <w:r>
        <w:rPr>
          <w:rFonts w:eastAsia="Amiri" w:cs="Amiri" w:ascii="Amiri" w:hAnsi="Amiri"/>
          <w:color w:val="111111"/>
          <w:sz w:val="28"/>
          <w:szCs w:val="28"/>
          <w:rtl w:val="true"/>
          <w:lang w:bidi="ar-SA"/>
        </w:rPr>
        <w:t>.</w:t>
      </w:r>
    </w:p>
    <w:p>
      <w:pPr>
        <w:pStyle w:val="Heading5"/>
        <w:numPr>
          <w:ilvl w:val="4"/>
          <w:numId w:val="1"/>
        </w:numPr>
        <w:rPr/>
      </w:pPr>
      <w:bookmarkStart w:id="166" w:name="__RefHeading___Toc8193099_1051229030"/>
      <w:bookmarkStart w:id="167" w:name="_Toc61"/>
      <w:bookmarkEnd w:id="166"/>
      <w:r>
        <w:rPr>
          <w:rtl w:val="true"/>
        </w:rPr>
        <w:t>المسألة الثالثة</w:t>
      </w:r>
      <w:r>
        <w:rPr>
          <w:rtl w:val="true"/>
        </w:rPr>
        <w:t xml:space="preserve">: </w:t>
      </w:r>
      <w:r>
        <w:rPr>
          <w:rtl w:val="true"/>
        </w:rPr>
        <w:t>معايير صدور الخبر تقية</w:t>
      </w:r>
      <w:r>
        <w:rPr>
          <w:rtl w:val="true"/>
        </w:rPr>
        <w:t>.</w:t>
      </w:r>
      <w:bookmarkEnd w:id="167"/>
    </w:p>
    <w:p>
      <w:pPr>
        <w:pStyle w:val="BookText"/>
        <w:rPr/>
      </w:pPr>
      <w:r>
        <w:rPr>
          <w:rFonts w:ascii="Amiri" w:hAnsi="Amiri" w:eastAsia="Amiri" w:cs="Amiri"/>
          <w:color w:val="111111"/>
          <w:sz w:val="28"/>
          <w:sz w:val="28"/>
          <w:szCs w:val="28"/>
          <w:rtl w:val="true"/>
          <w:lang w:bidi="ar-SA"/>
        </w:rPr>
        <w:t xml:space="preserve">عندما تتعارض الاخبار ، يكون رمي بعضها بالتقية طريقا لعلاج التعارض ، ولكن شيخناالأستاذ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اعتبر ان هذا التعامل يعد تسامحا في إهمال الروايات ؛ ولذا فانه عمل على وضع معايير لتمييز الخبر الصادر تقية عن غيره ، وقد جاء ذلك في مسالة ما تجب فيه الزكاة ، الجزء الخامس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p>
    <w:p>
      <w:pPr>
        <w:pStyle w:val="Heading5"/>
        <w:numPr>
          <w:ilvl w:val="4"/>
          <w:numId w:val="1"/>
        </w:numPr>
        <w:rPr/>
      </w:pPr>
      <w:bookmarkStart w:id="168" w:name="__RefHeading___Toc8193101_1051229030"/>
      <w:bookmarkStart w:id="169" w:name="_Toc62"/>
      <w:bookmarkEnd w:id="168"/>
      <w:r>
        <w:rPr>
          <w:rtl w:val="true"/>
        </w:rPr>
        <w:t>ونص كلام سماحته هناك هو</w:t>
      </w:r>
      <w:r>
        <w:rPr>
          <w:rtl w:val="true"/>
        </w:rPr>
        <w:t>:</w:t>
      </w:r>
      <w:bookmarkEnd w:id="169"/>
    </w:p>
    <w:p>
      <w:pPr>
        <w:pStyle w:val="BookText"/>
        <w:rPr/>
      </w:pPr>
      <w:r>
        <w:rPr>
          <w:rFonts w:ascii="IRNazanin" w:hAnsi="IRNazanin" w:eastAsia="IRNazanin"/>
          <w:color w:val="111111"/>
          <w:sz w:val="28"/>
          <w:sz w:val="28"/>
          <w:szCs w:val="28"/>
          <w:rtl w:val="true"/>
          <w:lang w:bidi="fa-IR"/>
        </w:rPr>
        <w:t xml:space="preserve">قد استغربنا في مواضيع عديدة من تسامح الفقهاء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أرواحهم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إهمال عدد كبير من روايات أهل بيت العصمة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 مسألة لأدنى ملابسة من التقية وهي خسارة في هذا المعين الصافي، من دون سبب يذكر إلا العجز عن فهم الروايات والعلاقة بينها ووضع كل رواية في موضعها المناسب من هذا البناء الشامخ لفقه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هذه المسألة، فإن حمل المجموعة الأخيرة على التقية وإهمالها غير مبرر لعدة أمور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الروايات تأبى الحمل على التقية لما فيها من البيان المفصّل والتعليل كما في صحيحة زرارة التي هي مثل صحيحة محمد بن مسلم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صحيحة زرارة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ما كيل بالصاع فبلغ الأوساق فعليه الزكاة،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الصدقة في كل شيء أنبتت الأرض إلا ما كان في الخضر والبقول، وكل شيء يفسد من يومه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زيادة ، حين يتبرع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بإعطاء قاعدة كلية بعد أن عدّ </w:t>
      </w:r>
    </w:p>
    <w:p>
      <w:pPr>
        <w:pStyle w:val="BookText"/>
        <w:rPr/>
      </w:pPr>
      <w:r>
        <w:rPr>
          <w:rFonts w:ascii="IRNazanin" w:hAnsi="IRNazanin" w:eastAsia="IRNazanin"/>
          <w:color w:val="111111"/>
          <w:sz w:val="28"/>
          <w:sz w:val="28"/>
          <w:szCs w:val="28"/>
          <w:rtl w:val="true"/>
          <w:lang w:bidi="fa-IR"/>
        </w:rPr>
        <w:t xml:space="preserve">الحبوب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ما كيل بالصاع فبلغ الأوساق فعليه الزكاة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يستدل عليه بتشريع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الصدقة في كل شيء أنبتت الأرض إلا ما كان في الخضر والبقول وكل شيء يفسد من يومه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ولماذا ينسب الجعل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يكنواقعياً؟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وكما في رواية أبي بصير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حيث لم يكتف الإمام بإيجاب الزكاة في الأرز بل أضاف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ذلك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المدينة لم تكن يومئذٍ أرض أرز فيقال فيه ولكنه قد جعل فيه وكيف لا يكون فيه وعامة خراج العراق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ما في معتبرة زرارة </w:t>
      </w:r>
      <w:r>
        <w:rPr>
          <w:rStyle w:val="FootnoteAnchor"/>
          <w:rtl w:val="true"/>
        </w:rPr>
        <w:footnoteReference w:id="192"/>
      </w:r>
      <w:r>
        <w:rPr>
          <w:rFonts w:ascii="Amiri" w:hAnsi="Amiri" w:eastAsia="Amiri" w:cs="Amiri"/>
          <w:color w:val="111111"/>
          <w:sz w:val="28"/>
          <w:sz w:val="28"/>
          <w:szCs w:val="28"/>
          <w:rtl w:val="true"/>
          <w:lang w:bidi="ar-SA"/>
        </w:rPr>
        <w:t>حيث</w:t>
      </w:r>
    </w:p>
    <w:p>
      <w:pPr>
        <w:pStyle w:val="BookText"/>
        <w:rPr/>
      </w:pPr>
      <w:r>
        <w:rPr>
          <w:rFonts w:ascii="IRNazanin" w:hAnsi="IRNazanin" w:eastAsia="IRNazanin"/>
          <w:color w:val="111111"/>
          <w:sz w:val="28"/>
          <w:sz w:val="28"/>
          <w:szCs w:val="28"/>
          <w:rtl w:val="true"/>
          <w:lang w:bidi="fa-IR"/>
        </w:rPr>
        <w:t xml:space="preserve">سُئل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الدخن فأجاب بالوجوب على جميع الحبوب</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ما في صحيحة محمد بن إسماعيل </w:t>
      </w:r>
      <w:r>
        <w:rPr>
          <w:rStyle w:val="FootnoteAnchor"/>
          <w:rtl w:val="true"/>
        </w:rPr>
        <w:footnoteReference w:id="193"/>
      </w:r>
      <w:r>
        <w:rPr>
          <w:rFonts w:ascii="IRNazanin" w:hAnsi="IRNazanin" w:eastAsia="IRNazanin"/>
          <w:color w:val="111111"/>
          <w:sz w:val="28"/>
          <w:sz w:val="28"/>
          <w:szCs w:val="28"/>
          <w:rtl w:val="true"/>
          <w:lang w:bidi="fa-IR"/>
        </w:rPr>
        <w:t xml:space="preserve">إذ يسأل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الرطبة </w:t>
      </w:r>
    </w:p>
    <w:p>
      <w:pPr>
        <w:pStyle w:val="BookText"/>
        <w:rPr/>
      </w:pPr>
      <w:r>
        <w:rPr>
          <w:rFonts w:ascii="IRNazanin" w:hAnsi="IRNazanin" w:eastAsia="IRNazanin"/>
          <w:color w:val="111111"/>
          <w:sz w:val="28"/>
          <w:sz w:val="28"/>
          <w:szCs w:val="28"/>
          <w:rtl w:val="true"/>
          <w:lang w:bidi="fa-IR"/>
        </w:rPr>
        <w:t xml:space="preserve">والأرز فيجيب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بوجوب الزكاة في كل ما كيل بالصاع فلو كان صدورها تقية لاقتصر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مقدار الضرورة التي تُقدَّر بقدرها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صريحين في بيان اقتصار الوجوب على التسع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وردوا بحزم على من حاول التعميم للقياس أو أي وجه آخر ولم تأخذهم في الله لومة لائم، فما معنى الحمل على التقية؟</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التقية يمكن افتراضها بلحاظ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بلحاظ شيعته وكلاهما لا يتمان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بلحاظ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ليس بهذه الدرجة من الانهزامية أمام الطغاة حتى يشرع لهم ظلم الناس وجباية أموالهم بغير حق مما يعني الإخلال بأهم وظائف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إقامة العدل ورفع الظلم عن الناس والدفاع عن المظلومين، مع أن الأئمة جاهروا بالمخالفة في أمور خطيرة أخرى كما مر في غير موضوع، مضافاً إلى ما دلّ بشكل خاص على أن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يكونوا يتقون في أمر الزكاة كخبر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الحلي عليه زكاة؟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ليس فيه زكاة وإن بلغ مائة ألف درهم، كان أبي يخالف الناس في هذا</w:t>
      </w:r>
      <w:r>
        <w:rPr>
          <w:rFonts w:eastAsia="IRNazanin" w:cs="IRNazanin"/>
          <w:color w:val="111111"/>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بلحاظ حفظ شيعتهم من السلطات الحاكمة التي كانت تجبي الزكاة بقوة ولا تتسامح فيها، فهذا مما لا يحتاج إلى تشريع أحكام توجب الزكاة بل يكفي فيها ما دلّ على وجوب دفع الضرر ونحوه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فقهاء العامة في عصر صدور النصوص خصوصاً في زمان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حيث لم تحصر السلطات المذاهب بالأربعة بعد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مختلفون في وجوب الزكاة في ما عدا التسع، قال ابن رشد في بداية المجتهد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ما تجب فيه الزكاة من الأموال فإنهم اتفقوا منها على أشياء، أما ما اتفقوا عليه فصنفان من المعدن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 والفضة اللتين ليستا بحلي، وثلاثة أصناف من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والبقر والغنم، وصنفان من الحبوب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الحنطة والشعير، وصنفان من الثمر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التمر والزبيب وفي الزيت خلاف شاذ</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إلى آخر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وحصرها بعضهم بالتسع، قال ابن قدامه في المغني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مالكوالشافعي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زكاة في ثمر إلا التمر والزبيب ولا في حب إلا ما كان قوتاً وحكي عن أحمد إلا في الحنطة والشعير والتمر والزبيب وهذا قول ابن عمر وموسى وطلحة والحسن وابن سيرين والشعبي والحسن بن صالح وابن أبي ليلى وابن المبارك وأبي عبيد</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 xml:space="preserve">وذلك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خصّ هذه بالصدقة وأعرض عما سواها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كان يعلم أن للناس أموالاً مما تخرج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تركه ذلك عندنا عفواً منه، كعفوه عن صدقة الخيل والرقيق، وإنما يُحتاج إلى النظر والتشبيه والتمثيل لنا إماماً مع من اتبعه من الصحابة والتابعين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لم نجد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أثبت منه وأتم إسناده يردوه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وعلّق السيد السيستاني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فدليلهم إذن رواية ضعيفة مع عمل الأصحاب، وكأنهم قالوا بالتعميم بالقياس</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روى عمرو بن شعيب عن أبيه عن عبد الله بن عمرو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سنّ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الزكاة في الحنطة والشعير والتمر والزبيب، وفي رواية عن أبيه عن جده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والعشر في التمر والزبيب والحنطة والشعير، وعن موسى بن طلحة عن عمر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سنّ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الحنطة</w:t>
      </w:r>
    </w:p>
    <w:p>
      <w:pPr>
        <w:pStyle w:val="BookText"/>
        <w:rPr/>
      </w:pPr>
      <w:r>
        <w:rPr>
          <w:rFonts w:ascii="IRNazanin" w:hAnsi="IRNazanin" w:eastAsia="IRNazanin"/>
          <w:color w:val="111111"/>
          <w:sz w:val="28"/>
          <w:sz w:val="28"/>
          <w:szCs w:val="28"/>
          <w:rtl w:val="true"/>
          <w:lang w:bidi="fa-IR"/>
        </w:rPr>
        <w:t xml:space="preserve">والشعير والتمر والزبيب، وعن أبي بردة عن أبي موسى ومعاذ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بعثهما إلى اليمن يعلّمان الناس أمر دينهم فأمروهم أن لا يأخذوا الصدقة إلا من هذه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الحنطة والشعير والتمر والزبيب، رواهنّ الدارقطني</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كررناه في ترتيب أساليب حل التعارض والجمع بين الروايات وتتقدمها رتبة الدليل الخاص وهو موجود في المقام، وكذا الجمع العرفي وكلاهما متقدمان على الحمل على التقية ونحوها من المرجحات فلا تصلالنوبة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سماحة الشيخ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معايير تنفي صدور الخبر تقية ، جاء ذكر ست منها في الجزء الخامس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مسالة زكاة أموال التجارة ،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الروايات الدالة على الوجوب على التقية غير صحيح لوجوه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التقية لو كانت موجودة وتقتضي صدور تلك المجموعة من الروايات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كان يكفي استعمال ألفاظ ظاهرة في الوجوب وقابلة للاستعمال في الاستحباب للاتقاء من الآخر بذلك الظاهر ونصب قرينة لصرفها للاستحباب، ولا حاجة إلى استعمال ألفاظ كالصريحة في الوجوب 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فعليه الزكاة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الضرورات تُقدَّر بقدرها، وهذا المقدار كافٍ</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إباء نصوص المجموعة الأولى للحمل على التقية بلحاظ بيانها وتفاصيلها وذكر الشروط فيها ونوع الألفاظ المستعملة فيها وهذا كله غير </w:t>
      </w:r>
    </w:p>
    <w:p>
      <w:pPr>
        <w:pStyle w:val="BookText"/>
        <w:rPr/>
      </w:pPr>
      <w:r>
        <w:rPr>
          <w:rFonts w:ascii="Amiri" w:hAnsi="Amiri" w:eastAsia="Amiri" w:cs="Amiri"/>
          <w:color w:val="111111"/>
          <w:sz w:val="28"/>
          <w:sz w:val="28"/>
          <w:szCs w:val="28"/>
          <w:rtl w:val="true"/>
          <w:lang w:bidi="ar-SA"/>
        </w:rPr>
        <w:t>مناسب للنصوص الصادرة على نحو التقية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نعهد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التقية في مثل هذه الموارد التي تؤدي إلى تقوية شوكة الطواغيت وتزيد من ظلمهم فالمبالغة في التقية غير متصورة في المقام ويشهد لهذا ما ورد في خبر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الحلي عليه زكاة؟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ليس فيه زكاة وإن بلغ مائة ألف درهم، كان أبي يخالف الناس في هذا</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العامة وإن أوجبوا الزكاة على مال التجارة إلا أنهم يختلفون مضموناً وملاكاً عما ورد في روايات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يوجبونها في مطلق أموال التجارة حتى لو دير بها لأنها تجب عندهم في قيمة عروضالتجارة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قول أكثر أهل العلم</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 xml:space="preserve">وليس في العروض نفسها، لذا فإنهم لا يشترطون دوران الحول على نفس المتاع كما استظهرناه، واكتفوا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حولان الحول على الأموال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وقت ملك العروض، لا على السلعة نفسها</w:t>
      </w:r>
      <w:r>
        <w:rPr>
          <w:rFonts w:eastAsia="Amiri" w:cs="Amiri" w:ascii="Amiri" w:hAnsi="Amiri"/>
          <w:color w:val="111111"/>
          <w:sz w:val="28"/>
          <w:szCs w:val="28"/>
          <w:rtl w:val="true"/>
          <w:lang w:bidi="ar-SA"/>
        </w:rPr>
        <w:t>»</w:t>
      </w:r>
      <w:r>
        <w:rPr>
          <w:rStyle w:val="FootnoteAnchor"/>
          <w:rtl w:val="true"/>
        </w:rPr>
        <w:footnoteReference w:id="2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أنهم لم يشترطوا عدم طلبه بوضيعة أي أقل من رأس المال، والخلاصة أن الملاك عندهم هي الضريبة على رأس المال، بينما هي في فقه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بحسب النصوص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ضريبة على تجميد المال وعدم تحريكه</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بيّنتْ صحيحة زرارة </w:t>
      </w:r>
      <w:r>
        <w:rPr>
          <w:rStyle w:val="FootnoteAnchor"/>
          <w:rtl w:val="true"/>
        </w:rPr>
        <w:footnoteReference w:id="202"/>
      </w:r>
      <w:r>
        <w:rPr>
          <w:rFonts w:ascii="Amiri" w:hAnsi="Amiri" w:eastAsia="Amiri" w:cs="Amiri"/>
          <w:color w:val="111111"/>
          <w:sz w:val="28"/>
          <w:sz w:val="28"/>
          <w:szCs w:val="28"/>
          <w:rtl w:val="true"/>
          <w:lang w:bidi="ar-SA"/>
        </w:rPr>
        <w:t xml:space="preserve">هذا الخلاف في المسألة بين مدرسة أهل </w:t>
      </w:r>
    </w:p>
    <w:p>
      <w:pPr>
        <w:pStyle w:val="BookText"/>
        <w:rPr/>
      </w:pPr>
      <w:r>
        <w:rPr>
          <w:rFonts w:ascii="IRNazanin" w:hAnsi="IRNazanin" w:eastAsia="IRNazanin"/>
          <w:color w:val="111111"/>
          <w:sz w:val="28"/>
          <w:sz w:val="28"/>
          <w:szCs w:val="28"/>
          <w:rtl w:val="true"/>
          <w:lang w:bidi="fa-IR"/>
        </w:rPr>
        <w:t xml:space="preserve">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ممثلة بأبي ذر ومدرسة الخلفاء ممثلة بعثمان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فهذه الروايات الدالة على الوجوب مخالفة للتقية لمخالفتها لفتاواهم ومبانيهم وتدلّ على عكس ما أراد المحدث الكاشاني وصاحب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في مصباح الفقيه من أن صدور هذه الأخبار المتكاثرة لإظهار خلاف الواقع من غير سبق سؤال ملجِئ لذلك في غاية البعد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أكثر الأخبار المذكورة هنا في الباب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مسبوقة بالسؤال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ثمإن التقية لحفظ الشيعة لا تتوقف على وجود السؤال، بل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إيجاب الزكاة عليهم ابتداءً بداعي حفظهم، كما عرفت</w:t>
      </w:r>
      <w:r>
        <w:rPr>
          <w:rFonts w:eastAsia="IRNazanin" w:cs="IRNazanin"/>
          <w:color w:val="111111"/>
          <w:sz w:val="28"/>
          <w:szCs w:val="28"/>
          <w:rtl w:val="true"/>
          <w:lang w:bidi="fa-IR"/>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الحمل على التقية فرع تعذّر الجمع العرفي وإلا كان هو المتعين</w:t>
      </w:r>
      <w:r>
        <w:rPr>
          <w:rFonts w:eastAsia="Amiri" w:cs="Amiri" w:ascii="Amiri" w:hAnsi="Amiri"/>
          <w:color w:val="111111"/>
          <w:sz w:val="28"/>
          <w:szCs w:val="28"/>
          <w:rtl w:val="true"/>
          <w:lang w:bidi="ar-SA"/>
        </w:rPr>
        <w:t>»</w:t>
      </w:r>
      <w:r>
        <w:rPr>
          <w:rStyle w:val="FootnoteAnchor"/>
          <w:rtl w:val="true"/>
        </w:rPr>
        <w:footnoteReference w:id="204"/>
      </w:r>
      <w:r>
        <w:rPr>
          <w:rFonts w:ascii="Amiri" w:hAnsi="Amiri" w:eastAsia="Amiri" w:cs="Amiri"/>
          <w:color w:val="111111"/>
          <w:sz w:val="28"/>
          <w:sz w:val="28"/>
          <w:szCs w:val="28"/>
          <w:rtl w:val="true"/>
          <w:lang w:bidi="ar-SA"/>
        </w:rPr>
        <w:t xml:space="preserve">والمفروض بحسب المشهور إمكان الجمع؛ قال السيد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وجه لحمل ما دل على الوجوب على التقية كما عن الكاشاني والحدائق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بعد عدم إمكان الجمع العرفي والمفروض إمكانه وهو حمل الوجوب على مطلق الرجحان</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جاء في الجزء الخامس ايضًا في مسالة الزكاة في مال الصغير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مناقشة معايير أخرى لتمييز الخبر الصادر تقية ،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دامت </w:t>
      </w:r>
    </w:p>
    <w:p>
      <w:pPr>
        <w:pStyle w:val="BookText"/>
        <w:rPr/>
      </w:pPr>
      <w:r>
        <w:rPr>
          <w:rFonts w:ascii="Amiri" w:hAnsi="Amiri" w:eastAsia="Amiri" w:cs="Amiri"/>
          <w:color w:val="111111"/>
          <w:sz w:val="28"/>
          <w:sz w:val="28"/>
          <w:szCs w:val="28"/>
          <w:rtl w:val="true"/>
          <w:lang w:bidi="ar-SA"/>
        </w:rPr>
        <w:t>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حمل ما دل على وجوب الزكاة في مال الصغير إذا اتجر به على التقية، ونُسِبَ إلى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المحقق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206"/>
      </w:r>
      <w:r>
        <w:rPr>
          <w:rFonts w:ascii="Amiri" w:hAnsi="Amiri" w:eastAsia="Amiri" w:cs="Amiri"/>
          <w:color w:val="111111"/>
          <w:sz w:val="28"/>
          <w:sz w:val="28"/>
          <w:szCs w:val="28"/>
          <w:rtl w:val="true"/>
          <w:lang w:bidi="ar-SA"/>
        </w:rPr>
        <w:t xml:space="preserve">ويظهر من كلام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207"/>
      </w:r>
      <w:r>
        <w:rPr>
          <w:rFonts w:ascii="Amiri" w:hAnsi="Amiri" w:eastAsia="Amiri" w:cs="Amiri"/>
          <w:color w:val="111111"/>
          <w:sz w:val="28"/>
          <w:sz w:val="28"/>
          <w:szCs w:val="28"/>
          <w:rtl w:val="true"/>
          <w:lang w:bidi="ar-SA"/>
        </w:rPr>
        <w:t>احتماله وإن جعله مرجوحاً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واحتمله أيضاً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كرر ما قاله أستاذه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حمل تلك الأخبار على الاستحباب أولى من حملها على التقية</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 xml:space="preserve">وتبعه تلميذه المحقق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عن أخبار 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وظاهرها الوجوب ولكن المتعين إما حملها على التقية أو الاستحباب</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وأُجيب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الأخبار فصّلت في مال اليتيم بعدم الزكاة فيه إلا إذا اتجر به ولم يفصل أهل السنة في ماله بل حكم الشافعي ومالك وأحمد بثبوت الزكاة في مال اليتيم مطلقاً وحكم أبو حنيفة بعدمها فيه مطلقاً فراجعالمسألة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زكاة الخلاف فالتفصيل بين مال التجارة وغيره في اليتيم لا يناسب التقية</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وورد في بحث السيد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يكفي هذا الجواب لمنع الحمل على التقية إذ أنهم وإن لم يكن لهم قول صريح بالتفصيل، إلا أن كلامهم يؤول إليه؛ لأنهم رووا ما يحث </w:t>
      </w:r>
    </w:p>
    <w:p>
      <w:pPr>
        <w:pStyle w:val="BookText"/>
        <w:rPr/>
      </w:pPr>
      <w:r>
        <w:rPr>
          <w:rFonts w:ascii="Amiri" w:hAnsi="Amiri" w:eastAsia="Amiri" w:cs="Amiri"/>
          <w:color w:val="111111"/>
          <w:sz w:val="28"/>
          <w:sz w:val="28"/>
          <w:szCs w:val="28"/>
          <w:rtl w:val="true"/>
          <w:lang w:bidi="ar-SA"/>
        </w:rPr>
        <w:t xml:space="preserve">على الاتجار بمال الصغير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لئلا تأكله الزكاة وهم يوجبون الزكاة فيه، فكأن مذهبهم المشهور الاتجار به وتزكيته، وعليه يفهم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اتجِرْ به وزكّه، أي أن الجملة وإن كانت شرطية ظاهراً إلا أنها ليست تعليقية نظير قول المولى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جئتني فاجلب لي الكتاب الفلاني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العبد يفهم لزوم المجيء وجلب الكتاب، وليس تعليق جلب الكتاب على المجيء متى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وورودها في الكتاب والسنة كثير 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إلهي إن كنتُ بئس العبد فأنت نعم 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فالله تعالى نعم الرب سواء كنت بئس العبد أو لم أكن، وأنا بئس العبد فعلاً وليس على نحو التعليق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لا يصح حمل تلك الروايات على التقية لإبائها ذلك من عدة جهات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نفس الروايات مخالفة للتقية لأنها تضمنت عدم وجوب الزكاة في مال الصغير خلافاً للمشهور عندهم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الاتجار بمال الصغير ليس موضوعاً للسؤال عندهم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لكثرتها وتظافرها مما لا يحتمل معه كونها صادرة لإظهار حكم مخالف للواقع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ابتداء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بالأمر دون سؤال كما في صحيحة يونس بنيعقوب </w:t>
      </w:r>
      <w:r>
        <w:rPr>
          <w:rStyle w:val="FootnoteAnchor"/>
          <w:rtl w:val="true"/>
        </w:rPr>
        <w:footnoteReference w:id="213"/>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تعرضها لحكم يتشدد فيه الشارع المقدس وهو مال الصغير الذي </w:t>
      </w:r>
    </w:p>
    <w:p>
      <w:pPr>
        <w:pStyle w:val="BookText"/>
        <w:rPr/>
      </w:pPr>
      <w:r>
        <w:rPr>
          <w:rFonts w:ascii="Amiri" w:hAnsi="Amiri" w:eastAsia="Amiri" w:cs="Amiri"/>
          <w:color w:val="111111"/>
          <w:sz w:val="28"/>
          <w:sz w:val="28"/>
          <w:szCs w:val="28"/>
          <w:rtl w:val="true"/>
          <w:lang w:bidi="ar-SA"/>
        </w:rPr>
        <w:t>جعل أكله بالباطل إدخالاً للنار في بطونهم فكيف يعطي الإمام حكماً بالوجوب في غير موضعه تقية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لصدور الكثير منها قبل تشكل المذاهب المذكورة فضلاً عن كونها تمثل الرأي العام للسلطة وقضاتها فلم يكن حينئذٍ مبرر للتقية، بل ورد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أبي يخالف الناس في مال اليتيم ليس عليه زكاة</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ونحوها من الوجوه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وذكر المحقق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بياناً آخر للتقية سنذكره</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بإذن الله تعالى وأخذه منه بعض أعلام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إلا أن لا يراد التقية من أهل الفتوى بل التقية في مقام العمل في قبال حكام الوقت فإن الزكاة كانت تطلب من قبل الحكام، والذهب والفضة لم تكن بمرآهم بخلاف الغلات والمواشي ومال التجارة فيكون الوجوب في قوله في صحيحة زرارة ومحمد بن مسلم السابقة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الغلات فعليها الصدقة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في أخبار مال التجارة بمعنى الثبوت ويراد به الإخبار عن الثبوت خارجاً فيكون نظر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مال اليتيم ليس فيه زكاة شرعاً ولكن في الغلات والمواشي ومال التجارة تثبت خارجاً بأخذهم لها قهراً</w:t>
      </w:r>
      <w:r>
        <w:rPr>
          <w:rFonts w:eastAsia="IRNazanin" w:cs="IRNazanin"/>
          <w:color w:val="111111"/>
          <w:sz w:val="28"/>
          <w:szCs w:val="28"/>
          <w:rtl w:val="true"/>
          <w:lang w:bidi="fa-IR"/>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من إباء المجموعة عن الحمل على التقية خصوصاً وإن الراويين هما محمد بن مسلم وزرارة</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عليه بعدم التعرض للمواشي مع أنها تشترك مع المذكورات بالمناط</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الحاجة لاختصاص الصغير بذلك بل تشمله روايات الزكاة في أموال التجارة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قلناه في مسألة مشابهة من أن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يمكن أن يشرعنوا ظلم السلطة وغصبها لأموال الناس، فيفتون بالوجوب لتبرير جباية السلطة للزكاة ظلماً وعدواناً، بل ورد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حثّ شيعتهم على عدم الدفع للحكومات الظالمة كما في صحيحة العيص بن القاسم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الزكاة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أخذ منكم بنو أمية فاحتسبوا بها ولا تعطوهم شيئاً ما استطعتم فإن المال لا يبقى على هذا أن تزكيه مرتين</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الزكاة، أبواب المستحقين للزكاة، باب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معتبرة قرب الإسناد عن أبي البختري عن جعفر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 في زكاتك بما أخذ العشار منك واحفظها عنه ما استطعت</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الزكاة، أبواب المستحقين للزكاة، باب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وغاية ما فعلوه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بشيعتهم تخييرهم بإمكان الاجتزاء بما يأخذه السلطان من الزكوات وليس عليهم أداء غيرها كما في عدد من الروايات المعتبرة، ومنها صحيحة سليمان بن خالد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أصحاب أبي أتوه فسألوه عما يأخذ السلطان، فرقّ لهم، وإنه ليعلم أن الزكاة لا تحل إلا لأهلها، فأمرهم أن يحتسبوا به، فجال فكري والله لهم،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أبه، إنهم إن سمعوا إذن لم يزكِّ أحد،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بني،حقّ أحبّ الله أن يظهره</w:t>
      </w:r>
      <w:r>
        <w:rPr>
          <w:rFonts w:eastAsia="IRNazanin" w:cs="IRNazanin"/>
          <w:color w:val="111111"/>
          <w:sz w:val="28"/>
          <w:szCs w:val="28"/>
          <w:rtl w:val="true"/>
          <w:lang w:bidi="fa-IR"/>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الجزء الحادي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مسالة توريث أولاد الأولاد مع وجود الولد المباشر بيان علامة اخرى تنفي التقية في الخبر ، وهي كون المسالة ليست بذات أهمية عند العامة ، حيث قال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bookmarkStart w:id="170" w:name="pg8133_62742"/>
    </w:p>
    <w:p>
      <w:pPr>
        <w:pStyle w:val="BookText"/>
        <w:rPr/>
      </w:pPr>
      <w:bookmarkEnd w:id="17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كثيراً من العامة وافقوا الصدوق كما عن الكليني والمجلسي وغيرهما حكايته وهو موهن للخبرين –اللذين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وارث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الإجمال السابق وغيره كافياً في عدم صلاحية ذلك لمعارضة ما تقدم من الأدلة الواضحة</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يناقش بأن المسألة ليست بدرجة من الأهمية عند القوم حتى يتقى منهم</w:t>
      </w:r>
      <w:r>
        <w:rPr>
          <w:rFonts w:eastAsia="Amiri" w:cs="Amiri" w:ascii="Amiri" w:hAnsi="Amiri"/>
          <w:color w:val="111111"/>
          <w:sz w:val="28"/>
          <w:szCs w:val="28"/>
          <w:rtl w:val="true"/>
          <w:lang w:bidi="ar-SA"/>
        </w:rPr>
        <w:t>.</w:t>
      </w:r>
    </w:p>
    <w:p>
      <w:pPr>
        <w:pStyle w:val="Heading5"/>
        <w:numPr>
          <w:ilvl w:val="4"/>
          <w:numId w:val="1"/>
        </w:numPr>
        <w:rPr/>
      </w:pPr>
      <w:bookmarkStart w:id="171" w:name="__RefHeading___Toc8193103_1051229030"/>
      <w:bookmarkStart w:id="172" w:name="_Toc63"/>
      <w:bookmarkEnd w:id="171"/>
      <w:r>
        <w:rPr>
          <w:rtl w:val="true"/>
        </w:rPr>
        <w:t>المسألة الرابعة</w:t>
      </w:r>
      <w:r>
        <w:rPr>
          <w:rtl w:val="true"/>
        </w:rPr>
        <w:t xml:space="preserve">: </w:t>
      </w:r>
      <w:r>
        <w:rPr>
          <w:rtl w:val="true"/>
        </w:rPr>
        <w:t>لا تقية في تحديد الموضوعات الخارجية</w:t>
      </w:r>
      <w:r>
        <w:rPr>
          <w:rtl w:val="true"/>
        </w:rPr>
        <w:t>.</w:t>
      </w:r>
      <w:bookmarkEnd w:id="172"/>
    </w:p>
    <w:p>
      <w:pPr>
        <w:pStyle w:val="BookText"/>
        <w:rPr/>
      </w:pPr>
      <w:r>
        <w:rPr>
          <w:rFonts w:ascii="Amiri" w:hAnsi="Amiri" w:eastAsia="Amiri" w:cs="Amiri"/>
          <w:color w:val="111111"/>
          <w:sz w:val="28"/>
          <w:sz w:val="28"/>
          <w:szCs w:val="28"/>
          <w:rtl w:val="true"/>
          <w:lang w:bidi="ar-SA"/>
        </w:rPr>
        <w:t xml:space="preserve">جاء في الجزء الثالث عشر في مسالة مقدار دية القتل عند اختلاف الأصناف في القيمة كثيرًا ان التقية لا تتأتى في تحديد الموضوعات الخارجية التي يمكن استيضاحها من عامة الناس كتحديد أسعار الأشياء وقيمتها ، ولذا رفض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تكون الروايات المحددة لقيمة البعير بعشرين من الغنم قد صدرت تقية كما ذهب اليه بعض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ونص كلام سماحته في هذا المقام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ورد في روايات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قيمة كل بعير عشرون غنماً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ابن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في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الدية مائة من الإبل، وقيمة كل بعير من الورق مائة وعشروندرهماً، أو عشرة دنانير، ومن الغنم قيمة كل 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وهي المسنة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الإبل عشرون شاة</w:t>
      </w:r>
      <w:r>
        <w:rPr>
          <w:rFonts w:eastAsia="IRNazanin" w:cs="IRNazanin"/>
          <w:color w:val="111111"/>
          <w:sz w:val="28"/>
          <w:szCs w:val="28"/>
          <w:rtl w:val="true"/>
          <w:lang w:bidi="fa-IR"/>
        </w:rPr>
        <w:t>).</w:t>
      </w:r>
      <w:r>
        <w:rPr>
          <w:rStyle w:val="FootnoteAnchor"/>
          <w:rtl w:val="true"/>
        </w:rPr>
        <w:footnoteReference w:id="221"/>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معاوية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دية العمد،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مائة من فحولة الإبل المسان، فإن لم يكن إبلٌ فمكان كل جمل </w:t>
      </w:r>
    </w:p>
    <w:p>
      <w:pPr>
        <w:pStyle w:val="BookText"/>
        <w:rPr/>
      </w:pPr>
      <w:r>
        <w:rPr>
          <w:rFonts w:ascii="Amiri" w:hAnsi="Amiri" w:eastAsia="Amiri" w:cs="Amiri"/>
          <w:color w:val="111111"/>
          <w:sz w:val="28"/>
          <w:sz w:val="28"/>
          <w:szCs w:val="28"/>
          <w:rtl w:val="true"/>
          <w:lang w:bidi="ar-SA"/>
        </w:rPr>
        <w:t>عشرون من فحولة الغنم</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دية العمد الذي يقتل الرجل عمداً،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من فحولة الإبل المسان، فإن لم يكن إبلٌ فمكان كل جمل عشرون من فحولة الغنم</w:t>
      </w:r>
      <w:r>
        <w:rPr>
          <w:rFonts w:eastAsia="Amiri" w:cs="Amiri" w:ascii="Amiri" w:hAnsi="Amiri"/>
          <w:color w:val="111111"/>
          <w:sz w:val="28"/>
          <w:szCs w:val="28"/>
          <w:rtl w:val="true"/>
          <w:lang w:bidi="ar-SA"/>
        </w:rPr>
        <w:t>).</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أنه لا عامل بها وأن مضمونها مقطوع البطلان، حيث أنه ليس قيمة كل بعير عشرون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معارضة بما دل على أن الدية ألف شاة، فتحمل على التقية لموافقتها للعامة على ما في المغني</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أن هذا القول موجود عند العامة … إلا أنه لا يبرر حمل الروايات على التقية؛ لأن ألسنتها تأباه، ولأن هذا الحمل فرع عدم وجود جمع عرفي وقد تحقق وجوده بما قلناه أو بما قاله الشيخ على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 هذا الحمل بعيد في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تحديد قيمة البعير بالدرهم والدينار، أو بالغنم موضوع خارجي واضح عند السامع، أو قابل للاستيضاح، فلا يمكن أن يصدر فيه بيان من المعصوم على خلاف الواقع الذي كان جارياً في زمانه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الصحيحة وردت ابتداءً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الدية اثنا عشر درهم وألفا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أمكن صدورها تقية؛ وأما بهذا اللسان الذي هو لسان تحديد ما يعادل من الغنم كل ناب من الإبل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 لا تكوننتيجته ألفين، بل تضعيف الغنم في خصوص ما يلزم من الإبل كونه ناباً، </w:t>
      </w:r>
      <w:bookmarkStart w:id="173" w:name="pg8133_62744"/>
    </w:p>
    <w:p>
      <w:pPr>
        <w:pStyle w:val="BookText"/>
        <w:rPr/>
      </w:pPr>
      <w:bookmarkEnd w:id="173"/>
      <w:r>
        <w:rPr>
          <w:rFonts w:ascii="Amiri" w:hAnsi="Amiri" w:eastAsia="Amiri" w:cs="Amiri"/>
          <w:color w:val="111111"/>
          <w:sz w:val="28"/>
          <w:sz w:val="28"/>
          <w:szCs w:val="28"/>
          <w:rtl w:val="true"/>
          <w:lang w:bidi="ar-SA"/>
        </w:rPr>
        <w:t xml:space="preserve">وهو أربعون لا 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فمما لا يحتمل فيه التقية، ولا معنى لها فيه</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ألفي شاة وإنما ذكر أن نتيجة هذا العدد تختلف عن الألف المروية وهي تتحقق بزيادة الغنم بإزاء بعض المائة أي الأربعين، وهذا في غير العمد، أما فيه فالإبل كلها من المسان</w:t>
      </w:r>
      <w:r>
        <w:rPr>
          <w:rFonts w:eastAsia="Amiri" w:cs="Amiri" w:ascii="Amiri" w:hAnsi="Amiri"/>
          <w:color w:val="111111"/>
          <w:sz w:val="28"/>
          <w:szCs w:val="28"/>
          <w:rtl w:val="true"/>
          <w:lang w:bidi="ar-SA"/>
        </w:rPr>
        <w:t>.</w:t>
      </w:r>
    </w:p>
    <w:p>
      <w:pPr>
        <w:pStyle w:val="Heading5"/>
        <w:numPr>
          <w:ilvl w:val="4"/>
          <w:numId w:val="1"/>
        </w:numPr>
        <w:rPr/>
      </w:pPr>
      <w:bookmarkStart w:id="174" w:name="__RefHeading___Toc8193105_1051229030"/>
      <w:bookmarkStart w:id="175" w:name="_Toc64"/>
      <w:bookmarkEnd w:id="174"/>
      <w:r>
        <w:rPr>
          <w:rtl w:val="true"/>
        </w:rPr>
        <w:t>المسألة الخامسة</w:t>
      </w:r>
      <w:r>
        <w:rPr>
          <w:rtl w:val="true"/>
        </w:rPr>
        <w:t xml:space="preserve">: </w:t>
      </w:r>
      <w:r>
        <w:rPr>
          <w:rtl w:val="true"/>
        </w:rPr>
        <w:t>معنى اخر للتقية</w:t>
      </w:r>
      <w:r>
        <w:rPr>
          <w:rtl w:val="true"/>
        </w:rPr>
        <w:t>.</w:t>
      </w:r>
      <w:bookmarkEnd w:id="175"/>
    </w:p>
    <w:p>
      <w:pPr>
        <w:pStyle w:val="BookText"/>
        <w:rPr/>
      </w:pPr>
      <w:r>
        <w:rPr>
          <w:rFonts w:ascii="IRNazanin" w:hAnsi="IRNazanin" w:eastAsia="IRNazanin"/>
          <w:color w:val="111111"/>
          <w:sz w:val="28"/>
          <w:sz w:val="28"/>
          <w:szCs w:val="28"/>
          <w:rtl w:val="true"/>
          <w:lang w:bidi="fa-IR"/>
        </w:rPr>
        <w:t xml:space="preserve">من المعروف عند الجميع ان اصطلاح التقية يراد به جهة الصدور اَي ان المعنى الذي يؤديه الخبر غير مراد جدا للامام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وانما ذكره الامام موافقة للعامة ودفعا لخطرهم وظلمهم وحفاظا على شيعته ، ولكن بعض الفقهاء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يطلقون على بعض الاخبار صفة التقية مع انهم لا يريدون جهة الصدور ، وانما يريدون ان المعنى الظاهر منها غير مراد ، وانما يراد معنى اخر بدلالة القرائن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حيث نقل الشيخ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الجزء الخامس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كلاما للشيخ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وحمل تلك الأخبار على التقية لا ينافي إرادة الاستحباب، لأن التقية تتأدى بظهور الكلام في الوجوب الذي هو مذهب المخالفين في مال التجارة، وإرادة الاستحباب بقرينة 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 يظهر ضعف ما حكي عن الحلي والمدارك من عدم الاستحباب</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وتبعه المحقق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حمل هذه الأخبار الدالة بظاهرها على الوجوب على التقية كما نسب إلى الشيخ منافياًلاستفادة </w:t>
      </w:r>
    </w:p>
    <w:p>
      <w:pPr>
        <w:pStyle w:val="BookText"/>
        <w:rPr/>
      </w:pPr>
      <w:r>
        <w:rPr>
          <w:rFonts w:ascii="IRNazanin" w:hAnsi="IRNazanin" w:eastAsia="IRNazanin"/>
          <w:color w:val="111111"/>
          <w:sz w:val="28"/>
          <w:sz w:val="28"/>
          <w:szCs w:val="28"/>
          <w:rtl w:val="true"/>
          <w:lang w:bidi="fa-IR"/>
        </w:rPr>
        <w:t>الاستحباب منها</w:t>
      </w:r>
      <w:r>
        <w:rPr>
          <w:rFonts w:eastAsia="IRNazanin" w:cs="IRNazanin"/>
          <w:color w:val="111111"/>
          <w:sz w:val="28"/>
          <w:szCs w:val="28"/>
          <w:rtl w:val="true"/>
          <w:lang w:bidi="fa-IR"/>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الحمل على التقية يعني طرح الرواية، واعترف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في موضع آخر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حمل تلك الأخبار على الاستحباب أولى من حملها على التقية، لأنه طرح في الحقيقة</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 xml:space="preserve">وذكره المحقق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 الموضع، وحينئذٍ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طرح الرواية لا يبقى دليل على الاستحباب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حمل ما ظاهره الوجوب على الاستحباب بقرينة 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ويقصد بها ما دل على نفي الزكاة في مال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الجمع العرفي وهو سابق رتبة على الحمل على التقية ولا يبقى لها موضوع</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يمكن الدفاع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يراد بالحمل على التقية جهة الصدور، وإنما استعمال صيغة ظاهرة في الوجوب في مورد الاستحباب الذي يُفهم من قرائن خارجية، وهو فهم ينفع في الدفاع عن هؤلاء الأساطين ودفع إشكال الملازمة عنهم، وإن لم ينسجم مع ظاهر عبارته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bookmarkStart w:id="176" w:name="pg8133_62746"/>
    </w:p>
    <w:p>
      <w:pPr>
        <w:pStyle w:val="Heading4"/>
        <w:numPr>
          <w:ilvl w:val="3"/>
          <w:numId w:val="1"/>
        </w:numPr>
        <w:rPr/>
      </w:pPr>
      <w:bookmarkStart w:id="177" w:name="__RefHeading___Toc8193107_1051229030"/>
      <w:bookmarkStart w:id="178" w:name="_Toc65"/>
      <w:bookmarkEnd w:id="176"/>
      <w:bookmarkEnd w:id="177"/>
      <w:r>
        <w:rPr>
          <w:rtl w:val="true"/>
        </w:rPr>
        <w:t>ثالثاً</w:t>
      </w:r>
      <w:r>
        <w:rPr>
          <w:rtl w:val="true"/>
        </w:rPr>
        <w:t xml:space="preserve">: </w:t>
      </w:r>
      <w:r>
        <w:rPr>
          <w:rtl w:val="true"/>
        </w:rPr>
        <w:t>تبعية الدلالة الالتزامية للمطابقية</w:t>
      </w:r>
      <w:bookmarkEnd w:id="178"/>
    </w:p>
    <w:p>
      <w:pPr>
        <w:pStyle w:val="BookText"/>
        <w:rPr/>
      </w:pPr>
      <w:r>
        <w:rPr>
          <w:rFonts w:ascii="Amiri" w:hAnsi="Amiri" w:eastAsia="Amiri" w:cs="Amiri"/>
          <w:color w:val="111111"/>
          <w:sz w:val="28"/>
          <w:sz w:val="28"/>
          <w:szCs w:val="28"/>
          <w:rtl w:val="true"/>
          <w:lang w:bidi="ar-SA"/>
        </w:rPr>
        <w:t>من الابحاث المهمة والتي تمثل احدى المقدمات الابتلائية في عملية استنباط الاحكام الشرعية مبحث تبعية الدلالة الالتزامية للمطابقية ، فاذا سقطت الدلالة المطابقية عن الحجية هل نقول بسقوط الدلالة الالتزامية أيضا للتبعية او نقول ببقاء حجيتها لعدم التبعية ؟</w:t>
      </w:r>
    </w:p>
    <w:p>
      <w:pPr>
        <w:pStyle w:val="BookText"/>
        <w:rPr/>
      </w:pPr>
      <w:r>
        <w:rPr>
          <w:rFonts w:ascii="Amiri" w:hAnsi="Amiri" w:eastAsia="Amiri" w:cs="Amiri"/>
          <w:color w:val="111111"/>
          <w:sz w:val="28"/>
          <w:sz w:val="28"/>
          <w:szCs w:val="28"/>
          <w:rtl w:val="true"/>
          <w:lang w:bidi="ar-SA"/>
        </w:rPr>
        <w:t xml:space="preserve">وقد بحث سماحة الشيخ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فيوضاته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المسالة في الجزء 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عند البحث عن ثبوت الهلال بالبينة فيما لو اختلف الشاهدان في بعض التفاصيل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انتهى سماحته الى التفصيل في هذه المسالة ، فالدلالة الالتزامية تسقط اذا سقطت الدلالة المطابقية لقصور في المقتضي ، اما اذا كان سقوط الدلالة المطابقية لمانع خارجي كالمعارضة فتبقى الدلالة الالتزامية حجة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توجد محاولة لإمكان ثبوت الهلال بالبينة وإن اختلف الشاهدان في بعض تفاصيل المشهود به، 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يقال إنهما وإن اختلفا في المدلول المطابقي وهو الإخبار عن فرد خاص من الهلال، إلا أنهما متفقان في المدلول الالتزامي وهو الإخبار عن أصل وجود الهلال والكلّي الجامع القابل للانطباق على كل من الفردين، ولا فرق في حجية البينة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كغيرها مما هو من مقولة الحكاية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المدلول المطابقي والالتزامي، فإذا سقطت المطابقة عن الحجية أما لأجل المعارضة، أو لعدم حصول الشهادة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الأخذ بالمدلول الالتزامي</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 الإشكال على الدلالة الالتزامية ليس دقيقاً لأن الإخبار عن </w:t>
      </w:r>
    </w:p>
    <w:p>
      <w:pPr>
        <w:pStyle w:val="BookText"/>
        <w:rPr/>
      </w:pPr>
      <w:r>
        <w:rPr>
          <w:rFonts w:ascii="Amiri" w:hAnsi="Amiri" w:eastAsia="Amiri" w:cs="Amiri"/>
          <w:color w:val="111111"/>
          <w:sz w:val="28"/>
          <w:sz w:val="28"/>
          <w:szCs w:val="28"/>
          <w:rtl w:val="true"/>
          <w:lang w:bidi="ar-SA"/>
        </w:rPr>
        <w:t>أصل وجود الهلال والكلي الجامع عُلم بالدلالة التضمنية حيث تتحلل شهادة كل منهما إلى هذا الجامع زائداً الخصوصيات المختلففيها</w:t>
      </w:r>
      <w:r>
        <w:rPr>
          <w:rStyle w:val="FootnoteAnchor"/>
          <w:rtl w:val="true"/>
        </w:rPr>
        <w:footnoteReference w:id="230"/>
      </w:r>
      <w:r>
        <w:rPr>
          <w:rFonts w:ascii="Amiri" w:hAnsi="Amiri" w:eastAsia="Amiri" w:cs="Amiri"/>
          <w:color w:val="111111"/>
          <w:sz w:val="28"/>
          <w:sz w:val="28"/>
          <w:szCs w:val="28"/>
          <w:rtl w:val="true"/>
          <w:lang w:bidi="ar-SA"/>
        </w:rPr>
        <w:t xml:space="preserve">نظير الجنس والفصل أو على نحو تعدد المطلوب، ويتأكد الإشكال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بلحاظ السياق الذي ورد فيه وهو ادعاء أحدهما أن الفتحة إلى الجنوب والآخر إلى الشمال فالدلالة الالتزامية متكاذبة، لكن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التقريب في موضع آخر</w:t>
      </w:r>
      <w:r>
        <w:rPr>
          <w:rStyle w:val="FootnoteAnchor"/>
          <w:rtl w:val="true"/>
        </w:rPr>
        <w:footnoteReference w:id="231"/>
      </w:r>
      <w:r>
        <w:rPr>
          <w:rFonts w:ascii="Amiri" w:hAnsi="Amiri" w:eastAsia="Amiri" w:cs="Amiri"/>
          <w:color w:val="111111"/>
          <w:sz w:val="28"/>
          <w:sz w:val="28"/>
          <w:szCs w:val="28"/>
          <w:rtl w:val="true"/>
          <w:lang w:bidi="ar-SA"/>
        </w:rPr>
        <w:t>وهو شهادة أحدهما بالرؤية ليلة الاثنين والآخر ليلة الثلاثاء باعتبار أن لازم شهادة الأول كون يوم الثلاثاء من الشهر فيشترك بهذا المدلول مع الثاني، وقد قرّبنا سابقاً التكاذب في هذه الصورة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فالمسألة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مبنية على إمكان التفكيك بين الدلالتين المطابقية والالتزامية في الحجية وعدمه، أي هل أن الدلالة المطابقية تتبع الالتزامية بالحجية كما تتبعها بالوجود أم لا؟</w:t>
      </w:r>
    </w:p>
    <w:p>
      <w:pPr>
        <w:pStyle w:val="BookText"/>
        <w:rPr/>
      </w:pPr>
      <w:r>
        <w:rPr>
          <w:rFonts w:ascii="Amiri" w:hAnsi="Amiri" w:eastAsia="Amiri" w:cs="Amiri"/>
          <w:color w:val="111111"/>
          <w:sz w:val="28"/>
          <w:sz w:val="28"/>
          <w:szCs w:val="28"/>
          <w:rtl w:val="true"/>
          <w:lang w:bidi="ar-SA"/>
        </w:rPr>
        <w:t xml:space="preserve">واختار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الإمكان وفاقاً لأستاذيه النائيني والعراقي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وذهب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العدم وتبعه تلامذته كالشيخ الفياض</w:t>
      </w:r>
      <w:r>
        <w:rPr>
          <w:rStyle w:val="FootnoteAnchor"/>
          <w:rtl w:val="true"/>
        </w:rPr>
        <w:footnoteReference w:id="232"/>
      </w:r>
      <w:r>
        <w:rPr>
          <w:rFonts w:ascii="Amiri" w:hAnsi="Amiri" w:eastAsia="Amiri" w:cs="Amiri"/>
          <w:color w:val="111111"/>
          <w:sz w:val="28"/>
          <w:sz w:val="28"/>
          <w:szCs w:val="28"/>
          <w:rtl w:val="true"/>
          <w:lang w:bidi="ar-SA"/>
        </w:rPr>
        <w:t>وبعض من حضرنا بحثه الشريف،</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أبني عليه التفصيل، فإن سقوط حجية الدلالة المطابقية إن كانت لمانع ذاتي أي لقصور في المقتضي فإن الالتزامية تتبعها لانتفاء أصل وجود الحجية للدلالة المطابقية حينئذٍ، ووجود الالتزامية متفرع عنه، كما </w:t>
      </w:r>
    </w:p>
    <w:p>
      <w:pPr>
        <w:pStyle w:val="BookText"/>
        <w:rPr/>
      </w:pPr>
      <w:r>
        <w:rPr>
          <w:rFonts w:ascii="Amiri" w:hAnsi="Amiri" w:eastAsia="Amiri" w:cs="Amiri"/>
          <w:color w:val="111111"/>
          <w:sz w:val="28"/>
          <w:sz w:val="28"/>
          <w:szCs w:val="28"/>
          <w:rtl w:val="true"/>
          <w:lang w:bidi="ar-SA"/>
        </w:rPr>
        <w:t>لو كانت دار بيد عمرو واليد أمارة على الملكية، ثم قامت البينة على أن الدار لزيد فلازمها أنها ليست لعمرو الذي هو صاحب اليد على الدار والبينة حجة في هذا اللازم لأنه بيّن بالمعنى الأخصّ والبينة تقدم على اليد فيثبت بها أن الدار لزيد وليست لعمرو، فلو أقرّ زيد على أنالدار ليست له والإقرار مقدم على البينة فإن الدلالة المطابقية تبطل وكذا الدلالة الالتزامية تسقط وتبقى الدار لصاحب اليد، ولا يمكن القول أن الدلالة الالتزامية تبقى والدار لا لزيد ولا لعمرو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سقوط حجية الدلالة المطابقية لمانع خارجي كتعارضها مع دليل آخر فلا دليل على سقوط حجية الالتزامية لأنها تثبت بثبوت المطابقية ولم يحصل مانع من استمرارها وإنما من المطابقية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الدلالة المطابقية لم تسقط عن الوجود حتى تتبعها الالتزامية وإنما منع من تأثيرها مانع، ونظير هذا نقوله في سقوط حجية طرفي الإجماع المركب بسبب التعارض بينهما لكن دلالتهما الالتزامية في نفي قول ثالث تبقى قائمة وفي هذا نقض على القائل بعدم إمكان التفكيك بين الدلالتين في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نفي الثالث هنا للإجماع عليه من الطرفين وليس للدلالة الالتزامية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الإجماع هو مجموع الدلالتين الالتزاميتين لطرفي الإجماع المركب</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وأستطيع القول أن هذا التفصيل يصلح وجهاً للجمع بين القولين السابقين فإن الفريق الأول القائل بالإمكان نظر إلى الحالة الثانية، وإن الفريق الثاني القائل بالمنع نظر إلى الحالة الأولى، ويمكن استفادة ذلك من كلماتهم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الدلالة الالتزامية فرع الدلالة المطابقية وبعد سقوط المتعارضين في المدلول المطابقي لا مجال لبقاء الدلالة الالتزامية لهما في نفي الثالث، فاسد فإن الدلالة الالتزامية إنما تكون فرع الدلالة المطابقية في الوجود لا في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الالتزامية للكلام تتوقف على دلالته التصديقية أي دلالته على المؤدى، وأما كون المؤدى مراداً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مما لا يتوقف عليه الدلالةالالتزامية</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الإخبار عن الملزوم وإن كان إخباراً عن اللازم، إلا أنه ليس إخباراً عن اللازم بوجوده السعي، بل إخبار عن حصة خاصة هي لازم له، فإن الإخبار عن وقوع البول على الثوب ليس إخباراً عن نجاسة الثوب بأي سبب كان بل إخبار عن نجاسته المسببة عن وقوع البول عليه، فبعد العلم بكذب البينة في إخبارها عن وقوع البول على الثوب، يعلم كذبها في الإخبار عن نجاسة الثوب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النجاسة بسبب آخر، فهي وإن كانت محتملة، إلا أنها خارجة عن مفاد البينة رأساً</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بعض من حضرنا بحثه الشريف وجهاً آخر لتبعية الدلالة الالتزامية للمطابقية بالسقوط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الدلالة الالتزامية والتضمنية ليست من أقسام الدلالة اللفظية كما صوّره المناطقة لأن المتكلم لم يخبر عنها فالدلالة التفهيمية التي يتقوم بها الظهور مفقودة، وإن هاتين الدلالتين راجعتان إلى الدلالة الإخطارية أي أن إخطار شيء يلزم منه خطور شيء آخر وفاقاً لما ذكره الطوسي في شرح الإشارات من أن الدلالة التضمنية والالتزامية هي لفظية بمعونة العقل؛ لأن العقل يحكم بعدم الانفكاك فإذا </w:t>
      </w:r>
    </w:p>
    <w:p>
      <w:pPr>
        <w:pStyle w:val="BookText"/>
        <w:rPr/>
      </w:pPr>
      <w:r>
        <w:rPr>
          <w:rFonts w:ascii="Amiri" w:hAnsi="Amiri" w:eastAsia="Amiri" w:cs="Amiri"/>
          <w:color w:val="111111"/>
          <w:sz w:val="28"/>
          <w:sz w:val="28"/>
          <w:szCs w:val="28"/>
          <w:rtl w:val="true"/>
          <w:lang w:bidi="ar-SA"/>
        </w:rPr>
        <w:t>ثبت الملزوم ثبت اللازم، وإذا وجد زيد فلا محالة فإن الإنسان موجود، فإذا سقط المدلول المطابقي فإن العقل لا يحكم بوجود جميع اللوازم</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قبول هذه الأطروحة على إطلاقها لما ذكرناه من أن اللزوم البيِّن بالمعنى الأخص بقوة الدلالة اللفظية، وأن من يشهد بأن فتحة الهلال إلى الأعلى فإنه ينفي كونها إلى الأسفل، ومن يشهد بأنالمال لزيد فإنه يشهد بأنه ليس لعمرو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فإن تفصيل البحث موكول إلى محله من علم الأصول عند البحث في باب التعارض عن إمكان نفي حكم ثالث بالحكمين المتعارضين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بناءً على ما افترضته المحاولة من أن دلالة البينة على الجامع بالدلالة الالتزامية، أما بناءً على ما قربناه من أنها بالدلالة التضمنية فإن الأمر مختلف لأن بعض من قال بسقوط حجية الدلالة الالتزامية بسقوط حجية المطابقية لا يقول بذلك في الدلالة التضمنية، كما لو قال أحدهما حضر زيد وقال الآخر حضر عمرو فإنهما متكاذبان في الخصوصيات إلا أنهما متصادقان على الجامع وهو حضور كلي الإنسان</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وينبغي الالتفات أيضاً إلى أن سقوط حجية البينة هنا ليس لعدم إمكان التفكيك في الحجية بين الدلالتين المطابقية والالتزامية بحيث لو قلنا بالإمكان فإن الهلال يثبت بالدلالة الالتزامية كما افترضته المحاولة، وإنما سقطت للتكاذب وعدم الاطمئنان بصدقها وعدم تحقق مناط حجيتها وهو التصادق بين الشهادتين على مشهود واحد فوجود الجامع هنا لا ينفع فلو فرض أن أحد الشاهدين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زيد عمراً في النجف وقال الآخر قتله في </w:t>
      </w:r>
    </w:p>
    <w:p>
      <w:pPr>
        <w:pStyle w:val="BookText"/>
        <w:rPr/>
      </w:pPr>
      <w:r>
        <w:rPr>
          <w:rFonts w:ascii="Amiri" w:hAnsi="Amiri" w:eastAsia="Amiri" w:cs="Amiri"/>
          <w:color w:val="111111"/>
          <w:sz w:val="28"/>
          <w:sz w:val="28"/>
          <w:szCs w:val="28"/>
          <w:rtl w:val="true"/>
          <w:lang w:bidi="ar-SA"/>
        </w:rPr>
        <w:t>البصرة فوجود جامع كلي وهو قتل زيد عمراً لا يثبت هنا للتكاذب بين الشهادتين وأن القتل لا يمكن أن يقع في المدينتين، لكن لو شهد أحدهما بأن زيداً ضرب عمراً في النجف وقال الآخر في البصرة فإنه يمكن قبول الجامع لأن الضرب يمكن أن يقع في النجف وفي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صاحب العروة تبعاً لصاحب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يعتبر اتحادهما في زمان الرؤية مع توافقهما على الرؤية في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نفس الليلة وعبارة صاحب الجواهر أوضح في 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تبطل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اختلفا في زمان الرؤية مع اتحاد الليلة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لو شهدأحدهما برؤيته بعد الغروب بربع ساعة والآخر بنصف ساعة فإنها لا تؤثر على صحة الشهادة، على أن تكون رؤيتهما في ليلة واحدة وليس في ليلتين متعددتين لأن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الهلال في الليلة التالية ينفي بالدلالة الالتزامية ما قاله الآخر من رؤيته في الليلة السابقة</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لو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 كون الرؤية في الليل فغير تام إذ لا يشترط أن تكونا في الليل، فلو شهد أحدهما برؤيته قبل المغرب بدقائق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فرض إمكانه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بعده كذلك لم يضر بشهادتهما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إذا فرض التنافي بينهما، كما لو شهد أحدهما برؤيته قبل الغروب بخمس دقائق قريبا من الأفق بحيث لا يبقى فوقه أكثر من عشر دقائق مثلاً، وشهد الآخر بأنه رآه بعد الغروب بساعة فإن مثل هذه الشهادة لا تسمع، لرجوع ذلك إلى الخصوصيات الفردية المستلزمة لتكذيب أحدهما الآخر فإن الفرد الذي يشهد به أحدهما غير الفرد الذي يشهد به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لا يحقق البينة الشرعية</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 xml:space="preserve">.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والخلاصة أن البينة حجة في ما إذا اتحد المشهود به أو كان على نحو اللزوم بالمعنى الأخص بحيث يكون موجباً لكون الدلالة الالتزامية لفظية لتحقق شهادتهما بأمر واحد</w:t>
      </w:r>
      <w:r>
        <w:rPr>
          <w:rFonts w:eastAsia="Amiri" w:cs="Amiri" w:ascii="Amiri" w:hAnsi="Amiri"/>
          <w:color w:val="111111"/>
          <w:sz w:val="28"/>
          <w:szCs w:val="28"/>
          <w:rtl w:val="true"/>
          <w:lang w:bidi="ar-SA"/>
        </w:rPr>
        <w:t xml:space="preserve">. </w:t>
      </w:r>
      <w:bookmarkStart w:id="179" w:name="pg8133_62753"/>
    </w:p>
    <w:p>
      <w:pPr>
        <w:pStyle w:val="Heading4"/>
        <w:numPr>
          <w:ilvl w:val="3"/>
          <w:numId w:val="1"/>
        </w:numPr>
        <w:rPr/>
      </w:pPr>
      <w:bookmarkStart w:id="180" w:name="__RefHeading___Toc8193109_1051229030"/>
      <w:bookmarkStart w:id="181" w:name="_Toc66"/>
      <w:bookmarkEnd w:id="179"/>
      <w:bookmarkEnd w:id="180"/>
      <w:r>
        <w:rPr>
          <w:rtl w:val="true"/>
        </w:rPr>
        <w:t>رابعًا</w:t>
      </w:r>
      <w:r>
        <w:rPr>
          <w:rtl w:val="true"/>
        </w:rPr>
        <w:t xml:space="preserve">: </w:t>
      </w:r>
      <w:r>
        <w:rPr>
          <w:rtl w:val="true"/>
        </w:rPr>
        <w:t>حجية الاكتشافات العلمية</w:t>
      </w:r>
      <w:bookmarkEnd w:id="181"/>
    </w:p>
    <w:p>
      <w:pPr>
        <w:pStyle w:val="BookText"/>
        <w:rPr/>
      </w:pPr>
      <w:r>
        <w:rPr>
          <w:rFonts w:ascii="Amiri" w:hAnsi="Amiri" w:eastAsia="Amiri" w:cs="Amiri"/>
          <w:color w:val="111111"/>
          <w:sz w:val="28"/>
          <w:sz w:val="28"/>
          <w:szCs w:val="28"/>
          <w:rtl w:val="true"/>
          <w:lang w:bidi="ar-SA"/>
        </w:rPr>
        <w:t>من المسائل التي باتت تشغل فكر الفقهاء مسالة إمكانية الاعتماد على معطيات ونتائج العلوم الحديثة في استنباط الحكم الشرعي ، فاذا أفادت المعطيات العلمية شيئًا ما ، هل يمكن للفقيه الاعتماد عليها والحكم على طبقها او لا ؟</w:t>
      </w:r>
    </w:p>
    <w:p>
      <w:pPr>
        <w:pStyle w:val="BookText"/>
        <w:rPr/>
      </w:pPr>
      <w:r>
        <w:rPr>
          <w:rFonts w:ascii="Amiri" w:hAnsi="Amiri" w:eastAsia="Amiri" w:cs="Amiri"/>
          <w:color w:val="111111"/>
          <w:sz w:val="28"/>
          <w:sz w:val="28"/>
          <w:szCs w:val="28"/>
          <w:rtl w:val="true"/>
          <w:lang w:bidi="ar-SA"/>
        </w:rPr>
        <w:t xml:space="preserve">وقد أشار سماحة الشيخ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هذه المسالة إشارة سريعة في الجزء العاشر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مسالة التذكية الشرعية بمكائن الذبح الحديثة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مسالة مستحدثة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وبيّن سماحته امكان التمسك بهذه المعطيات لعلاج الشبهات الموضوعية ،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 مستحدثة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توصل العلم إلى علامات تكشف عن حياة الحيوان قبل ذبحه أمكن التمسك بها لجواز التذكية كفحص الطبيب البيطري لنبضات القلب، والاكتفاء بها عن العلامتين المذكورتين؛ لأن الشبهة موضوعية، والشارع المقدس تدخل لإرشاد المكلف إلى طريقة التحقق من الموضوع ورفع عجزه وحيرته، وليست المسألة حكماً شرعياً ليجب التعبد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الروايات دلّت على أن محل الرجوع إلى العلامات هو الحيوان المشتبه بحياته وقد صرّح به خبر أبان المتقدم </w:t>
      </w:r>
      <w:r>
        <w:rPr>
          <w:rStyle w:val="FootnoteAnchor"/>
          <w:rtl w:val="true"/>
        </w:rPr>
        <w:footnoteReference w:id="237"/>
      </w:r>
      <w:r>
        <w:rPr>
          <w:rFonts w:ascii="Amiri" w:hAnsi="Amiri" w:eastAsia="Amiri" w:cs="Amiri"/>
          <w:color w:val="111111"/>
          <w:sz w:val="28"/>
          <w:sz w:val="28"/>
          <w:szCs w:val="28"/>
          <w:rtl w:val="true"/>
          <w:lang w:bidi="ar-SA"/>
        </w:rPr>
        <w:t>وروايات</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 في غير مورد، كصحيحة محمد بن قيس فيما أخذت بالحبالة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وكلوا ما أدركتم حياته وذكرتم اسم الله عليه</w:t>
      </w:r>
      <w:r>
        <w:rPr>
          <w:rFonts w:eastAsia="Amiri" w:cs="Amiri" w:ascii="Amiri" w:hAnsi="Amiri"/>
          <w:color w:val="111111"/>
          <w:sz w:val="28"/>
          <w:szCs w:val="28"/>
          <w:rtl w:val="true"/>
          <w:lang w:bidi="ar-SA"/>
        </w:rPr>
        <w:t>)</w:t>
      </w:r>
      <w:r>
        <w:rPr>
          <w:rStyle w:val="FootnoteAnchor"/>
          <w:rtl w:val="true"/>
        </w:rPr>
        <w:footnoteReference w:id="238"/>
      </w:r>
      <w:r>
        <w:rPr>
          <w:rFonts w:ascii="Amiri" w:hAnsi="Amiri" w:eastAsia="Amiri" w:cs="Amiri"/>
          <w:color w:val="111111"/>
          <w:sz w:val="28"/>
          <w:sz w:val="28"/>
          <w:szCs w:val="28"/>
          <w:rtl w:val="true"/>
          <w:lang w:bidi="ar-SA"/>
        </w:rPr>
        <w:t xml:space="preserve">، فكل ما يُعلم منه إدراك الحياة يكون كافياً </w:t>
      </w:r>
    </w:p>
    <w:p>
      <w:pPr>
        <w:pStyle w:val="BookText"/>
        <w:rPr/>
      </w:pPr>
      <w:r>
        <w:rPr>
          <w:rFonts w:ascii="Amiri" w:hAnsi="Amiri" w:eastAsia="Amiri" w:cs="Amiri"/>
          <w:color w:val="111111"/>
          <w:sz w:val="28"/>
          <w:sz w:val="28"/>
          <w:szCs w:val="28"/>
          <w:rtl w:val="true"/>
          <w:lang w:bidi="ar-SA"/>
        </w:rPr>
        <w:t>للحل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الجزء الثاني عشر بحث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الولد للفراش وتكلم 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دور البصمة الوراثية في اثبات النسب اذ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جميع الموارد التي حكم فيها بالرجوع إلى القرعة يجب اليوم الاستفادة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البصمة الوراثية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البنية الجينية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إلى الجينات أي المورثات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تدل على هوية كل إنسان بعينه؛ لأن القرعة لكل أمر مشكل، والمفروض أن هذه الوسيلة العلمية تعطي نتائج دقيقة في إسناد العينة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يمكن أخذها من خلية بشرية سواء من الدم أو اللعاب أو المني أو البول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صاحبها، وبذلك يرتفع موضوع القرعة بزوال الإشكال والحيرة، فقاعدة القرعة هنا محكومة على نحو الورود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البصمة الوراثية وسيلة علمية يطمأن إليها</w:t>
      </w:r>
      <w:r>
        <w:rPr>
          <w:rStyle w:val="FootnoteAnchor"/>
          <w:rtl w:val="true"/>
        </w:rPr>
        <w:footnoteReference w:id="239"/>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إسناد العينة إلى صاحبها وتقوم دليلاً على العلاقة النسبية بين الوالدين وأولادهما إلا أنه لا يجوز العمل بنتيجتها عند وجود حكم شرعي أو قاعدة شرعية حاكمة كقاعدة الولد للفراش لأن هذه القاعدة حاكمة على النتائج العلمية حيث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أسّسها الشارع المقدس لحفظ النظام الاجتماعي العام بغضّ النظر عن الواقع، كما في رواية ابن زمعة حيث ألحقه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بصاحب الفراش مع شبهه بالزاني وعلمه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الواقعي بكونه من الزنا لذا أمر أم المؤمنين </w:t>
      </w:r>
    </w:p>
    <w:p>
      <w:pPr>
        <w:pStyle w:val="BookText"/>
        <w:rPr/>
      </w:pPr>
      <w:r>
        <w:rPr>
          <w:rFonts w:ascii="Amiri" w:hAnsi="Amiri" w:eastAsia="Amiri" w:cs="Amiri"/>
          <w:color w:val="111111"/>
          <w:sz w:val="28"/>
          <w:sz w:val="28"/>
          <w:szCs w:val="28"/>
          <w:rtl w:val="true"/>
          <w:lang w:bidi="ar-SA"/>
        </w:rPr>
        <w:t xml:space="preserve">سودة بنت زمعة بالتحجب منه </w:t>
      </w:r>
      <w:r>
        <w:rPr>
          <w:rStyle w:val="FootnoteAnchor"/>
          <w:rtl w:val="true"/>
        </w:rPr>
        <w:footnoteReference w:id="2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ويشترط في الاستفادة منها ومن سائر الوسائل العلمية إفادة العلم أو الاطمئنان وعدم وجود دليل شرعي حاكم في المورد فلا يثبت بالبصمة الوراثية انتفاء نسب ولد على فراش الزوجية، ولا يثبت الزنا في ما لو كشف تحليل البصمة على أن هذا الماء الموجود في مهبل المرأة من أجنبي أو أن بصمة الولد طابقت بصمة رجل أجنبي لاشتراط الشهود في إثبات العملية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 قاعدة الفراش مأخوذة على نحو الطريقية فلو قطع بأن الولد ليس من الزوج فإنه لا يجوز إلحاقه به، وعلى هذا فالوسائل العلمية القطعية حاكمة عليها فلماذا لا يصح إثبات النسب بالبصمة الوراثية حتى في حالة وجود الفراش؟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نسبة الخطأ في البصمة الوراثية وغيرها من الوسائل العلمية موجودة ولا يمكن إهمالها ولو من جهة القائمين على عملية الفحص وقراءة النتائج لغايةٍ ما خصوصاً مع تفشي الفساد المالي والإداري، ومع وجود هذا الاحتمال فإن قاعدة الفراش محكّمة</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قاعدة الفراش تجري طالما وجد احتمال لنسبة الولد إلى صاحب الفراش ولو كان ضئيلاً وهو موجود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وهذه القوة من الحجية حتى في مورد الاحتمال الضعيف يعطيها شائبة موضوعية تممت هذه الكاشفية الضعيفة مراعاة لحفظ النظام الاجتماعي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 أنه يستفاد من البصمة الوراثية كوسيلة إثبات في المواضعالتي لا يوجد فيها دليل شرعي حاكم، ومن تلك الموارد</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التعرف على الجاني لتبرئة غيره عندما تتطابق العينة مع صاحبها، أما ثبوت العقوبة على المتهم صاحب العيّنة فيمكن دفعه 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الحدود تدرأ بالشبهات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حالات الاشتباه بين المواليد كما في المستشفيات ومراكز رعاية الأطفال وكذا الاشتباه في أطفال الأنابيب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النصوص الواردة في تمييز مثل هذا الاشتباه بوسائل الإثبات المعروفة صحيحة محمد بن قيس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لرجل على عهد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جاريتان فولدتا جميعاً في ليلة واحدة، فولدت إحداهما ابنا والأخرى بنتاً، فعمدت صاحبة البنت فوضعت بنتها في المهد الذي فيه الابن وأخذت ابنها، فقالت صاحبة البنت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الابن ابني، وقالت صاحبة الابن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الابن ابني فتحاكما إلى أمير المؤمنين عليه السلام، فأمر أن يوزن لبنهما،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أيتهما كانت أثقل لبناً فالابن لها</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 تجريد ثقل اللبن عن الخصوصية وإنما هو وسيلة للتمييز فيُعمَّم إلى الوسائل الأخرى</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حالات التنازع على مجهول النسب في موارد عدم جريان قاعدة الولد للفراش وانتفاء الأدلة أو تساويهما كما لو دار أمر الولد بين زانيين أو واطئ </w:t>
      </w:r>
    </w:p>
    <w:p>
      <w:pPr>
        <w:pStyle w:val="BookText"/>
        <w:rPr/>
      </w:pPr>
      <w:r>
        <w:rPr>
          <w:rFonts w:ascii="Amiri" w:hAnsi="Amiri" w:eastAsia="Amiri" w:cs="Amiri"/>
          <w:color w:val="111111"/>
          <w:sz w:val="28"/>
          <w:sz w:val="28"/>
          <w:szCs w:val="28"/>
          <w:rtl w:val="true"/>
          <w:lang w:bidi="ar-SA"/>
        </w:rPr>
        <w:t>شبهة، أو بين صاحب فراش وواطئ شبهة كما ذهب إليه المشهور باعتبار عدم وجود عاهر حتى يطرد حيث أوكل الفقهاء الحل إلى القرعة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حالات ضياع الأطفال واختلافهم بسبب الحوادث أو الحروبوتعذر معرفة أهلهم، أو وجود جثث لم يمكن التعرف على هويتها، أو بقصد التحقق من هويات أسرى الحروب والمفقودين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تنقيح موضوع حرمة النكاح بين رجل وامرأة بأن ادعى شخص أن هذه المرأة أخت الرجل فتحرم عليه ونفى الآخر، فإذا ثبت بالبصمة الوراثية أنها أخته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بغضّ النظر عن جريان قاعدة الفراش في المرتبة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نكاحها، وإنما خصصنا العنوان بحرمة النكاح دون بقية آثار النسب للإجماع على حرمة النكاح بالمحارم وإن كانت من الزنا، أما لو كان الأثر لا يترتب إلا على الابن من الفراش فإن نتيجة البصمة لا تنفع لأنها لا تميّز بين ابن الفراش وابن الزنا، كما لو ادعى أحد استحقاقه من الميراث وثبت بالبصمة أنه ابن فهذا لا يكفي في اشتراكه بالميراث لاحتمال أنه ابن من الزنا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لزيادة الاطمئنان وإزالة الشك بانتساب ولده الذي ولد على فراشه إليه وقد وردت بعض الروايات في إفادة الشبه بين الرجل وولده هذه النتيجة كصحيحة يعقوب بن يزيد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كتبت إلى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وقع على جاريته ثم شك في ولده؟ فكتب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فيه مشابهة منه فهو ولده</w:t>
      </w:r>
      <w:r>
        <w:rPr>
          <w:rFonts w:eastAsia="IRNazanin" w:cs="IRNazanin"/>
          <w:color w:val="111111"/>
          <w:sz w:val="28"/>
          <w:szCs w:val="28"/>
          <w:rtl w:val="true"/>
          <w:lang w:bidi="fa-IR"/>
        </w:rPr>
        <w:t>)</w:t>
      </w:r>
      <w:r>
        <w:rPr>
          <w:rStyle w:val="FootnoteAnchor"/>
          <w:rtl w:val="true"/>
        </w:rPr>
        <w:footnoteReference w:id="243"/>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رواية أخرى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من كان يطأ جاريته ثم شك في حملها من غيره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كان الولد لك أو فيه مشابهة فلا تبعهما، فإن ذلك لا يحل لك، وإن كان الولد ليس منك ولا </w:t>
      </w:r>
    </w:p>
    <w:p>
      <w:pPr>
        <w:pStyle w:val="BookText"/>
        <w:rPr/>
      </w:pPr>
      <w:r>
        <w:rPr>
          <w:rFonts w:ascii="Amiri" w:hAnsi="Amiri" w:eastAsia="Amiri" w:cs="Amiri"/>
          <w:color w:val="111111"/>
          <w:sz w:val="28"/>
          <w:sz w:val="28"/>
          <w:szCs w:val="28"/>
          <w:rtl w:val="true"/>
          <w:lang w:bidi="ar-SA"/>
        </w:rPr>
        <w:t>فيه مشابهة منك فبعه وبع أمه</w:t>
      </w:r>
      <w:r>
        <w:rPr>
          <w:rFonts w:eastAsia="Amiri" w:cs="Amiri" w:ascii="Amiri" w:hAnsi="Amiri"/>
          <w:color w:val="111111"/>
          <w:sz w:val="28"/>
          <w:szCs w:val="28"/>
          <w:rtl w:val="true"/>
          <w:lang w:bidi="ar-SA"/>
        </w:rPr>
        <w:t xml:space="preserve">) </w:t>
      </w:r>
      <w:r>
        <w:rPr>
          <w:rStyle w:val="FootnoteAnchor"/>
          <w:rtl w:val="true"/>
        </w:rPr>
        <w:footnoteReference w:id="244"/>
      </w:r>
      <w:r>
        <w:rPr>
          <w:rFonts w:ascii="IRNazanin" w:hAnsi="IRNazanin" w:eastAsia="IRNazanin"/>
          <w:color w:val="111111"/>
          <w:sz w:val="28"/>
          <w:sz w:val="28"/>
          <w:szCs w:val="28"/>
          <w:rtl w:val="true"/>
          <w:lang w:bidi="fa-IR"/>
        </w:rPr>
        <w:t xml:space="preserve">، فالمشابهة هنا تعزّز الانتساب بقاعدة الفراش وليست دليلاً مستقلاً،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كان الولد ليس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لم يولد على فراشك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ضوء هذا الحمل يُعلم النقاش في استدلال فقهاء العامة ببعضالروايات الواردة في صحاحهم كالمروي عن عائشة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عليّ مسروراً تبرق أسارير وجهه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تري مجزّراً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المدلجي الكناني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آنفاً إلى زيد بن حارثة وأسامة بن زيد،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الأقدام بعضها من بعض</w:t>
      </w:r>
      <w:r>
        <w:rPr>
          <w:rFonts w:eastAsia="IRNazanin" w:cs="IRNazanin"/>
          <w:color w:val="111111"/>
          <w:sz w:val="28"/>
          <w:szCs w:val="28"/>
          <w:rtl w:val="true"/>
          <w:lang w:bidi="fa-IR"/>
        </w:rPr>
        <w:t xml:space="preserve">) </w:t>
      </w:r>
      <w:r>
        <w:rPr>
          <w:rStyle w:val="FootnoteAnchor"/>
          <w:rtl w:val="true"/>
        </w:rPr>
        <w:footnoteReference w:id="245"/>
      </w:r>
      <w:r>
        <w:rPr>
          <w:rFonts w:ascii="Amiri" w:hAnsi="Amiri" w:eastAsia="Amiri" w:cs="Amiri"/>
          <w:color w:val="111111"/>
          <w:sz w:val="28"/>
          <w:sz w:val="28"/>
          <w:szCs w:val="28"/>
          <w:rtl w:val="true"/>
          <w:lang w:bidi="ar-SA"/>
        </w:rPr>
        <w:t>وكان زيد أبيضاً وأسامة أسود على حجية قول القائف وإن اختلفوا في التفاصيل</w:t>
      </w:r>
      <w:r>
        <w:rPr>
          <w:rStyle w:val="FootnoteAnchor"/>
          <w:rtl w:val="true"/>
        </w:rPr>
        <w:footnoteReference w:id="246"/>
      </w:r>
      <w:r>
        <w:rPr>
          <w:rFonts w:ascii="Amiri" w:hAnsi="Amiri" w:eastAsia="Amiri" w:cs="Amiri"/>
          <w:color w:val="111111"/>
          <w:sz w:val="28"/>
          <w:sz w:val="28"/>
          <w:szCs w:val="28"/>
          <w:rtl w:val="true"/>
          <w:lang w:bidi="ar-SA"/>
        </w:rPr>
        <w:t>وهو ليس صحيحاً وإن الحجة هي قاعدة الفراش وإنما يفيد الشبه هنا سكون النفس واطمئنانها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الغريب مناقشة بعض فقهاء العامة المعاصرين في حجية البصمة الوراثية مع ذهابهم إلى حجية قول القائف لوضوح الفرق في قوة الإثبات بين القيافة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إثبات النسب بالشبهة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تفيد الظن والبصمة الوراثية التي تفيد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الفرق وجود النص على حجية القيافة دون البصمة الوراثية</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المشكلة ليست إثباتية حتى يكون الفيصل هو النص وإنما هي ثبوتية باعتبار أن حجية القيافة من باب أنها طريق للواقع ووسيلة للإثبات فيلاحظ هذا الملاك في البصمة الوراثية</w:t>
      </w:r>
      <w:r>
        <w:rPr>
          <w:rFonts w:eastAsia="Amiri" w:cs="Amiri" w:ascii="Amiri" w:hAnsi="Amiri"/>
          <w:color w:val="111111"/>
          <w:sz w:val="28"/>
          <w:szCs w:val="28"/>
          <w:rtl w:val="true"/>
          <w:lang w:bidi="ar-SA"/>
        </w:rPr>
        <w:t xml:space="preserve">. </w:t>
      </w:r>
      <w:bookmarkStart w:id="182" w:name="pg8133_62759"/>
    </w:p>
    <w:p>
      <w:pPr>
        <w:pStyle w:val="Heading4"/>
        <w:numPr>
          <w:ilvl w:val="3"/>
          <w:numId w:val="1"/>
        </w:numPr>
        <w:rPr/>
      </w:pPr>
      <w:bookmarkStart w:id="183" w:name="__RefHeading___Toc8193111_1051229030"/>
      <w:bookmarkStart w:id="184" w:name="_Toc67"/>
      <w:bookmarkEnd w:id="182"/>
      <w:bookmarkEnd w:id="183"/>
      <w:r>
        <w:rPr>
          <w:rtl w:val="true"/>
        </w:rPr>
        <w:t>خامسًا</w:t>
      </w:r>
      <w:r>
        <w:rPr>
          <w:rtl w:val="true"/>
        </w:rPr>
        <w:t xml:space="preserve">: </w:t>
      </w:r>
      <w:r>
        <w:rPr>
          <w:rtl w:val="true"/>
        </w:rPr>
        <w:t>رجوع المجتهد الى مجتهد اخر</w:t>
      </w:r>
      <w:bookmarkEnd w:id="184"/>
    </w:p>
    <w:p>
      <w:pPr>
        <w:pStyle w:val="BookText"/>
        <w:rPr/>
      </w:pPr>
      <w:r>
        <w:rPr>
          <w:rFonts w:ascii="Amiri" w:hAnsi="Amiri" w:eastAsia="Amiri" w:cs="Amiri"/>
          <w:color w:val="111111"/>
          <w:sz w:val="28"/>
          <w:sz w:val="28"/>
          <w:szCs w:val="28"/>
          <w:rtl w:val="true"/>
          <w:lang w:bidi="ar-SA"/>
        </w:rPr>
        <w:t xml:space="preserve">من المعروف ان المجتهد لا يجوز له العمل بفتوى مجتهد اخر ؛ باعتبار انه عالم بالحكم ، وما دام كذلك فعليه ان يعمل بعلمه ؛ لان المصحح لعمل العامي بفتوى المجتهد هو رجوع الجاهل الى العالم ، ولكن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اوجب رجوع المجتهد الى مجتهداخر اذا كان الأول جاهلا بالحكم لتحقق مناط رجوع الجاهل الى العالم ، اذ جاء هذا الكلام في الجزء الخامس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مسالة معادلة المد بثلاثة ارباع الكيلو غرام تقريبًا او تحقيقًا ،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فيوضاته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المجتهد له بل عليه أن يرجع إلى مجتهد آخر إذا انسد عليه باب العلم بالحكم بشرط عدم العلم بخطئه أو خطأ مستنده وقد حققنا في النقطة السابقة عدم العلم بخطأ المستند، وهنا نقول بتحقق الشرط الآخر وهو عدم العلم بخطئهم إذ لا يعرف الفقهاء المعاصرون الوزن الحقيقي للرطل والمد المذكور في النصوص لكن الفقهاء السابقين يعلمون وأفتوا بما أوصلهم اجتهادهم فيجوز بل يجب الرجوع إليهم ولا يُعلم خطؤهم في ذلك</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لا من جهة القول بتمامية دليل الانسداد الذي نتيجته حجية مطلق الظن وإنما من باب تطبيق الملاك الذي ذكروه في باب التقليد من جريان السيرة العقلائية التي تقتضي رجوع الجاهل إلى العالم وهي شاملة للمجتهد إذا استعصى عليه الاستنباط في مسألة معينة وهم يلتزمون به بالإرجاع إلى الغير في موارد الاحتياط الوجوبي للتوقف في الفتوى</w:t>
      </w:r>
      <w:r>
        <w:rPr>
          <w:rFonts w:eastAsia="Amiri" w:cs="Amiri" w:ascii="Amiri" w:hAnsi="Amiri"/>
          <w:color w:val="111111"/>
          <w:sz w:val="28"/>
          <w:szCs w:val="28"/>
          <w:rtl w:val="true"/>
          <w:lang w:bidi="ar-SA"/>
        </w:rPr>
        <w:t xml:space="preserve">. </w:t>
      </w:r>
      <w:bookmarkStart w:id="185" w:name="pg8133_62760"/>
    </w:p>
    <w:p>
      <w:pPr>
        <w:pStyle w:val="Heading4"/>
        <w:numPr>
          <w:ilvl w:val="3"/>
          <w:numId w:val="1"/>
        </w:numPr>
        <w:rPr/>
      </w:pPr>
      <w:bookmarkStart w:id="186" w:name="__RefHeading___Toc8193113_1051229030"/>
      <w:bookmarkStart w:id="187" w:name="_Toc68"/>
      <w:bookmarkEnd w:id="185"/>
      <w:bookmarkEnd w:id="186"/>
      <w:r>
        <w:rPr>
          <w:rtl w:val="true"/>
        </w:rPr>
        <w:t>سادسًا</w:t>
      </w:r>
      <w:r>
        <w:rPr>
          <w:rtl w:val="true"/>
        </w:rPr>
        <w:t xml:space="preserve">: </w:t>
      </w:r>
      <w:r>
        <w:rPr>
          <w:rtl w:val="true"/>
        </w:rPr>
        <w:t>تصرف الشارع في الحقائق التكوينية والعرفية</w:t>
      </w:r>
      <w:bookmarkEnd w:id="187"/>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الشارع بما هو شارع ليس له ان يتصرف في الحقائق الخارجية ؛ لان وظيفة الشارع اعتبار الاحكام والقوانين ، وليس تغيير الموضوعات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 سماحة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في الجزء 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حق الشارع المقدس التصرف في الحقائق التكوينية والعرفية توسعة وضيقا ، اذ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النتيجة خلاف ما استظهرتموه من المعنى العرفي للشهر وكونه واحداً لجميع أهل الأرض</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 من حق الشارع المقدس توسيع وتضييق حدود الحقائق الخارجية سواء كانت تكوينية أو عرفية بحسب ما يراه من الملاك، مضافاً إلى أن مختارنا يتفق مع الفهم العرفي بوحدة الشهر لجميع بلدان العالم فيما لو كانت الرؤية في أحد بلاد المسلمين</w:t>
      </w:r>
      <w:r>
        <w:rPr>
          <w:rFonts w:eastAsia="Amiri" w:cs="Amiri" w:ascii="Amiri" w:hAnsi="Amiri"/>
          <w:color w:val="111111"/>
          <w:sz w:val="28"/>
          <w:szCs w:val="28"/>
          <w:rtl w:val="true"/>
          <w:lang w:bidi="ar-SA"/>
        </w:rPr>
        <w:t xml:space="preserve">. </w:t>
      </w:r>
      <w:bookmarkStart w:id="188" w:name="pg8133_62761"/>
    </w:p>
    <w:p>
      <w:pPr>
        <w:pStyle w:val="Heading4"/>
        <w:numPr>
          <w:ilvl w:val="3"/>
          <w:numId w:val="1"/>
        </w:numPr>
        <w:rPr/>
      </w:pPr>
      <w:bookmarkStart w:id="189" w:name="__RefHeading___Toc8193115_1051229030"/>
      <w:bookmarkStart w:id="190" w:name="_Toc69"/>
      <w:bookmarkEnd w:id="188"/>
      <w:bookmarkEnd w:id="189"/>
      <w:r>
        <w:rPr>
          <w:rtl w:val="true"/>
        </w:rPr>
        <w:t>سابعًا</w:t>
      </w:r>
      <w:r>
        <w:rPr>
          <w:rtl w:val="true"/>
        </w:rPr>
        <w:t xml:space="preserve">: </w:t>
      </w:r>
      <w:r>
        <w:rPr>
          <w:rtl w:val="true"/>
        </w:rPr>
        <w:t>معنى حديث لا ضرر</w:t>
      </w:r>
      <w:r>
        <w:rPr>
          <w:rtl w:val="true"/>
        </w:rPr>
        <w:t>.</w:t>
      </w:r>
      <w:bookmarkEnd w:id="190"/>
    </w:p>
    <w:p>
      <w:pPr>
        <w:pStyle w:val="Heading5"/>
        <w:numPr>
          <w:ilvl w:val="4"/>
          <w:numId w:val="1"/>
        </w:numPr>
        <w:rPr/>
      </w:pPr>
      <w:bookmarkStart w:id="191" w:name="__RefHeading___Toc8193117_1051229030"/>
      <w:bookmarkStart w:id="192" w:name="_Toc70"/>
      <w:bookmarkEnd w:id="191"/>
      <w:r>
        <w:rPr>
          <w:rtl w:val="true"/>
        </w:rPr>
        <w:t>اشارة</w:t>
      </w:r>
      <w:bookmarkEnd w:id="192"/>
    </w:p>
    <w:p>
      <w:pPr>
        <w:pStyle w:val="BookText"/>
        <w:rPr/>
      </w:pPr>
      <w:r>
        <w:rPr>
          <w:rFonts w:ascii="Amiri" w:hAnsi="Amiri" w:eastAsia="Amiri" w:cs="Amiri"/>
          <w:color w:val="111111"/>
          <w:sz w:val="28"/>
          <w:sz w:val="28"/>
          <w:szCs w:val="28"/>
          <w:rtl w:val="true"/>
          <w:lang w:bidi="ar-SA"/>
        </w:rPr>
        <w:t>مع ان عادة علماء الأصول جرت على بحث حديث لاضرر في ذيل مبحث البراءة الشرعية ، الا انني رجحت ذكر هذه المسالة في التمهيد باعتبار ان البحث في هذه القاعدة خارج عن علم الأصول باعتبارها قاعدة 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بيّن سماحة الشيخ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مختاره لمعنى حديث لاضرر في الجزء الثاني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بيان العناوين الثانوية المبيحة لعملية التلقيح الصناعي ، اذ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حديث لا ضرر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تسبب الأحكام الشرعية للضرر فهو ينفي حصول الضرر في الشريعة بنفي سببه وهو الحكم، أي أنه ينفي وجود الحكم الضرري من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جاء في الجزء الثاني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مهم عن قاعدة لا ضرر ولا ضرار في سياق الحديث عن القيود التي تحدد تصرف الانسان في بدنه ، اذ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w:t>
      </w:r>
    </w:p>
    <w:p>
      <w:pPr>
        <w:pStyle w:val="Heading5"/>
        <w:numPr>
          <w:ilvl w:val="4"/>
          <w:numId w:val="1"/>
        </w:numPr>
        <w:rPr/>
      </w:pPr>
      <w:bookmarkStart w:id="193" w:name="__RefHeading___Toc8193119_1051229030"/>
      <w:bookmarkStart w:id="194" w:name="_Toc71"/>
      <w:bookmarkEnd w:id="193"/>
      <w:r>
        <w:rPr>
          <w:rtl w:val="true"/>
        </w:rPr>
        <w:t>القيد الثاني</w:t>
      </w:r>
      <w:r>
        <w:rPr>
          <w:rtl w:val="true"/>
        </w:rPr>
        <w:t xml:space="preserve">: </w:t>
      </w:r>
      <w:r>
        <w:rPr>
          <w:rtl w:val="true"/>
        </w:rPr>
        <w:t>حرمة الإضرار بالبدن</w:t>
      </w:r>
      <w:bookmarkEnd w:id="194"/>
    </w:p>
    <w:p>
      <w:pPr>
        <w:pStyle w:val="BookText"/>
        <w:rPr/>
      </w:pPr>
      <w:r>
        <w:rPr>
          <w:rFonts w:ascii="Amiri" w:hAnsi="Amiri" w:eastAsia="Amiri" w:cs="Amiri"/>
          <w:color w:val="111111"/>
          <w:sz w:val="28"/>
          <w:sz w:val="28"/>
          <w:szCs w:val="28"/>
          <w:rtl w:val="true"/>
          <w:lang w:bidi="ar-SA"/>
        </w:rPr>
        <w:t>والكبرى ثابتة والصغرى متحققة لأن فقدان العضو ضرر</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الحديث المتواتر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w:t>
      </w:r>
      <w:r>
        <w:rPr>
          <w:rStyle w:val="FootnoteAnchor"/>
          <w:rtl w:val="true"/>
        </w:rPr>
        <w:footnoteReference w:id="247"/>
      </w:r>
      <w:r>
        <w:rPr>
          <w:rFonts w:ascii="Amiri" w:hAnsi="Amiri" w:eastAsia="Amiri" w:cs="Amiri"/>
          <w:color w:val="111111"/>
          <w:sz w:val="28"/>
          <w:sz w:val="28"/>
          <w:szCs w:val="28"/>
          <w:rtl w:val="true"/>
          <w:lang w:bidi="ar-SA"/>
        </w:rPr>
        <w:t>جملة خبرية فهو ينفي وجود حكم ضرري في الإسلام ولو بلسان نفي الموضوع، وأنه لا يشرع للمكلفين حكماً فيه ضرر عليهم، ولو أدّى حكم عند تطبيقه إلى ضرر فإنه غير داخل في إطار الشريعة وليس منها ولا بد أن خللاً ما في التطبيق قد حصل كما في قضية سمرة بن جندب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ويمكن أن يكون جملة إنشائية فيفيد النهي عن كل ما يوجب الضرر بالنفس والإضرار بالآخرين؛ لأن النهي عن المعلول أبلغ في الدلالة عن النهي عن العلة، ولأن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الضرر معلول لعلل وأسباب مختلفة، فنفي المعلول نفي لجميع أنحاء علله سواء كانت العلة هي الأحكام الشرعية، فإن العمل بها ربما يكون موجباً للضرر، أو إطلاق السلطنة على المال والنفس، فإنه ربما يؤدي إلى الضرر، أو لزوم بعض المعاملات، أو عدم جعل حق الشفعة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فإطلاق نفي المعلول يدل على نفي العلل</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قيل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مفاد الفقرة الأولى أنه لا يتوجه إلى المكلف في محيط الشرع ضرر فهي ناظرة إلى ورود الضرر عليه من الخارج ومنصرفة عن ورود الضرر على الإنسان من ناحية نفسه، فلازمها أنه لا يصل إلى الإنسان ضرر في محيط القانون، فلم يحمّل عليه ما يضرّ به، ولم يجوّز للغير إيراد الضرر عليه وأما إضرار الإنسان بنفسه فهو خارج ومنصرف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ظاهر المصدر في الفقرة الثانية أيضاً هو الإضرار بالغير وإيراد الضرر عليه فلا يعم إيراد الشخص للضرر على نفسه</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لدعوى الانصراف مع ظهور الحديث في الإطلاق، ولو تنزّلنا فإن ما قيل لا يضرُّ بالاستدلال لأن الحديث حينئذٍ يدل بالأولوية على حرمة إيقاع الضرر على النفس لأن الحديث مبني على استثارة هذه الحقيقة المركوزة في الفطرة، فكما أن الإنسان لا يرضى بإيقاع الضرر على نفسه منه بل يتحرى لها كل خير ومنفعة وسعادة ورفاهية ودعة، وإن الشريعة أقرَّت ذلك وبنت عليه وتوقفت عن تشريع أي حكم ضرري، كذلك على </w:t>
      </w:r>
    </w:p>
    <w:p>
      <w:pPr>
        <w:pStyle w:val="BookText"/>
        <w:rPr/>
      </w:pPr>
      <w:r>
        <w:rPr>
          <w:rFonts w:ascii="Amiri" w:hAnsi="Amiri" w:eastAsia="Amiri" w:cs="Amiri"/>
          <w:color w:val="111111"/>
          <w:sz w:val="28"/>
          <w:sz w:val="28"/>
          <w:szCs w:val="28"/>
          <w:rtl w:val="true"/>
          <w:lang w:bidi="ar-SA"/>
        </w:rPr>
        <w:t>الإنسان أن لا يتسبب بإيقاع الضرر على الآخرين، ولايجوز للآخرين أن يلحقوا الضرر به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الروايات الدالة على حرمة الإضرار بالبدن الروايات الدالة على أن ملاك الأحكام الشرعية هي المصالح والمفاسد فلا بد أن تدور أفعال الإنسان في مدارها، وهي من الروايات التأسيسية لفقه المصالح، كرواية محمد بن عذافر عن أبيه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حرم الله الخمر والميتة ولحم الخنزير والدم؟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وتعالى لم يحرم ذلك على عباده وأحل لهم ما وراء ذلك من رغبة في ما أحل لهم، ولا زهد فيما حرمه عليهم، ولكنه خلق الخلق فعلم ما تقوم به أبدانهم وما يصلحهم فأحله لهم وأباحه لهم وعلم ما يضرهم فنهاهم عنه، ثم أحله للمضطر في الوقت الذي لا يقوم بدنه إلا به</w:t>
      </w:r>
      <w:r>
        <w:rPr>
          <w:rFonts w:eastAsia="IRNazanin" w:cs="IRNazanin"/>
          <w:color w:val="111111"/>
          <w:sz w:val="28"/>
          <w:szCs w:val="28"/>
          <w:rtl w:val="true"/>
          <w:lang w:bidi="fa-IR"/>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ومثلها رواية تحف العقول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عمّا يحل أكله مما أخرجت الأرض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شيء من الحب مما يكون فيه غذاء الإنسان في بدنه وقوته فحلال أكله، وكل شيء يكون فيه المضرة على الإنسان في بدنه فحرام أكله إلا في حال 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والصنف الثاني ما أخرجت الأرض من جميع صنوف الثمار كلها مما يكون فيه غذاء الإنسان ومنفعة له وقوة به فحلال أكله وما كان فيه المضرة على الإنسان في أكله فحرام أكله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والصنف الثالث جميع صنوف البقول والنبات وكل شيء تنبت من البقول كلها مما فيه منافع الإنسان وغذاء له فحلال أكله وما كان من صنوف البقول مما فيه المضرة على الإنسان في أكله نظير بقول السموم القاتلة ونظير الدفلى </w:t>
      </w:r>
    </w:p>
    <w:p>
      <w:pPr>
        <w:pStyle w:val="BookText"/>
        <w:rPr/>
      </w:pPr>
      <w:r>
        <w:rPr>
          <w:rFonts w:ascii="Amiri" w:hAnsi="Amiri" w:eastAsia="Amiri" w:cs="Amiri"/>
          <w:color w:val="111111"/>
          <w:sz w:val="28"/>
          <w:sz w:val="28"/>
          <w:szCs w:val="28"/>
          <w:rtl w:val="true"/>
          <w:lang w:bidi="ar-SA"/>
        </w:rPr>
        <w:t>وغير ذلك من صنوف السم القاتل فحرام 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2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بتقريب أن الرواية دلّت على أن علّة تحريم ما نهاهم عنه هو ضرره على الإنسان وهي كبرى كلية تدلّ على حرمة الإضرار بالنفس وضعف سند الرواية مجبور بإطباق جوامع الحديث على روايتها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ومثلها رواية العلل عن محمد بن سنان 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 يحلّ إلا لما فيه من المصلحة للأبدان، وحرَّم ما حرّم لما فيه من الفساد</w:t>
      </w:r>
      <w:r>
        <w:rPr>
          <w:rFonts w:eastAsia="IRNazanin" w:cs="IRNazanin"/>
          <w:color w:val="111111"/>
          <w:sz w:val="28"/>
          <w:szCs w:val="28"/>
          <w:rtl w:val="true"/>
          <w:lang w:bidi="fa-IR"/>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ما دلّ على سقوط الواجبات الشرعية مثل الصوم والغسل والأمر بالمعروف والنهي عن المنكر إذا أضرّت بالإنسان كحديث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الفقيه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ما أضرّ به الصوم فالإفطار له واجب</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وصحيحة البزنطي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الرجل تصيبه الجنابة وبه قروح أو جروح، أو يكون يخاف على نفسه من البرد؟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يغتسل ويتمم</w:t>
      </w:r>
      <w:r>
        <w:rPr>
          <w:rFonts w:eastAsia="IRNazanin" w:cs="IRNazanin"/>
          <w:color w:val="111111"/>
          <w:sz w:val="28"/>
          <w:szCs w:val="28"/>
          <w:rtl w:val="true"/>
          <w:lang w:bidi="fa-IR"/>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 من الأحاديث في نفس الباب</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والخلاصة أن كبرى حرمة الضرر ثابتة شرعاً في الجملة وعند العقلاء وحكي عليها الإجماع وهو حكم موافق للفطرة السليمة وحكم العقل بلزوم دفع الضرر المحتمل إذا كان ذا أهمية وقد زوَّد الله تعالى الإنسان بما يستشعر به الخطر ويدفعه للابتعاد عنه كالمثال الذي ذكرناه في كتاب </w:t>
      </w:r>
    </w:p>
    <w:p>
      <w:pPr>
        <w:pStyle w:val="BookText"/>
        <w:rPr/>
      </w:pPr>
      <w:r>
        <w:rPr>
          <w:rFonts w:ascii="Amiri" w:hAnsi="Amiri" w:eastAsia="Amiri" w:cs="Amiri"/>
          <w:color w:val="111111"/>
          <w:sz w:val="28"/>
          <w:sz w:val="28"/>
          <w:szCs w:val="28"/>
          <w:rtl w:val="true"/>
          <w:lang w:bidi="ar-SA"/>
        </w:rPr>
        <w:t>الرياضيات للفقيه</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وإنما 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للقطع بأن ليس كل ضرر حراماً ولو كان بسيطاً يتسامح به العقلاء، كالتملّي من الطعام فتقيَّد الحرمة بالضرر المعتد به، ويمكن أن يستدل على هذا التقييد بأكثر من 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الروايات المتقدمة لاستعمالها ألفاظاً تعبّر عن هذا المستوىمن الضرر 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رواية العلل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 الفساد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العقلاء على ذلك مما يشكل دليلاً لبّياً ارتكازياً على التقييد</w:t>
      </w:r>
      <w:r>
        <w:rPr>
          <w:rFonts w:eastAsia="Amiri" w:cs="Amiri" w:ascii="Amiri" w:hAnsi="Amiri"/>
          <w:color w:val="111111"/>
          <w:sz w:val="28"/>
          <w:szCs w:val="28"/>
          <w:rtl w:val="true"/>
          <w:lang w:bidi="ar-SA"/>
        </w:rPr>
        <w:t xml:space="preserve">. </w:t>
      </w:r>
      <w:bookmarkStart w:id="195" w:name="pg8133_62766"/>
    </w:p>
    <w:p>
      <w:pPr>
        <w:pStyle w:val="Heading4"/>
        <w:numPr>
          <w:ilvl w:val="3"/>
          <w:numId w:val="1"/>
        </w:numPr>
        <w:rPr/>
      </w:pPr>
      <w:bookmarkStart w:id="196" w:name="__RefHeading___Toc8193121_1051229030"/>
      <w:bookmarkStart w:id="197" w:name="_Toc72"/>
      <w:bookmarkEnd w:id="195"/>
      <w:bookmarkEnd w:id="196"/>
      <w:r>
        <w:rPr>
          <w:rtl w:val="true"/>
        </w:rPr>
        <w:t>ثامنًا</w:t>
      </w:r>
      <w:r>
        <w:rPr>
          <w:rtl w:val="true"/>
        </w:rPr>
        <w:t xml:space="preserve">: </w:t>
      </w:r>
      <w:r>
        <w:rPr>
          <w:rtl w:val="true"/>
        </w:rPr>
        <w:t>المباشرة والتسبيب</w:t>
      </w:r>
      <w:bookmarkEnd w:id="197"/>
    </w:p>
    <w:p>
      <w:pPr>
        <w:pStyle w:val="BookText"/>
        <w:rPr/>
      </w:pPr>
      <w:r>
        <w:rPr>
          <w:rFonts w:ascii="Amiri" w:hAnsi="Amiri" w:eastAsia="Amiri" w:cs="Amiri"/>
          <w:color w:val="111111"/>
          <w:sz w:val="28"/>
          <w:sz w:val="28"/>
          <w:szCs w:val="28"/>
          <w:rtl w:val="true"/>
          <w:lang w:bidi="ar-SA"/>
        </w:rPr>
        <w:t>ان إسناد الفعل الى من باشره امر واضح ولا غبار عليه ، اما إسناده الى المسبب فقد جرى فيه النقاش والأخذ والرد ، فَلَو امر زيدٌ خادمه بقتل شخص ما ، هل سيقال ان زيدًا هو القاتل ؟</w:t>
      </w:r>
    </w:p>
    <w:p>
      <w:pPr>
        <w:pStyle w:val="BookText"/>
        <w:rPr/>
      </w:pPr>
      <w:r>
        <w:rPr>
          <w:rFonts w:ascii="Amiri" w:hAnsi="Amiri" w:eastAsia="Amiri" w:cs="Amiri"/>
          <w:color w:val="111111"/>
          <w:sz w:val="28"/>
          <w:sz w:val="28"/>
          <w:szCs w:val="28"/>
          <w:rtl w:val="true"/>
          <w:lang w:bidi="ar-SA"/>
        </w:rPr>
        <w:t xml:space="preserve">ومن كلمات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المقام ما جاء في الجزء التاسع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 لا فرق بين المباشرة والتسبيب ، اذ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وأضاف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فرعاً آخر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فرق في القتل بين المباشرة والتسبيب كالإفتاء ونحوه لإطلاق الأدلة</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وجيه ولكن ما دام تسبيبه مؤثراً ويصح إسناد الفعل إليه على نحو الاشتراك فهو كالسبب المستقل، مثل الأسباب التوليدية فلو أكره المفتي على إصدار حكم بقتل بريء لم يكن له ذلك ولا يقبل الاعتذار بالإكراه</w:t>
      </w:r>
      <w:r>
        <w:rPr>
          <w:rFonts w:eastAsia="Amiri" w:cs="Amiri" w:ascii="Amiri" w:hAnsi="Amiri"/>
          <w:color w:val="111111"/>
          <w:sz w:val="28"/>
          <w:szCs w:val="28"/>
          <w:rtl w:val="true"/>
          <w:lang w:bidi="ar-SA"/>
        </w:rPr>
        <w:t xml:space="preserve">. </w:t>
      </w:r>
      <w:bookmarkStart w:id="198" w:name="pg8133_62767"/>
    </w:p>
    <w:p>
      <w:pPr>
        <w:pStyle w:val="Heading4"/>
        <w:numPr>
          <w:ilvl w:val="3"/>
          <w:numId w:val="1"/>
        </w:numPr>
        <w:rPr/>
      </w:pPr>
      <w:bookmarkStart w:id="199" w:name="__RefHeading___Toc8193123_1051229030"/>
      <w:bookmarkStart w:id="200" w:name="_Toc73"/>
      <w:bookmarkEnd w:id="198"/>
      <w:bookmarkEnd w:id="199"/>
      <w:r>
        <w:rPr>
          <w:rtl w:val="true"/>
        </w:rPr>
        <w:t>تاسعًا</w:t>
      </w:r>
      <w:r>
        <w:rPr>
          <w:rtl w:val="true"/>
        </w:rPr>
        <w:t xml:space="preserve">: </w:t>
      </w:r>
      <w:r>
        <w:rPr>
          <w:rtl w:val="true"/>
        </w:rPr>
        <w:t>الحقيقة الشرعية</w:t>
      </w:r>
      <w:bookmarkEnd w:id="200"/>
    </w:p>
    <w:p>
      <w:pPr>
        <w:pStyle w:val="BookText"/>
        <w:rPr/>
      </w:pPr>
      <w:r>
        <w:rPr>
          <w:rFonts w:ascii="Amiri" w:hAnsi="Amiri" w:eastAsia="Amiri" w:cs="Amiri"/>
          <w:color w:val="111111"/>
          <w:sz w:val="28"/>
          <w:sz w:val="28"/>
          <w:szCs w:val="28"/>
          <w:rtl w:val="true"/>
          <w:lang w:bidi="ar-SA"/>
        </w:rPr>
        <w:t>مما لا شك فيه ان للشريعة معانيَ ومفاهيمَ خاصة بها تختلف عما هو متداول لغة وعرفا ، كالصلاة مثلا فان لها مفهوما شرعيا يختلف عن المفهوم اللغوي ؛ اذ ان الصلاة في الشريعة الإسلامية يراد بها تلك العبادة الخاصة المعروفة عندنا اما في اللغة فتعني الدعاء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بحث علماء الاصول في ان الألفاظ وضعت لمعانيها الشرعية في القران الكريم ، وفيما نقل من روايات في زمان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ما يصطلح عليه بالحقيقة الشرعية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ان هذا الوضع لم يحصل الا في زمن متأخر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يعرف بالحقيقة المتشرعية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والذي يذهب اليه سماحة الشيخ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عدم القول بالحقيقة الشرعية ، وهذا يتضح مما ذكره في الجزء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بحث طهارة غير المسلمين ،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والنتيجة أن الراجح في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الآية الشريفة هي القذارة المعنوية وخبث النفس والشر ونحوها من المعاني التي نفهمها حينما نقرأ أمثال هذه النصوص كالذي ورد في زيارة وارث المشهورة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والمروية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أنك كنت نوراً في الأصلاب الشامخة والأرحام المطهرة لم تنجّسك الجاهلية بأنجاسها</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 xml:space="preserve">وفي زيارة أول رجب المخصوصة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طهرتَ وطهُرتْ بك البلاد وطهُرتْ أرض أنت بها وطهر حرمك</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يُعلم ما في كلام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الحقيقة الشرعية </w:t>
      </w:r>
    </w:p>
    <w:p>
      <w:pPr>
        <w:pStyle w:val="BookText"/>
        <w:rPr/>
      </w:pPr>
      <w:r>
        <w:rPr>
          <w:rFonts w:ascii="Amiri" w:hAnsi="Amiri" w:eastAsia="Amiri" w:cs="Amiri"/>
          <w:color w:val="111111"/>
          <w:sz w:val="28"/>
          <w:sz w:val="28"/>
          <w:szCs w:val="28"/>
          <w:rtl w:val="true"/>
          <w:lang w:bidi="ar-SA"/>
        </w:rPr>
        <w:t>وإن لم تثبت، لكن الاستعمال الشرعي في تلك المفاهيمثابت، ولأجله جرت الاستعمالات عند المتشرعة عليه حتى صارت حقيقة عند المتشرعة</w:t>
      </w:r>
      <w:r>
        <w:rPr>
          <w:rFonts w:eastAsia="Amiri" w:cs="Amiri" w:ascii="Amiri" w:hAnsi="Amiri"/>
          <w:color w:val="111111"/>
          <w:sz w:val="28"/>
          <w:szCs w:val="28"/>
          <w:rtl w:val="true"/>
          <w:lang w:bidi="ar-SA"/>
        </w:rPr>
        <w:t>»</w:t>
      </w:r>
      <w:r>
        <w:rPr>
          <w:rStyle w:val="FootnoteAnchor"/>
          <w:rtl w:val="true"/>
        </w:rPr>
        <w:footnoteReference w:id="259"/>
      </w:r>
      <w:r>
        <w:rPr>
          <w:rFonts w:ascii="IRNazanin" w:hAnsi="IRNazanin" w:eastAsia="IRNazanin"/>
          <w:color w:val="111111"/>
          <w:sz w:val="28"/>
          <w:sz w:val="28"/>
          <w:szCs w:val="28"/>
          <w:rtl w:val="true"/>
          <w:lang w:bidi="fa-IR"/>
        </w:rPr>
        <w:t xml:space="preserve">فإن الآلية التي ذكرها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لتشكل المصطلحات الشرعية وإن كانت صحيحة إلا أنها بدأت بعد زمان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في زمانه فقد كانت التعبيرات بغير هذه الألفاظ ، ولو فرضنا الاستعمال في المعنى المصطلح فإن هذا المقدار لا يكفي لتشكل ظهور للفظ في هذا المعنى حتى يتبادر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كان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يستبطن الاستدلال بالاستصحاب القهقرائي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ورد في كلمات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كبراه غير تامة لعدم حجية هذا الاستصحاب، وصغراه غير تامة لأنه قد ثبت عكس نتيجته بالاستقراء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وحتى في زمان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حينما أصبح لفظ النجاسة حقيقة في المصطلح بقي استعمال اللفظ في القذارة المعنوية ففي موثقة ابن أبي يعفور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وإياك أن تغتسل من غسالة الحمام ففيها تجتمع غسالة اليهودي والنصراني والمجوسي والناصب لنا أهل البيت وهو شرهم، فإن الله تبارك وتعالى لم يخلق خلقاً أنجس من الكلب، وإن الناصب لنا أهل البيت لأنجس منه</w:t>
      </w:r>
      <w:r>
        <w:rPr>
          <w:rFonts w:eastAsia="IRNazanin" w:cs="IRNazanin"/>
          <w:color w:val="111111"/>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 xml:space="preserve">وتفسرها رواية عن ابن أبي يعفور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ولعلها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تغتسل من البئر التي تجتمع فيها غسالة الحمام فإن فيها غسالة ولد الزنا وهو لا يطهر إلى سبعة آباء، وفيها غسالة الناصب وهو شرّهما إن الله لم يخلق خلقاً شراً من الكلب وإن الناصب أهون على الله من الكلب</w:t>
      </w:r>
      <w:r>
        <w:rPr>
          <w:rFonts w:eastAsia="IRNazanin" w:cs="IRNazanin"/>
          <w:color w:val="111111"/>
          <w:sz w:val="28"/>
          <w:szCs w:val="28"/>
          <w:rtl w:val="true"/>
          <w:lang w:bidi="fa-IR"/>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افترضنا استعمال لفظ النجس في المعنى المصطلح في زمان </w:t>
      </w:r>
    </w:p>
    <w:p>
      <w:pPr>
        <w:pStyle w:val="BookText"/>
        <w:rPr/>
      </w:pP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يكفي لتأسيس الظهور والانصراف إلى هذا المعنى كماقلنا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ردّ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التأمل في ثبوت الحقيقة الشرعية في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وقرّب ظهور النجاسة في المعنى المتعارف بعدة 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لأن النجاسة الشرعية هي القذارة الموجودة في الأشياء في نظر الشارع، فلم ينقل عن معناها اللغوي وإما لدعوى ثبوت الحقيقة الشرعية، وإما لوجود القرينة على إرادة المعنى الشرعي، وهي حرمة قربهم من المسجد الحرام، إذ لا يجب تجنّب المساجد عن غير النجس الشرعي إجماعاً</w:t>
      </w:r>
      <w:r>
        <w:rPr>
          <w:rFonts w:eastAsia="Amiri" w:cs="Amiri" w:ascii="Amiri" w:hAnsi="Amiri"/>
          <w:color w:val="111111"/>
          <w:sz w:val="28"/>
          <w:szCs w:val="28"/>
          <w:rtl w:val="true"/>
          <w:lang w:bidi="ar-SA"/>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 للمناقشة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الوجه الأول فإننا نتفق معه على أن النجاسة شرعاً هي القذارة لكن القذارة على أنواع قال الراغب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القذارة وذلك ضربان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يُدرَك بالحاسة وضرب يدرك بالبصيرة، والثاني وصف الله تعالى به المشركين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المُشرِكونَ نَجَسٌ</w:t>
      </w:r>
      <w:r>
        <w:rPr>
          <w:rFonts w:eastAsia="Amiri" w:cs="Amiri" w:ascii="Amiri" w:hAnsi="Amiri"/>
          <w:color w:val="111111"/>
          <w:sz w:val="28"/>
          <w:szCs w:val="28"/>
          <w:rtl w:val="true"/>
          <w:lang w:bidi="ar-SA"/>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بحسب الاعتبار الشرعي كذلك، لأن النجاسة الشرعية ليست معنىً مبتدعاً للقذارة وإنما هي اعتبار وتوصيف شرعي لها وتختلف فيما بينها بالآثار والذي يهمنا منها الآن أثر التعدي إلى الخارج، فمن القذارة ما هو قائم بالجسم وهي أعيان النجاسات ومن القذارة ما هو قائم بصفة في الجسم كالجنابة والحيض وتزول بزوال الصفة، ونجاسة المشرك كما يمكن أن تكون من الأولى فإنها يمكن أن تكون من الثانية فتكون متعلقة بصفة الشرك وتزول بزوالها، والنوع الأول من النجاسة متعدٍ إلى الغير </w:t>
      </w:r>
    </w:p>
    <w:p>
      <w:pPr>
        <w:pStyle w:val="BookText"/>
        <w:rPr/>
      </w:pPr>
      <w:r>
        <w:rPr>
          <w:rFonts w:ascii="Amiri" w:hAnsi="Amiri" w:eastAsia="Amiri" w:cs="Amiri"/>
          <w:color w:val="111111"/>
          <w:sz w:val="28"/>
          <w:sz w:val="28"/>
          <w:szCs w:val="28"/>
          <w:rtl w:val="true"/>
          <w:lang w:bidi="ar-SA"/>
        </w:rPr>
        <w:t>دون الثاني وهو محل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القول أن النجس في الآية إلى المعنى الثاني أقرب لوضوح تعلق النجاسة بصفة قائمة في الجسم وليس في نفس الجسم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الوجه الثاني وهي دعوى ثبوت الحقيقة الشرعية فقد استبعدناهافي تقريب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الوجه الثالث فإن هذه القرينة أدل على عكس مطلوبه لعدم حرمة إدخال النجاسة إلى المساجد إذا لم تكن متعدية ولم تستلزم هتكاً وإن الممنوع من دخول المسجد هو ذو القذارة المعنوية كالمجنب والحائض فالمشرك كذلك ، وكان 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حرمة دخول المشركين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مقدمة للحكم بوجوب إخراجهم من جزيرة العرب وهو لا يتعلق بالنجاسة الشرعية المعروفة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وذُكرت وجوه أخرى لتقريب دلالة الآية على المعنى المتشرعي للنجاسة غير قضية كون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في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دعوى حمل النجاسة على النجاسة الشرعية بقرينة حالية خاصة، وهي ظهور حال المولى في كونه في مقام المولوية، فلو حمل اللفظ على النجاسة غير الشرعية الاعتبارية لكان هذا إخباراً من قبل المولى عن أمر خارجي، وهو خلاف الظهور الحالي المذكور</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القرآن الكريم ليس كتاباً مختصاً في الأحكام الشرعية على نحو المولوية حتى يقال فيه ذلك بل،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تِبْيَانًا لِكُلِّ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يتعلق بهداية البشر نحو الكمال والسعادة</w:t>
      </w:r>
      <w:r>
        <w:rPr>
          <w:rFonts w:eastAsia="Amiri" w:cs="Amiri" w:ascii="Amiri" w:hAnsi="Amiri"/>
          <w:color w:val="111111"/>
          <w:sz w:val="28"/>
          <w:szCs w:val="28"/>
          <w:rtl w:val="true"/>
          <w:lang w:bidi="ar-SA"/>
        </w:rPr>
        <w:t xml:space="preserve">.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أن الآية يجب أن تكون مسوقة لبيان الحكم المولوي لأن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ككون المشرك ذا قذارة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وظيفة المولى، فإن الحكم الشرعي لا يختص ببيان حكم النجاسة، فإن القرائن الحالية والحوادث التأريخية تشير إلى أن الآية بصدد بيان حكم آخر وهو إقصاء المشركين وعزلهم اجتماعياً وعقائدياً، فإن هذا الحكم أعقبه طردهم من جزيرة العرب فالمسألة مرتبطة بتطويقهم وإبعادهم تمهيداً لقطع دابرالشرك في بلاد المسلمين ولا علاقة له بالحكم بنجاستهم</w:t>
      </w:r>
      <w:r>
        <w:rPr>
          <w:rFonts w:eastAsia="Amiri" w:cs="Amiri" w:ascii="Amiri" w:hAnsi="Amiri"/>
          <w:color w:val="111111"/>
          <w:sz w:val="28"/>
          <w:szCs w:val="28"/>
          <w:rtl w:val="true"/>
          <w:lang w:bidi="ar-SA"/>
        </w:rPr>
        <w:t xml:space="preserve">. </w:t>
      </w:r>
      <w:bookmarkStart w:id="201" w:name="pg8133_62772"/>
    </w:p>
    <w:p>
      <w:pPr>
        <w:pStyle w:val="Heading4"/>
        <w:numPr>
          <w:ilvl w:val="3"/>
          <w:numId w:val="1"/>
        </w:numPr>
        <w:rPr/>
      </w:pPr>
      <w:bookmarkStart w:id="202" w:name="__RefHeading___Toc8193125_1051229030"/>
      <w:bookmarkStart w:id="203" w:name="_Toc74"/>
      <w:bookmarkEnd w:id="201"/>
      <w:bookmarkEnd w:id="202"/>
      <w:r>
        <w:rPr>
          <w:rtl w:val="true"/>
        </w:rPr>
        <w:t>عاشرًا</w:t>
      </w:r>
      <w:r>
        <w:rPr>
          <w:rtl w:val="true"/>
        </w:rPr>
        <w:t xml:space="preserve">: </w:t>
      </w:r>
      <w:r>
        <w:rPr>
          <w:rtl w:val="true"/>
        </w:rPr>
        <w:t>الصحيح والأعم</w:t>
      </w:r>
      <w:bookmarkEnd w:id="203"/>
    </w:p>
    <w:p>
      <w:pPr>
        <w:pStyle w:val="BookText"/>
        <w:rPr/>
      </w:pPr>
      <w:r>
        <w:rPr>
          <w:rFonts w:ascii="Amiri" w:hAnsi="Amiri" w:eastAsia="Amiri" w:cs="Amiri"/>
          <w:color w:val="111111"/>
          <w:sz w:val="28"/>
          <w:sz w:val="28"/>
          <w:szCs w:val="28"/>
          <w:rtl w:val="true"/>
          <w:lang w:bidi="ar-SA"/>
        </w:rPr>
        <w:t>من الأبحاث المعروفة في علم الأصول هو ان ألفاظ العبادات والمعاملات عندما تطلق في كلام الشارع فهل يراد منها خصوص الصحيح او الاعم من الصحيح والفاسد ؟</w:t>
      </w:r>
    </w:p>
    <w:p>
      <w:pPr>
        <w:pStyle w:val="BookText"/>
        <w:rPr/>
      </w:pPr>
      <w:r>
        <w:rPr>
          <w:rFonts w:ascii="Amiri" w:hAnsi="Amiri" w:eastAsia="Amiri" w:cs="Amiri"/>
          <w:color w:val="111111"/>
          <w:sz w:val="28"/>
          <w:sz w:val="28"/>
          <w:szCs w:val="28"/>
          <w:rtl w:val="true"/>
          <w:lang w:bidi="ar-SA"/>
        </w:rPr>
        <w:t xml:space="preserve">والذي يظهر من كلمات الشيخ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يبني على انها تطلق على خصوص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ذكره في هذا المجال ما جاء في الجزء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مسالة المحاذاة بين الرجل والمرأة في الصلاة ،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يشترط في جريان الحكم صحة صلاة الآخر لولا المحاذاة فلو كانت فاسدة في نفسها لم يترتب الحكم؟ اختاره العلامة والشهيدان وصاحب المدارك ونسب إلى الأكثر، قال فخر المحققين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والأقرب اشتراط صحة صلاة المرأة لولاه في بطلان الصلاتين</w:t>
      </w:r>
      <w:r>
        <w:rPr>
          <w:rFonts w:eastAsia="Amiri" w:cs="Amiri" w:ascii="Amiri" w:hAnsi="Amiri"/>
          <w:color w:val="111111"/>
          <w:sz w:val="28"/>
          <w:szCs w:val="28"/>
          <w:rtl w:val="true"/>
          <w:lang w:bidi="ar-SA"/>
        </w:rPr>
        <w:t>»</w:t>
      </w:r>
      <w:r>
        <w:rPr>
          <w:rStyle w:val="FootnoteAnchor"/>
          <w:rtl w:val="true"/>
        </w:rPr>
        <w:footnoteReference w:id="265"/>
      </w:r>
      <w:r>
        <w:rPr>
          <w:rFonts w:ascii="Amiri" w:hAnsi="Amiri" w:eastAsia="Amiri" w:cs="Amiri"/>
          <w:color w:val="111111"/>
          <w:sz w:val="28"/>
          <w:sz w:val="28"/>
          <w:szCs w:val="28"/>
          <w:rtl w:val="true"/>
          <w:lang w:bidi="ar-SA"/>
        </w:rPr>
        <w:t xml:space="preserve">واختار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المستند</w:t>
      </w:r>
      <w:r>
        <w:rPr>
          <w:rStyle w:val="FootnoteAnchor"/>
          <w:rtl w:val="true"/>
        </w:rPr>
        <w:footnoteReference w:id="266"/>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الاشتراط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لأنها – أي لفظ الصلاة وغيره من ألفاظ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أسامٍ للجامع بين الصحيح والفاسد</w:t>
      </w:r>
      <w:r>
        <w:rPr>
          <w:rFonts w:eastAsia="Amiri" w:cs="Amiri" w:ascii="Amiri" w:hAnsi="Amiri"/>
          <w:color w:val="111111"/>
          <w:sz w:val="28"/>
          <w:szCs w:val="28"/>
          <w:rtl w:val="true"/>
          <w:lang w:bidi="ar-SA"/>
        </w:rPr>
        <w:t>»</w:t>
      </w:r>
      <w:r>
        <w:rPr>
          <w:rStyle w:val="FootnoteAnchor"/>
          <w:rtl w:val="true"/>
        </w:rPr>
        <w:footnoteReference w:id="267"/>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فالإنصاف عدم الفرق بين الصلاة الصحيحة والفاسدة في ترتب الأثر لو لم يقم إجماع على الاختصاص بالأولى، على أنه لو كان فهو معلوم المدرك أو محتمله فلا يكون تعبدياً، فالأقوى شمول الحكم لهما، مع فرض صدق الصلاة عليه بألا يكون الفساد من جهة فقد الأركان المقومة لصدق اسم الصلاة كالطهارة أو الركوع والسجود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والصحيح هو الاشتراط لأن الألفاظ موضوعة للصحيح لا للأعم منه ومن الفاسد لصحة السلب عن الفاسد وعدم صحة الحمل وإنما يصحإطلاقها على الأعم أحياناً من باب المشاكلة لوحدة الصورة الظاهرية أو لخصوصية في بعض الألفاظ تقتضي صحة إطلاقها على الأعم، ولو سلمت صحة إطلاقها على الاعم فإن ما ورد منها موضوعاً للحكم الشرعي يراد به الصحيح نظير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دعي الصلاة أيام أقرائك</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يشمل المنع ما لو صلت مجاراة لأطفالها أو لتدريبهم</w:t>
      </w:r>
      <w:r>
        <w:rPr>
          <w:rFonts w:eastAsia="Amiri" w:cs="Amiri" w:ascii="Amiri" w:hAnsi="Amiri"/>
          <w:color w:val="111111"/>
          <w:sz w:val="28"/>
          <w:szCs w:val="28"/>
          <w:rtl w:val="true"/>
          <w:lang w:bidi="ar-SA"/>
        </w:rPr>
        <w:t xml:space="preserve">. </w:t>
      </w:r>
      <w:bookmarkStart w:id="204" w:name="pg8133_62774"/>
    </w:p>
    <w:p>
      <w:pPr>
        <w:pStyle w:val="Heading4"/>
        <w:numPr>
          <w:ilvl w:val="3"/>
          <w:numId w:val="1"/>
        </w:numPr>
        <w:rPr/>
      </w:pPr>
      <w:bookmarkStart w:id="205" w:name="__RefHeading___Toc8193127_1051229030"/>
      <w:bookmarkStart w:id="206" w:name="_Toc75"/>
      <w:bookmarkEnd w:id="204"/>
      <w:bookmarkEnd w:id="205"/>
      <w:r>
        <w:rPr>
          <w:rtl w:val="true"/>
        </w:rPr>
        <w:t>حادي عشر</w:t>
      </w:r>
      <w:r>
        <w:rPr>
          <w:rtl w:val="true"/>
        </w:rPr>
        <w:t xml:space="preserve">: </w:t>
      </w:r>
      <w:r>
        <w:rPr>
          <w:rtl w:val="true"/>
        </w:rPr>
        <w:t>استعمال اللفظ في اكثر من معنى</w:t>
      </w:r>
      <w:bookmarkEnd w:id="206"/>
    </w:p>
    <w:p>
      <w:pPr>
        <w:pStyle w:val="BookText"/>
        <w:rPr/>
      </w:pPr>
      <w:r>
        <w:rPr>
          <w:rFonts w:ascii="Amiri" w:hAnsi="Amiri" w:eastAsia="Amiri" w:cs="Amiri"/>
          <w:color w:val="111111"/>
          <w:sz w:val="28"/>
          <w:sz w:val="28"/>
          <w:szCs w:val="28"/>
          <w:rtl w:val="true"/>
          <w:lang w:bidi="ar-SA"/>
        </w:rPr>
        <w:t>من المسائل التي بحثت في علم الأصول إمكانية استعمال اللفظ في اكثر من معنى ، ومشهور الأصوليين استحالة استعمال اللفظ في اكثر من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الشيخ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يبني على امكان ذلك ، وقد صرح بمبناه هذا في الجزء السابع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مسالة حكم الصلاة في عرفة لمن أقام في مكة ،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مغادرة محل الإقامة، ووجهه واضح لأنه بهذه المغادرة ينتفي عنه عنوان المقيم الموجب لحكم التمام، باعتبار أن المقيم ومحل الإقامة عنوانان إضافيان، ينتفي أحدهما بانتفاء الآخر، والأحكام تدور مدار العناوين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والمغادرة هذه تتحقق بالخروج المنافي لصدق الإقامة لمن لم يتم العشرة، وبالارتحال عن محل الإقامة لمن لم يتمها، ويجب أن يفسَّر الخروج الذي جُعل غاية للحكم بالتمام في صحيحة أبي ولاد</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أبي ولاد الحناط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كنت نويت حين دخلت المدينة أن أقيم بها عشرة أيام وأتم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ثم بدا لي بعد أن لا أقيم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فما ترى لي أتم أم اقصر؟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كنت دخلت المدينة و صليت بها صلاة فريضة واحدة بتمام فليس لك أن تقصر حتى تخرج منها، وإن كنت حين دخلتها على نيتك التمام فلم تصل فيها صلاة فريضة واحدة بتمام حتى بدا لك أن لا تقيم فأنت في تلك الحال بالخيار إن شئت فانو المقام عشرا وأتم، وإن لم تنو المقام فقصر ما بينك وبين شهر، فإذا مضى لك شهر فأتم الصلاة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الصدوق باسناده عن أبي ولاد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الصلاة ، ابواب صلاة المسافر ، 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إذا أريد الاستدلال بها في المقام بهذا التفسير</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تفسير الخروج بمعنيين من استعمال اللفظ في أكثر من </w:t>
      </w:r>
    </w:p>
    <w:p>
      <w:pPr>
        <w:pStyle w:val="BookText"/>
        <w:rPr/>
      </w:pPr>
      <w:r>
        <w:rPr>
          <w:rFonts w:ascii="IRNazanin" w:hAnsi="IRNazanin" w:eastAsia="IRNazanin"/>
          <w:color w:val="111111"/>
          <w:sz w:val="28"/>
          <w:sz w:val="28"/>
          <w:szCs w:val="28"/>
          <w:rtl w:val="true"/>
          <w:lang w:bidi="fa-IR"/>
        </w:rPr>
        <w:t>معنى وهو ممنوع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الكبرى ليست تامة عندنا في علم الأصول</w:t>
      </w:r>
      <w:r>
        <w:rPr>
          <w:rFonts w:eastAsia="Amiri" w:cs="Amiri" w:ascii="Amiri" w:hAnsi="Amiri"/>
          <w:color w:val="111111"/>
          <w:sz w:val="28"/>
          <w:szCs w:val="28"/>
          <w:rtl w:val="true"/>
          <w:lang w:bidi="ar-SA"/>
        </w:rPr>
        <w:t xml:space="preserve">. </w:t>
      </w:r>
      <w:bookmarkStart w:id="207" w:name="pg8133_62776"/>
    </w:p>
    <w:p>
      <w:pPr>
        <w:pStyle w:val="Heading4"/>
        <w:numPr>
          <w:ilvl w:val="3"/>
          <w:numId w:val="1"/>
        </w:numPr>
        <w:rPr/>
      </w:pPr>
      <w:bookmarkStart w:id="208" w:name="__RefHeading___Toc8193129_1051229030"/>
      <w:bookmarkStart w:id="209" w:name="_Toc76"/>
      <w:bookmarkEnd w:id="207"/>
      <w:bookmarkEnd w:id="208"/>
      <w:r>
        <w:rPr>
          <w:rtl w:val="true"/>
        </w:rPr>
        <w:t>ثاني عشر</w:t>
      </w:r>
      <w:r>
        <w:rPr>
          <w:rtl w:val="true"/>
        </w:rPr>
        <w:t xml:space="preserve">: </w:t>
      </w:r>
      <w:r>
        <w:rPr>
          <w:rtl w:val="true"/>
        </w:rPr>
        <w:t>القاعدة العامة للاستنباط</w:t>
      </w:r>
      <w:bookmarkEnd w:id="209"/>
    </w:p>
    <w:p>
      <w:pPr>
        <w:pStyle w:val="Heading5"/>
        <w:numPr>
          <w:ilvl w:val="4"/>
          <w:numId w:val="1"/>
        </w:numPr>
        <w:rPr/>
      </w:pPr>
      <w:bookmarkStart w:id="210" w:name="__RefHeading___Toc8193131_1051229030"/>
      <w:bookmarkStart w:id="211" w:name="_Toc77"/>
      <w:bookmarkEnd w:id="210"/>
      <w:r>
        <w:rPr>
          <w:rtl w:val="true"/>
        </w:rPr>
        <w:t>اشارة</w:t>
      </w:r>
      <w:bookmarkEnd w:id="211"/>
    </w:p>
    <w:p>
      <w:pPr>
        <w:pStyle w:val="BookText"/>
        <w:rPr/>
      </w:pPr>
      <w:r>
        <w:rPr>
          <w:rFonts w:ascii="Amiri" w:hAnsi="Amiri" w:eastAsia="Amiri" w:cs="Amiri"/>
          <w:color w:val="111111"/>
          <w:sz w:val="28"/>
          <w:sz w:val="28"/>
          <w:szCs w:val="28"/>
          <w:rtl w:val="true"/>
          <w:lang w:bidi="ar-SA"/>
        </w:rPr>
        <w:t>قد يتوهم البعض ان عملية الاستنباط تشبه الحسابات الرياضية او الهندسية ، فاذا توفرت مقدمات معينة لا بد ان تنتج تلك النتيجة ، ولا نتصور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التوهم غير صحيح ؛ اذ ان عملية الاستنباط تعتمد على استظهار الفقيه ، وما يقتنصه من القرائن المحيطة بالنص ، إضافة الى مدى اطلاعه على ظروف النص وخلفياته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أشار اليه سماحة الشيخ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الجزء الخامس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مسالة زكاة أموال الصغير ، اذ قال</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المنهج الذي أسميه بالهندسي أو الرياضي في التعامل مع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يريد أن يكون الاستدلال الفقهي على نحو المعادلات الرياضية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يلائم عملية الاستنباط الفقهي، ولا يلتزم به أحد من أهل الفن، ويلزم منه فقه جديد كما يعبرون؛ لأن الاستنباط الفقهي أمر وجداني ينشأ من الاطمئنان والاستظهار، لأنه يُبنى على ملاحظة مجموع النصوص</w:t>
      </w:r>
      <w:r>
        <w:rPr>
          <w:rFonts w:eastAsia="Amiri" w:cs="Amiri" w:ascii="Amiri" w:hAnsi="Amiri"/>
          <w:color w:val="111111"/>
          <w:sz w:val="28"/>
          <w:szCs w:val="28"/>
          <w:rtl w:val="true"/>
          <w:lang w:bidi="ar-SA"/>
        </w:rPr>
        <w:t xml:space="preserve">. </w:t>
      </w:r>
      <w:bookmarkStart w:id="212" w:name="pg8133_62777"/>
    </w:p>
    <w:p>
      <w:pPr>
        <w:pStyle w:val="Heading5"/>
        <w:numPr>
          <w:ilvl w:val="4"/>
          <w:numId w:val="1"/>
        </w:numPr>
        <w:rPr/>
      </w:pPr>
      <w:bookmarkStart w:id="213" w:name="__RefHeading___Toc8193133_1051229030"/>
      <w:bookmarkStart w:id="214" w:name="_Toc78"/>
      <w:bookmarkEnd w:id="212"/>
      <w:bookmarkEnd w:id="213"/>
      <w:r>
        <w:rPr>
          <w:rtl w:val="true"/>
        </w:rPr>
        <w:t>الأدلة المحرزة</w:t>
      </w:r>
      <w:bookmarkEnd w:id="214"/>
    </w:p>
    <w:p>
      <w:pPr>
        <w:pStyle w:val="BookText"/>
        <w:rPr/>
      </w:pPr>
      <w:r>
        <w:rPr>
          <w:rFonts w:ascii="Amiri" w:hAnsi="Amiri" w:eastAsia="Amiri" w:cs="Amiri"/>
          <w:color w:val="111111"/>
          <w:sz w:val="28"/>
          <w:sz w:val="28"/>
          <w:szCs w:val="28"/>
          <w:rtl w:val="true"/>
          <w:lang w:bidi="ar-SA"/>
        </w:rPr>
        <w:t>الأدلة المحرزة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تلك الأدلة آلتي تكون حجة على الحكم الشرعي ، فبها يحرز الفقيه الاحكام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وتقسم الأدلة المحرزة الى شرعية وغير 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والأدلة المحرزة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تلك الأدلة الصادرة من الشارع ، اما غير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الصادرة من غير الشارع ، ولكن ثبتت حجيتها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وسيكون الكلام اولاً في الأدلة المحرزة الشرعية</w:t>
      </w:r>
    </w:p>
    <w:p>
      <w:pPr>
        <w:pStyle w:val="Heading5"/>
        <w:numPr>
          <w:ilvl w:val="4"/>
          <w:numId w:val="1"/>
        </w:numPr>
        <w:rPr/>
      </w:pPr>
      <w:bookmarkStart w:id="215" w:name="__RefHeading___Toc8193135_1051229030"/>
      <w:bookmarkStart w:id="216" w:name="_Toc79"/>
      <w:bookmarkEnd w:id="215"/>
      <w:r>
        <w:rPr>
          <w:rtl w:val="true"/>
        </w:rPr>
        <w:t>الأدلة المحرزة الشرعية</w:t>
      </w:r>
      <w:bookmarkEnd w:id="216"/>
    </w:p>
    <w:p>
      <w:pPr>
        <w:pStyle w:val="BookText"/>
        <w:rPr/>
      </w:pPr>
      <w:r>
        <w:rPr>
          <w:rFonts w:ascii="Amiri" w:hAnsi="Amiri" w:eastAsia="Amiri" w:cs="Amiri"/>
          <w:color w:val="111111"/>
          <w:sz w:val="28"/>
          <w:sz w:val="28"/>
          <w:szCs w:val="28"/>
          <w:rtl w:val="true"/>
          <w:lang w:bidi="ar-SA"/>
        </w:rPr>
        <w:t>وتقسم هذه الأدلة على قسمين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الشرعي اللفظي ، والدليل الشرعي غير اللفظي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وعادة ما يبحث في الأدلة الشرعية ثلاثة أبحاث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دلالات الدليل الشرعي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 اثبات الصدور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الظواهر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وسنسير في ترتيب ما جاء من المطالب الأصولية في موسوعة فقه الخلاف وفق هذا المنهج</w:t>
      </w:r>
      <w:r>
        <w:rPr>
          <w:rFonts w:eastAsia="Amiri" w:cs="Amiri" w:ascii="Amiri" w:hAnsi="Amiri"/>
          <w:color w:val="111111"/>
          <w:sz w:val="28"/>
          <w:szCs w:val="28"/>
          <w:rtl w:val="true"/>
          <w:lang w:bidi="ar-SA"/>
        </w:rPr>
        <w:t>.</w:t>
      </w:r>
    </w:p>
    <w:p>
      <w:pPr>
        <w:pStyle w:val="Heading5"/>
        <w:numPr>
          <w:ilvl w:val="4"/>
          <w:numId w:val="1"/>
        </w:numPr>
        <w:rPr/>
      </w:pPr>
      <w:bookmarkStart w:id="217" w:name="__RefHeading___Toc8193137_1051229030"/>
      <w:bookmarkStart w:id="218" w:name="_Toc80"/>
      <w:bookmarkEnd w:id="217"/>
      <w:r>
        <w:rPr>
          <w:rtl w:val="true"/>
        </w:rPr>
        <w:t>دلالات الدليل الشرعي اللفظي</w:t>
      </w:r>
      <w:bookmarkEnd w:id="218"/>
    </w:p>
    <w:p>
      <w:pPr>
        <w:pStyle w:val="Heading6"/>
        <w:numPr>
          <w:ilvl w:val="5"/>
          <w:numId w:val="1"/>
        </w:numPr>
        <w:rPr/>
      </w:pPr>
      <w:bookmarkStart w:id="219" w:name="__RefHeading___Toc8193139_1051229030"/>
      <w:bookmarkStart w:id="220" w:name="_Toc81"/>
      <w:bookmarkEnd w:id="219"/>
      <w:r>
        <w:rPr>
          <w:rtl w:val="true"/>
        </w:rPr>
        <w:t>اشارة</w:t>
      </w:r>
      <w:bookmarkEnd w:id="220"/>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والمراد من الدليل الشرعي اللفظي الكتاب الكريم والسنة القولية من روايات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وتعرف هذه المباحث في الكتب الأصولية باصطلاح مباحث الألفاظ</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وسنتناول هنا أربعة أمور ،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الأوامر والنواهي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الاطلاق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المفاهيم</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واليك تفصيل الكلام في هذه الأمور</w:t>
      </w:r>
      <w:r>
        <w:rPr>
          <w:rFonts w:eastAsia="Amiri" w:cs="Amiri" w:ascii="Amiri" w:hAnsi="Amiri"/>
          <w:color w:val="111111"/>
          <w:sz w:val="28"/>
          <w:szCs w:val="28"/>
          <w:rtl w:val="true"/>
          <w:lang w:bidi="ar-SA"/>
        </w:rPr>
        <w:t xml:space="preserve">: </w:t>
      </w:r>
      <w:bookmarkStart w:id="221" w:name="pg8133_62779"/>
    </w:p>
    <w:p>
      <w:pPr>
        <w:pStyle w:val="Heading6"/>
        <w:numPr>
          <w:ilvl w:val="5"/>
          <w:numId w:val="1"/>
        </w:numPr>
        <w:rPr/>
      </w:pPr>
      <w:bookmarkStart w:id="222" w:name="__RefHeading___Toc8193141_1051229030"/>
      <w:bookmarkStart w:id="223" w:name="_Toc82"/>
      <w:bookmarkEnd w:id="221"/>
      <w:bookmarkEnd w:id="222"/>
      <w:r>
        <w:rPr>
          <w:rtl w:val="true"/>
        </w:rPr>
        <w:t>اولاً</w:t>
      </w:r>
      <w:r>
        <w:rPr>
          <w:rtl w:val="true"/>
        </w:rPr>
        <w:t xml:space="preserve">: </w:t>
      </w:r>
      <w:r>
        <w:rPr>
          <w:rtl w:val="true"/>
        </w:rPr>
        <w:t>الأوامر والنواهي</w:t>
      </w:r>
      <w:bookmarkEnd w:id="223"/>
    </w:p>
    <w:p>
      <w:pPr>
        <w:pStyle w:val="Heading6"/>
        <w:numPr>
          <w:ilvl w:val="5"/>
          <w:numId w:val="1"/>
        </w:numPr>
        <w:rPr/>
      </w:pPr>
      <w:bookmarkStart w:id="224" w:name="__RefHeading___Toc8193143_1051229030"/>
      <w:bookmarkStart w:id="225" w:name="_Toc83"/>
      <w:bookmarkEnd w:id="224"/>
      <w:r>
        <w:rPr>
          <w:rtl w:val="true"/>
        </w:rPr>
        <w:t>اشارة</w:t>
      </w:r>
      <w:bookmarkEnd w:id="225"/>
    </w:p>
    <w:p>
      <w:pPr>
        <w:pStyle w:val="BookText"/>
        <w:rPr/>
      </w:pPr>
      <w:r>
        <w:rPr>
          <w:rFonts w:ascii="Amiri" w:hAnsi="Amiri" w:eastAsia="Amiri" w:cs="Amiri"/>
          <w:color w:val="111111"/>
          <w:sz w:val="28"/>
          <w:sz w:val="28"/>
          <w:szCs w:val="28"/>
          <w:rtl w:val="true"/>
          <w:lang w:bidi="ar-SA"/>
        </w:rPr>
        <w:t xml:space="preserve">اصبح من البديهي في علم الأصول القول بظهور صيغة الامر في الوجوب ، ولا نرفع اليد عن هذا الظهور الا بالاعتماد على قرينة خاصة تدل على الاستحباب او كان المورد من موارد توهم الحظر ؛ ولذا جاء ذلك في كلمات الشيخ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الجزء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اذ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نُودِيَ لِلصَّلاةِ مِنْ يَوْمِ الْجُمُعَةِ فَاسَعَوْا إِلَى ذِكْرِ اللَّهِ وَذَرُوا الْبَيْعَ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ثبت في علم الأصول أن صيغة الأمر ظاهرة في الوجوب فالآية تتضمن وجوب السعي إلى ذكر الله عندما ينادى للصلاة يوم الجمعة ويؤذّن بدخول الوقت كما ذكره المفسرون</w:t>
      </w:r>
    </w:p>
    <w:p>
      <w:pPr>
        <w:pStyle w:val="BookText"/>
        <w:rPr/>
      </w:pPr>
      <w:r>
        <w:rPr>
          <w:rFonts w:ascii="Amiri" w:hAnsi="Amiri" w:eastAsia="Amiri" w:cs="Amiri"/>
          <w:color w:val="111111"/>
          <w:sz w:val="28"/>
          <w:sz w:val="28"/>
          <w:szCs w:val="28"/>
          <w:rtl w:val="true"/>
          <w:lang w:bidi="ar-SA"/>
        </w:rPr>
        <w:t>كما لا اشكال في ان النهي ظاهر في الحرمة ، ولا نرفع أيدينا عن هذا الظهور الا اذا وجدت قرينة دالة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عبّر سماحة الشيخ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في الجزء العاشر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مسالة حرمة التصوير ، اذ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دعوى أن النهي قد استعمل في مطلق المنع الشامل للحرمة والكراهة، وإنما يستفاد خصوصية إحداهما 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في جميع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أمر خارج، ولذا جعل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المسألة الثانية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يزجر الرجل أن يتشبه بالنساء وينهى المرأة أن تتشبه بالرجال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أدلة كراهة التشبه، والحال أن الموجود فيه أيضاً مادة النهي</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ميرزا فتاح الشهيدي على المكاسب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ثبت في علم الأصول من أن النهي ظاهر في التحريم إلا إذا وجدت قرينة على حمله على الكراهة</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توجد مسائل كثيرة ومهمة في مبحث الأوامر والنواهي اختلف فيها </w:t>
      </w:r>
      <w:bookmarkStart w:id="226" w:name="pg8133_62780"/>
    </w:p>
    <w:p>
      <w:pPr>
        <w:pStyle w:val="BookText"/>
        <w:rPr/>
      </w:pPr>
      <w:bookmarkEnd w:id="226"/>
      <w:r>
        <w:rPr>
          <w:rFonts w:ascii="Amiri" w:hAnsi="Amiri" w:eastAsia="Amiri" w:cs="Amiri"/>
          <w:color w:val="111111"/>
          <w:sz w:val="28"/>
          <w:sz w:val="28"/>
          <w:szCs w:val="28"/>
          <w:rtl w:val="true"/>
          <w:lang w:bidi="ar-SA"/>
        </w:rPr>
        <w:t xml:space="preserve">الأصوليون وتعددت فيها المباني ، ونحن هنا سنذكر ست مسائل مما تطرق اليه سماحة الشخ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بحثه ،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امر 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الامر على الوجوب بحكم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إشكالية دلالة الترخيص المنفصل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لفظ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الامر بصيغة النهي والعكس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الامر بالأمر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واليك التفصيل في هذه المسائل</w:t>
      </w:r>
      <w:r>
        <w:rPr>
          <w:rFonts w:eastAsia="Amiri" w:cs="Amiri" w:ascii="Amiri" w:hAnsi="Amiri"/>
          <w:color w:val="111111"/>
          <w:sz w:val="28"/>
          <w:szCs w:val="28"/>
          <w:rtl w:val="true"/>
          <w:lang w:bidi="ar-SA"/>
        </w:rPr>
        <w:t>:</w:t>
      </w:r>
    </w:p>
    <w:p>
      <w:pPr>
        <w:pStyle w:val="Heading6"/>
        <w:numPr>
          <w:ilvl w:val="5"/>
          <w:numId w:val="1"/>
        </w:numPr>
        <w:rPr/>
      </w:pPr>
      <w:bookmarkStart w:id="227" w:name="__RefHeading___Toc8193145_1051229030"/>
      <w:bookmarkStart w:id="228" w:name="_Toc84"/>
      <w:bookmarkEnd w:id="227"/>
      <w:r>
        <w:rPr>
          <w:rtl w:val="true"/>
        </w:rPr>
        <w:t>المسألة الأولى</w:t>
      </w:r>
      <w:r>
        <w:rPr>
          <w:rtl w:val="true"/>
        </w:rPr>
        <w:t xml:space="preserve">: </w:t>
      </w:r>
      <w:r>
        <w:rPr>
          <w:rtl w:val="true"/>
        </w:rPr>
        <w:t>الوجوب امر بسيط</w:t>
      </w:r>
      <w:r>
        <w:rPr>
          <w:rtl w:val="true"/>
        </w:rPr>
        <w:t>.</w:t>
      </w:r>
      <w:bookmarkEnd w:id="228"/>
    </w:p>
    <w:p>
      <w:pPr>
        <w:pStyle w:val="BookText"/>
        <w:rPr/>
      </w:pPr>
      <w:r>
        <w:rPr>
          <w:rFonts w:ascii="Amiri" w:hAnsi="Amiri" w:eastAsia="Amiri" w:cs="Amiri"/>
          <w:color w:val="111111"/>
          <w:sz w:val="28"/>
          <w:sz w:val="28"/>
          <w:szCs w:val="28"/>
          <w:rtl w:val="true"/>
          <w:lang w:bidi="ar-SA"/>
        </w:rPr>
        <w:t>مما بحثه الأصوليون ان الوجوب مفهوم بسيط ام مركب ؟ فذهب بعضهم الى القول بالتركيب ، بينما بنى البعض الاخر على البساطة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يبني عليه سماحة الشيخ الأستاذ في هذه المسالة ان الوجوب بسيط،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الجزء الخامس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مسالة زكاة أموال التجارة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أصالة عدم الوجوب</w:t>
      </w:r>
      <w:r>
        <w:rPr>
          <w:rFonts w:eastAsia="Amiri" w:cs="Amiri" w:ascii="Amiri" w:hAnsi="Amiri"/>
          <w:color w:val="111111"/>
          <w:sz w:val="28"/>
          <w:szCs w:val="28"/>
          <w:rtl w:val="true"/>
          <w:lang w:bidi="ar-SA"/>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 xml:space="preserve">واستدل به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قول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والاستحباب أصح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لو أمكن التمسك به بعد افتراض حصول الشك نتيجة تعارض الأدلة في الوجهين الأول والثاني فإنه لا ينفع المستدل على الاستحباب إلا بأحد تقريبين</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الوجوب مركب من جنس وفصل هما الطلب وعدم الترخيص في </w:t>
      </w:r>
    </w:p>
    <w:p>
      <w:pPr>
        <w:pStyle w:val="BookText"/>
        <w:rPr/>
      </w:pPr>
      <w:r>
        <w:rPr>
          <w:rFonts w:ascii="Amiri" w:hAnsi="Amiri" w:eastAsia="Amiri" w:cs="Amiri"/>
          <w:color w:val="111111"/>
          <w:sz w:val="28"/>
          <w:sz w:val="28"/>
          <w:szCs w:val="28"/>
          <w:rtl w:val="true"/>
          <w:lang w:bidi="ar-SA"/>
        </w:rPr>
        <w:t>الترك، فإذا انتفى الجزء الثاني بالتعارض بقي الأول في فردهالآخر وهو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التقريب غير تام لأن الوجوب أمر بسيط حقيقته البعث والتحريك، وإنما دل على الوجوب بالإطلاق وضم حكم العقل، ويدل على الاستحباب بالقرائن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الاثار العملية التي أشار اليها سماحة الشيخ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للقول ببساطة الوجوب إضافة الى ما ذُكر في العبارة السابقة انه لا يوجد شيء اسمه وجوب مخفف وآخر مشدد ، فالوجوب امر بسيط وهو الإلزام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هذا المعنى في الجزء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مسالة الاكتفاء ببعض السورة بعد الفاتحة ،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استفاد منه الوجوب المخفف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يسقط بمجرد الاستعجال العرفي لأمر دنيوي أو أخروي ولا يناط ذلك بالبلوغ حد الضرر أو العسر أو الحرج كما في سائر الواجبات، وهذا المعنى غير قابل للإنكار كما تشهد به سائر الأخبار لكنه لا ينافي أصل الوجوب ولزوم الإتيان بها عند عدم الاستعجال، وإن كانت مرتبته ضعيفة</w:t>
      </w:r>
      <w:r>
        <w:rPr>
          <w:rFonts w:eastAsia="Amiri" w:cs="Amiri" w:ascii="Amiri" w:hAnsi="Amiri"/>
          <w:color w:val="111111"/>
          <w:sz w:val="28"/>
          <w:szCs w:val="28"/>
          <w:rtl w:val="true"/>
          <w:lang w:bidi="ar-SA"/>
        </w:rPr>
        <w:t>».</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خلف بنائه على معنى البأس وهي الشدة، مضافاً إلى أنه لا معنى لوصف مراتب الوجوب بالضعف والشدة لأنه ليس كلياً مشككاً وإنما هو أمر بسيط يفيد الإلزام بالشيء، نعم في باب التزاحم يوجد أهم ومهم وهذا شيء آخر غير ضعف المرتبة ويستند إلى قرائن خارجية، فكلامه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اعتراف ضمني بعدم الوجوب</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جاء في بحث مفاد روايات من بلغ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 xml:space="preserve">: </w:t>
      </w:r>
      <w:bookmarkStart w:id="229" w:name="pg8133_62782"/>
    </w:p>
    <w:p>
      <w:pPr>
        <w:pStyle w:val="BookText"/>
        <w:rPr/>
      </w:pPr>
      <w:bookmarkEnd w:id="229"/>
      <w:r>
        <w:rPr>
          <w:rFonts w:ascii="Amiri" w:hAnsi="Amiri" w:eastAsia="Amiri" w:cs="Amiri"/>
          <w:color w:val="111111"/>
          <w:sz w:val="28"/>
          <w:sz w:val="28"/>
          <w:szCs w:val="28"/>
          <w:rtl w:val="true"/>
          <w:lang w:bidi="ar-SA"/>
        </w:rPr>
        <w:t xml:space="preserve">إن الأخبار خاصة ببلوغ الثواب على فعل شيء ولا تشمل كل ماورد في طلب فعل معين ما لم يقترن بذكر الثواب ليكون صغرى 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صحيحاً إجراؤهم القاعدة في كثير من الأخبار غير المعتبرة التي تطلب فعلاً معيناً أو تنهى عن فعل معين ولما لم يمكن استنباط حكم إلزامي منهما لعدم اعتبار الدليل فإنهم يحملونهما على الحكم غير الإلزامي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عدم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 عدم تحقق صغرى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الأمر ظاهر في الوجوب، والنهي ظاهر في الحرمة، فإذا سقطت الرواية عن الاعتبار فلا وجوب ولا حرمة، ولا ينتقل الظهور إلى الاستحباب والكراهة إلا بالقرائن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على مذهب من قال بأن الوجوب مركّب من جنس وفصل هما الشيء والنهي عن تركه يمكن القول بحلول الاستحباب محل الوجوب باعتبار سقوط الفصل من التعريف وهو النهي عن الترك فيبقى الجنس وهو طلب الشيء الذي يحمل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مردود بعدم مساعدة العرف عليه لأن الوجوب بسيط أما النهي عن الترك فيستفاد من الإطلاق وليس من الوضع</w:t>
      </w:r>
      <w:r>
        <w:rPr>
          <w:rFonts w:eastAsia="Amiri" w:cs="Amiri" w:ascii="Amiri" w:hAnsi="Amiri"/>
          <w:color w:val="111111"/>
          <w:sz w:val="28"/>
          <w:szCs w:val="28"/>
          <w:rtl w:val="true"/>
          <w:lang w:bidi="ar-SA"/>
        </w:rPr>
        <w:t>.</w:t>
      </w:r>
    </w:p>
    <w:p>
      <w:pPr>
        <w:pStyle w:val="Heading6"/>
        <w:numPr>
          <w:ilvl w:val="5"/>
          <w:numId w:val="1"/>
        </w:numPr>
        <w:rPr/>
      </w:pPr>
      <w:bookmarkStart w:id="230" w:name="__RefHeading___Toc8193147_1051229030"/>
      <w:bookmarkStart w:id="231" w:name="_Toc85"/>
      <w:bookmarkEnd w:id="230"/>
      <w:r>
        <w:rPr>
          <w:rtl w:val="true"/>
        </w:rPr>
        <w:t>المسألة الثانية</w:t>
      </w:r>
      <w:r>
        <w:rPr>
          <w:rtl w:val="true"/>
        </w:rPr>
        <w:t xml:space="preserve">: </w:t>
      </w:r>
      <w:r>
        <w:rPr>
          <w:rtl w:val="true"/>
        </w:rPr>
        <w:t>دلالة الامر على الوجوب بحكم العقل</w:t>
      </w:r>
      <w:r>
        <w:rPr>
          <w:rtl w:val="true"/>
        </w:rPr>
        <w:t>.</w:t>
      </w:r>
      <w:bookmarkEnd w:id="231"/>
    </w:p>
    <w:p>
      <w:pPr>
        <w:pStyle w:val="BookText"/>
        <w:rPr/>
      </w:pPr>
      <w:r>
        <w:rPr>
          <w:rFonts w:ascii="Amiri" w:hAnsi="Amiri" w:eastAsia="Amiri" w:cs="Amiri"/>
          <w:color w:val="111111"/>
          <w:sz w:val="28"/>
          <w:sz w:val="28"/>
          <w:szCs w:val="28"/>
          <w:rtl w:val="true"/>
          <w:lang w:bidi="ar-SA"/>
        </w:rPr>
        <w:t>اختلف الأصوليون في منشأ دلالة الامر على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ذهب بعضهم الى ان الامر يدل على الوجوب بالوضع ، وذهب البعض الاخر الى انه يدل عليه بالاطلاق ، وذهب بعض ثالث الى انه يدل عليه بحكم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والعبارة في المسألة السابقة لسماحة الشيخ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الوجوب مركب من جنس وفصل هما الطلب وعدم الترخيص في الترك، فإذا انتفى الجزء الثاني بالتعارض بقي الأول في فرده الآخروهو </w:t>
      </w:r>
    </w:p>
    <w:p>
      <w:pPr>
        <w:pStyle w:val="BookText"/>
        <w:rPr/>
      </w:pPr>
      <w:r>
        <w:rPr>
          <w:rFonts w:ascii="IRNazanin" w:hAnsi="IRNazanin" w:eastAsia="IRNazanin"/>
          <w:color w:val="111111"/>
          <w:sz w:val="28"/>
          <w:sz w:val="28"/>
          <w:szCs w:val="28"/>
          <w:rtl w:val="true"/>
          <w:lang w:bidi="fa-IR"/>
        </w:rPr>
        <w:t>الاستحباب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التقريب غير تام لأن الوجوب أمر بسيط حقيقته البعث والتحريك، وإنما دل على الوجوب بالإطلاق وضم حكم العقل، ويدل على الاستحباب بالقرائن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ويبدو ان المراد من الاطلاق في عبارته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وجود قرينة في الكلام تدل على الاستحباب او الترخيص ، ويؤكد هذا قوله مباشرة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ويدل على الاستحباب بالقرائن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واكد سماحته هذا المعنى عندما سالته عن مبناه ،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الذي ابني عليه ان الوجوب مستفاد من حكم العقل قضاءً لحق المولوية ، وهذا الحكم العقلي ينقح موضوعه الاطلاق ، فالاطلاق ركن أساسي لإفادة الوجوب ؛ لانه يمهد لحكم العقل ، فَلَو لم يطلق المولى او نصب قرائن ، او كان الامر صادرا ممن ليس له حق المولوية ، ونحو ذلك لا يحكم العقل بالوجوب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واكد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الامر يدل على الوجوب بحكم العقل في الجزء الخامس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مسالة زكاة أموال التجارة ، اذ جاء فيه</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المحدث الكاشاني وصاحب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حتى لو كانت الروايات الظاهرة في الوجوب صادرة من جهة التقية فإن ذلك لا ينافي استحباب الزكاة،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معرضاً بهما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ربما توقف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بعضهم، لظهور هذه النصوص في خروج تلك مخرج التقية، لكن فيه أنه بعد التسليم لا تنافي بين ذلك وبين الندب على أن تكون التقية حينئذ بالتعبير عن الندب بما ظاهره الوجوب اعتماداً على قرينة خارجية، ومراعاة للجمع بين التقية </w:t>
      </w:r>
    </w:p>
    <w:p>
      <w:pPr>
        <w:pStyle w:val="BookText"/>
        <w:rPr/>
      </w:pPr>
      <w:r>
        <w:rPr>
          <w:rFonts w:ascii="IRNazanin" w:hAnsi="IRNazanin" w:eastAsia="IRNazanin"/>
          <w:color w:val="111111"/>
          <w:sz w:val="28"/>
          <w:sz w:val="28"/>
          <w:szCs w:val="28"/>
          <w:rtl w:val="true"/>
          <w:lang w:bidi="fa-IR"/>
        </w:rPr>
        <w:t xml:space="preserve">والواقع، ودعوى أن المراد من ذلك الأمر الوجوب تقية فلا دليل على الندب حينئذ يدفعها أصالة حجية قول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وأنه فيبيان حكم شرعي واقعي، وكما أن التقية في مقام العمل يقتصر فيها على أقل ما يندفع به كذلك المستعمل فيها من قول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يقتصر فيه على أقل ما يمكن من إرادة التقية منه، ومن ذلك ما نحن فيه ضرورة إمكان كون التقية في ذلك التعبير الذي ذكرناه، فيبقى الأمر حينئذ على قاعدة إرادة الندب منه بعد معلومية عدم إرادة الوجوب، كما هو واضح، والله أعلم</w:t>
      </w:r>
      <w:r>
        <w:rPr>
          <w:rFonts w:eastAsia="IRNazanin" w:cs="IRNazanin"/>
          <w:color w:val="111111"/>
          <w:sz w:val="28"/>
          <w:szCs w:val="28"/>
          <w:rtl w:val="true"/>
          <w:lang w:bidi="fa-IR"/>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وقرب بعض أعلام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إشكال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عليه،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ومحصل كلامه أن مفاد الأمر ينحل إلى الطلب، وخصوصية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والتقية تندفع برفع اليد عن خصوصية الوجوب، فيبقى أصل الطلب مراداً، إذ الضرورات تتقدر بقدرها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مبنى كلامه استعمال الأمر في الوجوب، وكونه مركباً من أصل الطلب والمنع من الترك كما اشتهر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فاسدان، إذ الوجوب والاستحباب ليسا مفاداً للفظ بحيث يستعمل فيهما، بل الصيغة وضعت للبعث والتحريك القولي في قبال التحريك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 للطلب وهو أمر بسيط</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البعث والطلب من قبل المولى موضوع لحكم العقل بلزوم الإطاعة واستحقاق العقاب على المخالفة، إلا أن يرخّص المولى بنفسه في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وضع له اللفظ واستعمل فيه هو البعث، والوجوب حكم عقلي يحكم به على الطلب المجرد عن الترخيص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الاستحباب ينتزع عن الطلب المقارن للترخيص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سلم تركب الوجوب فهو تركيب عقلي تحليلي، فلا تسري التقية في بعض أجزائه دون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هنا لفظان ودار الأمر بين حمل أحدهما على التقية أوكليهما صحّ ما ذكره من أن الضرورات تتقدر بقدرها، فيحفظ أصالة الجهة في أحدهما،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أن إشكال صاحب الحدائق قوي، ولا يندفع بما في الجواهر، ولا يلزم أن تكون التقية من الفقهاء والمفتين، ولا بلحاظ حفظ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بلحاظ حفظ شيعتهم من شرّ السلاطين والحكام الجباة للزكوات بعنف وشدة، فإنها كانت أساس اقتصادهم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فلعل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أرادوا تقيّد الشيعة عملاً بأداء الزكاة مما تعارف مطالبتها منه، دفعاً لشر السلاطين وتخليصاً من مكائدهم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وظيفة القائد لقوم ملاحظة محيطهم وما يكون دخيلاً في حفظهم من كيد الأعداء </w:t>
      </w:r>
      <w:r>
        <w:rPr>
          <w:rFonts w:eastAsia="IRNazanin" w:cs="IRNazanin"/>
          <w:color w:val="111111"/>
          <w:sz w:val="28"/>
          <w:szCs w:val="28"/>
          <w:rtl w:val="true"/>
          <w:lang w:bidi="fa-IR"/>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لمعنى الوجوب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واكد سماحته تبنيه لهذا المذهب في الجزء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مسالة الاكتفاء ببعض السورة بعد الفاتحة ، اذ جاء فيه</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فرض التسليم بكراهة القران بين سورتين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يتم ما ذكره بناءً على أن تكون الحرمة والكراهة وكذا الوجوب والاستحباب، معنيين مختلفين للّفظ لغة، وأمّا بناءً على ما هو التحقيق كما بيّناه في الأُصول من عدم استعمال صيغة النهي وكذا الأمر إلاّ في معنى واحد، وإنّما تستفاد الخصوصية من حكم العقل المنتزع من الاقتران بالترخيص في </w:t>
      </w:r>
      <w:bookmarkStart w:id="232" w:name="pg8133_62786"/>
    </w:p>
    <w:p>
      <w:pPr>
        <w:pStyle w:val="BookText"/>
        <w:rPr/>
      </w:pPr>
      <w:bookmarkEnd w:id="232"/>
      <w:r>
        <w:rPr>
          <w:rFonts w:ascii="Amiri" w:hAnsi="Amiri" w:eastAsia="Amiri" w:cs="Amiri"/>
          <w:color w:val="111111"/>
          <w:sz w:val="28"/>
          <w:sz w:val="28"/>
          <w:szCs w:val="28"/>
          <w:rtl w:val="true"/>
          <w:lang w:bidi="ar-SA"/>
        </w:rPr>
        <w:t>الفعل أو الترك وعدمه، فلا مجال للإشكال أصلاً، إذ النهي حينئذ لم يستعمل إلاّ في معنى واحد وهو طلب الترك، وقد اقترن ذلك بالترخيص في الفعل من الخارج بالإضافة إلى القران، ولم يقترن بالنسبة إلى التبعيض فالالتزام بكراهة الأوّل وحرمة الثاني لا يستلزمالاستعمال في أكثر من معنى واحد بوجه</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مبناه الأصولي صحيح لذا لم نجعل وحدة السياق قرينة على وحدة الظهور، إلا أن المورد ليس صغرى له لأن عندنا هنا فقرة واحدة ومضمونها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سورة واحدة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وعبّر عن فقط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أقل ولا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عندنا فقرتان حتى يجري ما قاله فالمورد لا يقبل التفكيك الذي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ويصح النقض الذي ذكرناه، مضافاً إلى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يقترن بالنسبة إلى التبعيض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دقيق بلحاظ روايات الطائفة الثالثة الآتية التي دلت على جواز التبعيض</w:t>
      </w:r>
      <w:r>
        <w:rPr>
          <w:rFonts w:eastAsia="Amiri" w:cs="Amiri" w:ascii="Amiri" w:hAnsi="Amiri"/>
          <w:color w:val="111111"/>
          <w:sz w:val="28"/>
          <w:szCs w:val="28"/>
          <w:rtl w:val="true"/>
          <w:lang w:bidi="ar-SA"/>
        </w:rPr>
        <w:t>.</w:t>
      </w:r>
    </w:p>
    <w:p>
      <w:pPr>
        <w:pStyle w:val="Heading6"/>
        <w:numPr>
          <w:ilvl w:val="5"/>
          <w:numId w:val="1"/>
        </w:numPr>
        <w:rPr/>
      </w:pPr>
      <w:bookmarkStart w:id="233" w:name="__RefHeading___Toc8193149_1051229030"/>
      <w:bookmarkStart w:id="234" w:name="_Toc86"/>
      <w:bookmarkEnd w:id="233"/>
      <w:r>
        <w:rPr>
          <w:rtl w:val="true"/>
        </w:rPr>
        <w:t>المسألة الثالثة</w:t>
      </w:r>
      <w:r>
        <w:rPr>
          <w:rtl w:val="true"/>
        </w:rPr>
        <w:t>:</w:t>
      </w:r>
      <w:r>
        <w:rPr>
          <w:rtl w:val="true"/>
        </w:rPr>
        <w:t>إشكالية دلالة الترخيص المنفصل على الاستحباب</w:t>
      </w:r>
      <w:r>
        <w:rPr>
          <w:rtl w:val="true"/>
        </w:rPr>
        <w:t>.</w:t>
      </w:r>
      <w:bookmarkEnd w:id="234"/>
    </w:p>
    <w:p>
      <w:pPr>
        <w:pStyle w:val="BookText"/>
        <w:rPr/>
      </w:pPr>
      <w:r>
        <w:rPr>
          <w:rFonts w:ascii="Amiri" w:hAnsi="Amiri" w:eastAsia="Amiri" w:cs="Amiri"/>
          <w:color w:val="111111"/>
          <w:sz w:val="28"/>
          <w:sz w:val="28"/>
          <w:szCs w:val="28"/>
          <w:rtl w:val="true"/>
          <w:lang w:bidi="ar-SA"/>
        </w:rPr>
        <w:t>اختلف من تبنى دلالة الامر على الوجوب بحكم العقل في ان الترخيص الذي ينفي حكم العقل بالوجوب هل يجب ان يكون متصلا بالأمر او انه يمكن ان يكون منفصلا ؟</w:t>
      </w:r>
    </w:p>
    <w:p>
      <w:pPr>
        <w:pStyle w:val="BookText"/>
        <w:rPr/>
      </w:pPr>
      <w:r>
        <w:rPr>
          <w:rFonts w:ascii="Amiri" w:hAnsi="Amiri" w:eastAsia="Amiri" w:cs="Amiri"/>
          <w:color w:val="111111"/>
          <w:sz w:val="28"/>
          <w:sz w:val="28"/>
          <w:szCs w:val="28"/>
          <w:rtl w:val="true"/>
          <w:lang w:bidi="ar-SA"/>
        </w:rPr>
        <w:t xml:space="preserve">والظاهر من كلمات الشيخ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الترخيص وان كان منفصلا فانه ينفي حكم العقل بالوجوب ويثبت به الاستحباب</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استفدنا ذلك مما جاء في الجزء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مسالة وجوب الغسل بمس القطعة المبانة من جسد الانسان ، حيث جاء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ضوء هذه الصياغة لدليلهم، يكون من غير المجدي الرد عليهم كبروياً كالذي قاله صاحب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وصف كلام صاحب الذخيرة المتقدم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جملة تشكيكاته الواهية وفيه خروج من الدين من حيث لا يشعر قائله</w:t>
      </w:r>
      <w:r>
        <w:rPr>
          <w:rFonts w:eastAsia="Amiri" w:cs="Amiri" w:ascii="Amiri" w:hAnsi="Amiri"/>
          <w:color w:val="111111"/>
          <w:sz w:val="28"/>
          <w:szCs w:val="28"/>
          <w:rtl w:val="true"/>
          <w:lang w:bidi="ar-SA"/>
        </w:rPr>
        <w:t>»</w:t>
      </w:r>
      <w:r>
        <w:rPr>
          <w:rStyle w:val="FootnoteAnchor"/>
          <w:rtl w:val="true"/>
        </w:rPr>
        <w:footnoteReference w:id="277"/>
      </w:r>
      <w:r>
        <w:rPr>
          <w:rFonts w:ascii="Amiri" w:hAnsi="Amiri" w:eastAsia="Amiri" w:cs="Amiri"/>
          <w:color w:val="111111"/>
          <w:sz w:val="28"/>
          <w:sz w:val="28"/>
          <w:szCs w:val="28"/>
          <w:rtl w:val="true"/>
          <w:lang w:bidi="ar-SA"/>
        </w:rPr>
        <w:t xml:space="preserve">وعلله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كان الأوامر الواردة في الأخبار في جميع الأحكام لا تدل على الوجوب والنواهي الواردة كذلكلا تدل على التحريم كما كرره في غير موضع من كتابه هذا فلم يبق إلا الإباحة، وبذلك يلزم تحليل المحرمات وترك الواجبات إذ لا تكليف إلا بعد البيان ولا مؤاخذة إلا بعد إقامة البرهان، والفرض بناءً على ما ذكره أنه لا دليل على وجوب ولا تحريم، واللازم حينئذٍ سقوط التكليف وأن إرسال الرسل وإنزال الشرائع عبث وهو كفر محض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قريباً منه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الوجوب ليس مدلولاً لصيغة الأمر ، وإنّما هي تدلّ على الطلب الجامع بين الوجوب والاستحباب، وإنّما يستفاد الوجوب من عدم قيام القرينة على الترخيص في الترك، كما أنّ الاستحباب يستفاد من قيامها على الترخيص في الترك، وحيث قامت القرينة على الوجوب في غسل مسّ الميِّت حكمنا بوجوبه دون غيره، وهذا لا يستلزم استعمال الصيغة في معنيين بل معناها واحد كما مرّ</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أنّا لو سلمنا ذلك فغاية ما يستفاد من ذلك أنّ الصيغة لم تستعمل في الوجوب، وأمّا أنّها استعملت في الاستحباب فهو محتاج إلى الدليل، وعليه فالرواية لا تدلّ على وجوب الغسل كما لا تدلّ على استحبابه لتعارض سائر الأخبار</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 xml:space="preserve">. </w:t>
      </w:r>
      <w:bookmarkStart w:id="235" w:name="pg8133_62788"/>
    </w:p>
    <w:p>
      <w:pPr>
        <w:pStyle w:val="BookText"/>
        <w:rPr/>
      </w:pPr>
      <w:bookmarkEnd w:id="235"/>
      <w:r>
        <w:rPr>
          <w:rFonts w:ascii="Amiri" w:hAnsi="Amiri" w:eastAsia="Amiri" w:cs="Amiri"/>
          <w:color w:val="111111"/>
          <w:sz w:val="28"/>
          <w:sz w:val="28"/>
          <w:szCs w:val="28"/>
          <w:rtl w:val="true"/>
          <w:lang w:bidi="ar-SA"/>
        </w:rPr>
        <w:t>وجه عدم الجدوى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القائل لم ينفِ أصل دلالة صيغة الأمر على الوجوب، وهذا واضح من كلامه، ومن سيرتهم الجارية في استنباط الأحكام من الروايات، وإنما فهموا من عدد من الروايات عدم الوجوب فجعلوها قرينة على أن الطلب في هذه الروايات التي استدل بها على الوجوب محمول على الاستحباب لوجود تلك القرائن الصارفة لها عن الظهور فيه، وهذا ديدنهم جميعاً في التعاطي مع صيغ الطلب، كما لو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اغتسل للجمعة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بترك غسل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فيحمل الأمر فيالأول على الاستحباب بقرينة الترخيص في الثاني</w:t>
      </w:r>
      <w:r>
        <w:rPr>
          <w:rFonts w:eastAsia="Amiri" w:cs="Amiri" w:ascii="Amiri" w:hAnsi="Amiri"/>
          <w:color w:val="111111"/>
          <w:sz w:val="28"/>
          <w:szCs w:val="28"/>
          <w:rtl w:val="true"/>
          <w:lang w:bidi="ar-SA"/>
        </w:rPr>
        <w:t>.</w:t>
      </w:r>
    </w:p>
    <w:p>
      <w:pPr>
        <w:pStyle w:val="Heading6"/>
        <w:numPr>
          <w:ilvl w:val="5"/>
          <w:numId w:val="1"/>
        </w:numPr>
        <w:rPr/>
      </w:pPr>
      <w:bookmarkStart w:id="236" w:name="__RefHeading___Toc8193151_1051229030"/>
      <w:bookmarkStart w:id="237" w:name="_Toc87"/>
      <w:bookmarkEnd w:id="236"/>
      <w:r>
        <w:rPr>
          <w:rtl w:val="true"/>
        </w:rPr>
        <w:t>المسألة الرابعة</w:t>
      </w:r>
      <w:r>
        <w:rPr>
          <w:rtl w:val="true"/>
        </w:rPr>
        <w:t xml:space="preserve">: </w:t>
      </w:r>
      <w:r>
        <w:rPr>
          <w:rtl w:val="true"/>
        </w:rPr>
        <w:t>دلالة لفظ الوجوب</w:t>
      </w:r>
      <w:r>
        <w:rPr>
          <w:rtl w:val="true"/>
        </w:rPr>
        <w:t>.</w:t>
      </w:r>
      <w:bookmarkEnd w:id="237"/>
    </w:p>
    <w:p>
      <w:pPr>
        <w:pStyle w:val="BookText"/>
        <w:rPr/>
      </w:pPr>
      <w:r>
        <w:rPr>
          <w:rFonts w:ascii="Amiri" w:hAnsi="Amiri" w:eastAsia="Amiri" w:cs="Amiri"/>
          <w:color w:val="111111"/>
          <w:sz w:val="28"/>
          <w:sz w:val="28"/>
          <w:szCs w:val="28"/>
          <w:rtl w:val="true"/>
          <w:lang w:bidi="ar-SA"/>
        </w:rPr>
        <w:t>تختلف قوة دلالة الألفاظ على معانيها بين الصراحة والظهور والإجمال ، وقد يعتقد البعض ان لفظ الوجوب اذا جاء في الروايات فانه سيكون دالا على الحكم بالوجوب صراحة اَي انه لا يحتمل فيه معنى 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الشيخ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 الى ان لفظ الوجوب ليس صريحا في دلالته على الوجوب الشرعي ، ومعنى ذلك انه يحتمل فيه دلالته على الاستحباب المؤكد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 ذلك في الجزء الخامس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مسالة الزكاة في مال الصغير ، اذ قال سماحته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والنتيجة أنه لا مانع عرفاً من استعمال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الاستحباب المؤكد، بل جرى في أحاديث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إخفاء الرخصة في بعض موارد الاستحباب ليدفعوا شيعتهم نحو الكمال بالعمل بما ظاهره الوجوب، ولو رخّصوا لهم لتركه غالبهم، بعكس ما نُقل عن بعض السلف الصالح أنهم كانوا يرون المستحب واجباً والمكروه حراماً</w:t>
      </w:r>
      <w:r>
        <w:rPr>
          <w:rFonts w:eastAsia="IRNazanin" w:cs="IRNazanin"/>
          <w:color w:val="111111"/>
          <w:sz w:val="28"/>
          <w:szCs w:val="28"/>
          <w:rtl w:val="true"/>
          <w:lang w:bidi="fa-IR"/>
        </w:rPr>
        <w:t xml:space="preserve">. </w:t>
      </w:r>
      <w:bookmarkStart w:id="238" w:name="pg8133_62789"/>
    </w:p>
    <w:p>
      <w:pPr>
        <w:pStyle w:val="Heading6"/>
        <w:numPr>
          <w:ilvl w:val="5"/>
          <w:numId w:val="1"/>
        </w:numPr>
        <w:rPr/>
      </w:pPr>
      <w:bookmarkStart w:id="239" w:name="__RefHeading___Toc8193153_1051229030"/>
      <w:bookmarkStart w:id="240" w:name="_Toc88"/>
      <w:bookmarkEnd w:id="238"/>
      <w:bookmarkEnd w:id="239"/>
      <w:r>
        <w:rPr>
          <w:rtl w:val="true"/>
        </w:rPr>
        <w:t>المسألة الخامسة</w:t>
      </w:r>
      <w:r>
        <w:rPr>
          <w:rtl w:val="true"/>
        </w:rPr>
        <w:t xml:space="preserve">: </w:t>
      </w:r>
      <w:r>
        <w:rPr>
          <w:rtl w:val="true"/>
        </w:rPr>
        <w:t>الامر بصيغة النهي والعكس</w:t>
      </w:r>
      <w:r>
        <w:rPr>
          <w:rtl w:val="true"/>
        </w:rPr>
        <w:t>.</w:t>
      </w:r>
      <w:bookmarkEnd w:id="240"/>
    </w:p>
    <w:p>
      <w:pPr>
        <w:pStyle w:val="BookText"/>
        <w:rPr/>
      </w:pPr>
      <w:r>
        <w:rPr>
          <w:rFonts w:ascii="Amiri" w:hAnsi="Amiri" w:eastAsia="Amiri" w:cs="Amiri"/>
          <w:color w:val="111111"/>
          <w:sz w:val="28"/>
          <w:sz w:val="28"/>
          <w:szCs w:val="28"/>
          <w:rtl w:val="true"/>
          <w:lang w:bidi="ar-SA"/>
        </w:rPr>
        <w:t>مما لا شك فيه ان الامر غير النهي ، فالامر هو تحريك نحو الفعل ، اما النهي فهو الردع عن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سماحة الشيخ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إمكانية التعبير عن الامر بصيغة النهي ، فقد يقول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تترك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ويراد بذلك الامر بالصلاة ، كما انه قد يعبّر عن النهي بصيغة الامر فقد يقول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 عن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على حرمة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هذا المعنى في الجزء الثامن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مسالة الامر بالمعروف والنهي عن المنكر تحت عنوان هل هما واحد ام اثنان ، اذ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بالمعروف غير النهي عن المنكر بحسب الدلالة المطابقية؛ لأن الأول أمر أي تحريك نحو الفعل، والثاني نهي أي ردع عنه، فهما 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التعبير عن أحدهما باستعمال صيغ الآخر، ويكون مؤداهما واحداً وإن اختلفا بالتعبير والصياغة، فإن المولى حينما يطلب شيئاً فإنه قد يعبّر بالأمر بتحصيله مباشرة أو يعبِّر بالنهي عن تركه، وهذا مألوف في الخطابات الشرعية وتعابير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اتحادهما بالمؤدى وإمكان التعبير عن أحدهما بصيغة الآخر لا يعني أنهما واحد لاختلافهما من أكثر من 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باللحاظ والاعتبار فإن في الأمر يلاحظ المولى إنشاء طلب تحصيل الفعل وإلقائه في عهدة المكلف وتحريكه نحو امتثاله بغضّ النظر عن المنع وتركه، أما في النهي فيلاحظ المولى ردع المكلف عن فعلٍ ما</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بالملاك، فإن ملاك الأمر بالمعروف وجود مصلحة في المأمور به، أما ملاك النهي عن المنكر فهو تجنب المفسدة في النهي عنه</w:t>
      </w:r>
      <w:r>
        <w:rPr>
          <w:rFonts w:eastAsia="Amiri" w:cs="Amiri" w:ascii="Amiri" w:hAnsi="Amiri"/>
          <w:color w:val="111111"/>
          <w:sz w:val="28"/>
          <w:szCs w:val="28"/>
          <w:rtl w:val="true"/>
          <w:lang w:bidi="ar-SA"/>
        </w:rPr>
        <w:t xml:space="preserve">. </w:t>
      </w:r>
      <w:bookmarkStart w:id="241" w:name="pg8133_62790"/>
    </w:p>
    <w:p>
      <w:pPr>
        <w:pStyle w:val="Heading6"/>
        <w:numPr>
          <w:ilvl w:val="5"/>
          <w:numId w:val="1"/>
        </w:numPr>
        <w:rPr/>
      </w:pPr>
      <w:bookmarkStart w:id="242" w:name="__RefHeading___Toc8193155_1051229030"/>
      <w:bookmarkStart w:id="243" w:name="_Toc89"/>
      <w:bookmarkEnd w:id="241"/>
      <w:bookmarkEnd w:id="242"/>
      <w:r>
        <w:rPr>
          <w:rtl w:val="true"/>
        </w:rPr>
        <w:t>المسألة السادسة</w:t>
      </w:r>
      <w:r>
        <w:rPr>
          <w:rtl w:val="true"/>
        </w:rPr>
        <w:t xml:space="preserve">: </w:t>
      </w:r>
      <w:r>
        <w:rPr>
          <w:rtl w:val="true"/>
        </w:rPr>
        <w:t>الامر بالأمر</w:t>
      </w:r>
      <w:r>
        <w:rPr>
          <w:rtl w:val="true"/>
        </w:rPr>
        <w:t>.</w:t>
      </w:r>
      <w:bookmarkEnd w:id="243"/>
    </w:p>
    <w:p>
      <w:pPr>
        <w:pStyle w:val="BookText"/>
        <w:rPr/>
      </w:pPr>
      <w:r>
        <w:rPr>
          <w:rFonts w:ascii="Amiri" w:hAnsi="Amiri" w:eastAsia="Amiri" w:cs="Amiri"/>
          <w:color w:val="111111"/>
          <w:sz w:val="28"/>
          <w:sz w:val="28"/>
          <w:szCs w:val="28"/>
          <w:rtl w:val="true"/>
          <w:lang w:bidi="ar-SA"/>
        </w:rPr>
        <w:t>بعد ان اتفق علماء الأصول على ان الامر ظاهر في الوجوب بحثوا في دلالة الامر بالأمر على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افرد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لهذه المسالة ملحقا في الجزء الثامن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مسالة الامر بالمعروف والنهي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بالأمر بفعل هل هو أمر بذلك الفعل أم لا؟</w:t>
      </w:r>
    </w:p>
    <w:p>
      <w:pPr>
        <w:pStyle w:val="BookText"/>
        <w:rPr/>
      </w:pPr>
      <w:r>
        <w:rPr>
          <w:rFonts w:ascii="Amiri" w:hAnsi="Amiri" w:eastAsia="Amiri" w:cs="Amiri"/>
          <w:color w:val="111111"/>
          <w:sz w:val="28"/>
          <w:sz w:val="28"/>
          <w:szCs w:val="28"/>
          <w:rtl w:val="true"/>
          <w:lang w:bidi="ar-SA"/>
        </w:rPr>
        <w:t>بيان المطلب باختصار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مدخلية الأمر الأول في طلب الفعل من المأمور الثاني له عدة أنحاء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الطريقية المحضة بأن يكون غرض الآمر الأول وهو المولى من إصدار الأمر هو إيصاله إلى المأمور الثاني ليتحرك نحو إيجاد الفعل، ولا دور للمأمور الأول إلا هذا الإيصال فلو علم المأمور الثاني بالتكليف عن غير طريق المأمور الأول فإن التكليف منجز عليه، وإنما وضع المولى الواسطة لسبب ما كقصور المأمور الثاني مثل الصبيان أو تقصيره كالعاصي الذي يراد انتهاؤه عن المنكر، فهنا يلزم من الامر الأول طلب الفعل من المأمور الثاني ومن أمثلته أمر المولى أولياء الأمور بأمر صبيانهم بالعبادات وقد تقدمت جملة من الروايات في ذلك، ولو أن الصبي أخذ الدين من غير والديه فقد تحقق المطلوب</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الأمر الأول مأخوذاً على نحو الموضوعية المحضة بأن يتعلق غرض المولى بإنشاء المأمور الأول الأمر للمأمور الثاني وليس له غرض بصدور الفعل من المأمور الثاني، فهنا لا يلزم من الامر الأول طلب الفعل من المأمور الثاني، ومثاله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أراد الملك أن يدرب ولي </w:t>
      </w:r>
    </w:p>
    <w:p>
      <w:pPr>
        <w:pStyle w:val="BookText"/>
        <w:rPr/>
      </w:pPr>
      <w:r>
        <w:rPr>
          <w:rFonts w:ascii="Amiri" w:hAnsi="Amiri" w:eastAsia="Amiri" w:cs="Amiri"/>
          <w:color w:val="111111"/>
          <w:sz w:val="28"/>
          <w:sz w:val="28"/>
          <w:szCs w:val="28"/>
          <w:rtl w:val="true"/>
          <w:lang w:bidi="ar-SA"/>
        </w:rPr>
        <w:t>عهده على إدارة المملكة وسياسة الناس فيطلب منه توجيه الأوامر إلى المسؤولين لكنه يبلّغ هؤلاء بعدم جواز تنفيذ تلك الأوامر لأن غرضه التدريب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الطريقية المشوبة بالموضوعية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بأن يأمر المولى الواسطة بتوجيه الأمر إلى المأمور الثاني، والمولى يريد إيجاد الفعل من المأمور الثاني إلا أنه لا يقبله إلا إذا كان الباعث له أمر المأمور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الآمر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يريد من المكلف أن يأخذه من هذه الواسطة لا غير لغرض في نفسه كتشريف المأمور الأول وإظهار كرامته أو عدم استعداد المأمور الثاني لتلقي الأمر، وهنا الآمر بالأمر بشيء يقتضي طلب ذلك الشيء لكن لا مطلقاً وإنما بعد صدور الأمر من الآمر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ومثاله العرفي ما لو عيّن المرجع الديني وكيلاً له في مدينةٍ ما وأمر بإيصال الحقوق الشرعية وتلقي الفتاوى الدينية بواسطته لإظهار فضيلتهومكانته ولتمكينه في أداء دوره فلا يقبل المرجع تواصل المكلف معه مباشرة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ومثاله الشرعي لزوم أخذ تعاليم الدين عن طريق النبي وأهل بيته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الباب الذي لا يؤتى إلا منه وهم واسطة الفيض الإلهي وتلقي المعارف الإلهية، ولذا قرن الله تعالى طاعة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بطاعته تبارك وتعالى؛ لأنه يريد عبادته عن هذا الطريق المبارك فحسب</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يستظهره العرف من الأمر بالأمر هو القسم الأول أما القسمان الآخران فهما بحاجة إلى القرينة، لذا اخترنا في هذا المطلب أن الأمر بالأمر يقتضي طلب الفعل من المأمور الثاني حتى لو تجرد عن القرينة؛ لأنه ظاهر عرفاً في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خلافاً لصاحب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جعل الأقسام الثلاثة في عرض واحد ولا مرجح لبعضها على بعض إلا بالقرينة،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انقدح بذلك أنه لا دلالة بمجرد الأمر بالأمر على كونه أمراً به، ولا بد في الدلالة عليه من قرينة عليه</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وفريضة الأمر بالمعروف والنهي عن المنكر من القسم الأول لأن الغرض من الأمر بها إقامة الفرائض والسنن كما في الروايات الشريفة، ولو أن المأمور المنهي ندم وتاب وأقلع عن المنكر وفعل المعروف فقد تحقق الغرض وسقط وجوب الأمر والنهي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تقدمت الإشارة في أكثر من موضع إلى أن إنشاء الأمر والنهي له جهة موضوعية وهذا ينافي جعل الفريضة من القسم الأول الذي يفترض الطريقية المحضة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توجد منافاة لأن ما ذكرناه هنا بلحاظ فعل المأمور الثاني فأمرالآمر الناهي مجرد واسطة إليه لتحقق متعلق الأمر والنهي، وما قلناه هناك بلحاظ فعل المأمور الأول أي إنشاء الأمر والنهي، فهنا أمران ومتعلقان، وتكليف الآمر الناهي خارج عن محل كلامنا الذي هو في الأمر بالأمر لأنه أمر مباشر، لذا فلا حاجة إلى جعله قسماً رابعاً كما يظهر من بعض الأعاظم</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والتفريق دقيق</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الغريب أخذ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فريضة الأمر بالمعروف والنهي عن المنكر على النحو الثاني،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غرض المولى قائماً بخصوص الأمر الثاني باعتبار أنه فعل اختياري للمكلف، فلا مانع من </w:t>
      </w:r>
    </w:p>
    <w:p>
      <w:pPr>
        <w:pStyle w:val="BookText"/>
        <w:rPr/>
      </w:pPr>
      <w:r>
        <w:rPr>
          <w:rFonts w:ascii="Amiri" w:hAnsi="Amiri" w:eastAsia="Amiri" w:cs="Amiri"/>
          <w:color w:val="111111"/>
          <w:sz w:val="28"/>
          <w:sz w:val="28"/>
          <w:szCs w:val="28"/>
          <w:rtl w:val="true"/>
          <w:lang w:bidi="ar-SA"/>
        </w:rPr>
        <w:t>أن يأمر الشارع بإيجاد أمر بشيء أو إيجاد نهي عن آخر كما هو الحال في الأمر بالمعروف والنهي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مراده من خصوص الأمر الثاني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غرض المولى في القسم الأول متعلق بالأمر الصادر من المأمور الأول دون الفعل الصادر من الثاني فيكون المأمور به هو الأمر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الوجه الأول لا يجب الفعل على الثاني لفرض أن غرض المولى يحصل من صدور الأمر من الأول سواء صدر الفعل من الثاني أيضاً أم لا؟ فإذا صدر الأمر منه فقد حصل الغرض</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الغرابة أنهم يلتزمون بأن الغرض من الأمر بالمعروف والنهي عن المنكر تحقيق متعلقهما خارجاً بأي نحو كان والأمر والنهي وسيلة وطريق لتحقيق ذلك</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عبّرت بأن الأمر بالأمر يقتضي طلب الفعل ولم أعبِّر بإيجاب الفعل كما ذكر بعض الأصحاب</w:t>
      </w:r>
      <w:r>
        <w:rPr>
          <w:rStyle w:val="FootnoteAnchor"/>
          <w:rtl w:val="true"/>
        </w:rPr>
        <w:footnoteReference w:id="2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لعدمالملازمة بين دلالة الأمر الأول على الوجوب ودلالة الثاني عليه فيمكن أن يدلّ على أصل الرجحان كأمر الآباء والأمهات بأمر صبيانهم بالعبادات فإن الأول لو كان واجباً فإن الثاني مستحب لرفع القلم عن الصبي، وهذا مما نقضنا به على ما اشتهر بينهم من أن الفرع لا يمكن أن يزيد على الأصل؛ لأن غرض المولى يتحقق بصدور الفعل من المأمور الثاني وهو مستحب إلا أن الأمر واجب على المأمور الأول</w:t>
      </w:r>
      <w:r>
        <w:rPr>
          <w:rFonts w:eastAsia="Amiri" w:cs="Amiri" w:ascii="Amiri" w:hAnsi="Amiri"/>
          <w:color w:val="111111"/>
          <w:sz w:val="28"/>
          <w:szCs w:val="28"/>
          <w:rtl w:val="true"/>
          <w:lang w:bidi="ar-SA"/>
        </w:rPr>
        <w:t xml:space="preserve">. </w:t>
      </w:r>
      <w:bookmarkStart w:id="244" w:name="pg8133_62794"/>
    </w:p>
    <w:p>
      <w:pPr>
        <w:pStyle w:val="Heading6"/>
        <w:numPr>
          <w:ilvl w:val="5"/>
          <w:numId w:val="1"/>
        </w:numPr>
        <w:rPr/>
      </w:pPr>
      <w:bookmarkStart w:id="245" w:name="__RefHeading___Toc8193157_1051229030"/>
      <w:bookmarkStart w:id="246" w:name="_Toc90"/>
      <w:bookmarkEnd w:id="244"/>
      <w:bookmarkEnd w:id="245"/>
      <w:r>
        <w:rPr>
          <w:rtl w:val="true"/>
        </w:rPr>
        <w:t>ثانيًا</w:t>
      </w:r>
      <w:r>
        <w:rPr>
          <w:rtl w:val="true"/>
        </w:rPr>
        <w:t xml:space="preserve">: </w:t>
      </w:r>
      <w:r>
        <w:rPr>
          <w:rtl w:val="true"/>
        </w:rPr>
        <w:t>الاطلاق</w:t>
      </w:r>
      <w:bookmarkEnd w:id="246"/>
    </w:p>
    <w:p>
      <w:pPr>
        <w:pStyle w:val="Heading6"/>
        <w:numPr>
          <w:ilvl w:val="5"/>
          <w:numId w:val="1"/>
        </w:numPr>
        <w:rPr/>
      </w:pPr>
      <w:bookmarkStart w:id="247" w:name="__RefHeading___Toc8193159_1051229030"/>
      <w:bookmarkStart w:id="248" w:name="_Toc91"/>
      <w:bookmarkEnd w:id="247"/>
      <w:r>
        <w:rPr>
          <w:rtl w:val="true"/>
        </w:rPr>
        <w:t>اشارة</w:t>
      </w:r>
      <w:bookmarkEnd w:id="248"/>
    </w:p>
    <w:p>
      <w:pPr>
        <w:pStyle w:val="BookText"/>
        <w:rPr/>
      </w:pPr>
      <w:r>
        <w:rPr>
          <w:rFonts w:ascii="Amiri" w:hAnsi="Amiri" w:eastAsia="Amiri" w:cs="Amiri"/>
          <w:color w:val="111111"/>
          <w:sz w:val="28"/>
          <w:sz w:val="28"/>
          <w:szCs w:val="28"/>
          <w:rtl w:val="true"/>
          <w:lang w:bidi="ar-SA"/>
        </w:rPr>
        <w:t>من المباحث المهمة والتي لها تطبيقات كثيرة جدا في الفقه والاستنباط الفقهي مبحث الاطلاق ، وقد جاءت في فقه الخلاف عدة مسائل في مبحث الاطلاق سنذكر منها ثلاثًا و عشرين مسالة ،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الاطلاق مدلول 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الشمولية المستفادة بالاطلاق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الاطلاق على عدم القيد المنفصل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الاطلاق عند إرادة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الاطلاق والقرائن اللبية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مانعية الارتكاز للإطلاق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الاطلاقي الذاتي واللحاظي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الوجوب التعييني بالاطلاق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الأفعال على الزمان بالاطلاق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الاطلاق السكوتي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الاطلاق المقامي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الاطلاق المقامي دليل 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الثالثة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الكل و إرادة الجزء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الرابعة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اللفظ على الفرد النادر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الخامسة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الانصراف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السادسة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غلبة الوجود الخارجي لا توجب الانصراف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السابعة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الانصراف لا يصلح للتقييد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الثامنة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التفريعات لا تقيد الاحكام</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التاسعة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مناسبات الحكم والموضوع</w:t>
      </w:r>
      <w:r>
        <w:rPr>
          <w:rFonts w:eastAsia="Amiri" w:cs="Amiri" w:ascii="Amiri" w:hAnsi="Amiri"/>
          <w:color w:val="111111"/>
          <w:sz w:val="28"/>
          <w:szCs w:val="28"/>
          <w:rtl w:val="true"/>
          <w:lang w:bidi="ar-SA"/>
        </w:rPr>
        <w:t xml:space="preserve">. </w:t>
      </w:r>
      <w:bookmarkStart w:id="249" w:name="pg8133_62795"/>
    </w:p>
    <w:p>
      <w:pPr>
        <w:pStyle w:val="BookText"/>
        <w:rPr/>
      </w:pPr>
      <w:bookmarkEnd w:id="249"/>
      <w:r>
        <w:rPr>
          <w:rFonts w:ascii="Amiri" w:hAnsi="Amiri" w:eastAsia="Amiri" w:cs="Amiri"/>
          <w:color w:val="111111"/>
          <w:sz w:val="28"/>
          <w:sz w:val="28"/>
          <w:szCs w:val="28"/>
          <w:rtl w:val="true"/>
          <w:lang w:bidi="ar-SA"/>
        </w:rPr>
        <w:t>المسألة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التقييد بالمفهوم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الحادية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الموضوع بمتعلق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نكات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الثالثة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الاطلاق بمعنى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وتفصيل هذه المسائل</w:t>
      </w:r>
      <w:r>
        <w:rPr>
          <w:rFonts w:eastAsia="Amiri" w:cs="Amiri" w:ascii="Amiri" w:hAnsi="Amiri"/>
          <w:color w:val="111111"/>
          <w:sz w:val="28"/>
          <w:szCs w:val="28"/>
          <w:rtl w:val="true"/>
          <w:lang w:bidi="ar-SA"/>
        </w:rPr>
        <w:t>:</w:t>
      </w:r>
    </w:p>
    <w:p>
      <w:pPr>
        <w:pStyle w:val="Heading6"/>
        <w:numPr>
          <w:ilvl w:val="5"/>
          <w:numId w:val="1"/>
        </w:numPr>
        <w:rPr/>
      </w:pPr>
      <w:bookmarkStart w:id="250" w:name="__RefHeading___Toc8193161_1051229030"/>
      <w:bookmarkStart w:id="251" w:name="_Toc92"/>
      <w:bookmarkEnd w:id="250"/>
      <w:r>
        <w:rPr>
          <w:rtl w:val="true"/>
        </w:rPr>
        <w:t>المسألة الأولى</w:t>
      </w:r>
      <w:r>
        <w:rPr>
          <w:rtl w:val="true"/>
        </w:rPr>
        <w:t xml:space="preserve">: </w:t>
      </w:r>
      <w:r>
        <w:rPr>
          <w:rtl w:val="true"/>
        </w:rPr>
        <w:t>الاطلاق مدلول لفظي</w:t>
      </w:r>
      <w:r>
        <w:rPr>
          <w:rtl w:val="true"/>
        </w:rPr>
        <w:t>.</w:t>
      </w:r>
      <w:bookmarkEnd w:id="251"/>
    </w:p>
    <w:p>
      <w:pPr>
        <w:pStyle w:val="BookText"/>
        <w:rPr/>
      </w:pPr>
      <w:r>
        <w:rPr>
          <w:rFonts w:ascii="Amiri" w:hAnsi="Amiri" w:eastAsia="Amiri" w:cs="Amiri"/>
          <w:color w:val="111111"/>
          <w:sz w:val="28"/>
          <w:sz w:val="28"/>
          <w:szCs w:val="28"/>
          <w:rtl w:val="true"/>
          <w:lang w:bidi="ar-SA"/>
        </w:rPr>
        <w:t>اختلف الأصوليون في كون الاطلاق مدلولًا لفظيًا او ان اللفظ لا يدل عليه ، وانما يستفاد الاطلاق من حكم العقل ؟</w:t>
      </w:r>
    </w:p>
    <w:p>
      <w:pPr>
        <w:pStyle w:val="BookText"/>
        <w:rPr/>
      </w:pPr>
      <w:r>
        <w:rPr>
          <w:rFonts w:ascii="Amiri" w:hAnsi="Amiri" w:eastAsia="Amiri" w:cs="Amiri"/>
          <w:color w:val="111111"/>
          <w:sz w:val="28"/>
          <w:sz w:val="28"/>
          <w:szCs w:val="28"/>
          <w:rtl w:val="true"/>
          <w:lang w:bidi="ar-SA"/>
        </w:rPr>
        <w:t xml:space="preserve">وقد نفى سماحة الشيخ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الاطلاق خارجًا عن مدلول اللفظ ، ولكنه في نفس الوقت قال بعدم وجود لفظ موضوع في اللغة للدلالة عليه بل يستفاد الاطلاق من القرائن السياقية</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جاء هذا المبحث في الجزء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مسالة احكام الصوم في السفر ، حيث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بركاته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تقدم من السيد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وبنى عليه في علم الأصول من أن الإطلاق ثابت بحكم العقل، وليس من مدلول اللفظ حتى يكون صغرى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يأتينا عنكم الحديثان المختلفان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نُعمل المرجحات الواردة فيهما، حيث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إذا كان العموم في كل منهما مستفاداً من الإطلاق، فتسقط الروايتان في مادة الاجتماع من الأول، بلا حاجة إلى الرجوع إلى المرجحات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لأن الإطلاق بمعنى اللا بشرط القسمي المقابل للتقييد غير داخل في مدلول اللفظ، إذ اللفظ موضوع للماهية المهملة التي يعبر عنها باللا بشرط المقسمي، فلا يروي الراوي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بثبوت الحكم للطبيعة المهملة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إطلاقه فهو خارج عن مدلول </w:t>
      </w:r>
    </w:p>
    <w:p>
      <w:pPr>
        <w:pStyle w:val="BookText"/>
        <w:rPr/>
      </w:pPr>
      <w:r>
        <w:rPr>
          <w:rFonts w:ascii="Amiri" w:hAnsi="Amiri" w:eastAsia="Amiri" w:cs="Amiri"/>
          <w:color w:val="111111"/>
          <w:sz w:val="28"/>
          <w:sz w:val="28"/>
          <w:szCs w:val="28"/>
          <w:rtl w:val="true"/>
          <w:lang w:bidi="ar-SA"/>
        </w:rPr>
        <w:t>اللفظ، ويثبت بحكم العقل بعد تمامية مقدمات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فلا تعارض بين الخبرين باعتبار نفس مدلوليهما، فإنه لا تنافي بين الحكم بوجوب إكرام العالم على نحو الإهمال، وحرمة إكرام الفاسق كذلك ليقع التعارض بين الخبرين الدالين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سبيل للعقل إلى الحكم بأن المراد منهما وجوب إكرام العالم ولو كان فاسقاً، وحرمة إكرام الفاسق ولو كان عالماً فإنه حكم بالجمع بين الضدين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بالإطلاق في أحدهما دون الآخر ترجيح بلا مرجح، فيسقط الدليلان معاً في مادة الاجتماع، ويرجع إلى دليل آخر من عموم أو 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فقده يكون المرجع هو الأصل العملي</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وشرح في موضع آخر مراده من سقوط الدليلين أي إطلاقيهما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إن كانت النسبة بينهما العموم من وجه، وكان العموم في كل منهما بالإطلاق، يسقط الإطلاقان في مورد الاجتماع، لما ذكرناه من أن الإطلاق غير داخل في مدلول اللفظ، بل الحاكم عليه هو العقل ببركة مقدمات الحكمة التي لا يمكن جريانها في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وذكرنا أنالمستفاد من الكتاب ذات المطلق لا إطلاقه، كي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مخالف إطلاق الكتاب زخرف وباطل</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المبنى الذي اختاره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 عن مدلول اللفظ، ويثبت بحكم العقل بعد تمامية مقدمات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صحيحاً، إذ أن الإطلاق يستفاد من اللفظ لكن لا بالدلالة الوضعية بل السياقية بمعونة القرائن ومقدمات الحكمة ونحوها، أما وظيفة مقدمات الحكمة فهي إثبات أن </w:t>
      </w:r>
    </w:p>
    <w:p>
      <w:pPr>
        <w:pStyle w:val="BookText"/>
        <w:rPr/>
      </w:pPr>
      <w:r>
        <w:rPr>
          <w:rFonts w:ascii="Amiri" w:hAnsi="Amiri" w:eastAsia="Amiri" w:cs="Amiri"/>
          <w:color w:val="111111"/>
          <w:sz w:val="28"/>
          <w:sz w:val="28"/>
          <w:szCs w:val="28"/>
          <w:rtl w:val="true"/>
          <w:lang w:bidi="ar-SA"/>
        </w:rPr>
        <w:t>تمام المراد الجدي للمتكلم في عالم الثبوت هو ما صدر منه في عالم الإثبات، وهو ما يعرف بأصالة تطابق عالمي الإثبات والثبوت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مختار السيد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أساتذتنا، قال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مقدمات الحكمة لا تقتضي إلا مطلباً واحداً دائماً في جميع المقامات، وهو أن ما أخذ موضوعاً للحكم في مقام الإثبات –وهو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الموضوع له ثبوتاً</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فالإطلاق يستفاد من ظهور اللفظ لكن بمعونة مقدمات الحكمة،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المتكلم له ظهوران حاليان كاشفان عن الإرادة الجدية، أحدهما الظهور السلبي في أن ما سكت عنه ولم يذكره في مرحلة الإثبات غير ثابت في مرحلة الثبوت والجد، فليس هناك شيء قد قصده ولم يقله، وهذا هو أساس الظهورات الإطلاقية في المطلقات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 الظهور الإيجابي في أن ما ذكره في مرحلة الإثبات ثابت في مرحلة الثبوت أيضاً، فليس هناك شيء قد قاله ولم يقصده، وهذا هو أساس الظهورات التقييدية في المقيدات</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واختاره أيضاً بعض أساتذتنا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بعد أن أوضح مبنى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بالتفصيل قال عنه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 خدشة وقدبيناه في علم الأصول، فإن الظهور تارة يكون مستنداً إلى الوضع وأخرى إلى اللفظ وما يكتنفه، فالظهور المدعى في مقام الإثبات هو المستند إلى الوضع،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عالماً وكان متمكناً من التقييد ولم يقيّد وهو في مقام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ينعقد له ظهور في التوسعة، لكنه من ناحية مجموع الدلالة الوضعية وبقية المقدمات ومنها عدم التقييد،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أي </w:t>
      </w:r>
      <w:bookmarkStart w:id="252" w:name="pg8133_62798"/>
    </w:p>
    <w:p>
      <w:pPr>
        <w:pStyle w:val="BookText"/>
        <w:rPr/>
      </w:pPr>
      <w:bookmarkEnd w:id="252"/>
      <w:r>
        <w:rPr>
          <w:rFonts w:ascii="Amiri" w:hAnsi="Amiri" w:eastAsia="Amiri" w:cs="Amiri"/>
          <w:color w:val="111111"/>
          <w:sz w:val="28"/>
          <w:sz w:val="28"/>
          <w:szCs w:val="28"/>
          <w:rtl w:val="true"/>
          <w:lang w:bidi="ar-SA"/>
        </w:rPr>
        <w:t>عالم، فإنكار ظهور اللفظ في الإطلاق محل خدشة</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53" w:name="__RefHeading___Toc8193163_1051229030"/>
      <w:bookmarkStart w:id="254" w:name="_Toc93"/>
      <w:bookmarkEnd w:id="253"/>
      <w:r>
        <w:rPr>
          <w:rtl w:val="true"/>
        </w:rPr>
        <w:t>المسألة الثانية</w:t>
      </w:r>
      <w:r>
        <w:rPr>
          <w:rtl w:val="true"/>
        </w:rPr>
        <w:t xml:space="preserve">: </w:t>
      </w:r>
      <w:r>
        <w:rPr>
          <w:rtl w:val="true"/>
        </w:rPr>
        <w:t>الشمولية المستفادة بالاطلاق</w:t>
      </w:r>
      <w:r>
        <w:rPr>
          <w:rtl w:val="true"/>
        </w:rPr>
        <w:t>.</w:t>
      </w:r>
      <w:bookmarkEnd w:id="254"/>
    </w:p>
    <w:p>
      <w:pPr>
        <w:pStyle w:val="BookText"/>
        <w:rPr/>
      </w:pPr>
      <w:r>
        <w:rPr>
          <w:rFonts w:ascii="Amiri" w:hAnsi="Amiri" w:eastAsia="Amiri" w:cs="Amiri"/>
          <w:color w:val="111111"/>
          <w:sz w:val="28"/>
          <w:sz w:val="28"/>
          <w:szCs w:val="28"/>
          <w:rtl w:val="true"/>
          <w:lang w:bidi="ar-SA"/>
        </w:rPr>
        <w:t>مما لا شك فيه ان الاطلاق يفيد التوسعة والشمول ، ولكن الاطلاق يفيد التوسعة بواسطة نفي القيود المحتمل اخذها في الكلام ، وليس بإدخال مفاهيم جديدة غير المفهوم الذي يراد إثبات 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وقع الكثير من الخلط بين هاتين المسالتين في بعض تطبيقات الاطلاق ، فاعملوا الاطلاق لأجل إثبات التوسعة لحيثيات ولحاظات جديدة غير اللحاظ الذي يراد إثبات 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نبّه سماحة الشيخ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هذه المسالة في الجزء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مسالة طهارة غير المسلمين ،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دعوى الإطلاق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 بالإطلاق تدل الآية الكريمة على نجاسة المشرك بتمام شؤونه ومراتبه نفساً وبدناً، فتثبت النجاسة المعنوية والجسمية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معلومية عدم النجاسة الجسمية الحسّية في بدن المشرك تحمل على نجاسة البدن الاعتبارية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الأمر دائراً بين نجاسة النفس ونجاسة البدن، ليدَّعى عدم تعيّن الثاني، بل الإطلاق كفيل بإثباتهما 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النفس والبدن ليسا فردين من الموضوع في القضية لتثبت بالإطلاق نجاستهما معاً، بل مرجعهما إلى نحوين من ملاحظة المشرك فقد يلحظ بما هو جسم، وقد يلحظ بما هو شخص معنوي</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ولحاظه بما هو جسم ومعنى معاً وإن كان أمراً معقولاً، ولكنه لا يفي به </w:t>
      </w:r>
      <w:bookmarkStart w:id="255" w:name="pg8133_62799"/>
    </w:p>
    <w:p>
      <w:pPr>
        <w:pStyle w:val="BookText"/>
        <w:rPr/>
      </w:pPr>
      <w:bookmarkEnd w:id="255"/>
      <w:r>
        <w:rPr>
          <w:rFonts w:ascii="Amiri" w:hAnsi="Amiri" w:eastAsia="Amiri" w:cs="Amiri"/>
          <w:color w:val="111111"/>
          <w:sz w:val="28"/>
          <w:sz w:val="28"/>
          <w:szCs w:val="28"/>
          <w:rtl w:val="true"/>
          <w:lang w:bidi="ar-SA"/>
        </w:rPr>
        <w:t>الإطلاق لأن الإطلاق ينفي أخذ قيد زائد في الموضوع، وليس له نظر إلى توسعة اللحاظ، وإدخال حيثيات عديدة تحته، بل يحتاج ذلك إلى قرينة خاصة</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وببيان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أثر الإطلاق يظهر في المرتبة اللاحقة بعد تشخيص الموضوع فيوسع حدود المراد منه ولا يتكفل بتشخيص الموضوع، وهنا عندنا موضوعان متغايران هما قذارة البدن وقذارة النفس فلابد من تحديد أيّهما الموضوع المراد من النجاسة في الآية من قرائن خارجية أولاً ثم يُتمسك بإطلاقه</w:t>
      </w:r>
      <w:r>
        <w:rPr>
          <w:rFonts w:eastAsia="Amiri" w:cs="Amiri" w:ascii="Amiri" w:hAnsi="Amiri"/>
          <w:color w:val="111111"/>
          <w:sz w:val="28"/>
          <w:szCs w:val="28"/>
          <w:rtl w:val="true"/>
          <w:lang w:bidi="ar-SA"/>
        </w:rPr>
        <w:t>.</w:t>
      </w:r>
    </w:p>
    <w:p>
      <w:pPr>
        <w:pStyle w:val="Heading6"/>
        <w:numPr>
          <w:ilvl w:val="5"/>
          <w:numId w:val="1"/>
        </w:numPr>
        <w:rPr/>
      </w:pPr>
      <w:bookmarkStart w:id="256" w:name="__RefHeading___Toc8193165_1051229030"/>
      <w:bookmarkStart w:id="257" w:name="_Toc94"/>
      <w:bookmarkEnd w:id="256"/>
      <w:r>
        <w:rPr>
          <w:rtl w:val="true"/>
        </w:rPr>
        <w:t>المسألة الثالثة</w:t>
      </w:r>
      <w:r>
        <w:rPr>
          <w:rtl w:val="true"/>
        </w:rPr>
        <w:t xml:space="preserve">: </w:t>
      </w:r>
      <w:r>
        <w:rPr>
          <w:rtl w:val="true"/>
        </w:rPr>
        <w:t>توقف الاطلاق على عدم القيد المنفصل</w:t>
      </w:r>
      <w:r>
        <w:rPr>
          <w:rtl w:val="true"/>
        </w:rPr>
        <w:t>.</w:t>
      </w:r>
      <w:bookmarkEnd w:id="257"/>
    </w:p>
    <w:p>
      <w:pPr>
        <w:pStyle w:val="BookText"/>
        <w:rPr/>
      </w:pPr>
      <w:r>
        <w:rPr>
          <w:rFonts w:ascii="Amiri" w:hAnsi="Amiri" w:eastAsia="Amiri" w:cs="Amiri"/>
          <w:color w:val="111111"/>
          <w:sz w:val="28"/>
          <w:sz w:val="28"/>
          <w:szCs w:val="28"/>
          <w:rtl w:val="true"/>
          <w:lang w:bidi="ar-SA"/>
        </w:rPr>
        <w:t>مما لا شك فيه ان الاطلاق لا ينعقد مع وجود المقيد المتصل ، ولكن علماء الأصول ناقشوا مانعية القيد المنفصل لانعقاد الاطلاق ؛ اذ قيل ان الاطلاق ينعقد حتى مع احتمال القيد المنفصل والا فلن ينعقد اَي اطلاق ؛ لأننا نحتمل القيد المنفصل في كل 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أجاب سماحة الشيخ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هذه الإشكالية في الجزء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التعارض نشأ من الأخذ بإطلاقي الطائفتين وهو غير ثابت بعد ورود البيان الآخر وأن كل قضية من القضايا الأربع هي مهملة بقوة الموجبة الجزئية، ولا تنافي بين القضايا الموجبة الجزئية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ونتيجة هذا التقريب الأخذ بالقدر المتيقن، وهو الإفطار إذا سافر قبل </w:t>
      </w:r>
      <w:bookmarkStart w:id="258" w:name="pg8133_62800"/>
    </w:p>
    <w:p>
      <w:pPr>
        <w:pStyle w:val="BookText"/>
        <w:rPr/>
      </w:pPr>
      <w:bookmarkEnd w:id="258"/>
      <w:r>
        <w:rPr>
          <w:rFonts w:ascii="Amiri" w:hAnsi="Amiri" w:eastAsia="Amiri" w:cs="Amiri"/>
          <w:color w:val="111111"/>
          <w:sz w:val="28"/>
          <w:sz w:val="28"/>
          <w:szCs w:val="28"/>
          <w:rtl w:val="true"/>
          <w:lang w:bidi="ar-SA"/>
        </w:rPr>
        <w:t>الزوال مع تبييت النية، والصوم إذا سافر بعد الزوال مع عدم تبييت النية، أما في الحالتين الأخريين فنرجع إلى العمومات الفوقانية التي يأتي بيانها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الكبرى مبحوثة في علم الأصول حيث وقع الخلاف في صلاحية كل من البيانين لمنع بقاء الإطلاق في الآخر وإن انعقد أولاً، ووجه القائلون بعدم الصلاحية للفريق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إشكالاً عويصاً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يستلزم عدم جواز التمسك بالإطلاق كلما شك في ثبوت الحكم لفرد أو حال مما يشمله الإطلاق، لاحتمال وجود مقيّد منفصل لم يصل إلينا، إذ الشك في ذلك يساوق الشك في ثبوت الإطلاق وعدمه</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الإشكال يأتي على من منع انعقاد الإطلاق من أصله، ولا يأتي على ما قلناه من انعقاده أولاً، وتزلزله حينما ورد البيان الآخر، كالعام الذي ينعقد له ظهور في العموم ثم يأتي مخصص منفصل</w:t>
      </w:r>
      <w:r>
        <w:rPr>
          <w:rFonts w:eastAsia="Amiri" w:cs="Amiri" w:ascii="Amiri" w:hAnsi="Amiri"/>
          <w:color w:val="111111"/>
          <w:sz w:val="28"/>
          <w:szCs w:val="28"/>
          <w:rtl w:val="true"/>
          <w:lang w:bidi="ar-SA"/>
        </w:rPr>
        <w:t>.</w:t>
      </w:r>
    </w:p>
    <w:p>
      <w:pPr>
        <w:pStyle w:val="Heading6"/>
        <w:numPr>
          <w:ilvl w:val="5"/>
          <w:numId w:val="1"/>
        </w:numPr>
        <w:rPr/>
      </w:pPr>
      <w:bookmarkStart w:id="259" w:name="__RefHeading___Toc8193167_1051229030"/>
      <w:bookmarkStart w:id="260" w:name="_Toc95"/>
      <w:bookmarkEnd w:id="259"/>
      <w:r>
        <w:rPr>
          <w:rtl w:val="true"/>
        </w:rPr>
        <w:t>المسألة الرابعة</w:t>
      </w:r>
      <w:r>
        <w:rPr>
          <w:rtl w:val="true"/>
        </w:rPr>
        <w:t xml:space="preserve">: </w:t>
      </w:r>
      <w:r>
        <w:rPr>
          <w:rtl w:val="true"/>
        </w:rPr>
        <w:t>حكم الاطلاق عند إرادة المقَيَّد</w:t>
      </w:r>
      <w:r>
        <w:rPr>
          <w:rtl w:val="true"/>
        </w:rPr>
        <w:t>.</w:t>
      </w:r>
      <w:bookmarkEnd w:id="260"/>
    </w:p>
    <w:p>
      <w:pPr>
        <w:pStyle w:val="BookText"/>
        <w:rPr/>
      </w:pPr>
      <w:r>
        <w:rPr>
          <w:rFonts w:ascii="Amiri" w:hAnsi="Amiri" w:eastAsia="Amiri" w:cs="Amiri"/>
          <w:color w:val="111111"/>
          <w:sz w:val="28"/>
          <w:sz w:val="28"/>
          <w:szCs w:val="28"/>
          <w:rtl w:val="true"/>
          <w:lang w:bidi="ar-SA"/>
        </w:rPr>
        <w:t>من المعتاد في كلام الشارع ان يأتي الكلام مطلقا ثم يقيد الشارع هذا الاطلاق بقيد منفصل ، ولهذه الحالة مبررات كثيرة من ضمنها زيادة اهتمام المكلف بالمسالة مثلا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في بعض الأحيان يمثل الاطلاق خللا في البيان اذا كان المقصود هو المقيد ، وقد أعطى سماحة الشيخ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تطبيقا فقهيا لهذه المسالة ؛ اذ ذهب بعض الفقهاء الى ان حرمة التظليل على المحرم مختصة بالليل مع ان ادلة التحريم جاءت مطلقة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المراد هو </w:t>
      </w:r>
    </w:p>
    <w:p>
      <w:pPr>
        <w:pStyle w:val="BookText"/>
        <w:rPr/>
      </w:pPr>
      <w:r>
        <w:rPr>
          <w:rFonts w:ascii="Amiri" w:hAnsi="Amiri" w:eastAsia="Amiri" w:cs="Amiri"/>
          <w:color w:val="111111"/>
          <w:sz w:val="28"/>
          <w:sz w:val="28"/>
          <w:szCs w:val="28"/>
          <w:rtl w:val="true"/>
          <w:lang w:bidi="ar-SA"/>
        </w:rPr>
        <w:t>خصوص الحرمة في الليل لكان الاطلاق خللا ، وحاشا المعصوم ان يكون خلل في كلامه ، 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الاطلاق هو المراد والتقييد غيرمطلوب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هذا المعنى في الجزء السابع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مسالة حرمة التظليل على المحرم ،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كان الحكم مختصاً بالشمس لوجدنا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يعلّم بعض أصحابه هذا الحل والعلاج لمشكلة من به أذى أو علة أو انه لا يطيق حر الشمس فيقول له سر في الليل وكان متعارفاً في ذلك الزمان لان الاضطرار لا يصدق الا مع عدم المندوحة فمع وجودها بالسير ليلاً لا يجوز الترخيص في التظليل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واحياناً يكون الإطلاق خللاً في الجواب إذا كان المطلوب هو المقيد كما في سؤال القبة والكنيسة فالجواب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كانت حرمة التظليل خاصة بالشمس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بالمنع في النهار والجواز في الليل الا ان يُدّعى بوجود قرائن كالارتكاز لدى السائل بررَّ الاستغناء عن ذكر التفصيل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جاء هذا المطلب في الجزء 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مسالة رؤية الهلال ، حيث ان هناك طائفة من الروايات جاء فيها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Style w:val="FootnoteAnchor"/>
          <w:rtl w:val="true"/>
        </w:rPr>
        <w:footnoteReference w:id="290"/>
      </w:r>
      <w:r>
        <w:rPr>
          <w:rFonts w:ascii="Amiri" w:hAnsi="Amiri" w:eastAsia="Amiri" w:cs="Amiri"/>
          <w:color w:val="111111"/>
          <w:sz w:val="28"/>
          <w:sz w:val="28"/>
          <w:szCs w:val="28"/>
          <w:rtl w:val="true"/>
          <w:lang w:bidi="ar-SA"/>
        </w:rPr>
        <w:t>، وقد استدِل بها على ان الهلال اذا ثبت في بلد ما ثبت في كل البلاد الأخرى ، فقال سماحته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أشكل المشهور على الاستدلال بهذه الطائفة جملةً وتفصيلاً، أما جملةً فيتحصّل من كلامهم عدة أمور</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إطلاق له ليشمل البلدان البعيدة ولا يفيد التعميم </w:t>
      </w:r>
      <w:bookmarkStart w:id="261" w:name="pg8133_62802"/>
    </w:p>
    <w:p>
      <w:pPr>
        <w:pStyle w:val="BookText"/>
        <w:rPr/>
      </w:pPr>
      <w:bookmarkEnd w:id="261"/>
      <w:r>
        <w:rPr>
          <w:rFonts w:ascii="Amiri" w:hAnsi="Amiri" w:eastAsia="Amiri" w:cs="Amiri"/>
          <w:color w:val="111111"/>
          <w:sz w:val="28"/>
          <w:sz w:val="28"/>
          <w:szCs w:val="28"/>
          <w:rtl w:val="true"/>
          <w:lang w:bidi="ar-SA"/>
        </w:rPr>
        <w:t>لأنه نكرة في سياق الإثبات وإنما ينصرف إلى البلدان المتقاربة بحكم الغلبة ولندرة الاطلاع على أحوال البلدان المتباعدة معصعوبة المواصلات والتنقل يومئذٍ</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ويجاب هذا الإشكال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الوجه الرابع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الإطلاق ظاهر من مثل هذه السياقات فلو لم يكن مراداً للمتكلم لأشار إلى القيد، فترك التقييد في مقام البيان يستلزم الإطلاق وإلا يكون فيه تغرير بالمكلف</w:t>
      </w:r>
      <w:r>
        <w:rPr>
          <w:rFonts w:eastAsia="Amiri" w:cs="Amiri" w:ascii="Amiri" w:hAnsi="Amiri"/>
          <w:color w:val="111111"/>
          <w:sz w:val="28"/>
          <w:szCs w:val="28"/>
          <w:rtl w:val="true"/>
          <w:lang w:bidi="ar-SA"/>
        </w:rPr>
        <w:t>.</w:t>
      </w:r>
    </w:p>
    <w:p>
      <w:pPr>
        <w:pStyle w:val="Heading6"/>
        <w:numPr>
          <w:ilvl w:val="5"/>
          <w:numId w:val="1"/>
        </w:numPr>
        <w:rPr/>
      </w:pPr>
      <w:bookmarkStart w:id="262" w:name="__RefHeading___Toc8193169_1051229030"/>
      <w:bookmarkStart w:id="263" w:name="_Toc96"/>
      <w:bookmarkEnd w:id="262"/>
      <w:r>
        <w:rPr>
          <w:rtl w:val="true"/>
        </w:rPr>
        <w:t>المسألة الخامسة</w:t>
      </w:r>
      <w:r>
        <w:rPr>
          <w:rtl w:val="true"/>
        </w:rPr>
        <w:t xml:space="preserve">: </w:t>
      </w:r>
      <w:r>
        <w:rPr>
          <w:rtl w:val="true"/>
        </w:rPr>
        <w:t>الاطلاق والقرائن اللبية</w:t>
      </w:r>
      <w:r>
        <w:rPr>
          <w:rtl w:val="true"/>
        </w:rPr>
        <w:t>.</w:t>
      </w:r>
      <w:bookmarkEnd w:id="263"/>
    </w:p>
    <w:p>
      <w:pPr>
        <w:pStyle w:val="BookText"/>
        <w:rPr/>
      </w:pPr>
      <w:r>
        <w:rPr>
          <w:rFonts w:ascii="Amiri" w:hAnsi="Amiri" w:eastAsia="Amiri" w:cs="Amiri"/>
          <w:color w:val="111111"/>
          <w:sz w:val="28"/>
          <w:sz w:val="28"/>
          <w:szCs w:val="28"/>
          <w:rtl w:val="true"/>
          <w:lang w:bidi="ar-SA"/>
        </w:rPr>
        <w:t>يذهب البعض من علمائنا الاعلام الى ان دلالة الاطلاق ضعيفة جدا ؛ لانها دلالة سكوتية اَي انها ناتجة من السكوت عن بيان القيد ، ولذا فان الاطلاق لا ينعقد مع وجود القيد سواء كان لفظيا او لبيا ، بل ان البعض يرى عدم انعقاد الاطلاق بمجرد احتمال القيد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سماحة الشيخ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عدم مانعية بعض القيود اللبية من التمسك بالاطلاق اللفظي وان كنا على يقين من تحققها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 هذا المطلب في الجزء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مسالة مطهرية الشمس ،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إطلاق جواب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الشامل لموضع السجود وهو مما تشترط فيه الطهارة</w:t>
      </w:r>
      <w:r>
        <w:rPr>
          <w:rStyle w:val="FootnoteAnchor"/>
          <w:rtl w:val="true"/>
        </w:rPr>
        <w:footnoteReference w:id="292"/>
      </w:r>
      <w:r>
        <w:rPr>
          <w:rFonts w:ascii="Amiri" w:hAnsi="Amiri" w:eastAsia="Amiri" w:cs="Amiri"/>
          <w:color w:val="111111"/>
          <w:sz w:val="28"/>
          <w:sz w:val="28"/>
          <w:szCs w:val="28"/>
          <w:rtl w:val="true"/>
          <w:lang w:bidi="ar-SA"/>
        </w:rPr>
        <w:t>فالفقرة تفيد الطهارة بالدلالة الالتزامية</w:t>
      </w:r>
      <w:r>
        <w:rPr>
          <w:rFonts w:eastAsia="Amiri" w:cs="Amiri" w:ascii="Amiri" w:hAnsi="Amiri"/>
          <w:color w:val="111111"/>
          <w:sz w:val="28"/>
          <w:szCs w:val="28"/>
          <w:rtl w:val="true"/>
          <w:lang w:bidi="ar-SA"/>
        </w:rPr>
        <w:t xml:space="preserve">. </w:t>
      </w:r>
      <w:bookmarkStart w:id="264" w:name="pg8133_62803"/>
    </w:p>
    <w:p>
      <w:pPr>
        <w:pStyle w:val="BookText"/>
        <w:rPr/>
      </w:pPr>
      <w:bookmarkEnd w:id="264"/>
      <w:r>
        <w:rPr>
          <w:rFonts w:ascii="IRNazanin" w:hAnsi="IRNazanin" w:eastAsia="IRNazanin"/>
          <w:color w:val="111111"/>
          <w:sz w:val="28"/>
          <w:sz w:val="28"/>
          <w:szCs w:val="28"/>
          <w:rtl w:val="true"/>
          <w:lang w:bidi="fa-IR"/>
        </w:rPr>
        <w:t xml:space="preserve">وقد يضعف بان الإطلاق وان كان متحققاً في المقام الا اننا نعتقد ان مثل زرارة ملتزم بما حث عليه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السجود علىالخمرة وأنها سنّة</w:t>
      </w:r>
      <w:r>
        <w:rPr>
          <w:rStyle w:val="FootnoteAnchor"/>
          <w:rtl w:val="true"/>
        </w:rPr>
        <w:footnoteReference w:id="293"/>
      </w:r>
      <w:r>
        <w:rPr>
          <w:rFonts w:ascii="IRNazanin" w:hAnsi="IRNazanin" w:eastAsia="IRNazanin"/>
          <w:color w:val="111111"/>
          <w:sz w:val="28"/>
          <w:sz w:val="28"/>
          <w:szCs w:val="28"/>
          <w:rtl w:val="true"/>
          <w:lang w:bidi="fa-IR"/>
        </w:rPr>
        <w:t>واستحباب</w:t>
      </w:r>
    </w:p>
    <w:p>
      <w:pPr>
        <w:pStyle w:val="BookText"/>
        <w:rPr/>
      </w:pPr>
      <w:r>
        <w:rPr>
          <w:rFonts w:ascii="Amiri" w:hAnsi="Amiri" w:eastAsia="Amiri" w:cs="Amiri"/>
          <w:color w:val="111111"/>
          <w:sz w:val="28"/>
          <w:sz w:val="28"/>
          <w:szCs w:val="28"/>
          <w:rtl w:val="true"/>
          <w:lang w:bidi="ar-SA"/>
        </w:rPr>
        <w:t>السجود على التربة الحسينية</w:t>
      </w:r>
      <w:r>
        <w:rPr>
          <w:rStyle w:val="FootnoteAnchor"/>
          <w:rtl w:val="true"/>
        </w:rPr>
        <w:footnoteReference w:id="294"/>
      </w:r>
      <w:r>
        <w:rPr>
          <w:rFonts w:ascii="Amiri" w:hAnsi="Amiri" w:eastAsia="Amiri" w:cs="Amiri"/>
          <w:color w:val="111111"/>
          <w:sz w:val="28"/>
          <w:sz w:val="28"/>
          <w:szCs w:val="28"/>
          <w:rtl w:val="true"/>
          <w:lang w:bidi="ar-SA"/>
        </w:rPr>
        <w:t>فيكون موضع السجود خارجاً بهذه القرينة وهي التفاتة لطيفة الا أنها لا تصل إلى المنع من الاستدلال بالإطلاق</w:t>
      </w:r>
      <w:r>
        <w:rPr>
          <w:rFonts w:eastAsia="Amiri" w:cs="Amiri" w:ascii="Amiri" w:hAnsi="Amiri"/>
          <w:color w:val="111111"/>
          <w:sz w:val="28"/>
          <w:szCs w:val="28"/>
          <w:rtl w:val="true"/>
          <w:lang w:bidi="ar-SA"/>
        </w:rPr>
        <w:t>.</w:t>
      </w:r>
    </w:p>
    <w:p>
      <w:pPr>
        <w:pStyle w:val="Heading6"/>
        <w:numPr>
          <w:ilvl w:val="5"/>
          <w:numId w:val="1"/>
        </w:numPr>
        <w:rPr/>
      </w:pPr>
      <w:bookmarkStart w:id="265" w:name="__RefHeading___Toc8193171_1051229030"/>
      <w:bookmarkStart w:id="266" w:name="_Toc97"/>
      <w:bookmarkEnd w:id="265"/>
      <w:r>
        <w:rPr>
          <w:rtl w:val="true"/>
        </w:rPr>
        <w:t>المسألة السادسة</w:t>
      </w:r>
      <w:r>
        <w:rPr>
          <w:rtl w:val="true"/>
        </w:rPr>
        <w:t xml:space="preserve">: </w:t>
      </w:r>
      <w:r>
        <w:rPr>
          <w:rtl w:val="true"/>
        </w:rPr>
        <w:t>مانعية الارتكاز للإطلاق</w:t>
      </w:r>
      <w:r>
        <w:rPr>
          <w:rtl w:val="true"/>
        </w:rPr>
        <w:t>.</w:t>
      </w:r>
      <w:bookmarkEnd w:id="266"/>
    </w:p>
    <w:p>
      <w:pPr>
        <w:pStyle w:val="BookText"/>
        <w:rPr/>
      </w:pPr>
      <w:r>
        <w:rPr>
          <w:rFonts w:ascii="Amiri" w:hAnsi="Amiri" w:eastAsia="Amiri" w:cs="Amiri"/>
          <w:color w:val="111111"/>
          <w:sz w:val="28"/>
          <w:sz w:val="28"/>
          <w:szCs w:val="28"/>
          <w:rtl w:val="true"/>
          <w:lang w:bidi="ar-SA"/>
        </w:rPr>
        <w:t xml:space="preserve">ذكر سماحة الشيخ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وجود الارتكاز القوي على خلاف الاطلاق يمنع من انعقاده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ذلك في عدة موارد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الجزء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مسالة مطهرية الشمس ، اذ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الإطلاق الذي استفاده من ترك الاستفصال فهو غير صحيح ولا يوجد مثل هذا الإطلاق إذ يمنع انعقاده وجود ارتكاز قوي ان الجواز لا يشمل ما إذا وجدت رطوبة فتسري النجاسة ولا يشمل موضع السجود لاشتراط الطهارة فيه وارتكازنا الآن شاهد على ذلك عندما نسمع مثل هذه </w:t>
      </w:r>
      <w:bookmarkStart w:id="267" w:name="pg8133_62804"/>
    </w:p>
    <w:p>
      <w:pPr>
        <w:pStyle w:val="BookText"/>
        <w:rPr/>
      </w:pPr>
      <w:bookmarkEnd w:id="267"/>
      <w:r>
        <w:rPr>
          <w:rFonts w:ascii="Amiri" w:hAnsi="Amiri" w:eastAsia="Amiri" w:cs="Amiri"/>
          <w:color w:val="111111"/>
          <w:sz w:val="28"/>
          <w:sz w:val="28"/>
          <w:szCs w:val="28"/>
          <w:rtl w:val="true"/>
          <w:lang w:bidi="ar-SA"/>
        </w:rPr>
        <w:t>الرواية</w:t>
      </w:r>
      <w:r>
        <w:rPr>
          <w:rStyle w:val="FootnoteAnchor"/>
          <w:rtl w:val="true"/>
        </w:rPr>
        <w:footnoteReference w:id="295"/>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الجزء 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مبحث التفصيل بين الشك في المقتضي والشك في الرافع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هذه الروايات </w:t>
      </w:r>
      <w:r>
        <w:rPr>
          <w:rStyle w:val="FootnoteAnchor"/>
          <w:rtl w:val="true"/>
        </w:rPr>
        <w:footnoteReference w:id="296"/>
      </w:r>
      <w:r>
        <w:rPr>
          <w:rFonts w:ascii="Amiri" w:hAnsi="Amiri" w:eastAsia="Amiri" w:cs="Amiri"/>
          <w:color w:val="111111"/>
          <w:sz w:val="28"/>
          <w:sz w:val="28"/>
          <w:szCs w:val="28"/>
          <w:rtl w:val="true"/>
          <w:lang w:bidi="ar-SA"/>
        </w:rPr>
        <w:t>يمكن</w:t>
      </w:r>
    </w:p>
    <w:p>
      <w:pPr>
        <w:pStyle w:val="BookText"/>
        <w:rPr/>
      </w:pPr>
      <w:r>
        <w:rPr>
          <w:rFonts w:ascii="Amiri" w:hAnsi="Amiri" w:eastAsia="Amiri" w:cs="Amiri"/>
          <w:color w:val="111111"/>
          <w:sz w:val="28"/>
          <w:sz w:val="28"/>
          <w:szCs w:val="28"/>
          <w:rtl w:val="true"/>
          <w:lang w:bidi="ar-SA"/>
        </w:rPr>
        <w:t>أن ينظر إليها على أنها إرشادية إلى ما تبانى عليه العقلاء والمفروض أنه لا يشمل الشك في المقتضي فتتقيد سعة الروايات بهذا المقدار ولا يتم لها 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يكون بناء العقلاء قرينة ارتكازية بيّنة لدى المتكلم والسامع تقيّد إطلاق الكلام، وهذه القرينة الملحوظة عند التخاطب غير ما اشترطه صاحب الكفاية لانعقاد الإطلاق واعترضنا عليه من عدم وجود قدر متيقن في مقام التخاطب؛ لوجود اللحاظ المعيّن للظهور في هذه دون 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أقل من كون بناء العقلاء مجملاً من هذه الناحية فيسري إجماله ولا يتم للكلام إطلاق</w:t>
      </w:r>
      <w:r>
        <w:rPr>
          <w:rFonts w:eastAsia="Amiri" w:cs="Amiri" w:ascii="Amiri" w:hAnsi="Amiri"/>
          <w:color w:val="111111"/>
          <w:sz w:val="28"/>
          <w:szCs w:val="28"/>
          <w:rtl w:val="true"/>
          <w:lang w:bidi="ar-SA"/>
        </w:rPr>
        <w:t>.</w:t>
      </w:r>
    </w:p>
    <w:p>
      <w:pPr>
        <w:pStyle w:val="Heading6"/>
        <w:numPr>
          <w:ilvl w:val="5"/>
          <w:numId w:val="1"/>
        </w:numPr>
        <w:rPr/>
      </w:pPr>
      <w:bookmarkStart w:id="268" w:name="__RefHeading___Toc8193173_1051229030"/>
      <w:bookmarkStart w:id="269" w:name="_Toc98"/>
      <w:bookmarkEnd w:id="268"/>
      <w:r>
        <w:rPr>
          <w:rtl w:val="true"/>
        </w:rPr>
        <w:t>المسألة السابعة</w:t>
      </w:r>
      <w:r>
        <w:rPr>
          <w:rtl w:val="true"/>
        </w:rPr>
        <w:t xml:space="preserve">: </w:t>
      </w:r>
      <w:r>
        <w:rPr>
          <w:rtl w:val="true"/>
        </w:rPr>
        <w:t>الاطلاق الذاتي واللحاظي</w:t>
      </w:r>
      <w:r>
        <w:rPr>
          <w:rtl w:val="true"/>
        </w:rPr>
        <w:t>.</w:t>
      </w:r>
      <w:bookmarkEnd w:id="269"/>
    </w:p>
    <w:p>
      <w:pPr>
        <w:pStyle w:val="BookText"/>
        <w:rPr/>
      </w:pPr>
      <w:r>
        <w:rPr>
          <w:rFonts w:ascii="Amiri" w:hAnsi="Amiri" w:eastAsia="Amiri" w:cs="Amiri"/>
          <w:color w:val="111111"/>
          <w:sz w:val="28"/>
          <w:sz w:val="28"/>
          <w:szCs w:val="28"/>
          <w:rtl w:val="true"/>
          <w:lang w:bidi="ar-SA"/>
        </w:rPr>
        <w:t xml:space="preserve">بيّن سماحة الشيخ الأستاذ في الجزء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مسالة شرط الفرسخين في وجوب صلاة الجمعة ان الاطلاق ينقسم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اطلاق ذاتي ، واخر لحاظي ، وان الثاني هو الذي يتمسك به دون الأول ، اذ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الإطلاق إطلاقان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ذاتي وهو بلحاظ نفس الألفاظ مع قطع النظر عن </w:t>
      </w:r>
      <w:bookmarkStart w:id="270" w:name="pg8133_62805"/>
    </w:p>
    <w:p>
      <w:pPr>
        <w:pStyle w:val="BookText"/>
        <w:rPr/>
      </w:pPr>
      <w:bookmarkEnd w:id="270"/>
      <w:r>
        <w:rPr>
          <w:rFonts w:ascii="Amiri" w:hAnsi="Amiri" w:eastAsia="Amiri" w:cs="Amiri"/>
          <w:color w:val="111111"/>
          <w:sz w:val="28"/>
          <w:sz w:val="28"/>
          <w:szCs w:val="28"/>
          <w:rtl w:val="true"/>
          <w:lang w:bidi="ar-SA"/>
        </w:rPr>
        <w:t>ملاحظة القيد عند المتكلم حين إطلاق الكلام وعدمه ، ولحاظي وهو الإطلاق الذي يلحظ فيه المتكلم القيد فلا يأخذه ويطلق كلامه ، والأول لا يمكن التمسك به لعدم اجتماع مقدمات الحكمة …، أما الثاني فيُتَمسَّك به</w:t>
      </w:r>
      <w:r>
        <w:rPr>
          <w:rFonts w:eastAsia="Amiri" w:cs="Amiri" w:ascii="Amiri" w:hAnsi="Amiri"/>
          <w:color w:val="111111"/>
          <w:sz w:val="28"/>
          <w:szCs w:val="28"/>
          <w:rtl w:val="true"/>
          <w:lang w:bidi="ar-SA"/>
        </w:rPr>
        <w:t>.</w:t>
      </w:r>
    </w:p>
    <w:p>
      <w:pPr>
        <w:pStyle w:val="Heading6"/>
        <w:numPr>
          <w:ilvl w:val="5"/>
          <w:numId w:val="1"/>
        </w:numPr>
        <w:rPr/>
      </w:pPr>
      <w:bookmarkStart w:id="271" w:name="__RefHeading___Toc8193175_1051229030"/>
      <w:bookmarkStart w:id="272" w:name="_Toc99"/>
      <w:bookmarkEnd w:id="271"/>
      <w:r>
        <w:rPr>
          <w:rtl w:val="true"/>
        </w:rPr>
        <w:t>المسألة الثامنة</w:t>
      </w:r>
      <w:r>
        <w:rPr>
          <w:rtl w:val="true"/>
        </w:rPr>
        <w:t xml:space="preserve">: </w:t>
      </w:r>
      <w:r>
        <w:rPr>
          <w:rtl w:val="true"/>
        </w:rPr>
        <w:t>إثبات الوجوب التعييني بالاطلاق</w:t>
      </w:r>
      <w:r>
        <w:rPr>
          <w:rtl w:val="true"/>
        </w:rPr>
        <w:t>.</w:t>
      </w:r>
      <w:bookmarkEnd w:id="272"/>
    </w:p>
    <w:p>
      <w:pPr>
        <w:pStyle w:val="BookText"/>
        <w:rPr/>
      </w:pPr>
      <w:r>
        <w:rPr>
          <w:rFonts w:ascii="Amiri" w:hAnsi="Amiri" w:eastAsia="Amiri" w:cs="Amiri"/>
          <w:color w:val="111111"/>
          <w:sz w:val="28"/>
          <w:sz w:val="28"/>
          <w:szCs w:val="28"/>
          <w:rtl w:val="true"/>
          <w:lang w:bidi="ar-SA"/>
        </w:rPr>
        <w:t xml:space="preserve">ينقسم الوجوب الى تعييني لا عدل له ، و تخييري له عدل ، وفي الجزء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مسالة حكم إقامة صلاة الجمعة في عصر الغيبة يذكر سماحة الشيخ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الأصل في الوجوب ان يكون تعيينيا الا اذا دل الدليل على وجود عدل له فيكون تخييريا ، اذ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في صحيحة زرارة الثالثة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سنُة إلى يوم القيامة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والتي تدل على الوجوب في كل زمان ولا يختص بزمن الحضور</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النصوص دالة بصراحة على الوجوب التعييني لصلاة الجمعة في كل زمان، 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ومع هذا كله لا يسعنا الحكم بوجوب الجمعة تعييناً، ولا مناص من حمل الأخبار الظاهرة على ذلك على الوجوب التخييري، لأن دلالتها على وجوب صلاة الجمعة وإن كانت تامة كما مرَّ وذكرنا أنها دلالة لفظية وبالعموم إلا أن كونه وجوباً تعيينياً غير مستند إلى اللفظ وإنما يثبت بالإطلاق ومقدمات الحكمة باعتبار أن لفظ الواجب أو الفريضة وأشباههما إنما يكون ظاهراً في التعييني فيما إذا أطلق، ولم يقيّد بما يدل على عدل آخر له، فإن التخييري هو المحتاج إلى مؤونة البيان ولو بمثل إذا لم يأتِ بعَدْله فإذا كان الحال كما عرفت فلا مناص من رفع اليد عن </w:t>
      </w:r>
    </w:p>
    <w:p>
      <w:pPr>
        <w:pStyle w:val="BookText"/>
        <w:rPr/>
      </w:pPr>
      <w:r>
        <w:rPr>
          <w:rFonts w:ascii="Amiri" w:hAnsi="Amiri" w:eastAsia="Amiri" w:cs="Amiri"/>
          <w:color w:val="111111"/>
          <w:sz w:val="28"/>
          <w:sz w:val="28"/>
          <w:szCs w:val="28"/>
          <w:rtl w:val="true"/>
          <w:lang w:bidi="ar-SA"/>
        </w:rPr>
        <w:t>إطلاق الروايات الواردة في المقام وحمله على التخييري لوجوه صالحة للقرينية والمانعية عن الأخذ بظواهرها أعني الوجوب التعييني</w:t>
      </w:r>
      <w:r>
        <w:rPr>
          <w:rFonts w:eastAsia="Amiri" w:cs="Amiri" w:ascii="Amiri" w:hAnsi="Amiri"/>
          <w:color w:val="111111"/>
          <w:sz w:val="28"/>
          <w:szCs w:val="28"/>
          <w:rtl w:val="true"/>
          <w:lang w:bidi="ar-SA"/>
        </w:rPr>
        <w:t>»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قاله أولاً بمجمله صحيح إلا أنه يمكن الإشارة إلى أكثر من نقطة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من الصحيح أن الأصل في الواجبات هو التعيين إلا أن يقوم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على التخيير لكن الأصول إنما تؤسَّس لحالة الشك فيرجع إليها، أما في المقام فالأدلة صريحة في الوجوب التعييني على كل 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 ما استثني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اللسان لا نحتاج معه الرجوع إلى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صرف الظهور بل صريح النصوص يكون لقرائن تدلّ على البدلية العرضية ذكرت في علم الأصول والقائل بالوجوب التخييري لا يدّعي وجود دليل يوفّر هذه المؤونة الزائدة للوجوب التخييري، ولم يرد دليل على إجزاء صلاة الظهر يوم الجمعة إلا على نحو الطولية والبديل الاضطراري لصلاة الجمعة عند تعذر إقامتها لخوف ونحوه كموثقة أبن بكير المتقدمة </w:t>
      </w:r>
      <w:r>
        <w:rPr>
          <w:rFonts w:eastAsia="Amiri" w:cs="Amiri" w:ascii="Amiri" w:hAnsi="Amiri"/>
          <w:color w:val="111111"/>
          <w:sz w:val="28"/>
          <w:szCs w:val="28"/>
          <w:rtl w:val="true"/>
          <w:lang w:bidi="ar-SA"/>
        </w:rPr>
        <w:t>(</w:t>
      </w:r>
      <w:r>
        <w:rPr>
          <w:rStyle w:val="FootnoteAnchor"/>
          <w:rtl w:val="true"/>
        </w:rPr>
        <w:footnoteReference w:id="298"/>
      </w:r>
      <w:r>
        <w:rPr>
          <w:rFonts w:ascii="Amiri" w:hAnsi="Amiri" w:eastAsia="Amiri" w:cs="Amiri"/>
          <w:color w:val="111111"/>
          <w:sz w:val="28"/>
          <w:sz w:val="28"/>
          <w:szCs w:val="28"/>
          <w:rtl w:val="true"/>
          <w:lang w:bidi="ar-SA"/>
        </w:rPr>
        <w:t xml:space="preserve">وغيرها، وما يتمسك به القائل بالوجوب التخييري إنما هي مجرد استبعادات تصلح 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وجهة 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التقييد فهل تكفي مجرد استبعادات يمكن تفسيرها بعدة وجوه</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سيأتي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تقييد الوجوب التعييني للعدول عمّا أفادته الروايات الصحيحة بصراحة؟ وهل أن حجية النصوص بهذه الدرجة من الهشاشة حتى نتحرر منها لمجرد استبعادات؟</w:t>
      </w:r>
      <w:r>
        <w:rPr>
          <w:rFonts w:eastAsia="Amiri" w:cs="Amiri" w:ascii="Amiri" w:hAnsi="Amiri"/>
          <w:color w:val="111111"/>
          <w:sz w:val="28"/>
          <w:szCs w:val="28"/>
          <w:rtl w:val="true"/>
          <w:lang w:bidi="ar-SA"/>
        </w:rPr>
        <w:t xml:space="preserve">! </w:t>
      </w:r>
      <w:bookmarkStart w:id="273" w:name="pg8133_62807"/>
    </w:p>
    <w:p>
      <w:pPr>
        <w:pStyle w:val="Heading6"/>
        <w:numPr>
          <w:ilvl w:val="5"/>
          <w:numId w:val="1"/>
        </w:numPr>
        <w:rPr/>
      </w:pPr>
      <w:bookmarkStart w:id="274" w:name="__RefHeading___Toc8193177_1051229030"/>
      <w:bookmarkStart w:id="275" w:name="_Toc100"/>
      <w:bookmarkEnd w:id="273"/>
      <w:bookmarkEnd w:id="274"/>
      <w:r>
        <w:rPr>
          <w:rtl w:val="true"/>
        </w:rPr>
        <w:t>المسألة التاسعة</w:t>
      </w:r>
      <w:r>
        <w:rPr>
          <w:rtl w:val="true"/>
        </w:rPr>
        <w:t xml:space="preserve">: </w:t>
      </w:r>
      <w:r>
        <w:rPr>
          <w:rtl w:val="true"/>
        </w:rPr>
        <w:t>دلالة الأفعال على الزمان بالاطلاق</w:t>
      </w:r>
      <w:r>
        <w:rPr>
          <w:rtl w:val="true"/>
        </w:rPr>
        <w:t>.</w:t>
      </w:r>
      <w:bookmarkEnd w:id="275"/>
    </w:p>
    <w:p>
      <w:pPr>
        <w:pStyle w:val="BookText"/>
        <w:rPr/>
      </w:pPr>
      <w:r>
        <w:rPr>
          <w:rFonts w:ascii="Amiri" w:hAnsi="Amiri" w:eastAsia="Amiri" w:cs="Amiri"/>
          <w:color w:val="111111"/>
          <w:sz w:val="28"/>
          <w:sz w:val="28"/>
          <w:szCs w:val="28"/>
          <w:rtl w:val="true"/>
          <w:lang w:bidi="ar-SA"/>
        </w:rPr>
        <w:t>درسنا في علم النحو ان الكلمة اسم وفعل وحرف ، وان الاسم يدل على معنى بذاته مع عدم دلالته على الزمان ، اما الفعل فانه يدل على معنى بذاته مع دلالته على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بحث علماء الأصول في دلالة الفعل على الزمان ، وشكك البعض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الجزء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مسالة تعريف الوطن وإمكان تعدده يذكر سماحة الشيخ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 في تخلف بعض الأفعال عن دلالتها على الزمان ؛ اذ انهيرى ان الافعال لا تدل على الزمان بالوضع وانما تدل عليه بالاطلاق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ناقش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دلالة هذه الصيغة بمجردها على التجدد والاستمرار نوعاً من التأمل وان اشتهرت على الالسن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 شهرة لا اصل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يحتمل التجدد في المثال المزبور او في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طَلَّقَهَا فَلا تَحِلُّ لَهُ مِنْ بَعْدُ حَتَّى تَنْكِحَ زَوْجًا غَيْرَهُ فَإِنْ طَلَّقَهَا فَلا جُنَاحَ عَلَيْهِمَا أَنْ يَتَرَاجَعَا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هذا النقض غير صحيح لأن هذه الدلالات استفيدت من السياق ومناسبات الحكم والموضوع مضافاً الى ما نذهب اليه في علم الاصول ان دلالة الافعال على الزمان انما هو بالاطلاق لا بالوضع</w:t>
      </w:r>
      <w:r>
        <w:rPr>
          <w:rFonts w:eastAsia="Amiri" w:cs="Amiri" w:ascii="Amiri" w:hAnsi="Amiri"/>
          <w:color w:val="111111"/>
          <w:sz w:val="28"/>
          <w:szCs w:val="28"/>
          <w:rtl w:val="true"/>
          <w:lang w:bidi="ar-SA"/>
        </w:rPr>
        <w:t>.</w:t>
      </w:r>
    </w:p>
    <w:p>
      <w:pPr>
        <w:pStyle w:val="Heading6"/>
        <w:numPr>
          <w:ilvl w:val="5"/>
          <w:numId w:val="1"/>
        </w:numPr>
        <w:rPr/>
      </w:pPr>
      <w:bookmarkStart w:id="276" w:name="__RefHeading___Toc8193179_1051229030"/>
      <w:bookmarkStart w:id="277" w:name="_Toc101"/>
      <w:bookmarkEnd w:id="276"/>
      <w:r>
        <w:rPr>
          <w:rtl w:val="true"/>
        </w:rPr>
        <w:t>المسألة العاشرة</w:t>
      </w:r>
      <w:r>
        <w:rPr>
          <w:rtl w:val="true"/>
        </w:rPr>
        <w:t xml:space="preserve">: </w:t>
      </w:r>
      <w:r>
        <w:rPr>
          <w:rtl w:val="true"/>
        </w:rPr>
        <w:t>الاطلاق السكوتي</w:t>
      </w:r>
      <w:r>
        <w:rPr>
          <w:rtl w:val="true"/>
        </w:rPr>
        <w:t>.</w:t>
      </w:r>
      <w:bookmarkEnd w:id="277"/>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يكون اصطلاح الاطلاق السكوتي مستغربا عند البعض ؛ اذ المعهود عند </w:t>
      </w:r>
      <w:bookmarkStart w:id="278" w:name="pg8133_62808"/>
    </w:p>
    <w:p>
      <w:pPr>
        <w:pStyle w:val="BookText"/>
        <w:rPr/>
      </w:pPr>
      <w:bookmarkEnd w:id="278"/>
      <w:r>
        <w:rPr>
          <w:rFonts w:ascii="Amiri" w:hAnsi="Amiri" w:eastAsia="Amiri" w:cs="Amiri"/>
          <w:color w:val="111111"/>
          <w:sz w:val="28"/>
          <w:sz w:val="28"/>
          <w:szCs w:val="28"/>
          <w:rtl w:val="true"/>
          <w:lang w:bidi="ar-SA"/>
        </w:rPr>
        <w:t xml:space="preserve">دارسي علم الأصول إصطلاحي الاطلاق اللفظي والمقامي ، ولكن سماحة الشيخ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اصطلح على سكوت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بيان حكم شرعي محتمل في مسالة ما بالاطلاق السكوتي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هذا المعنى في الجزء السادس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مسالة من يتزوج امرأة طلقت طلاقا غير صحيح ، اذ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تزوج جاهلاً ودخل فقد قال المشهور بالحرمة المؤبدة ولم يظهر ذلك من كلمات سيدنا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اعتدت من الثاني ورجعت إلى الأول</w:t>
      </w:r>
      <w:r>
        <w:rPr>
          <w:rStyle w:val="FootnoteAnchor"/>
          <w:rtl w:val="true"/>
        </w:rPr>
        <w:footnoteReference w:id="300"/>
      </w:r>
      <w:r>
        <w:rPr>
          <w:rFonts w:ascii="Amiri" w:hAnsi="Amiri" w:eastAsia="Amiri" w:cs="Amiri"/>
          <w:color w:val="111111"/>
          <w:sz w:val="28"/>
          <w:sz w:val="28"/>
          <w:szCs w:val="28"/>
          <w:rtl w:val="true"/>
          <w:lang w:bidi="ar-SA"/>
        </w:rPr>
        <w:t xml:space="preserve">ويستفاد من الإطلاق السكوتي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تم لأصالة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الحرمة مؤبداً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وكنت قد سألت سماحته عن تبنيه لحجية الاطلاق السكوتي ، فكان 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فيوضاته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أتبناه بشكل مطلق – اَي على نحو الموجبة 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لان المجيب ليس عليه ان يبيّن كل ما يتعلق بالجواب ولوازمه وتفريعاته ، وله ان يقتصر على محل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قد يستكشف ذلك من ظروف النص ومورده ، كما لو كان من القبيح عدم ذكر هذا الجزء من الجواب ، فيعد سكوته امضاءً له</w:t>
      </w:r>
      <w:r>
        <w:rPr>
          <w:rFonts w:eastAsia="Amiri" w:cs="Amiri" w:ascii="Amiri" w:hAnsi="Amiri"/>
          <w:color w:val="111111"/>
          <w:sz w:val="28"/>
          <w:szCs w:val="28"/>
          <w:rtl w:val="true"/>
          <w:lang w:bidi="ar-SA"/>
        </w:rPr>
        <w:t>.</w:t>
      </w:r>
    </w:p>
    <w:p>
      <w:pPr>
        <w:pStyle w:val="Heading6"/>
        <w:numPr>
          <w:ilvl w:val="5"/>
          <w:numId w:val="1"/>
        </w:numPr>
        <w:rPr/>
      </w:pPr>
      <w:bookmarkStart w:id="279" w:name="__RefHeading___Toc8193181_1051229030"/>
      <w:bookmarkStart w:id="280" w:name="_Toc102"/>
      <w:bookmarkEnd w:id="279"/>
      <w:r>
        <w:rPr>
          <w:rtl w:val="true"/>
        </w:rPr>
        <w:t>المسألة الحادية عشرة</w:t>
      </w:r>
      <w:r>
        <w:rPr>
          <w:rtl w:val="true"/>
        </w:rPr>
        <w:t xml:space="preserve">: </w:t>
      </w:r>
      <w:r>
        <w:rPr>
          <w:rtl w:val="true"/>
        </w:rPr>
        <w:t>الاطلاق المقامي</w:t>
      </w:r>
      <w:r>
        <w:rPr>
          <w:rtl w:val="true"/>
        </w:rPr>
        <w:t>.</w:t>
      </w:r>
      <w:bookmarkEnd w:id="280"/>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الجزء الثالث عشر في مسالة مقدار دية القتل عند اختلاف الأصناف في القيمة كثيرا كلام عن كفاية النقد الرائج من العملات الورقية عن الدراهم الدنانير ، واستعين للاستدلال على ذلك بالإطلاق اللفظي والمقامي ، ولكن </w:t>
      </w:r>
    </w:p>
    <w:p>
      <w:pPr>
        <w:pStyle w:val="BookText"/>
        <w:rPr/>
      </w:pPr>
      <w:r>
        <w:rPr>
          <w:rFonts w:ascii="Amiri" w:hAnsi="Amiri" w:eastAsia="Amiri" w:cs="Amiri"/>
          <w:color w:val="111111"/>
          <w:sz w:val="28"/>
          <w:sz w:val="28"/>
          <w:szCs w:val="28"/>
          <w:rtl w:val="true"/>
          <w:lang w:bidi="ar-SA"/>
        </w:rPr>
        <w:t xml:space="preserve">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على ذلك الاستدلال ، واليك نص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كفاية مطلق النقد الرائج وإن لم يكن من الدنانير الذهبية والدراهم الفضية كالعملات الورقية المتداولة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القول بإجزاء دفع القيمة فإنه لا خصوصية لجنس العملة بأن تكون من الذهب والفضة فتؤدى الدية بالقيمة من سائر العملات الرائجة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غير ذلك كما هو المشهور فيقرّب القول بالإجزاء على أساس أن الدية إنما حددت بهما باعتبارهما نقدين رائجين وتقيَّم بهما الأشياء، لا بما هما ذهب وفضة كسائر الأجناس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قل إن العرف يفهم من جعلهما ضمن أصناف الدية باعتبارهما يمثّلان مالية تلك الأجناس فإن النقد يحصّل مالية الأشياء من دون أن يتحدّد بخصوصيتها، وحينئذٍ يجرد العرف المورد عن خصوصية الذهب والفضة، لكن مع الالتفات إلى العدد المعتبر شرعاً منهما ما دامت مقاربةللقيمة المعيارية؛ لأن لهذه الأعداد موضوعية مع شوب الطريقية الآنفة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ورد التصريح بوصفهما قيمة للأصناف الأخرى في الروايات كرواية الحكم بن عتيبة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الديات إنما كانت تؤخذ قبل اليوم من الإبل والبقر والغنم،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كان ذلك في البوادي قبل الإسلام، فلما ظهر الإسلام وكثرت الورق في الناس قسّمها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الورق</w:t>
      </w:r>
      <w:r>
        <w:rPr>
          <w:rFonts w:eastAsia="IRNazanin" w:cs="IRNazanin"/>
          <w:color w:val="111111"/>
          <w:sz w:val="28"/>
          <w:szCs w:val="28"/>
          <w:rtl w:val="true"/>
          <w:lang w:bidi="fa-IR"/>
        </w:rPr>
        <w:t>)</w:t>
      </w:r>
      <w:r>
        <w:rPr>
          <w:rStyle w:val="FootnoteAnchor"/>
          <w:rtl w:val="true"/>
        </w:rPr>
        <w:footnoteReference w:id="301"/>
      </w:r>
      <w:r>
        <w:rPr>
          <w:rFonts w:ascii="IRNazanin" w:hAnsi="IRNazanin" w:eastAsia="IRNazanin"/>
          <w:color w:val="111111"/>
          <w:sz w:val="28"/>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بتقريب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التعبير بتقسيم الدية على الورق يُشعر بأن الورق نفس مالية الإبل بحيث صحّ تقسيمها عليه، وهذا إنما يكون لو لوحظ في الورق جانب نقديته وماليته الخالصة لا جنس </w:t>
      </w:r>
    </w:p>
    <w:p>
      <w:pPr>
        <w:pStyle w:val="BookText"/>
        <w:rPr/>
      </w:pPr>
      <w:r>
        <w:rPr>
          <w:rFonts w:ascii="Amiri" w:hAnsi="Amiri" w:eastAsia="Amiri" w:cs="Amiri"/>
          <w:color w:val="111111"/>
          <w:sz w:val="28"/>
          <w:sz w:val="28"/>
          <w:szCs w:val="28"/>
          <w:rtl w:val="true"/>
          <w:lang w:bidi="ar-SA"/>
        </w:rPr>
        <w:t>الفضة، فإنه مباين مع الإبل، ولا معنى لتقسيمها عليه</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ومعتبرة إسحاق بن عمار عن أبي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عين المال الدراهم، وكل ما خلاف الدراهم من ذهب أو متاع فهو عرَض مردود ذلك إلى الدراهم في الزكاة والديات</w:t>
      </w:r>
      <w:r>
        <w:rPr>
          <w:rFonts w:eastAsia="IRNazanin" w:cs="IRNazanin"/>
          <w:color w:val="111111"/>
          <w:sz w:val="28"/>
          <w:szCs w:val="28"/>
          <w:rtl w:val="true"/>
          <w:lang w:bidi="fa-IR"/>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فالتعبير عن الدراهم بأنها عين المال مقابل الذهب والمتاع يعني لحاظ الدراهم بما هي نقد رائج يحفظ عين المالية لا بما هو جنس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دعوى أن المناسب عرفاً وارتكازاً أن يكون الضمان في باب الدية قيمياً لا مثلياً؛ إذ لا ارتباط بين المجني عليه وبين جنس من الأجناس كما في ضمان المثليات، فلا يناسب أن يلزم المجني عليه بأخذ جنس معين إلا ما جعله الشارع من أجل التسهيل على أهل كل صنف من تلك الأصناف من تجويز دفع الجاني ما يجده عنده، وإلا فالأصل في الدية أن تكون تعويضاً قيمياً لا مثلياً؛ أي القيمة المشتركة بين الأجناس، وعرفتأن القيمة والمالية المحضة تكون بالنقد الرائج في كل زمان</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واستدل بعض الأعلام المعاصرين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بالروايات الدالة على جواز التعامل بالدراهم المغشوشة إذا كانت تجوز بين الناس أي كانت نقداً رائجاً عندهم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أبي العباس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الدراهم المحمول عليها؟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أنفقت ما يجوز بين أهل البلد فلا بأس</w:t>
      </w:r>
      <w:r>
        <w:rPr>
          <w:rFonts w:eastAsia="IRNazanin" w:cs="IRNazanin"/>
          <w:color w:val="111111"/>
          <w:sz w:val="28"/>
          <w:szCs w:val="28"/>
          <w:rtl w:val="true"/>
          <w:lang w:bidi="fa-IR"/>
        </w:rPr>
        <w:t>)</w:t>
      </w:r>
      <w:r>
        <w:rPr>
          <w:rStyle w:val="FootnoteAnchor"/>
          <w:rtl w:val="true"/>
        </w:rPr>
        <w:footnoteReference w:id="305"/>
      </w:r>
      <w:r>
        <w:rPr>
          <w:rFonts w:ascii="IRNazanin" w:hAnsi="IRNazanin" w:eastAsia="IRNazanin"/>
          <w:color w:val="111111"/>
          <w:sz w:val="28"/>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وصحيحة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الدراهم المحمول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بإنفاقها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ومرسلة ابن أبي نصر عن رجل عن محمد بن مسلم عن </w:t>
      </w:r>
    </w:p>
    <w:p>
      <w:pPr>
        <w:pStyle w:val="BookText"/>
        <w:rPr/>
      </w:pPr>
      <w:r>
        <w:rPr>
          <w:rFonts w:ascii="IRNazanin" w:hAnsi="IRNazanin" w:eastAsia="IRNazanin"/>
          <w:color w:val="111111"/>
          <w:sz w:val="28"/>
          <w:sz w:val="28"/>
          <w:szCs w:val="28"/>
          <w:rtl w:val="true"/>
          <w:lang w:bidi="fa-IR"/>
        </w:rPr>
        <w:t xml:space="preserve">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جاءه رجل من سجستان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عندنا دراهم يقال لها الشاهية يحمل على الدرهم دانقين،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إذا كانت تجوز</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وتقريب الاستدلال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الإطلاق اللفظي،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مثل هذه الروايات أن الدرهم ملحوظ بما له من المالية والقيمة التبادلية المحضة مع قطع النظر عن خصوصية جنسه؛ حيث جعل المدار فيها على الجواز والرواج في البلد سواء كان خالصاً أم مغشوشاً، فلا خصوصية لجنس الفضة، وإنما الميزان في الأحكام المتعلقة بالدرهم بكونه رائجاً بعنوان النقد ووسيلة التعامل والمالية المحضة عند الناس، والتعبير بإنفاقه يشمل تمام أنحاء الإنفاق سواء جعله ثمناً في البيع والشراء أو دفعه في أداء الدين والضمانات أو الديات والحقوق الشرعية</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إطلاق مقامي لهذه الروايات يقتضي ذلك؛ لأن الإذن في إنفاق الدرهم المحمول عليه في الخارج يستلزم عرفاً إنفاقه في تمام الأغراض التي يبتلى بها المكلف، والتي منها دفع الحقوق الشرعية والشخصية كالضمانات والديات والزكاة وغيرها، فيكون السكوتعن عدم جواز إنفاقها في ذلك منشأ لإطلاق مقامي دال على جواز إنفاقها في ذلك أيضاً، وإلا كان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ينبه على عدم الاجتزاء به في ذلك</w:t>
      </w:r>
      <w:r>
        <w:rPr>
          <w:rFonts w:eastAsia="IRNazanin" w:cs="IRNazanin"/>
          <w:color w:val="111111"/>
          <w:sz w:val="28"/>
          <w:szCs w:val="28"/>
          <w:rtl w:val="true"/>
          <w:lang w:bidi="fa-IR"/>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الدرهم المغشوش درهم حقيقة، وليس هو شيئاً آخر غير الدرهم حتى يُجرد عن الخصوصية ويعمم إلى كل عملة رائجة، غاية الأمر أن فيه غشاً من المعادن الأخرى غير الفضة، أي أنه ليس كالدراهم الوضح، والأولى أقل قيمة من الثانية بحسب مقدار الغش فيها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ولأجل تحقق عنوان الدرهم فيها فقد اشترطت الروايات أن لا يقل مقدار الفضة عن الثلثين كما في صحيحة عمر بن يزيد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إنفاق الدراهم المحمول عليها،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جازت الفضة المثلين فلا بأس</w:t>
      </w:r>
      <w:r>
        <w:rPr>
          <w:rFonts w:eastAsia="IRNazanin" w:cs="IRNazanin"/>
          <w:color w:val="111111"/>
          <w:sz w:val="28"/>
          <w:szCs w:val="28"/>
          <w:rtl w:val="true"/>
          <w:lang w:bidi="fa-IR"/>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واشترط بيان ذلك للطرف الآخر كما في صحيحة عبد الرحمن بن الحجاج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أشتري الشيء بالدراهم فأعطي الناقص الحبة والحبتين،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حتى تبيّنه،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يكون نحو هذه الدراهم الأوضاحية التي تكون عندنا عدداً</w:t>
      </w:r>
      <w:r>
        <w:rPr>
          <w:rFonts w:eastAsia="IRNazanin" w:cs="IRNazanin"/>
          <w:color w:val="111111"/>
          <w:sz w:val="28"/>
          <w:szCs w:val="28"/>
          <w:rtl w:val="true"/>
          <w:lang w:bidi="fa-IR"/>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في الدراهم المغشوشة هو نفسه في العنوان العام للدراهم لأنها دراهم 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ودفع الإشكال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تلغي هذه الروايات خصوصية الفضة الخالصة كذلك تلغي خصوصية أي جنس آخر وخصوصية كون النقدين سلعة حقيقية، وتجعل الرواج والاعتبار بين الناس هو معيار النقدية والملاك في جواز الإنفاق، وهو الملحوظ في الدرهم والدينار في إطلاقات الشارع واستعمالاته لهما وترتيب الأحكام عليهما، خصوصاً إذا كان ذكرهما فيقبال الأجناس الأخرى بعنوان أنها قيمة لها أو لبعضهما كما في باب الديات، فيكون ذكر الدرهم والدينار في روايات الدية باعتبار أنهما النقدان الرائجان وقتئذٍ، فيجوز إعطاء أي نقد رائج بمقدارهما</w:t>
      </w:r>
      <w:r>
        <w:rPr>
          <w:rFonts w:eastAsia="Amiri" w:cs="Amiri" w:ascii="Amiri" w:hAnsi="Amiri"/>
          <w:color w:val="111111"/>
          <w:sz w:val="28"/>
          <w:szCs w:val="28"/>
          <w:rtl w:val="true"/>
          <w:lang w:bidi="ar-SA"/>
        </w:rPr>
        <w:t>»</w:t>
      </w:r>
      <w:r>
        <w:rPr>
          <w:rStyle w:val="FootnoteAnchor"/>
          <w:rtl w:val="true"/>
        </w:rPr>
        <w:footnoteReference w:id="310"/>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يضيف شيئاً جديداً غير ما قلناه في أصل الاستدلال، فتقريب الاستدلال بالدراهم المغشوشة غير منتج</w:t>
      </w:r>
      <w:r>
        <w:rPr>
          <w:rFonts w:eastAsia="Amiri" w:cs="Amiri" w:ascii="Amiri" w:hAnsi="Amiri"/>
          <w:color w:val="111111"/>
          <w:sz w:val="28"/>
          <w:szCs w:val="28"/>
          <w:rtl w:val="true"/>
          <w:lang w:bidi="ar-SA"/>
        </w:rPr>
        <w:t xml:space="preserve">. </w:t>
      </w:r>
      <w:bookmarkStart w:id="281" w:name="pg8133_62813"/>
    </w:p>
    <w:p>
      <w:pPr>
        <w:pStyle w:val="Heading6"/>
        <w:numPr>
          <w:ilvl w:val="5"/>
          <w:numId w:val="1"/>
        </w:numPr>
        <w:rPr/>
      </w:pPr>
      <w:bookmarkStart w:id="282" w:name="__RefHeading___Toc8193183_1051229030"/>
      <w:bookmarkStart w:id="283" w:name="_Toc103"/>
      <w:bookmarkEnd w:id="281"/>
      <w:bookmarkEnd w:id="282"/>
      <w:r>
        <w:rPr>
          <w:rtl w:val="true"/>
        </w:rPr>
        <w:t>المسألة الثانية عشرة</w:t>
      </w:r>
      <w:r>
        <w:rPr>
          <w:rtl w:val="true"/>
        </w:rPr>
        <w:t xml:space="preserve">: </w:t>
      </w:r>
      <w:r>
        <w:rPr>
          <w:rtl w:val="true"/>
        </w:rPr>
        <w:t>الاطلاق المقامي دليل لبي</w:t>
      </w:r>
      <w:r>
        <w:rPr>
          <w:rtl w:val="true"/>
        </w:rPr>
        <w:t>.</w:t>
      </w:r>
      <w:bookmarkEnd w:id="283"/>
    </w:p>
    <w:p>
      <w:pPr>
        <w:pStyle w:val="BookText"/>
        <w:rPr/>
      </w:pPr>
      <w:r>
        <w:rPr>
          <w:rFonts w:ascii="Amiri" w:hAnsi="Amiri" w:eastAsia="Amiri" w:cs="Amiri"/>
          <w:color w:val="111111"/>
          <w:sz w:val="28"/>
          <w:sz w:val="28"/>
          <w:szCs w:val="28"/>
          <w:rtl w:val="true"/>
          <w:lang w:bidi="ar-SA"/>
        </w:rPr>
        <w:t xml:space="preserve">ذكر سماحة الشيخ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الجزء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مسالة احكام الصوم في السفر ، ان الاطلاق المقامي دليل لبي وليس لفظيا ، اذ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مما تقدم ككون الإطلاق المقامي دليلاً لبياً، وأنه دعوى عهدتها على مدعيها، والتوقف في صحة سند رواية ابن مهزيار، ويأتي عليه أيضاً بعض مما ذكرناه قبل ذلك ككون اليوم غير معيَّن، واحتمال كون السفر اضطرارياً بقرينة نظرائه من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نكتة مهمة لم يشيروا إليها وهي ظهور الرواية في كون الناذر على سفر حينما حلَّ وقت الوفاء بالنذر، وهذا يعني عدم القدرة على الامتثال لمانعية السفر من الصوم الصحيح، لسبق عدم صلاحية اليوم للوفاء بالنذر، فلا تتحقق القدرة على الأداء ويسقط النذر لعدم القدرة، فيختص الجواز –لو تم 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لو سافر قبل حلول زمن الوفاء بالنذر، لا مطلقاً كما هو مقتضى كلامهم، وسنشير إلى هذه النكتة بإذن الله تعالى</w:t>
      </w:r>
      <w:r>
        <w:rPr>
          <w:rFonts w:eastAsia="Amiri" w:cs="Amiri" w:ascii="Amiri" w:hAnsi="Amiri"/>
          <w:color w:val="111111"/>
          <w:sz w:val="28"/>
          <w:szCs w:val="28"/>
          <w:rtl w:val="true"/>
          <w:lang w:bidi="ar-SA"/>
        </w:rPr>
        <w:t>.</w:t>
      </w:r>
    </w:p>
    <w:p>
      <w:pPr>
        <w:pStyle w:val="Heading6"/>
        <w:numPr>
          <w:ilvl w:val="5"/>
          <w:numId w:val="1"/>
        </w:numPr>
        <w:rPr/>
      </w:pPr>
      <w:bookmarkStart w:id="284" w:name="__RefHeading___Toc8193185_1051229030"/>
      <w:bookmarkStart w:id="285" w:name="_Toc104"/>
      <w:bookmarkEnd w:id="284"/>
      <w:r>
        <w:rPr>
          <w:rtl w:val="true"/>
        </w:rPr>
        <w:t>المسألة الثالثة عشرة</w:t>
      </w:r>
      <w:r>
        <w:rPr>
          <w:rtl w:val="true"/>
        </w:rPr>
        <w:t xml:space="preserve">: </w:t>
      </w:r>
      <w:r>
        <w:rPr>
          <w:rtl w:val="true"/>
        </w:rPr>
        <w:t>اطلاق الكل و إردة الجزء</w:t>
      </w:r>
      <w:r>
        <w:rPr>
          <w:rtl w:val="true"/>
        </w:rPr>
        <w:t>.</w:t>
      </w:r>
      <w:bookmarkEnd w:id="285"/>
    </w:p>
    <w:p>
      <w:pPr>
        <w:pStyle w:val="BookText"/>
        <w:rPr/>
      </w:pPr>
      <w:r>
        <w:rPr>
          <w:rFonts w:ascii="Amiri" w:hAnsi="Amiri" w:eastAsia="Amiri" w:cs="Amiri"/>
          <w:color w:val="111111"/>
          <w:sz w:val="28"/>
          <w:sz w:val="28"/>
          <w:szCs w:val="28"/>
          <w:rtl w:val="true"/>
          <w:lang w:bidi="ar-SA"/>
        </w:rPr>
        <w:t xml:space="preserve">جاء في الجزء الحادي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مسالة ارث الزوجة من العقار تطبيق فقهيلمسالة اطلاق الكل واردة الجزء وهو</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أنه أريد من العقار والضياع خصوص الدور والمساكن ولا مانع منه لجواز إطلاق الكل وإرادة الجزء كما يقال الجيش الرابع ويراد به الفيلق الرابع من الجيش خلافاً لما اختاره المشهور في علم الأصول بناءً على التعمّل العقلي والمورد ليس منه</w:t>
      </w:r>
      <w:r>
        <w:rPr>
          <w:rFonts w:eastAsia="Amiri" w:cs="Amiri" w:ascii="Amiri" w:hAnsi="Amiri"/>
          <w:color w:val="111111"/>
          <w:sz w:val="28"/>
          <w:szCs w:val="28"/>
          <w:rtl w:val="true"/>
          <w:lang w:bidi="ar-SA"/>
        </w:rPr>
        <w:t xml:space="preserve">. </w:t>
      </w:r>
      <w:bookmarkStart w:id="286" w:name="pg8133_62814"/>
    </w:p>
    <w:p>
      <w:pPr>
        <w:pStyle w:val="Heading6"/>
        <w:numPr>
          <w:ilvl w:val="5"/>
          <w:numId w:val="1"/>
        </w:numPr>
        <w:rPr/>
      </w:pPr>
      <w:bookmarkStart w:id="287" w:name="__RefHeading___Toc8193187_1051229030"/>
      <w:bookmarkStart w:id="288" w:name="_Toc105"/>
      <w:bookmarkEnd w:id="286"/>
      <w:bookmarkEnd w:id="287"/>
      <w:r>
        <w:rPr>
          <w:rtl w:val="true"/>
        </w:rPr>
        <w:t>المسألة الرابعة عشرة</w:t>
      </w:r>
      <w:r>
        <w:rPr>
          <w:rtl w:val="true"/>
        </w:rPr>
        <w:t xml:space="preserve">: </w:t>
      </w:r>
      <w:r>
        <w:rPr>
          <w:rtl w:val="true"/>
        </w:rPr>
        <w:t>حمل اللفظ على الفرد النادر</w:t>
      </w:r>
      <w:r>
        <w:rPr>
          <w:rtl w:val="true"/>
        </w:rPr>
        <w:t>.</w:t>
      </w:r>
      <w:bookmarkEnd w:id="288"/>
    </w:p>
    <w:p>
      <w:pPr>
        <w:pStyle w:val="BookText"/>
        <w:rPr/>
      </w:pPr>
      <w:r>
        <w:rPr>
          <w:rFonts w:ascii="Amiri" w:hAnsi="Amiri" w:eastAsia="Amiri" w:cs="Amiri"/>
          <w:color w:val="111111"/>
          <w:sz w:val="28"/>
          <w:sz w:val="28"/>
          <w:szCs w:val="28"/>
          <w:rtl w:val="true"/>
          <w:lang w:bidi="ar-SA"/>
        </w:rPr>
        <w:t>من المعروف ان الاطلاق يشمل الفرد النادر ، الا ان حمل اللفظ على خصوص الفرد النادر مما يستقبحه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 في الجزء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تطبيق فقهي لمسالة قبح اطلاق اللفظ وارادة الفرد النادر منه في مسالة محاذاة المراة للرجل في الصلاة ، اذ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والبينية الواردة في الروايات وإن كانت مجملة وقابلة للانطباق على جميع الاتجاهات، إلا أن جملة من القرائن تبينها وتحددها بما ذكرنا، ومنها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عمار التي فصلت المسافات بجميع الاتجاهات فذكرت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 أذرع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تقدم المرأة أو محاذاتها إلى الجانبين أما التأخر فلم تشترط فيه التباعد نعم يحمل الزائد مما ذكر فيها عن الشبر ونحوه على الاستحباب بدلالة الروايات الأخرى، فتكون موثقة عمار مبينة لإجمال ما ورد من البينية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الفهم يؤدي إلى حصر المنع في روايات الصنف الثاني وغيره بحال الالتصاق إذ من النادر عدم تحقق الشبر بين المصلين وحمل اللفظ على الفرد النادر القبيح</w:t>
      </w:r>
      <w:r>
        <w:rPr>
          <w:rFonts w:eastAsia="Amiri" w:cs="Amiri" w:ascii="Amiri" w:hAnsi="Amiri"/>
          <w:color w:val="111111"/>
          <w:sz w:val="28"/>
          <w:szCs w:val="28"/>
          <w:rtl w:val="true"/>
          <w:lang w:bidi="ar-SA"/>
        </w:rPr>
        <w:t>.</w:t>
      </w:r>
    </w:p>
    <w:p>
      <w:pPr>
        <w:pStyle w:val="Heading6"/>
        <w:numPr>
          <w:ilvl w:val="5"/>
          <w:numId w:val="1"/>
        </w:numPr>
        <w:rPr/>
      </w:pPr>
      <w:bookmarkStart w:id="289" w:name="__RefHeading___Toc8193189_1051229030"/>
      <w:bookmarkStart w:id="290" w:name="_Toc106"/>
      <w:bookmarkEnd w:id="289"/>
      <w:r>
        <w:rPr>
          <w:rtl w:val="true"/>
        </w:rPr>
        <w:t>المسألة الخامسة عشرة</w:t>
      </w:r>
      <w:r>
        <w:rPr>
          <w:rtl w:val="true"/>
        </w:rPr>
        <w:t xml:space="preserve">: </w:t>
      </w:r>
      <w:r>
        <w:rPr>
          <w:rtl w:val="true"/>
        </w:rPr>
        <w:t>الانصراف</w:t>
      </w:r>
      <w:r>
        <w:rPr>
          <w:rtl w:val="true"/>
        </w:rPr>
        <w:t>.</w:t>
      </w:r>
      <w:bookmarkEnd w:id="290"/>
    </w:p>
    <w:p>
      <w:pPr>
        <w:pStyle w:val="BookText"/>
        <w:rPr/>
      </w:pPr>
      <w:r>
        <w:rPr>
          <w:rFonts w:ascii="Amiri" w:hAnsi="Amiri" w:eastAsia="Amiri" w:cs="Amiri"/>
          <w:color w:val="111111"/>
          <w:sz w:val="28"/>
          <w:sz w:val="28"/>
          <w:szCs w:val="28"/>
          <w:rtl w:val="true"/>
          <w:lang w:bidi="ar-SA"/>
        </w:rPr>
        <w:t>الانصراف الى فرد من أفراد ما يدل عليه اللفظ يمنع من انعقاد الاطلاق في بقية الافراد ، وقد يكون الانصراف ناتجا من كثرة استعمال اللفظ في ذلك الفرد او الحصة فيكون حجة ، او من غلبة الوجود الخارجي فلا يكون حجة</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ولسماحة الشيخ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مهم جدا في الانصراف وانه متى يفيد التقييد او يمنع من انعقاد الاطلاق ومتى لا يفيد ذلك</w:t>
      </w:r>
      <w:r>
        <w:rPr>
          <w:rFonts w:eastAsia="Amiri" w:cs="Amiri" w:ascii="Amiri" w:hAnsi="Amiri"/>
          <w:color w:val="111111"/>
          <w:sz w:val="28"/>
          <w:szCs w:val="28"/>
          <w:rtl w:val="true"/>
          <w:lang w:bidi="ar-SA"/>
        </w:rPr>
        <w:t xml:space="preserve">. </w:t>
      </w:r>
      <w:bookmarkStart w:id="291" w:name="pg8133_62815"/>
    </w:p>
    <w:p>
      <w:pPr>
        <w:pStyle w:val="BookText"/>
        <w:rPr/>
      </w:pPr>
      <w:bookmarkEnd w:id="291"/>
      <w:r>
        <w:rPr>
          <w:rFonts w:ascii="Amiri" w:hAnsi="Amiri" w:eastAsia="Amiri" w:cs="Amiri"/>
          <w:color w:val="111111"/>
          <w:sz w:val="28"/>
          <w:sz w:val="28"/>
          <w:szCs w:val="28"/>
          <w:rtl w:val="true"/>
          <w:lang w:bidi="ar-SA"/>
        </w:rPr>
        <w:t xml:space="preserve">اذ جاء في الجزء 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بيان ادلة اشتراط رؤية الهلال بالعين المجردة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w:t>
      </w:r>
    </w:p>
    <w:p>
      <w:pPr>
        <w:pStyle w:val="Heading6"/>
        <w:numPr>
          <w:ilvl w:val="5"/>
          <w:numId w:val="1"/>
        </w:numPr>
        <w:rPr/>
      </w:pPr>
      <w:bookmarkStart w:id="292" w:name="__RefHeading___Toc8193191_1051229030"/>
      <w:bookmarkStart w:id="293" w:name="_Toc107"/>
      <w:bookmarkEnd w:id="292"/>
      <w:r>
        <w:rPr>
          <w:rtl w:val="true"/>
        </w:rPr>
        <w:t>أدلة اشتراط الرؤية بالعين المجردة</w:t>
      </w:r>
      <w:r>
        <w:rPr>
          <w:rtl w:val="true"/>
        </w:rPr>
        <w:t>:</w:t>
      </w:r>
      <w:bookmarkEnd w:id="293"/>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الروايات علّقت الصوم والإفطار على الرؤية كصحيحة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رأيتم الهلال فصوموا، وإذا رأيتموه فأفطروا، وليس بالرأي ولا بالتظني ولكن بالرؤية</w:t>
      </w:r>
      <w:r>
        <w:rPr>
          <w:rFonts w:eastAsia="IRNazanin" w:cs="IRNazanin"/>
          <w:color w:val="111111"/>
          <w:sz w:val="28"/>
          <w:szCs w:val="28"/>
          <w:rtl w:val="true"/>
          <w:lang w:bidi="fa-IR"/>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أطلقت الرؤية فإنها تنصرف إلى الرؤية المتعارفة بالعين الطبيعية؛ لأن الفقهاء يصرفون الإطلاقات في جميع أبواب الفقه إلى الأفراد المتعارفة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منشأ الانصراف في المقام هو غلبة الأفراد في الخارج وهو لا يصلح للتقييد ولا يمنع من شمول الإطلاق للرؤية بالعين المسلحة فإنها رؤية حقيقية، كما أن ألفاظاً عديدة كان لها انصراف إلى أفراد معروفة في زمن صدور النص لكنها تشمل أفراداً جديدة لم تكن معروفة كشمول السراج للأضوية الكهربائية، وشمول السلاح للدبابات والصواريخ مثلاً وغير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صحيح لكن يمكن إعادة صياغة هذا الوجه بعدة تقريبات لدفع الإشكال</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 إن غلبة الأفراد يمكن أن تكون مقيدة إذا استظهرنا من القرائن أن مراد المتكلم من المطلق خصوص هذا الفرد الغالب، كأن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بسبب شدة الانصراف إلى الرؤية بالعين المجردة فإن المتكلم لو أراد </w:t>
      </w:r>
    </w:p>
    <w:p>
      <w:pPr>
        <w:pStyle w:val="BookText"/>
        <w:rPr/>
      </w:pPr>
      <w:r>
        <w:rPr>
          <w:rFonts w:ascii="IRNazanin" w:hAnsi="IRNazanin" w:eastAsia="IRNazanin"/>
          <w:color w:val="111111"/>
          <w:sz w:val="28"/>
          <w:sz w:val="28"/>
          <w:szCs w:val="28"/>
          <w:rtl w:val="true"/>
          <w:lang w:bidi="fa-IR"/>
        </w:rPr>
        <w:t>أوسع من ذلك لذكر ما يفيد الإطلاق، كأن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الرؤية على أي نحو كانت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وإن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بما سيكون في المستقبل بتعليم الله تعالى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يقال أن لفظ الرؤية ظاهر عرفاً في الرؤية المباشرة بالعين المجردة من دون توسط آلة مكبّرة أو مقرّبة، 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العبرة حسب النصوص المتقدمة بالرؤية، شهادة الشاهدين بها شهادة حسّيّة عن باصرة عادية</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يقال إن الرؤية منصرفة عن العين المسلحة، كما لا تصدق الرؤية الحسية على من رأى في التلفزيون أو من رأى الصور المنطبعة على الكاميرات المزودة للهواتف النقالة ونحو ذلك فإن الرؤية لا تصدق عليه إلا بعناية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وبصياغة أخرى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شَهِدَ مِنكُمُ الشَّهْرَ فَلْيَصُمْهُ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علّقت وجوب الصوم على شهود الشهر والشهادة تطلق على العلم الحضوري بالحس لكلٍ بحسبه، فالمسموعات بالسماع والمذوقات بالذوق والمرئيات بالمعاينة المباشرة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ويسند ذلك أن ظهور الرؤية في ما كان بالعين الطبيعية لا يختص بالمورد وإنما يجري في غيره كعدم رؤية الجدران لتحديد حد الترخّص، ورؤية بيوت مكة لقطع التلبية ولا قائل بكفاية الرؤية بالأجهزة المقرّبة فيالموردين وإلا كان حد الترخص أبعد من مسافة القصر، ولقطع المحرم التلبية من مسافة بعيدة</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الرؤية ليس لها موضوعية حتى يناقش في شمولها العين </w:t>
      </w:r>
    </w:p>
    <w:p>
      <w:pPr>
        <w:pStyle w:val="BookText"/>
        <w:rPr/>
      </w:pPr>
      <w:r>
        <w:rPr>
          <w:rFonts w:ascii="Amiri" w:hAnsi="Amiri" w:eastAsia="Amiri" w:cs="Amiri"/>
          <w:color w:val="111111"/>
          <w:sz w:val="28"/>
          <w:sz w:val="28"/>
          <w:szCs w:val="28"/>
          <w:rtl w:val="true"/>
          <w:lang w:bidi="ar-SA"/>
        </w:rPr>
        <w:t>المسلحة أو لا، بل هي مأخوذة على نحو الطريقية لحصول العلم والقطع بوجود الهلال وهذا ظاهر من الروايات حيث جعلت الرؤية مقابل الشك والظن كما في الصحيحة المتقدمة وغيرها، وعليه فإن أي طريق يكون محصلاً للعلم والقطع يكفي لثبوت أول الشهر كالرؤية بالعين المسلحة، ولذا وجب قضاء يوم إذا رؤي الهلال بعد ثمانية وعشرين يوماً من شهر رمضان، أو ثبتت رؤيته في بلد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ردّ الإشكال بأن يقال أن الرؤية وإن كانت مأخوذة على نحو الطريقية إلا أن المرئي أضاف لها حيثية موضوعية من جهة أنها ليست طريقاً لأي هلال مرئي وإنما للهلال الذي تراه العين المجردة 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عنوان الرؤية الوارد في الروايات وإن كان على نحو الطريقية المحضة، إلا أن ذا الطريق هو الهلال البالغ مرتبة قابلة للرؤية بالعين المجردة، لا مجرد الخروج عن المحاق ولو لم يكن قابلاً للرؤية، والحمل على الطريقية لا يقتضي أكثر من إلغاء موضوعية الرؤية لا المرتبة المفروضة في المرئي</w:t>
      </w:r>
      <w:r>
        <w:rPr>
          <w:rFonts w:eastAsia="Amiri" w:cs="Amiri" w:ascii="Amiri" w:hAnsi="Amiri"/>
          <w:color w:val="111111"/>
          <w:sz w:val="28"/>
          <w:szCs w:val="28"/>
          <w:rtl w:val="true"/>
          <w:lang w:bidi="ar-SA"/>
        </w:rPr>
        <w:t>»</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 xml:space="preserve">وقد تقدم تقريب الفكرة أصولياً </w:t>
      </w:r>
      <w:r>
        <w:rPr>
          <w:rStyle w:val="FootnoteAnchor"/>
          <w:rtl w:val="true"/>
        </w:rPr>
        <w:footnoteReference w:id="31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وسيأتي تفصيله في الوجوه الآتية إن شاء الله تعالى</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في زماننا هذا أو المستقبل القريب أن تكون الرؤية المتعارفة هي بالأجهزة الفلكية المتقدمة فعلى القول بانصراف عناوين الموضوعات إلى المتعارف فإنه يجب أن يقال بكفاية الرؤية بها، كما التزم الفقهاء في سائر أبواب الفقه عند تغيّر المصاديق العرفية كتعيين المكيلوالموزون في باب الربا أو المؤونة في الخمس وغير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ويرده أن دخول الأفراد الجديدة فرع ثبوت الإطلاق فهو متأخر رتبة عن معرفة معنى اللفظ الذي يحدّده الظهور العرفي وقد قلنا أن لفظ الرؤية ظاهر في العين المجردة، مضافاً إلى ما تقدم من أن رؤية الهلال فيها جنبة موضوعية بأن يكون الهلال قابلاً للرؤية عند عامة الناس بالعين الطبيعية فتقيّد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سماحة الشيخ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امثلة فقهية للانصراف الذي يمنع الاطلاق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الجزء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مسالة طهارة الكحول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والأدلة على نجاسة الخمر مختصة بما صُنِعَ بطريقة التخمير ومنصرفة عن المصنّع بالطرق الأخرى، فحكم الكحول مبني على كيفية اتخاذه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الجزء 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إطلاق له ليشمل البلدان البعيدة ولا يفيد التعميم لأنه نكرة في سياق الإثبات وإنما ينصرف إلى البلدان المتقاربة بحكم الغلبة ولندرة الاطلاع على أحوال البلدان المتباعدة مع صعوبة المواصلات والتنقل يومئذٍ، قال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الأخبار فالظاهر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بحكم الغلبة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البلاد المتقاربة</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ويجاب هذا الإشكال بوجوه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الانصراف إلى البلدان القريبة خاصة لأن الروايات تتحدث عن قضاء يوم فات من شهر رمضان بعد قيام البينة بدخوله وهذا يمكن العلم به بعد شهر أو شهرين أو أكثر عندما يلتقون معاً في موسم الحج مثلاً لمعلومية اليوم الذي بدأوا به الصوم أو الإفطار كأن يسألونهم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w:t>
      </w:r>
    </w:p>
    <w:p>
      <w:pPr>
        <w:pStyle w:val="BookText"/>
        <w:rPr/>
      </w:pPr>
      <w:r>
        <w:rPr>
          <w:rFonts w:ascii="Amiri" w:hAnsi="Amiri" w:eastAsia="Amiri" w:cs="Amiri"/>
          <w:color w:val="111111"/>
          <w:sz w:val="28"/>
          <w:sz w:val="28"/>
          <w:szCs w:val="28"/>
          <w:rtl w:val="true"/>
          <w:lang w:bidi="ar-SA"/>
        </w:rPr>
        <w:t>صمتم الأربعاء أو الخميس كما في رواية أبي علي بن راشد</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 xml:space="preserve">فالروايات يمكن أن تشمل البلدان البعيدة، وها نحن في البحث نناقش هلال شوال بعد ستة أشهر ونقول أن الفطر كان يوم الأربعاء أو الخميس، وهذا السؤال كان معروفاً يومئذٍ، ويسأل الركبان عنه، وقد تعددت الإشارة إليه في الروايات كرواية كريب </w:t>
      </w:r>
      <w:r>
        <w:rPr>
          <w:rStyle w:val="FootnoteAnchor"/>
          <w:rtl w:val="true"/>
        </w:rPr>
        <w:footnoteReference w:id="317"/>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أبي علي بن راشد وصحيحة محمد بن عيسى </w:t>
      </w:r>
      <w:r>
        <w:rPr>
          <w:rStyle w:val="FootnoteAnchor"/>
          <w:rtl w:val="true"/>
        </w:rPr>
        <w:footnoteReference w:id="3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لو كانت الرواية بصدد بيان حكم آني –كصوم يوم غدٍ الذي هو </w:t>
      </w:r>
    </w:p>
    <w:p>
      <w:pPr>
        <w:pStyle w:val="BookText"/>
        <w:rPr/>
      </w:pPr>
      <w:r>
        <w:rPr>
          <w:rFonts w:ascii="Amiri" w:hAnsi="Amiri" w:eastAsia="Amiri" w:cs="Amiri"/>
          <w:color w:val="111111"/>
          <w:sz w:val="28"/>
          <w:sz w:val="28"/>
          <w:szCs w:val="28"/>
          <w:rtl w:val="true"/>
          <w:lang w:bidi="ar-SA"/>
        </w:rPr>
        <w:t xml:space="preserve">يوم الشك من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أمكن النقاش في الإطلاق بتعذّر وصول الخبر، وقد تقدمت بعض المناقشات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الانصراف إلى الفرد الغالب –لو سلّمناه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يفيد التقييد كما هو ثابت في علم الأصول وإلا فإنه ما من مطلق إلا وله فرد غالب ينصرف إليه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يبطل الانصراف ويثبت وجود الالتفات يومئذٍ إلى البلدان البعيدة والقريبة على حد سواء وروده في كلمات أئمة مذاهب العامة وهم معاصرون للأئمة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وصدور النص، ونحن نعلم أن كثيراً من روايات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وأسئلة أصحابهم جاءت تعليقاً على فتاوى العامة ومواقف فقهائهم، فقال الحنفية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اختلاف المطالع غير معتبر فيلزم أهل المشرق برؤية أهل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المالكية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رئي الهلال، عمَّ الصوم سائر البلدان، قريباً أو بعيداً، ولا يراعى في ذلك اتفاق المطالع ولا عدمها فيجب الصوم على كل منقول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الحنابلة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ثبتت رؤية الهلال بمكان، قريباً كان أو بعيداً، لزم الناس كلهم الصوم، وحكم من لم يره حكم من رآه</w:t>
      </w:r>
      <w:r>
        <w:rPr>
          <w:rFonts w:eastAsia="IRNazanin" w:cs="IRNazanin"/>
          <w:color w:val="111111"/>
          <w:sz w:val="28"/>
          <w:szCs w:val="28"/>
          <w:rtl w:val="true"/>
          <w:lang w:bidi="fa-IR"/>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الإطلاق ظاهر من مثل هذه السياقات فلو لم يكن مراداً للمتكلم لأشار إلى القيد، فترك التقييد في مقام البيان عند قبح تركه يستلزم الإطلاق وإلا يكون فيه تغرير بالمكلف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الجزء 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مسالة طرق ثبوت الهلال</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انصراف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الإطلاقات عن بلاد غير المسلمين، لانقطاع التواصل معها يومئذٍ إما مطلقاً أو في شأن الهلال كأوروبا المسيحية والصين ووسط وجنوب أفريقيا أو لعدم اكتشافها أصلاً </w:t>
      </w:r>
    </w:p>
    <w:p>
      <w:pPr>
        <w:pStyle w:val="BookText"/>
        <w:rPr/>
      </w:pPr>
      <w:r>
        <w:rPr>
          <w:rFonts w:ascii="Amiri" w:hAnsi="Amiri" w:eastAsia="Amiri" w:cs="Amiri"/>
          <w:color w:val="111111"/>
          <w:sz w:val="28"/>
          <w:sz w:val="28"/>
          <w:szCs w:val="28"/>
          <w:rtl w:val="true"/>
          <w:lang w:bidi="ar-SA"/>
        </w:rPr>
        <w:t>كالأمريكتين أو الشرق الأقصى أو استراليا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الانصراف يصلح لإخراج هذه المصاديق وتقييد المطلق بغيره بتقريبين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المولى ليس في مقام البيان بلحاظها فلا يكون الإطلاق شاملاً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التمسك بالعام في الشبهة المصداقية بعد توسيع العام ليشمل البدلي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والأمصار الخارجية مما نشك بشمول العموم لها بما هو حجة إن شملها بعنوانه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الانصراف ليس كالانصراف إلى البلدان القريبة الذي بنى المشهور استدلاله عليه ورددنا عليه بوجوه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الجزء الثالث عشر في مسالة مقدار دية القتل عند اختلاف الأصناف في القيمة كثيرًا ، حيث جاءت الأدلة دالة على التخيير بين الأصناف الستة الا ان سماحة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الى ان هذه الأدلة منصرفة عن حالة هبوط قيمة احد هذه الأصناف بشكل غير متعارف ، فيخرج هذا الصنف حينئذ عن أفراد التخيير ، ونص كلام سماحته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انصراف ما دلّ على التخيير بين الأصناف عمّا لو هبطت قيمة الصنف إلى مقدار غير متعارف بلحاظ الأصناف الأخرى كانصرافها عمّا لو سقطت عن المالية كلها لنفس النكتة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والشاهد على هذا الانصراف أن العرف لا يستطيع فهم وجه عقلائي مقبول لتردد الدية بين مقدارين أحدهما عشرة أضعاف الآخر في أخطر قضايا الدين وهي القتل</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المقاربة بين قيم وأجناس الدية حين صدور حكم التوسعة أنشأ ارتكازاً متشرعياً بأن التخيير مبني على هذا الأساس وهذا الارتكاز يصلح لتقييد إطلاق روايات التخيير ولا يضرّ كونه لبّيّاً، فلو انتشر بين الناس وباء يمنع من أكل لحم البقر فكسد سوق لحومها ولم </w:t>
      </w:r>
      <w:bookmarkStart w:id="294" w:name="pg8133_62822"/>
    </w:p>
    <w:p>
      <w:pPr>
        <w:pStyle w:val="BookText"/>
        <w:rPr/>
      </w:pPr>
      <w:bookmarkEnd w:id="294"/>
      <w:r>
        <w:rPr>
          <w:rFonts w:ascii="Amiri" w:hAnsi="Amiri" w:eastAsia="Amiri" w:cs="Amiri"/>
          <w:color w:val="111111"/>
          <w:sz w:val="28"/>
          <w:sz w:val="28"/>
          <w:szCs w:val="28"/>
          <w:rtl w:val="true"/>
          <w:lang w:bidi="ar-SA"/>
        </w:rPr>
        <w:t>يمكن الاحتفاظ بالبقر إلى حين زواله فهبطت قيمة البقر إلى قيمةالغنم أو أقل فإن العرف لا يفهم من روايات التخيير شموله للحالة، ولولي الدم أن يرفض تسليم الدية من البقر</w:t>
      </w:r>
      <w:r>
        <w:rPr>
          <w:rFonts w:eastAsia="Amiri" w:cs="Amiri" w:ascii="Amiri" w:hAnsi="Amiri"/>
          <w:color w:val="111111"/>
          <w:sz w:val="28"/>
          <w:szCs w:val="28"/>
          <w:rtl w:val="true"/>
          <w:lang w:bidi="ar-SA"/>
        </w:rPr>
        <w:t>.</w:t>
      </w:r>
    </w:p>
    <w:p>
      <w:pPr>
        <w:pStyle w:val="Heading6"/>
        <w:numPr>
          <w:ilvl w:val="5"/>
          <w:numId w:val="1"/>
        </w:numPr>
        <w:rPr/>
      </w:pPr>
      <w:bookmarkStart w:id="295" w:name="__RefHeading___Toc8193193_1051229030"/>
      <w:bookmarkStart w:id="296" w:name="_Toc108"/>
      <w:bookmarkEnd w:id="295"/>
      <w:r>
        <w:rPr>
          <w:rtl w:val="true"/>
        </w:rPr>
        <w:t>المسألة السادسة عشرة</w:t>
      </w:r>
      <w:r>
        <w:rPr>
          <w:rtl w:val="true"/>
        </w:rPr>
        <w:t xml:space="preserve">: </w:t>
      </w:r>
      <w:r>
        <w:rPr>
          <w:rtl w:val="true"/>
        </w:rPr>
        <w:t>غلبة الوجود الخارجي لا توجب الانصراف</w:t>
      </w:r>
      <w:bookmarkEnd w:id="296"/>
    </w:p>
    <w:p>
      <w:pPr>
        <w:pStyle w:val="BookText"/>
        <w:rPr/>
      </w:pPr>
      <w:r>
        <w:rPr>
          <w:rFonts w:ascii="Amiri" w:hAnsi="Amiri" w:eastAsia="Amiri" w:cs="Amiri"/>
          <w:color w:val="111111"/>
          <w:sz w:val="28"/>
          <w:sz w:val="28"/>
          <w:szCs w:val="28"/>
          <w:rtl w:val="true"/>
          <w:lang w:bidi="ar-SA"/>
        </w:rPr>
        <w:t xml:space="preserve">يذهب مشهور علماء الأصول الى ان غلبة الوجود الخارجي لا تفيد الانصراف الحجة الذي يمنع من انعقاد الاطلاق ، كما افادته بعض الكلمات التي نقلناها في المسألة السابقة ، وهذا ما يذهب اليه سماحة الشيخ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كما تبين إضافة لما نقله ولم يعلق عليه من قول السيد الشاهرودي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الجزء العاشر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مسالة التذكية الشرعية بمكائن الذبح الحديثة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بانصراف الإطلاق إلى الذبح باليد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وجود غيره حين صدور الأدلة،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الإطلاق في الأدلة، واحتمال دخل المباشرة باليد ونحوه في التذكية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عن الانصراف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غلبة الوجود لا توجب الانصراف على ما حقق في محله، وأما على الثاني، فإن الإطلاق ثابت في كثير من الروايات التي رتبت الحكم على عنوان الذبح أو ذبيحة المسلم، بل وفي الآية المباركة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ذَكَّيْتُمْ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بمعنى ذبحتم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المأخوذ في مادة التذكية أو هيئة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إيجاد صفة المذبوحية والذكاة في الحيوان بيد الذابح المذكي مباشرة وبلا واسطة مهمة كالماكنة أو تسخير حيوان أو إرادة إنسان آخر يذبح بلا إرادة حرة بل بأمر أو بسلطة شخص آخر، لم يتم الإطلاق عندئذ</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استفادة هذا القيد من مادة أو هيئة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الإطلاق </w:t>
      </w:r>
    </w:p>
    <w:p>
      <w:pPr>
        <w:pStyle w:val="BookText"/>
        <w:rPr/>
      </w:pPr>
      <w:r>
        <w:rPr>
          <w:rFonts w:ascii="IRNazanin" w:hAnsi="IRNazanin" w:eastAsia="IRNazanin"/>
          <w:color w:val="111111"/>
          <w:sz w:val="28"/>
          <w:sz w:val="28"/>
          <w:szCs w:val="28"/>
          <w:rtl w:val="true"/>
          <w:lang w:bidi="fa-IR"/>
        </w:rPr>
        <w:t>المتبادر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ولكننا عرفنا من المسألة السابقة ان الشيخ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 الى إمكانية حصول الانصراف الحجة بسبب غلبة الافراد الخارجية ، ولكن بشرط ان يستظهَر ان مرادالمتكلم من المطلق هو خصوص الفرد الغالب ، اذ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الروايات علّقت الصوم والإفطار على الرؤية كصحيحة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رأيتم الهلال فصوموا، وإذا رأيتموه فأفطروا، وليس بالرأي ولا بالتظني ولكن بالرؤية</w:t>
      </w:r>
      <w:r>
        <w:rPr>
          <w:rFonts w:eastAsia="IRNazanin" w:cs="IRNazanin"/>
          <w:color w:val="111111"/>
          <w:sz w:val="28"/>
          <w:szCs w:val="28"/>
          <w:rtl w:val="true"/>
          <w:lang w:bidi="fa-IR"/>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أطلقت الرؤية فإنها تنصرف إلى الرؤية المتعارفة بالعين الطبيعية؛ لأن الفقهاء يصرفون الإطلاقات في جميع أبواب الفقه إلى الأفراد المتعارفة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منشأ الانصراف في المقام هو غلبة الأفراد في الخارج وهو لا يصلح للتقييد ولا يمنع من شمول الإطلاق للرؤية بالعين المسلحة فإنها رؤية حقيقية، كما أن ألفاظاً عديدة كان لها انصراف إلى أفراد معروفة في زمن صدور النص لكنها تشمل أفراداً جديدة لم تكن معروفة كشمول السراج للأضوية الكهربائية، وشمول السلاح للدبابات والصواريخ مثلاً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صحيح لكن يمكن إعادة صياغة هذا الوجه بعدة تقريبات لدفع الإشكال</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إن غلبة الأفراد يمكن أن تكون مقيدة إذا استظهرنا من </w:t>
      </w:r>
      <w:bookmarkStart w:id="297" w:name="pg8133_62824"/>
    </w:p>
    <w:p>
      <w:pPr>
        <w:pStyle w:val="BookText"/>
        <w:rPr/>
      </w:pPr>
      <w:bookmarkEnd w:id="297"/>
      <w:r>
        <w:rPr>
          <w:rFonts w:ascii="IRNazanin" w:hAnsi="IRNazanin" w:eastAsia="IRNazanin"/>
          <w:color w:val="111111"/>
          <w:sz w:val="28"/>
          <w:sz w:val="28"/>
          <w:szCs w:val="28"/>
          <w:rtl w:val="true"/>
          <w:lang w:bidi="fa-IR"/>
        </w:rPr>
        <w:t>القرائن أن مراد المتكلم من المطلق خصوص هذا الفرد الغالب، كأن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بسبب شدة الانصراف إلى الرؤية بالعين المجردة فإن المتكلم لو أراد أوسع من ذلك لذكر ما يفيد الإطلاق، كأن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الرؤية على أي نحو كانت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وإن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بما سيكون في المستقبل بتعليم الله تعالى له</w:t>
      </w:r>
      <w:r>
        <w:rPr>
          <w:rFonts w:eastAsia="IRNazanin" w:cs="IRNazanin"/>
          <w:color w:val="111111"/>
          <w:sz w:val="28"/>
          <w:szCs w:val="28"/>
          <w:rtl w:val="true"/>
          <w:lang w:bidi="fa-IR"/>
        </w:rPr>
        <w:t>.</w:t>
      </w:r>
    </w:p>
    <w:p>
      <w:pPr>
        <w:pStyle w:val="Heading6"/>
        <w:numPr>
          <w:ilvl w:val="5"/>
          <w:numId w:val="1"/>
        </w:numPr>
        <w:rPr/>
      </w:pPr>
      <w:bookmarkStart w:id="298" w:name="__RefHeading___Toc8193195_1051229030"/>
      <w:bookmarkStart w:id="299" w:name="_Toc109"/>
      <w:bookmarkEnd w:id="298"/>
      <w:r>
        <w:rPr>
          <w:rtl w:val="true"/>
        </w:rPr>
        <w:t>المسألة السابعة عشرة</w:t>
      </w:r>
      <w:r>
        <w:rPr>
          <w:rtl w:val="true"/>
        </w:rPr>
        <w:t xml:space="preserve">: </w:t>
      </w:r>
      <w:r>
        <w:rPr>
          <w:rtl w:val="true"/>
        </w:rPr>
        <w:t>الانصراف لا يصلح للتقيد</w:t>
      </w:r>
      <w:r>
        <w:rPr>
          <w:rtl w:val="true"/>
        </w:rPr>
        <w:t>.</w:t>
      </w:r>
      <w:bookmarkEnd w:id="299"/>
    </w:p>
    <w:p>
      <w:pPr>
        <w:pStyle w:val="BookText"/>
        <w:rPr/>
      </w:pPr>
      <w:r>
        <w:rPr>
          <w:rFonts w:ascii="Amiri" w:hAnsi="Amiri" w:eastAsia="Amiri" w:cs="Amiri"/>
          <w:color w:val="111111"/>
          <w:sz w:val="28"/>
          <w:sz w:val="28"/>
          <w:szCs w:val="28"/>
          <w:rtl w:val="true"/>
          <w:lang w:bidi="ar-SA"/>
        </w:rPr>
        <w:t xml:space="preserve">من المباحث التي تذكر في علم الأصول مبحث الانصراف ، باعتبار ان انصراف اللفظ الى فرد خاص من أفراد اللفظ يمنع انعقاد الاطلاق ، وقد كرر سماحة الشيخ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الانصراف لا يصلح للتقييد في اكثر من موضع من فقه الخلاف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الجزء السادس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مسالة حكم العقد المنقطع على الباكر من دون اذن وليها ، اذ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بين الزواج الدائم والمنقطع فقيل باستقلال أبيها في الأول واستقلالها في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تمسكاً بإطلاقات أدلة النكاح المنقطع</w:t>
      </w:r>
      <w:r>
        <w:rPr>
          <w:rStyle w:val="FootnoteAnchor"/>
          <w:rtl w:val="true"/>
        </w:rPr>
        <w:footnoteReference w:id="32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بعد فرض انصراف ما دل على اعتبار رضا الأب إلى العقد الدائم</w:t>
      </w:r>
      <w:r>
        <w:rPr>
          <w:rFonts w:eastAsia="IRNazanin" w:cs="IRNazanin"/>
          <w:color w:val="111111"/>
          <w:sz w:val="28"/>
          <w:szCs w:val="28"/>
          <w:rtl w:val="true"/>
          <w:lang w:bidi="fa-IR"/>
        </w:rPr>
        <w:t>»</w:t>
      </w:r>
      <w:r>
        <w:rPr>
          <w:rStyle w:val="FootnoteAnchor"/>
          <w:rtl w:val="true"/>
        </w:rPr>
        <w:footnoteReference w:id="322"/>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وتحصيلاً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الأخبار بتخصيصها في الجانبين، كل جانب بنوع من النكاح، ووجه تخصيص الدائم بأخبار الولاية عليها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لكثرة حقوقه وأحكامه من النفقة والميراث واستمراره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 من المتعة، والمرأة قاصرة النظر عن تحصيل المناسب، فوكل أمره إلى الولي، لتعذر استدراك فائته، بخلاف </w:t>
      </w:r>
    </w:p>
    <w:p>
      <w:pPr>
        <w:pStyle w:val="BookText"/>
        <w:rPr/>
      </w:pPr>
      <w:r>
        <w:rPr>
          <w:rFonts w:ascii="Amiri" w:hAnsi="Amiri" w:eastAsia="Amiri" w:cs="Amiri"/>
          <w:color w:val="111111"/>
          <w:sz w:val="28"/>
          <w:sz w:val="28"/>
          <w:szCs w:val="28"/>
          <w:rtl w:val="true"/>
          <w:lang w:bidi="ar-SA"/>
        </w:rPr>
        <w:t>المتعة</w:t>
      </w:r>
      <w:r>
        <w:rPr>
          <w:rFonts w:eastAsia="Amiri" w:cs="Amiri" w:ascii="Amiri" w:hAnsi="Amiri"/>
          <w:color w:val="111111"/>
          <w:sz w:val="28"/>
          <w:szCs w:val="28"/>
          <w:rtl w:val="true"/>
          <w:lang w:bidi="ar-SA"/>
        </w:rPr>
        <w:t>»</w:t>
      </w:r>
      <w:r>
        <w:rPr>
          <w:rStyle w:val="FootnoteAnchor"/>
          <w:rtl w:val="true"/>
        </w:rPr>
        <w:footnoteReference w:id="323"/>
      </w:r>
      <w:r>
        <w:rPr>
          <w:rFonts w:ascii="Amiri" w:hAnsi="Amiri" w:eastAsia="Amiri" w:cs="Amiri"/>
          <w:color w:val="111111"/>
          <w:sz w:val="28"/>
          <w:sz w:val="28"/>
          <w:szCs w:val="28"/>
          <w:rtl w:val="true"/>
          <w:lang w:bidi="ar-SA"/>
        </w:rPr>
        <w:t>فهنا دعويان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استقلال أبيها في الزواج الدائم واستدلّوا عليه بما تقدّم في القسم الأول بعد فرض انصراف الإطلاقات فيه إلى الدائم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والانصراف ممنوع صغرىً وكبرى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لفظ النكاح ينطبق على الدائم والمنقطع سواء بسواء وتجري عليهما أحكام النكاح إلا ما خرج بدليل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الانصراف لا يصلح للتقييد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الجزء العاشر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مسالة حرمة التصوير ، اذ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المجسَّم مطلقاً لذي الروح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ونسبه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الشيخين وسلاّر</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 xml:space="preserve">وهذا القول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عبّر بالتماثيل المجسمة، بناءً على شمول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لغير الحيوان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فخصّ الحكم بالمجسم، لأن المتيقن من المقيِّدات للإطلاقات والظاهر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بحكم غلبة الاستعمال والوجود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النقوش لا غير</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واختصاص الحرمة بالتماثيل المجسمة عبارة ذكرها الكثيرون كالعلامة والمحقق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وجه لحصر القائل به بالمذكورين وإنصافاً </w:t>
      </w:r>
    </w:p>
    <w:p>
      <w:pPr>
        <w:pStyle w:val="BookText"/>
        <w:rPr/>
      </w:pPr>
      <w:r>
        <w:rPr>
          <w:rFonts w:ascii="Amiri" w:hAnsi="Amiri" w:eastAsia="Amiri" w:cs="Amiri"/>
          <w:color w:val="111111"/>
          <w:sz w:val="28"/>
          <w:sz w:val="28"/>
          <w:szCs w:val="28"/>
          <w:rtl w:val="true"/>
          <w:lang w:bidi="ar-SA"/>
        </w:rPr>
        <w:t xml:space="preserve">لهؤلاء الأساطين فإنه من المطمأن به أنهم لم يريدوا التماثيل المجسّمة مطلقاً حتى لغير ذي الروح، ولذا لم يجد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غضاضة في أن يضيف لعبارة المحقق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محرم في نفسه كعمل الصور المجسّمة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لذوات الأرواح، ولعل ترك التقييد بذلك لظهور لفظ الصور في ذلك</w:t>
      </w:r>
      <w:r>
        <w:rPr>
          <w:rFonts w:eastAsia="Amiri" w:cs="Amiri" w:ascii="Amiri" w:hAnsi="Amiri"/>
          <w:color w:val="111111"/>
          <w:sz w:val="28"/>
          <w:szCs w:val="28"/>
          <w:rtl w:val="true"/>
          <w:lang w:bidi="ar-SA"/>
        </w:rPr>
        <w:t>»</w:t>
      </w:r>
      <w:r>
        <w:rPr>
          <w:rStyle w:val="FootnoteAnchor"/>
          <w:rtl w:val="true"/>
        </w:rPr>
        <w:footnoteReference w:id="326"/>
      </w:r>
      <w:r>
        <w:rPr>
          <w:rFonts w:ascii="Amiri" w:hAnsi="Amiri" w:eastAsia="Amiri" w:cs="Amiri"/>
          <w:color w:val="111111"/>
          <w:sz w:val="28"/>
          <w:sz w:val="28"/>
          <w:szCs w:val="28"/>
          <w:rtl w:val="true"/>
          <w:lang w:bidi="ar-SA"/>
        </w:rPr>
        <w:t>فكأنه أصبح مصطلحاً مشهوراً عندهم يراد به ذو الروح وأنه خاصة محل الكلام عندهم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أي حال فقد ردَّ عليهم الشيخ الأنصاري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الظهور لو اعتُبر لسقّط الإطلاقات عن نهوضها لإثبات حرمة المجسم، فتعين حملها على الكراهة، دون التخصيص بالمجسمة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الإطلاقات المانعة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مثّل مثالاً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ظاهراً في شمول الحكم للمجسم، كان كذلك في الأدلة المرخّصة لما عدا الحيوان، كرواية تحف العقول وصحيحة ابن مسلم وما في تفسير الآية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فدعوى ظهور الإطلاقات المانعة في العموم واختصاص المقيّدات بالنقوش تحكّم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ومحصّل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غلبة الاستعمال والوجود لو صارت سبباً لانصراف المقيدات إلى خصوص النقوش صارت سبباً لانصراف المطلقات المانعة أيضاً إليها، ولازم ذلك حمل أخبار المنع على الكراهة لما ورد من الرخصة في غير ذوات الأرواح، وعلى هذا فلا يبقى دليل على حرمة المجسّمة لا في الحيوان ولا في غيره</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يضاف إلى ما قاله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bookmarkStart w:id="300" w:name="pg8133_62827"/>
    </w:p>
    <w:p>
      <w:pPr>
        <w:pStyle w:val="BookText"/>
        <w:rPr/>
      </w:pPr>
      <w:bookmarkEnd w:id="300"/>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الصغرى إذ لم يثبت أن النقوش هي الغالبة في الوجود في تلك الأعصار، فإن التماثيل المجسّمة معروفة بكثرة في جميع الأمم كما نطق به القرآن الكريم ودلّت عليه الروايات الشريفة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الانصراف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سلّمناه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يصلح للتقييد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الجزء 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مسالة طرق اثبات الهلال ، اذ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الانصراف إلى الفرد الغالب –لو سلّمناه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يفيد التقييد كما هو ثابت في علم الأصول وإلا فإنه ما من مطلق إلا وله فرد غالب ينصرف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سماحته ان الانصراف يقيد الاطلاق في حالة واحدة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فيما لو اصبح اللفظ المطلق ظاهرا في الفرد الذي انصرف اليه ، ومنصرفا عن بقية الافراد ، وهذا ما جاء في الجزء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مسالة الاكتفاء ببعض السورة بعد الفاتحة ، اذ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الرد ليس كافياً لأن الانصراف لا يقتضي تقييد المطلق وإنلم يكن نادراً إلا أن يكون للمطلق ظهور في هذه العناوين الخاصة على نحو ينصرف عن غيرها</w:t>
      </w:r>
      <w:r>
        <w:rPr>
          <w:rFonts w:eastAsia="Amiri" w:cs="Amiri" w:ascii="Amiri" w:hAnsi="Amiri"/>
          <w:color w:val="111111"/>
          <w:sz w:val="28"/>
          <w:szCs w:val="28"/>
          <w:rtl w:val="true"/>
          <w:lang w:bidi="ar-SA"/>
        </w:rPr>
        <w:t>.</w:t>
      </w:r>
    </w:p>
    <w:p>
      <w:pPr>
        <w:pStyle w:val="Heading6"/>
        <w:numPr>
          <w:ilvl w:val="5"/>
          <w:numId w:val="1"/>
        </w:numPr>
        <w:rPr/>
      </w:pPr>
      <w:bookmarkStart w:id="301" w:name="__RefHeading___Toc8193197_1051229030"/>
      <w:bookmarkStart w:id="302" w:name="_Toc110"/>
      <w:bookmarkEnd w:id="301"/>
      <w:r>
        <w:rPr>
          <w:rtl w:val="true"/>
        </w:rPr>
        <w:t>المسألة الثامنة عشرة</w:t>
      </w:r>
      <w:r>
        <w:rPr>
          <w:rtl w:val="true"/>
        </w:rPr>
        <w:t xml:space="preserve">: </w:t>
      </w:r>
      <w:r>
        <w:rPr>
          <w:rtl w:val="true"/>
        </w:rPr>
        <w:t>التفريعات لا تقيد الاحكام</w:t>
      </w:r>
      <w:r>
        <w:rPr>
          <w:rtl w:val="true"/>
        </w:rPr>
        <w:t>.</w:t>
      </w:r>
      <w:bookmarkEnd w:id="302"/>
    </w:p>
    <w:p>
      <w:pPr>
        <w:pStyle w:val="BookText"/>
        <w:rPr/>
      </w:pPr>
      <w:r>
        <w:rPr>
          <w:rFonts w:ascii="Amiri" w:hAnsi="Amiri" w:eastAsia="Amiri" w:cs="Amiri"/>
          <w:color w:val="111111"/>
          <w:sz w:val="28"/>
          <w:sz w:val="28"/>
          <w:szCs w:val="28"/>
          <w:rtl w:val="true"/>
          <w:lang w:bidi="ar-SA"/>
        </w:rPr>
        <w:t>اذا جاء الحكم الشرعي مطلقا ، ثم سأل المكلفون عن بعض التفريعات والملازمات له ، فان بيانها لا يقيد اطلاق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 بيان هذا المعنى في الجزء السابع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مسالة حرمة التظليل على المحرم ، حيث قال سماحة الشيخ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 المستفاد من استقراء الروايات</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تضمنت الروايات 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الاضحاء وحرمة التظليل، فالكلام في </w:t>
      </w:r>
    </w:p>
    <w:p>
      <w:pPr>
        <w:pStyle w:val="BookText"/>
        <w:rPr/>
      </w:pPr>
      <w:r>
        <w:rPr>
          <w:rFonts w:ascii="Amiri" w:hAnsi="Amiri" w:eastAsia="Amiri" w:cs="Amiri"/>
          <w:color w:val="111111"/>
          <w:sz w:val="28"/>
          <w:sz w:val="28"/>
          <w:szCs w:val="28"/>
          <w:rtl w:val="true"/>
          <w:lang w:bidi="ar-SA"/>
        </w:rPr>
        <w:t>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الإضحاء وحاصلها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 المأمور به في الروايات أي الحكم الأصلي الصادر من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بحق المحرم هو وجوب الاضحاء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الروايات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 xml:space="preserve">صحيحة عبد الله بن المغيرة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الظلال للمحرم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أضحَ لمن أحرمت 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محرور وإن الحرَّ يشتد عليَّ،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 أن الشمس تغرب بذنوب المحرمين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موثقة عثمان بن عيسى الرواسي الكلابي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الحسن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علي بن شهاب يشكو رأسه والبرد شديد ويريد ان يحرم،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كما زعم فليظلل، واما أنت فاضْحَ لمن أحرمت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صحيحة حفص بن البختري وهشام بن الحكم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يكره للمحرم أن يجوز ثوبه انفه من أسفل،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أضح لمن أحرمت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حرمة التظليل بتفاصيلها فكانت من التفريعات والملازمات والموارد الجزئية لأصل الحكم ومثلها لا يحدد الحكم ولا يقيّده وهذا شأن طبيعي حينما يلقى حكم كلي فان الناس يسألون عن تطبيقاته وجزئياته والمفروض ان يؤخذ الحكم من أصل الأمر لا من الأسئلة التي يلقيها المكلفون، وأمامك الروايات </w:t>
      </w:r>
      <w:r>
        <w:rPr>
          <w:rStyle w:val="FootnoteAnchor"/>
          <w:rtl w:val="true"/>
        </w:rPr>
        <w:footnoteReference w:id="328"/>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التي تجاوزت العشرة لا تتضمن ولا واحدة أن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يلقي حرمة التظليل وإنما كان السؤال عنها من قبل الأصحاب لمعرفة التفاصيل والموارد الجزئية عدا رواية المعلى بن خنيس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يستتر المحرم من الشمس ولا بأس ان يستر </w:t>
      </w:r>
      <w:bookmarkStart w:id="303" w:name="pg8133_62829"/>
    </w:p>
    <w:p>
      <w:pPr>
        <w:pStyle w:val="BookText"/>
        <w:rPr/>
      </w:pPr>
      <w:bookmarkEnd w:id="303"/>
      <w:r>
        <w:rPr>
          <w:rFonts w:ascii="IRNazanin" w:hAnsi="IRNazanin" w:eastAsia="IRNazanin"/>
          <w:color w:val="111111"/>
          <w:sz w:val="28"/>
          <w:sz w:val="28"/>
          <w:szCs w:val="28"/>
          <w:rtl w:val="true"/>
          <w:lang w:bidi="fa-IR"/>
        </w:rPr>
        <w:t>بعضه ببعض</w:t>
      </w:r>
      <w:r>
        <w:rPr>
          <w:rFonts w:eastAsia="IRNazanin" w:cs="IRNazanin"/>
          <w:color w:val="111111"/>
          <w:sz w:val="28"/>
          <w:szCs w:val="28"/>
          <w:rtl w:val="true"/>
          <w:lang w:bidi="fa-IR"/>
        </w:rPr>
        <w:t>)</w:t>
      </w:r>
      <w:r>
        <w:rPr>
          <w:rStyle w:val="FootnoteAnchor"/>
          <w:rtl w:val="true"/>
        </w:rPr>
        <w:footnoteReference w:id="329"/>
      </w:r>
      <w:r>
        <w:rPr>
          <w:rFonts w:ascii="IRNazanin" w:hAnsi="IRNazanin" w:eastAsia="IRNazanin"/>
          <w:color w:val="111111"/>
          <w:sz w:val="28"/>
          <w:sz w:val="28"/>
          <w:szCs w:val="28"/>
          <w:rtl w:val="true"/>
          <w:lang w:bidi="fa-IR"/>
        </w:rPr>
        <w:t xml:space="preserve">وهي ضعيفة سنداً ولا تأبى الحمل على أوضح المصاديق خصوصاً مع ملاحظتها مع الروايات الأخرى، وربما كانت جواباً عن سؤال غير مذكور فتكون كقريناتها، بينما تجد أمراً من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بوجوب الاضحاء، وفي عدد من الروايات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 xml:space="preserve">كان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يعدل من الحالة الجزئية في السؤال عن التظليل إلى القاعدة الكلية وهو الأمر بوجوب الاضحاء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واستفادة الحكم من الفرع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حرمة التظليل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وجوب الاضحاء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احد مناشئ الاختلاف والتشتت والابتعاد عن المفاد الصحيح للروايات حيث ذهبوا إلى معاجم اللغة لمعرفة معنى التظليل وحدوده وهل هو خاص بالتستر من الشمس أم أعم من ذلك ونحوها، بينما المطلوب وجوب الاضحاء وإنما كان التظليل محرماً لمنافاته لوجوبالإضحاء وإخلاله به، ولو لم يكن كذلك فلا حرمة كما لو تعمد السير تحت الغيمة الحاجبة عن الشمس ويتحرك بحركتها أو كان يسير في ظل المحمل أو يستر بعض جسده ببعض كما سيأتي إن شاء الله تعالى</w:t>
      </w:r>
      <w:r>
        <w:rPr>
          <w:rFonts w:eastAsia="Amiri" w:cs="Amiri" w:ascii="Amiri" w:hAnsi="Amiri"/>
          <w:color w:val="111111"/>
          <w:sz w:val="28"/>
          <w:szCs w:val="28"/>
          <w:rtl w:val="true"/>
          <w:lang w:bidi="ar-SA"/>
        </w:rPr>
        <w:t>.</w:t>
      </w:r>
    </w:p>
    <w:p>
      <w:pPr>
        <w:pStyle w:val="Heading6"/>
        <w:numPr>
          <w:ilvl w:val="5"/>
          <w:numId w:val="1"/>
        </w:numPr>
        <w:rPr/>
      </w:pPr>
      <w:bookmarkStart w:id="304" w:name="__RefHeading___Toc8193199_1051229030"/>
      <w:bookmarkStart w:id="305" w:name="_Toc111"/>
      <w:bookmarkEnd w:id="304"/>
      <w:r>
        <w:rPr>
          <w:rtl w:val="true"/>
        </w:rPr>
        <w:t>المسألة التاسعة عشرة</w:t>
      </w:r>
      <w:r>
        <w:rPr>
          <w:rtl w:val="true"/>
        </w:rPr>
        <w:t xml:space="preserve">: </w:t>
      </w:r>
      <w:r>
        <w:rPr>
          <w:rtl w:val="true"/>
        </w:rPr>
        <w:t>مناسبات الحكم والموضوع</w:t>
      </w:r>
      <w:r>
        <w:rPr>
          <w:rtl w:val="true"/>
        </w:rPr>
        <w:t>.</w:t>
      </w:r>
      <w:bookmarkEnd w:id="305"/>
    </w:p>
    <w:p>
      <w:pPr>
        <w:pStyle w:val="BookText"/>
        <w:rPr/>
      </w:pPr>
      <w:r>
        <w:rPr>
          <w:rFonts w:ascii="Amiri" w:hAnsi="Amiri" w:eastAsia="Amiri" w:cs="Amiri"/>
          <w:color w:val="111111"/>
          <w:sz w:val="28"/>
          <w:sz w:val="28"/>
          <w:szCs w:val="28"/>
          <w:rtl w:val="true"/>
          <w:lang w:bidi="ar-SA"/>
        </w:rPr>
        <w:t>مما يقيد اطلاق الاحكام الشرعية مناسبات الحكم والموضوع ، فقد يأتي الحكم الشرعي مطلقًا، ولكننا نفهم بمناسبات الحكم والموضوع ان هذا الاطلاق غير مراد ، وان الحكم 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تطبيقات هذه المسالة</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سماحة الشيخ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الجزء العاشر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مسالة حرمة التصوير ، اذ قال في نتيجة البحث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الروايات التي تمسكوا بإطلاقها كخبر السكوني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 xml:space="preserve">وخبر الخصال </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 xml:space="preserve">وخبر عبد الله بن طلحة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 xml:space="preserve">وخبر تحف العقول </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فإن الإطلاق غير تام ولا يمكن الأخذ به لوجهين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مناسبات الحكم والموضوع إذ لا يُتصور أن التشديد المذكور فيها موضوعه كل تصوير، بحيث أن بعض الأحاديث شدّدت بالعقوبة على المصورين حتى حكمت عليهم بالكفر مما لم يرد مثله حتى في أعظم الكبائر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الجزاء ليس أمراً جزافياً، بل هو نتيجة للعمل ومن قبيل الثمرة له والثمر يناسب الشجر، وليس هذا القبيل من الأحكام الشرعية من قبيل الأحكام التعبدية المحضة التي لا يعلم سرها وملاكاتها وعواقبها إلا الله تعالى، فلا محالة تكون تابعة لملاكات متناسبة لها عند العقل والفطرة</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الأوامر والنواهي الواردة في أبواب المعاملات والسياسات والجزائيات من قبيل الأحكام الإرشادية إلى ما يدركه العقل </w:t>
      </w:r>
    </w:p>
    <w:p>
      <w:pPr>
        <w:pStyle w:val="BookText"/>
        <w:rPr/>
      </w:pPr>
      <w:r>
        <w:rPr>
          <w:rFonts w:ascii="Amiri" w:hAnsi="Amiri" w:eastAsia="Amiri" w:cs="Amiri"/>
          <w:color w:val="111111"/>
          <w:sz w:val="28"/>
          <w:sz w:val="28"/>
          <w:szCs w:val="28"/>
          <w:rtl w:val="true"/>
          <w:lang w:bidi="ar-SA"/>
        </w:rPr>
        <w:t>والفطرة أيضاً بعد التنبه لها</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سماحته في الجزء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مسالة طهارة الكحول ، اذ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النتيجة التي تنتهي إليها أدلة المشهور فالمفروض أنها الحكم بنجاسة كل مسكر حتى لو لم يتعارف شربه، ولو تمسّكاً بصرف إطلاق عنوان المسكّر فإنه يشمل المسكرات عن طريق غير الفم، أعني بالشم كالذي يقال عن السبرتو والثنر والسيكوتين لكن يمكن الاطمئنان هنا بأن لفظ المسكر في الروايات منصرف عن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المسكرات مما لم يتعارف شربها عن الحكم بالنجاسة، وقد نقلنا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ومناقشتنا له، ونسبه إلى أستاذه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نقل عن بعض أقرانه من مقرّري بحث الأستاذ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ما ورد في المنع عن بيع الخمر والمسكر من الروايات منصرفة عن المادة المعروفة بالألكلية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الكحولات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المطلقات إنما تشملالمسكرات المتعارفة التي هي قابلة للشرب دون ما لم يتعارف شربه</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 هذا الانصراف غير واضح لإطلاق المسكر وعدم وجود ما يقيّده حتى على نحو الارتكاز العرفي ومناسبات الحكم والموضوع إذ قد يرى العرف أن الحكم بالنجاسة بعلة الإسكار بذاتها حتى لو لم يتعارف شربه</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ويكون الإشكال عليهم أكبر فيما لو فهمنا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اسم المفعول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اسم المصدر، وقد ورد هذا المعنى في بعض النصوص التي </w:t>
      </w:r>
    </w:p>
    <w:p>
      <w:pPr>
        <w:pStyle w:val="BookText"/>
        <w:rPr/>
      </w:pPr>
      <w:r>
        <w:rPr>
          <w:rFonts w:ascii="Amiri" w:hAnsi="Amiri" w:eastAsia="Amiri" w:cs="Amiri"/>
          <w:color w:val="111111"/>
          <w:sz w:val="28"/>
          <w:sz w:val="28"/>
          <w:szCs w:val="28"/>
          <w:rtl w:val="true"/>
          <w:lang w:bidi="ar-SA"/>
        </w:rPr>
        <w:t xml:space="preserve">ذكرناها في توسعة معنى الخمر موضوعاً </w:t>
      </w:r>
      <w:r>
        <w:rPr>
          <w:rStyle w:val="FootnoteAnchor"/>
          <w:rtl w:val="true"/>
        </w:rPr>
        <w:footnoteReference w:id="33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الجزء العاشر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مسالة حرمة التصوير ، ولفائدة النقاشات المذكورة ننقل لكم المطلب بطوله ، اذ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استفاده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طائفة من الروايات بضميمة مناسبات الحكم والموضوع فقيّد الحرمة بما صُوّر ليكون أصناماً تعبد من دون الله تبارك وتعالى لارتكاز هذه العبودية في نفوسهم وعدم اقتلاعها بمجرد الإسلام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 طائفة من الأخبار بمناسبة الحكم والموضوع أن المراد بالتماثيل والصور فيها هي تماثيل الأصنام التي كانت مورد العبادة،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جدد قبراً أو مثّل مثالاً فقد خرج عن الإسلام</w:t>
      </w:r>
      <w:r>
        <w:rPr>
          <w:rFonts w:eastAsia="Amiri" w:cs="Amiri" w:ascii="Amiri" w:hAnsi="Amiri"/>
          <w:color w:val="111111"/>
          <w:sz w:val="28"/>
          <w:szCs w:val="28"/>
          <w:rtl w:val="true"/>
          <w:lang w:bidi="ar-SA"/>
        </w:rPr>
        <w:t>)</w:t>
      </w:r>
      <w:r>
        <w:rPr>
          <w:rStyle w:val="FootnoteAnchor"/>
          <w:rtl w:val="true"/>
        </w:rPr>
        <w:footnoteReference w:id="338"/>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صوّر التماثيل فقد ضاد الله</w:t>
      </w:r>
      <w:r>
        <w:rPr>
          <w:rFonts w:eastAsia="Amiri" w:cs="Amiri" w:ascii="Amiri" w:hAnsi="Amiri"/>
          <w:color w:val="111111"/>
          <w:sz w:val="28"/>
          <w:szCs w:val="28"/>
          <w:rtl w:val="true"/>
          <w:lang w:bidi="ar-SA"/>
        </w:rPr>
        <w:t>)</w:t>
      </w:r>
      <w:r>
        <w:rPr>
          <w:rStyle w:val="FootnoteAnchor"/>
          <w:rtl w:val="true"/>
        </w:rPr>
        <w:footnoteReference w:id="339"/>
      </w:r>
      <w:r>
        <w:rPr>
          <w:rFonts w:ascii="Amiri" w:hAnsi="Amiri" w:eastAsia="Amiri" w:cs="Amiri"/>
          <w:color w:val="111111"/>
          <w:sz w:val="28"/>
          <w:sz w:val="28"/>
          <w:szCs w:val="28"/>
          <w:rtl w:val="true"/>
          <w:lang w:bidi="ar-SA"/>
        </w:rPr>
        <w:t>وفيه احتمال آخر ينسلك به في الطائفة الثانية</w:t>
      </w:r>
      <w:r>
        <w:rPr>
          <w:rFonts w:eastAsia="Amiri" w:cs="Amiri" w:ascii="Amiri" w:hAnsi="Amiri"/>
          <w:color w:val="111111"/>
          <w:sz w:val="28"/>
          <w:szCs w:val="28"/>
          <w:rtl w:val="true"/>
          <w:lang w:bidi="ar-SA"/>
        </w:rPr>
        <w:t>(</w:t>
      </w:r>
      <w:r>
        <w:rPr>
          <w:rStyle w:val="FootnoteAnchor"/>
          <w:rtl w:val="true"/>
        </w:rPr>
        <w:footnoteReference w:id="340"/>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أشد الناس عذاباً يوم القيامة رجلٌ قتل نبياً أو قتله نبي ورجل يضل الناس بغير علم ومصور يصور التماثيل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منأشد الناس عذاباً عند الله يوم القيامة المصورون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وأمثالها فإن تلك التوعيدات والتشديدات لا تناسب مطلق عمل المجسمة أو تنقيش الصور، ضرورة أن عملها لا يكون أعظم من قتل النفس المحترمة أو الزنا أو اللواطة أو شرب الخمر وغيرها من الكبائر، والظاهر أن المراد منها تصوير التماثيل التي هم لها عاكفون مع احتمال آخر في الأخيرة، وهو أن المراد بالمصورين القائلون بالصورة والتخطيط في الله تعالى كما هو مذهب معروف في ذلك العصر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والمظنون الموافق للاعتبار وطباع الناس، أن جمعاً من الأعراب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هدم أساس كفرهم وكسر أصنامهم بيد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علقتهم بتلك الصور والتماثيل باقية في سر قلوبهم، فصنعوا أمثالها حفظاً لآثار أسلافهم وحباً لبقائها كما نرى حتى اليوم علاقة جمعٍ بحفظ آثار المجوسية وعبدة النيران في هذه البلاد حفظاً لآثار أجدادهم، فنهى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بتلك التشديدات والتوعيدات التي لا تناسب إلا للكفار ومن يتلو تلوهم قمعاً لأساس الكفر ومادة الزندقة ودفعاً عن حوزة التوحيد، وعليه تكون تلك الروايات ظاهرة أو منصرفة إلى ما ذكر، وعليه تحمل رواية ابن القداح </w:t>
      </w:r>
      <w:r>
        <w:rPr>
          <w:rFonts w:eastAsia="IRNazanin" w:cs="IRNazanin"/>
          <w:color w:val="111111"/>
          <w:sz w:val="28"/>
          <w:szCs w:val="28"/>
          <w:rtl w:val="true"/>
          <w:lang w:bidi="fa-IR"/>
        </w:rPr>
        <w:t>(</w:t>
      </w:r>
      <w:r>
        <w:rPr>
          <w:rStyle w:val="FootnoteAnchor"/>
          <w:rtl w:val="true"/>
        </w:rPr>
        <w:footnoteReference w:id="341"/>
      </w:r>
      <w:r>
        <w:rPr>
          <w:rFonts w:ascii="IRNazanin" w:hAnsi="IRNazanin" w:eastAsia="IRNazanin"/>
          <w:color w:val="111111"/>
          <w:sz w:val="28"/>
          <w:sz w:val="28"/>
          <w:szCs w:val="28"/>
          <w:rtl w:val="true"/>
          <w:lang w:bidi="fa-IR"/>
        </w:rPr>
        <w:t>عن</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هدم القبور وكسر 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ورواية السكوني</w:t>
      </w:r>
      <w:r>
        <w:rPr>
          <w:rStyle w:val="FootnoteAnchor"/>
          <w:rtl w:val="true"/>
        </w:rPr>
        <w:footnoteReference w:id="342"/>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المدينة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تدع صورة إلا محوتها، ولا قبراً إلا سوّيته ولا كلباً إلا قتلته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بعث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لذلك دليل على اهتمامه به، والظاهر أن الصور كانت صور الهياكل والأصنام ومن بقايا آثار الكفر والجاهلية، ولا يبعد أن يكون الكلِب في الرواية الثانية بكسر اللام وهو الكلب الذيعرضه داء الكلب وهو داء شبه الجنون يعرضه فإذا عقر إنساناً عرضه ذلك الداء وما في بعض الروايات</w:t>
      </w:r>
      <w:r>
        <w:rPr>
          <w:rStyle w:val="FootnoteAnchor"/>
          <w:rtl w:val="true"/>
        </w:rPr>
        <w:footnoteReference w:id="343"/>
      </w:r>
      <w:r>
        <w:rPr>
          <w:rFonts w:ascii="IRNazanin" w:hAnsi="IRNazanin" w:eastAsia="IRNazanin"/>
          <w:color w:val="111111"/>
          <w:sz w:val="28"/>
          <w:sz w:val="28"/>
          <w:szCs w:val="28"/>
          <w:rtl w:val="true"/>
          <w:lang w:bidi="fa-IR"/>
        </w:rPr>
        <w:t xml:space="preserve">من نكتة نجاسة الكلب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بقتله فهو سر التشريع على فرض ثبوت الرواية، وإلا فلم يأمر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بقتل مطلق الكلاب حتى كلاب الصيد والماشية، بل جعل لها ديّة كما أن ما في </w:t>
      </w:r>
    </w:p>
    <w:p>
      <w:pPr>
        <w:pStyle w:val="BookText"/>
        <w:rPr/>
      </w:pPr>
      <w:r>
        <w:rPr>
          <w:rFonts w:ascii="Amiri" w:hAnsi="Amiri" w:eastAsia="Amiri" w:cs="Amiri"/>
          <w:color w:val="111111"/>
          <w:sz w:val="28"/>
          <w:sz w:val="28"/>
          <w:szCs w:val="28"/>
          <w:rtl w:val="true"/>
          <w:lang w:bidi="ar-SA"/>
        </w:rPr>
        <w:t>رواية السكوني</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 xml:space="preserve">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الكلب الأسود البهيم لا تأكل صيده لأن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سر التشريع فإن 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بقتل الكلاب الغير المؤذية بعيد جداً لا يمكن تصديقه، وأما أن تكون الكلاب أو بعضها مورد تعظيم الناس وعبوديتهم بعيد ولم ينقل إلينا، وإن كان لا يبعد شيء من جهال الناس كما اتخذوا البقر والشيطان معبوداً، ولعل أمره بهدم القبور لأجل تعظيم الناس إياها بنحو العبادة للأصنام وكانوا يسجدون عليها، كما يشعر به بعض الروايات الناهية عن اتخاذ قبر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قبلة ومسجداً، فإن الله عز وجلّ لعن اليهود حيث اتخذوا قبور أنبيائهم مساجد</w:t>
      </w:r>
      <w:r>
        <w:rPr>
          <w:rStyle w:val="FootnoteAnchor"/>
          <w:rtl w:val="true"/>
        </w:rPr>
        <w:footnoteReference w:id="345"/>
      </w:r>
      <w:r>
        <w:rPr>
          <w:rFonts w:ascii="IRNazanin" w:hAnsi="IRNazanin" w:eastAsia="IRNazanin"/>
          <w:color w:val="111111"/>
          <w:sz w:val="28"/>
          <w:sz w:val="28"/>
          <w:szCs w:val="28"/>
          <w:rtl w:val="true"/>
          <w:lang w:bidi="fa-IR"/>
        </w:rPr>
        <w:t xml:space="preserve">ويشهد له بعد بعث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لهدم القبور وكسر الصور لكراهة بقائهما وسيأتي جواز اقتناء الصور المجسمات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على ما ذكرناه يكون الحكم على وجه الإلزام كما يساعده الاعتبار وتؤيد ما ذكرناه صحيحة عبد الله بن المغيرة</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قائل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يجلس الرجل على بساط فيه تماثيل؟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الأعاجم تعظمه وإنّا لنمتهنه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نحتقره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وما 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 قوم على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على بساطفيه تماثيل فسألوه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أردت أن أهينه</w:t>
      </w:r>
      <w:r>
        <w:rPr>
          <w:rFonts w:eastAsia="IRNazanin" w:cs="IRNazanin"/>
          <w:color w:val="111111"/>
          <w:sz w:val="28"/>
          <w:szCs w:val="28"/>
          <w:rtl w:val="true"/>
          <w:lang w:bidi="fa-IR"/>
        </w:rPr>
        <w:t xml:space="preserve">) </w:t>
      </w:r>
      <w:r>
        <w:rPr>
          <w:rStyle w:val="FootnoteAnchor"/>
          <w:rtl w:val="true"/>
        </w:rPr>
        <w:footnoteReference w:id="34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ندخل بيتاً فيه تمثال لا يوطأ</w:t>
      </w:r>
      <w:r>
        <w:rPr>
          <w:rFonts w:eastAsia="Amiri" w:cs="Amiri" w:ascii="Amiri" w:hAnsi="Amiri"/>
          <w:color w:val="111111"/>
          <w:sz w:val="28"/>
          <w:szCs w:val="28"/>
          <w:rtl w:val="true"/>
          <w:lang w:bidi="ar-SA"/>
        </w:rPr>
        <w:t xml:space="preserve">) </w:t>
      </w:r>
      <w:r>
        <w:rPr>
          <w:rStyle w:val="FootnoteAnchor"/>
          <w:rtl w:val="true"/>
        </w:rPr>
        <w:footnoteReference w:id="348"/>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الظاهر أن التحقير والإهانة بالصور في مقابل تعظيم الأعاجم، لأنهم كانوا يعبدون أصناماً وتماثيل فكانوا </w:t>
      </w:r>
    </w:p>
    <w:p>
      <w:pPr>
        <w:pStyle w:val="BookText"/>
        <w:rPr/>
      </w:pPr>
      <w:r>
        <w:rPr>
          <w:rFonts w:ascii="Amiri" w:hAnsi="Amiri" w:eastAsia="Amiri" w:cs="Amiri"/>
          <w:color w:val="111111"/>
          <w:sz w:val="28"/>
          <w:sz w:val="28"/>
          <w:szCs w:val="28"/>
          <w:rtl w:val="true"/>
          <w:lang w:bidi="ar-SA"/>
        </w:rPr>
        <w:t>يعتقدون أنها مثال أرباب الأنواع التي يعتقدون أنها وسائل إلى الله تعالى، وبالجملة لا تستفاد من تلك الروايات حرمة مطلق المجسمات فضلاً عن غيرها، بل هي مربوطة ظاهراً بعمل الأصنام وحفظ آثار الجاهلية وحفظ عظمتها الموهومة، ولا يبعد القول بحرمتها مطلقاً وحرمة اقتنائها لذلك ووجوب محوها</w:t>
      </w:r>
      <w:r>
        <w:rPr>
          <w:rFonts w:eastAsia="Amiri" w:cs="Amiri" w:ascii="Amiri" w:hAnsi="Amiri"/>
          <w:color w:val="111111"/>
          <w:sz w:val="28"/>
          <w:szCs w:val="28"/>
          <w:rtl w:val="true"/>
          <w:lang w:bidi="ar-SA"/>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المناط لو كان تاماً فلازمه حرمة إبقاء هذه التصاوير واقتنائها لوحدة المناط مع أن الدليل الصحيح عندهم قام على الجواز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هذا الاستظهار في جملة من الروايات فإن عدداً آخر من الروايات فيها إطلاق من هذه الناحية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كصحيحة محمد بن مسلم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يصح التقييد المذكور</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البعض</w:t>
      </w:r>
      <w:r>
        <w:rPr>
          <w:rStyle w:val="FootnoteAnchor"/>
          <w:rtl w:val="true"/>
        </w:rPr>
        <w:footnoteReference w:id="351"/>
      </w:r>
      <w:r>
        <w:rPr>
          <w:rFonts w:ascii="IRNazanin" w:hAnsi="IRNazanin" w:eastAsia="IRNazanin"/>
          <w:color w:val="111111"/>
          <w:sz w:val="28"/>
          <w:sz w:val="28"/>
          <w:szCs w:val="28"/>
          <w:rtl w:val="true"/>
          <w:lang w:bidi="fa-IR"/>
        </w:rPr>
        <w:t xml:space="preserve">من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وجه لاستبعاد العذاب الشديد لمثل التصوير والتماثيل، فإن جعل العذاب الشديد لبعض المعاصي غير عزيز، كما روي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أكل الربا ملأ الله بطنه من نار جهنم بقدر ماأكل</w:t>
      </w:r>
      <w:r>
        <w:rPr>
          <w:rFonts w:eastAsia="IRNazanin" w:cs="IRNazanin"/>
          <w:color w:val="111111"/>
          <w:sz w:val="28"/>
          <w:szCs w:val="28"/>
          <w:rtl w:val="true"/>
          <w:lang w:bidi="fa-IR"/>
        </w:rPr>
        <w:t xml:space="preserve">) </w:t>
      </w:r>
      <w:r>
        <w:rPr>
          <w:rStyle w:val="FootnoteAnchor"/>
          <w:rtl w:val="true"/>
        </w:rPr>
        <w:footnoteReference w:id="352"/>
      </w:r>
      <w:r>
        <w:rPr>
          <w:rFonts w:ascii="IRNazanin" w:hAnsi="IRNazanin" w:eastAsia="IRNazanin"/>
          <w:color w:val="111111"/>
          <w:sz w:val="28"/>
          <w:sz w:val="28"/>
          <w:szCs w:val="28"/>
          <w:rtl w:val="true"/>
          <w:lang w:bidi="fa-IR"/>
        </w:rPr>
        <w:t xml:space="preserve">، 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يغضب غضبة عممه الله عز وجل بعمامة من نار</w:t>
      </w:r>
      <w:r>
        <w:rPr>
          <w:rFonts w:eastAsia="IRNazanin" w:cs="IRNazanin"/>
          <w:color w:val="111111"/>
          <w:sz w:val="28"/>
          <w:szCs w:val="28"/>
          <w:rtl w:val="true"/>
          <w:lang w:bidi="fa-IR"/>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والمراد من عنوان الخروج عن الإسلام هو الخروج الحكمي</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 xml:space="preserve">لا الخروج الحقيقي، 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أصبح لا يهتم بأمور المسلمين فليس بمسلم</w:t>
      </w:r>
      <w:r>
        <w:rPr>
          <w:rFonts w:eastAsia="IRNazanin" w:cs="IRNazanin"/>
          <w:color w:val="111111"/>
          <w:sz w:val="28"/>
          <w:szCs w:val="28"/>
          <w:rtl w:val="true"/>
          <w:lang w:bidi="fa-IR"/>
        </w:rPr>
        <w:t>)</w:t>
      </w:r>
      <w:r>
        <w:rPr>
          <w:rStyle w:val="FootnoteAnchor"/>
          <w:rtl w:val="true"/>
        </w:rPr>
        <w:footnoteReference w:id="35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يَغضَب أو يُغضب له فقد خلع ربق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عنقه</w:t>
      </w:r>
      <w:r>
        <w:rPr>
          <w:rFonts w:eastAsia="IRNazanin" w:cs="IRNazanin"/>
          <w:color w:val="111111"/>
          <w:sz w:val="28"/>
          <w:szCs w:val="28"/>
          <w:rtl w:val="true"/>
          <w:lang w:bidi="fa-IR"/>
        </w:rPr>
        <w:t>)</w:t>
      </w:r>
      <w:r>
        <w:rPr>
          <w:rStyle w:val="FootnoteAnchor"/>
          <w:rtl w:val="true"/>
        </w:rPr>
        <w:footnoteReference w:id="35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خان أمانته في الدنيا ولم يردها على أربابها مات على غير دين الإسلام</w:t>
      </w:r>
      <w:r>
        <w:rPr>
          <w:rFonts w:eastAsia="IRNazanin" w:cs="IRNazanin"/>
          <w:color w:val="111111"/>
          <w:sz w:val="28"/>
          <w:szCs w:val="28"/>
          <w:rtl w:val="true"/>
          <w:lang w:bidi="fa-IR"/>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فالخروج عن الإسلام بالتصوير حكمي لا حقيقي، وإلا فمن المعلوم أن صنع الصنم لا يوجب الكفر والخروج عن الإسلام حقيقةً، فضلاً عن المجسمات، فدعوى عدم المناسبة لتلك التشديدات لعمل المجسمات كما ترى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أيضاً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دعوى ظهور الأخبار المطلقة المذكورة في الأصنام أو انصرافها إليها لا شاهد لها، واستبعاد تلك التشديدات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ذلك، لا سيما مع احتمال أن تكون المعصية معصية كبيرة تليق بهذه التشديدات كما تشير إليه روايات النفخ، فلا وجه لرفع اليد عن إطلاق النهي عن التماثيل والتصاوير، نعم لو كثر استعمالها في الأصنام لصحّ دعوى الانصراف، ولكنه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 جمع من عبدة الأصنام في صدد حفظ آثار أسلافهم، لا يوجب حمل الإطلاق في الأخبار المذكورة عليه</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أن ورود روايات تدل على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لكسر الصورومحوها لا ينافي إطلاق هذه الروايات، سواء قلنا أن الصور </w:t>
      </w:r>
    </w:p>
    <w:p>
      <w:pPr>
        <w:pStyle w:val="BookText"/>
        <w:rPr/>
      </w:pPr>
      <w:r>
        <w:rPr>
          <w:rFonts w:ascii="Amiri" w:hAnsi="Amiri" w:eastAsia="Amiri" w:cs="Amiri"/>
          <w:color w:val="111111"/>
          <w:sz w:val="28"/>
          <w:sz w:val="28"/>
          <w:szCs w:val="28"/>
          <w:rtl w:val="true"/>
          <w:lang w:bidi="ar-SA"/>
        </w:rPr>
        <w:t>المعمول بكسرها هي الأصنام أو مطلق المجسمات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المواهب في تحرير أحكام المكاسب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التعبير في الروايات بأن المصور يكلّف يوم القيامة بالنفخ بالصورة وليس بنافخ يستفاد منه أن حكمة التشريع هي التشبه بالخالق تعالى، لا ترويج الكفر والشرك الذي هو العلة للتحريم في الطائفة الأخيرة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الأخبار الدالة على كسر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كانت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ناظرة إلى المعنى المستفاد من الطائفة الأخيرة لكان المناسب أن يعبر فيها بأن المصور يكلف يوم القيامة بالاستشفاع من الصور، ولا ينفعونه، حيث كان المشركون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شفعاؤنا عند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وأضاف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ويحتمل أن يكون المقصود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صوّر التماثيل فقد ضادّ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وكيف كان، فحكمة الحكم لا تنحصر في المنع عن عبادة الأصنام ومع عدم انحصار الحكمة في المنع عن عبادة الأصنام لا وجه لحمل المطلقات على خصوص عمل الأصنام</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الإنصاف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استظهر هذا المعنى من طائفة من الروايات وهي روايات النفخ وليس أنه حصيلة النظر في كل الروايات، فإن مختاره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رسالته العملية الحرمة مطلقاً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تصوير ذوات الأرواح من الإنسان والحيوان إذا كانت الصورة مجسمة كالمصنوعة من الأحجار والفلزّات والأخشاب ونحوها</w:t>
      </w:r>
      <w:r>
        <w:rPr>
          <w:rFonts w:eastAsia="Amiri" w:cs="Amiri" w:ascii="Amiri" w:hAnsi="Amiri"/>
          <w:color w:val="111111"/>
          <w:sz w:val="28"/>
          <w:szCs w:val="28"/>
          <w:rtl w:val="true"/>
          <w:lang w:bidi="ar-SA"/>
        </w:rPr>
        <w:t>»</w:t>
      </w:r>
      <w:r>
        <w:rPr>
          <w:rStyle w:val="FootnoteAnchor"/>
          <w:rtl w:val="true"/>
        </w:rPr>
        <w:footnoteReference w:id="358"/>
      </w:r>
      <w:r>
        <w:rPr>
          <w:rFonts w:ascii="Amiri" w:hAnsi="Amiri" w:eastAsia="Amiri" w:cs="Amiri"/>
          <w:color w:val="111111"/>
          <w:sz w:val="28"/>
          <w:sz w:val="28"/>
          <w:szCs w:val="28"/>
          <w:rtl w:val="true"/>
          <w:lang w:bidi="ar-SA"/>
        </w:rPr>
        <w:t xml:space="preserve">وقاله أيضاً في مقدمة بحثه في المسألة حيث أنه بعد أن عدّد الأقوال فيها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والأقوى هو </w:t>
      </w:r>
      <w:bookmarkStart w:id="306" w:name="pg8133_62838"/>
    </w:p>
    <w:p>
      <w:pPr>
        <w:pStyle w:val="BookText"/>
        <w:rPr/>
      </w:pPr>
      <w:bookmarkEnd w:id="306"/>
      <w:r>
        <w:rPr>
          <w:rFonts w:ascii="Amiri" w:hAnsi="Amiri" w:eastAsia="Amiri" w:cs="Amiri"/>
          <w:color w:val="111111"/>
          <w:sz w:val="28"/>
          <w:sz w:val="28"/>
          <w:szCs w:val="28"/>
          <w:rtl w:val="true"/>
          <w:lang w:bidi="ar-SA"/>
        </w:rPr>
        <w:t xml:space="preserve">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كون المحرم عمل ذوات الأرواح المجسمة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المتيقنمن معقد الإجماع المحكي، وتدل عليه مضافاً إليه الأخبار الآتية</w:t>
      </w:r>
      <w:r>
        <w:rPr>
          <w:rFonts w:eastAsia="Amiri" w:cs="Amiri" w:ascii="Amiri" w:hAnsi="Amiri"/>
          <w:color w:val="111111"/>
          <w:sz w:val="28"/>
          <w:szCs w:val="28"/>
          <w:rtl w:val="true"/>
          <w:lang w:bidi="ar-SA"/>
        </w:rPr>
        <w:t>»</w:t>
      </w:r>
      <w:r>
        <w:rPr>
          <w:rStyle w:val="FootnoteAnchor"/>
          <w:rtl w:val="true"/>
        </w:rPr>
        <w:footnoteReference w:id="359"/>
      </w:r>
      <w:r>
        <w:rPr>
          <w:rFonts w:ascii="Amiri" w:hAnsi="Amiri" w:eastAsia="Amiri" w:cs="Amiri"/>
          <w:color w:val="111111"/>
          <w:sz w:val="28"/>
          <w:sz w:val="28"/>
          <w:szCs w:val="28"/>
          <w:rtl w:val="true"/>
          <w:lang w:bidi="ar-SA"/>
        </w:rPr>
        <w:t>لذا فإن نسبة</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 xml:space="preserve">القول بجواز التصوير المجسم لذي الروح في غير الحالة المذكورة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أوجبه هذا الاستظهار من هذه الطائفة خاصة دون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ذلك فإن طيّات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والمرء مخبوء تحت طيّ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تفيد الميل إلى الحرمة في المورد خاصة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 إلحاق الجن والملك بذي الروح التي ستأتي في الفرع الثامن، فإنه قوّى عدم الحرمة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تلحق صورة الجن والشيطان والملك بالصورة الحيوانية أو لا؟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إطلاق الأدلة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العمدة في الأدلة أخبار النفخ، وأما غيرها فقد تقدم أن جملة منها مربوطة بعمل هياكل العبادة وجملة أخرى منها لا إطلاق لها، ولو وجد فيها ما له إطلاق فضعيف سنداً</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07" w:name="__RefHeading___Toc8193201_1051229030"/>
      <w:bookmarkStart w:id="308" w:name="_Toc112"/>
      <w:bookmarkEnd w:id="307"/>
      <w:r>
        <w:rPr>
          <w:rtl w:val="true"/>
        </w:rPr>
        <w:t>المسألة العشرون</w:t>
      </w:r>
      <w:r>
        <w:rPr>
          <w:rtl w:val="true"/>
        </w:rPr>
        <w:t xml:space="preserve">: </w:t>
      </w:r>
      <w:r>
        <w:rPr>
          <w:rtl w:val="true"/>
        </w:rPr>
        <w:t>التقييد بالمفهوم</w:t>
      </w:r>
      <w:r>
        <w:rPr>
          <w:rtl w:val="true"/>
        </w:rPr>
        <w:t>.</w:t>
      </w:r>
      <w:bookmarkEnd w:id="308"/>
    </w:p>
    <w:p>
      <w:pPr>
        <w:pStyle w:val="BookText"/>
        <w:rPr/>
      </w:pPr>
      <w:r>
        <w:rPr>
          <w:rFonts w:ascii="Amiri" w:hAnsi="Amiri" w:eastAsia="Amiri" w:cs="Amiri"/>
          <w:color w:val="111111"/>
          <w:sz w:val="28"/>
          <w:sz w:val="28"/>
          <w:szCs w:val="28"/>
          <w:rtl w:val="true"/>
          <w:lang w:bidi="ar-SA"/>
        </w:rPr>
        <w:t xml:space="preserve">ذكر سماحة الشيخ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المفهوم يمكن ان يقيد اطلاق المنطوق ، ولكن بشرط كونه اظهر منه ، جاء هذا المعنى في الجزء السادس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مسالة حكم العقد المنقطع على الباكر دون اذن وليها ، اذ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كون الجملة لها مفهوم غير كاف في المقام وإنما يجب أن تنضمّ إليها كبرى أخرى وهي إمكان تقييد المنطوق المطلق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ما دل على اشتراط </w:t>
      </w:r>
      <w:bookmarkStart w:id="309" w:name="pg8133_62839"/>
    </w:p>
    <w:p>
      <w:pPr>
        <w:pStyle w:val="BookText"/>
        <w:rPr/>
      </w:pPr>
      <w:bookmarkEnd w:id="309"/>
      <w:r>
        <w:rPr>
          <w:rFonts w:ascii="Amiri" w:hAnsi="Amiri" w:eastAsia="Amiri" w:cs="Amiri"/>
          <w:color w:val="111111"/>
          <w:sz w:val="28"/>
          <w:sz w:val="28"/>
          <w:szCs w:val="28"/>
          <w:rtl w:val="true"/>
          <w:lang w:bidi="ar-SA"/>
        </w:rPr>
        <w:t>إذن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بالمفهوم المقيّد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لفظ النكاح الذي اشترط فيه إذن ولي الأمر والشامل للدائم والمنقطع يقيّدبهذا المفهوم الذي أخرج النكاح الدائم من اشتراط إذن ولي الأمر للبكر فتكون مستقلة بتزويج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والمطلب من حيث الكبرى لم نعترض عليه</w:t>
      </w:r>
      <w:r>
        <w:rPr>
          <w:rStyle w:val="FootnoteAnchor"/>
          <w:rtl w:val="true"/>
        </w:rPr>
        <w:footnoteReference w:id="362"/>
      </w:r>
      <w:r>
        <w:rPr>
          <w:rFonts w:ascii="Amiri" w:hAnsi="Amiri" w:eastAsia="Amiri" w:cs="Amiri"/>
          <w:color w:val="111111"/>
          <w:sz w:val="28"/>
          <w:sz w:val="28"/>
          <w:szCs w:val="28"/>
          <w:rtl w:val="true"/>
          <w:lang w:bidi="ar-SA"/>
        </w:rPr>
        <w:t>إن كان المفهوم أظهر من المنطوق</w:t>
      </w:r>
      <w:r>
        <w:rPr>
          <w:rFonts w:eastAsia="Amiri" w:cs="Amiri" w:ascii="Amiri" w:hAnsi="Amiri"/>
          <w:color w:val="111111"/>
          <w:sz w:val="28"/>
          <w:szCs w:val="28"/>
          <w:rtl w:val="true"/>
          <w:lang w:bidi="ar-SA"/>
        </w:rPr>
        <w:t>.</w:t>
      </w:r>
    </w:p>
    <w:p>
      <w:pPr>
        <w:pStyle w:val="Heading6"/>
        <w:numPr>
          <w:ilvl w:val="5"/>
          <w:numId w:val="1"/>
        </w:numPr>
        <w:rPr/>
      </w:pPr>
      <w:bookmarkStart w:id="310" w:name="__RefHeading___Toc8193203_1051229030"/>
      <w:bookmarkStart w:id="311" w:name="_Toc113"/>
      <w:bookmarkEnd w:id="310"/>
      <w:r>
        <w:rPr>
          <w:rtl w:val="true"/>
        </w:rPr>
        <w:t>المسألة الحادية والعشرون</w:t>
      </w:r>
      <w:r>
        <w:rPr>
          <w:rtl w:val="true"/>
        </w:rPr>
        <w:t xml:space="preserve">: </w:t>
      </w:r>
      <w:r>
        <w:rPr>
          <w:rtl w:val="true"/>
        </w:rPr>
        <w:t>تقييد الموضوع بمتعلق الحكم</w:t>
      </w:r>
      <w:r>
        <w:rPr>
          <w:rtl w:val="true"/>
        </w:rPr>
        <w:t>.</w:t>
      </w:r>
      <w:bookmarkEnd w:id="311"/>
    </w:p>
    <w:p>
      <w:pPr>
        <w:pStyle w:val="BookText"/>
        <w:rPr/>
      </w:pPr>
      <w:r>
        <w:rPr>
          <w:rFonts w:ascii="Amiri" w:hAnsi="Amiri" w:eastAsia="Amiri" w:cs="Amiri"/>
          <w:color w:val="111111"/>
          <w:sz w:val="28"/>
          <w:sz w:val="28"/>
          <w:szCs w:val="28"/>
          <w:rtl w:val="true"/>
          <w:lang w:bidi="ar-SA"/>
        </w:rPr>
        <w:t xml:space="preserve">من المعلوم ان الموضوع يكون متقدماً رتبة على الحكم ، بمعنى ان الحكم لا يثبت موضوعه ، فبعد ان يثبت الموضوع ينصب الحكم عليه ، ولكن سماحة الشيخ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بإمكانية تقييد الموضوع بالحكم او بمتعلقه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هذا المعنى في الجزء 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بيان ادلة كفاية الرؤية بالعين المسلحة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من حضرنا بحثه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يَسْأَلُونَكَ عَنِ الأهِلَّةِ قُلْ هِيَ مَوَاقِيتُ لِلنَّاسِ وَالْحَجِّ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والروايات المفسرة لها أن الله تعالى جعل الأهلة مواقيت للناس كما كان ميقاتاً عند العرب قبل الإسلام فاتخذوه علامة على بداية الشهور واعتمدوا عليه في توقيت شؤون حياتهم، والمجعول كذلك لا يمكن أن تكون وسيلته منحصرة ببعض الأفراد أو تخترع بعد ألف سنة وإنما لا بد أن يكون الهلال بحد قابل لرؤية عامة الناس؛ لأنه لهم جميعاً فلا عبرة بالعين المسلحة ولا ما بحكمها</w:t>
      </w:r>
      <w:r>
        <w:rPr>
          <w:rFonts w:eastAsia="Amiri" w:cs="Amiri" w:ascii="Amiri" w:hAnsi="Amiri"/>
          <w:color w:val="111111"/>
          <w:sz w:val="28"/>
          <w:szCs w:val="28"/>
          <w:rtl w:val="true"/>
          <w:lang w:bidi="ar-SA"/>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الفقرة الأخيرة أن الهلال مشروط بأن يراه عامة الناس وهو </w:t>
      </w:r>
    </w:p>
    <w:p>
      <w:pPr>
        <w:pStyle w:val="BookText"/>
        <w:rPr/>
      </w:pPr>
      <w:r>
        <w:rPr>
          <w:rFonts w:ascii="Amiri" w:hAnsi="Amiri" w:eastAsia="Amiri" w:cs="Amiri"/>
          <w:color w:val="111111"/>
          <w:sz w:val="28"/>
          <w:sz w:val="28"/>
          <w:szCs w:val="28"/>
          <w:rtl w:val="true"/>
          <w:lang w:bidi="ar-SA"/>
        </w:rPr>
        <w:t>معنى لا يتحقق حتى على القول باشتراط الرؤية بالعين المجردة فإن عدداً محدوداً من الناس هم الذين يستطيعون رؤيته لقوة بصرهمولمعرفتهم بوضع الهلال، ولا يراه الناس عامة، وحينئذٍ يقول الفريق الآخر بأنه ينتفي المانع من قبول الرؤية بالعين المسلحة حيث إن عدداً محدوداً يراه بها وهم العارفون باستعمال الأجهزة الفلكية فكلاهما تصدق عليه رؤية الهلال ويصير ميقاتاً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في مراده أن يقال إن ظاهر الآيات والروايات أن رؤية الهلال وإن أخذت طريقاً لتحصيل العلم بوجوده إلا أن وجوده لم يؤخذ على أي حال حتى الذي لا يرى إلا بالعين المسلحة وإنما على نحو يراه الناس بعيونهم الطبيعية</w:t>
      </w:r>
    </w:p>
    <w:p>
      <w:pPr>
        <w:pStyle w:val="BookText"/>
        <w:rPr/>
      </w:pPr>
      <w:r>
        <w:rPr>
          <w:rFonts w:ascii="Amiri" w:hAnsi="Amiri" w:eastAsia="Amiri" w:cs="Amiri"/>
          <w:color w:val="111111"/>
          <w:sz w:val="28"/>
          <w:sz w:val="28"/>
          <w:szCs w:val="28"/>
          <w:rtl w:val="true"/>
          <w:lang w:bidi="ar-SA"/>
        </w:rPr>
        <w:t xml:space="preserve">ثم 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هامشا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 أصولية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يصلح المورد مثالاً على أن متعلق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الرؤية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 قرينة على تقييد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الرؤية المتعارفة قيدت إطلاق الهلال بحصة منه، 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الاستعمالي هنا للهلال وإن كان مطلقاً في الروايات إلا أن ظهور الرؤية في العين الطبيعية قيّدت المراد الجدّي من الهلال بما تراه العين الطبيعية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جاء في تتمة الكلام عن ادلة كفاية الرؤية بالعين المسلحة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الرؤية ليس لها موضوعية حتى يناقش في شمولها العين المسلحة أو لا، بل هي مأخوذة على نحو الطريقية لحصول العلم والقطع بوجود الهلال وهذا ظاهر من الروايات حيث جعلت الرؤية مقابل الشك والظن كما في الصحيحة المتقدمة وغيرها، وعليه فإن أي طريق يكون محصلاً للعلم </w:t>
      </w:r>
      <w:bookmarkStart w:id="312" w:name="pg8133_62841"/>
    </w:p>
    <w:p>
      <w:pPr>
        <w:pStyle w:val="BookText"/>
        <w:rPr/>
      </w:pPr>
      <w:bookmarkEnd w:id="312"/>
      <w:r>
        <w:rPr>
          <w:rFonts w:ascii="Amiri" w:hAnsi="Amiri" w:eastAsia="Amiri" w:cs="Amiri"/>
          <w:color w:val="111111"/>
          <w:sz w:val="28"/>
          <w:sz w:val="28"/>
          <w:szCs w:val="28"/>
          <w:rtl w:val="true"/>
          <w:lang w:bidi="ar-SA"/>
        </w:rPr>
        <w:t>والقطع يكفي لثبوت أول الشهر كالرؤية بالعين المسلحة، ولذا وجب قضاء يوم إذا رؤي الهلال بعد ثمانية وعشرين يوماً من شهر رمضان، أو ثبتت رؤيته في بلد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ويمكن ردّ الإشكال بأن يقال أن الرؤية وإن كانت مأخوذة على نحو الطريقية إلا أن المرئي أضاف لها حيثية موضوعية من جهة أنها ليست طريقاً لأي هلال مرئي وإنما للهلال الذي تراه العين المجردة 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عنوان الرؤية الوارد في الروايات وإن كان على نحو الطريقية المحضة، إلا أن ذا الطريق هو الهلال البالغ مرتبة قابلة للرؤية بالعين المجردة، لا مجرد الخروج عن المحاق ولو لم يكن قابلاً للرؤية، والحمل على الطريقية لا يقتضي أكثر من إلغاء موضوعية الرؤية لا المرتبة المفروضة في المرئي</w:t>
      </w:r>
      <w:r>
        <w:rPr>
          <w:rFonts w:eastAsia="Amiri" w:cs="Amiri" w:ascii="Amiri" w:hAnsi="Amiri"/>
          <w:color w:val="111111"/>
          <w:sz w:val="28"/>
          <w:szCs w:val="28"/>
          <w:rtl w:val="true"/>
          <w:lang w:bidi="ar-SA"/>
        </w:rPr>
        <w:t>»</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وقد تقدم تقريب الفكرة أصولياً، وسيأتي تفصيله في الوجوه الآتية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سالت سماحته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المراد من الفكرة الأصولية هنا نفس ما ذكرتموه في الهامش من الفائدة الأصولية ؟</w:t>
      </w:r>
    </w:p>
    <w:p>
      <w:pPr>
        <w:pStyle w:val="BookText"/>
        <w:rPr/>
      </w:pPr>
      <w:r>
        <w:rPr>
          <w:rFonts w:ascii="Amiri" w:hAnsi="Amiri" w:eastAsia="Amiri" w:cs="Amiri"/>
          <w:color w:val="111111"/>
          <w:sz w:val="28"/>
          <w:sz w:val="28"/>
          <w:szCs w:val="28"/>
          <w:rtl w:val="true"/>
          <w:lang w:bidi="ar-SA"/>
        </w:rPr>
        <w:t xml:space="preserve">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أردت هذه الفكرة ، وأردت منها فكرة جزئية وهي امكان تقييد الموضوع بالمحمول او الحكم ، وهو عندهم مستحيل</w:t>
      </w:r>
      <w:r>
        <w:rPr>
          <w:rFonts w:eastAsia="Amiri" w:cs="Amiri" w:ascii="Amiri" w:hAnsi="Amiri"/>
          <w:color w:val="111111"/>
          <w:sz w:val="28"/>
          <w:szCs w:val="28"/>
          <w:rtl w:val="true"/>
          <w:lang w:bidi="ar-SA"/>
        </w:rPr>
        <w:t>.</w:t>
      </w:r>
    </w:p>
    <w:p>
      <w:pPr>
        <w:pStyle w:val="Heading6"/>
        <w:numPr>
          <w:ilvl w:val="5"/>
          <w:numId w:val="1"/>
        </w:numPr>
        <w:rPr/>
      </w:pPr>
      <w:bookmarkStart w:id="313" w:name="__RefHeading___Toc8193205_1051229030"/>
      <w:bookmarkStart w:id="314" w:name="_Toc114"/>
      <w:bookmarkEnd w:id="313"/>
      <w:r>
        <w:rPr>
          <w:rtl w:val="true"/>
        </w:rPr>
        <w:t>المسألة الثانية والعشرون</w:t>
      </w:r>
      <w:r>
        <w:rPr>
          <w:rtl w:val="true"/>
        </w:rPr>
        <w:t xml:space="preserve">: </w:t>
      </w:r>
      <w:r>
        <w:rPr>
          <w:rtl w:val="true"/>
        </w:rPr>
        <w:t>نكات التقييد</w:t>
      </w:r>
      <w:r>
        <w:rPr>
          <w:rtl w:val="true"/>
        </w:rPr>
        <w:t>.</w:t>
      </w:r>
      <w:bookmarkEnd w:id="314"/>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ابرز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الجزء الثالث عشر في مسالة مقدار دية القتل عند اختلاف الأصناف في القيمة كثيرا عدة نكات يمكن بها تقييد </w:t>
      </w:r>
    </w:p>
    <w:p>
      <w:pPr>
        <w:pStyle w:val="BookText"/>
        <w:rPr/>
      </w:pPr>
      <w:r>
        <w:rPr>
          <w:rFonts w:ascii="Amiri" w:hAnsi="Amiri" w:eastAsia="Amiri" w:cs="Amiri"/>
          <w:color w:val="111111"/>
          <w:sz w:val="28"/>
          <w:sz w:val="28"/>
          <w:szCs w:val="28"/>
          <w:rtl w:val="true"/>
          <w:lang w:bidi="ar-SA"/>
        </w:rPr>
        <w:t>الاطلاق ، حيث قال سماحته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ضوء ما تقدم فإننا لا نوافق على إطلاق المشهور بتخيير الجاني بين الأصناف وإن هبطت القيمة بشكل فاحش غير عرفي كقول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لم يوجد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الجنس المتعين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أحدالأجناس الأخر وسواء كانت بقيمة الإبل أو دونها أو فوقها</w:t>
      </w:r>
      <w:r>
        <w:rPr>
          <w:rFonts w:eastAsia="Amiri" w:cs="Amiri" w:ascii="Amiri" w:hAnsi="Amiri"/>
          <w:color w:val="111111"/>
          <w:sz w:val="28"/>
          <w:szCs w:val="28"/>
          <w:rtl w:val="true"/>
          <w:lang w:bidi="ar-SA"/>
        </w:rPr>
        <w:t>»</w:t>
      </w:r>
      <w:r>
        <w:rPr>
          <w:rStyle w:val="FootnoteAnchor"/>
          <w:rtl w:val="true"/>
        </w:rPr>
        <w:footnoteReference w:id="36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أي صنف شاء وإن كان أقلها قيمة وهو عشرة آلاف درهم أو مائتا حلة في زماننا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دفع الدية من الفضة والحلل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أشكلنا على كونها من أصناف الدية أصلاً في الأمر الأول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 اليوم؛ لأمور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قيمتها تختلف اختلافاً فاحشاً عن القيمة المعيارية أو المرجعية التي شرحناها، وهو منافٍ لشرط المقاربة معها في القيمة الذي استظهرناه من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الشرط هو المرتكز في أذهان العقلاء والعرف لعدم استيعابهم إجزاء أصناف من الدية التي هي ضمان لحق المجني عليه كسائر الضمانات المالية يدور أمرها بين أقل وأكثر يختلفان بشكل كبير</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وهاتان القرينتان تقيّدان إطلاق الروايات الدالة على تخيير الجاني بين أصناف الدية وأنها منصرفة عن مثل هذه الحالة، بل تقيّدان قول المشهور بالتخيير أيضاً؛ لأنهم كلهم عاشوا في زمان كان الدرهم الفضي موجوداً مما يجعل القيم متقاربة، ومن اعترض على كلام القاضي المتقدم كصاحبي مفتاح الكرامة والجواهر نظرا إلى الحالة المتعارفة القائمة وليس إلى غيرها، ولو كانوا في زماننا لأعادوا النظر في ما قالوه</w:t>
      </w:r>
      <w:r>
        <w:rPr>
          <w:rFonts w:eastAsia="Amiri" w:cs="Amiri" w:ascii="Amiri" w:hAnsi="Amiri"/>
          <w:color w:val="111111"/>
          <w:sz w:val="28"/>
          <w:szCs w:val="28"/>
          <w:rtl w:val="true"/>
          <w:lang w:bidi="ar-SA"/>
        </w:rPr>
        <w:t xml:space="preserve">. </w:t>
      </w:r>
      <w:bookmarkStart w:id="315" w:name="pg8133_62843"/>
    </w:p>
    <w:p>
      <w:pPr>
        <w:pStyle w:val="BookText"/>
        <w:rPr/>
      </w:pPr>
      <w:bookmarkEnd w:id="315"/>
      <w:r>
        <w:rPr>
          <w:rFonts w:ascii="IRNazanin" w:hAnsi="IRNazanin" w:eastAsia="IRNazanin"/>
          <w:color w:val="111111"/>
          <w:sz w:val="28"/>
          <w:sz w:val="28"/>
          <w:szCs w:val="28"/>
          <w:rtl w:val="true"/>
          <w:lang w:bidi="fa-IR"/>
        </w:rPr>
        <w:t xml:space="preserve">إن الروايات صرّحت بأن الدراهم التي يجزي دفعها في الدية هي التي يساوي عشرة منها ديناراً 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صحيحة عبد الرحمن بن الحجاج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وقيمة الدينار عشرة دراهم</w:t>
      </w:r>
      <w:r>
        <w:rPr>
          <w:rFonts w:eastAsia="IRNazanin" w:cs="IRNazanin"/>
          <w:color w:val="111111"/>
          <w:sz w:val="28"/>
          <w:szCs w:val="28"/>
          <w:rtl w:val="true"/>
          <w:lang w:bidi="fa-IR"/>
        </w:rPr>
        <w:t>)</w:t>
      </w:r>
      <w:r>
        <w:rPr>
          <w:rStyle w:val="FootnoteAnchor"/>
          <w:rtl w:val="true"/>
        </w:rPr>
        <w:footnoteReference w:id="366"/>
      </w:r>
      <w:r>
        <w:rPr>
          <w:rFonts w:ascii="IRNazanin" w:hAnsi="IRNazanin" w:eastAsia="IRNazanin"/>
          <w:color w:val="111111"/>
          <w:sz w:val="28"/>
          <w:sz w:val="28"/>
          <w:szCs w:val="28"/>
          <w:rtl w:val="true"/>
          <w:lang w:bidi="fa-IR"/>
        </w:rPr>
        <w:t xml:space="preserve">، فإن تغيرت عن ذلك روعي فيها ذلك 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صحيحة عبد الله بن سنان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كان في أرض فيها</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الدنانير فألف دينار، وإن كان في أرض فيها الدراهم فدراهم بحساب ذلك اثنا عشر ألفاً</w:t>
      </w:r>
      <w:r>
        <w:rPr>
          <w:rFonts w:eastAsia="IRNazanin" w:cs="IRNazanin"/>
          <w:color w:val="111111"/>
          <w:sz w:val="28"/>
          <w:szCs w:val="28"/>
          <w:rtl w:val="true"/>
          <w:lang w:bidi="fa-IR"/>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الفضة لم تعد معدناً يتنافس عليه العقلاء لانتفاء المنافع المهمة به كسكّ العملة بها واتخاذها زينة وادخاراً ونحو ذلك، فقيمتها لا تناسب تغليظ الشارع المقدس في حرمة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وجود اليوم للدنانير والدراهم المسكوكة التي هي من أصناف الدية، وإن المشهور اشترط كون الفضة مسكوكة بسكة المعاملة الرائجة بين الناس ليصدق عليه الدراهم فلا يجزي دفع وزنها من الفضة، وأن وزن الفضة اليوم بعيد جداً عن قيمة الدرهم زمن النص الذي كان يساوي عُشر دينار أي عشر مثقال من الذهب</w:t>
      </w:r>
      <w:r>
        <w:rPr>
          <w:rFonts w:eastAsia="Amiri" w:cs="Amiri" w:ascii="Amiri" w:hAnsi="Amiri"/>
          <w:color w:val="111111"/>
          <w:sz w:val="28"/>
          <w:szCs w:val="28"/>
          <w:rtl w:val="true"/>
          <w:lang w:bidi="ar-SA"/>
        </w:rPr>
        <w:t>.</w:t>
      </w:r>
    </w:p>
    <w:p>
      <w:pPr>
        <w:pStyle w:val="Heading6"/>
        <w:numPr>
          <w:ilvl w:val="5"/>
          <w:numId w:val="1"/>
        </w:numPr>
        <w:rPr/>
      </w:pPr>
      <w:bookmarkStart w:id="316" w:name="__RefHeading___Toc8193207_1051229030"/>
      <w:bookmarkStart w:id="317" w:name="_Toc115"/>
      <w:bookmarkEnd w:id="316"/>
      <w:r>
        <w:rPr>
          <w:rtl w:val="true"/>
        </w:rPr>
        <w:t>المسألة الثالثة والعشرون</w:t>
      </w:r>
      <w:r>
        <w:rPr>
          <w:rtl w:val="true"/>
        </w:rPr>
        <w:t xml:space="preserve">: </w:t>
      </w:r>
      <w:r>
        <w:rPr>
          <w:rtl w:val="true"/>
        </w:rPr>
        <w:t>استعمال الاطلاق بمعنى الظهور</w:t>
      </w:r>
      <w:r>
        <w:rPr>
          <w:rtl w:val="true"/>
        </w:rPr>
        <w:t>.</w:t>
      </w:r>
      <w:bookmarkEnd w:id="317"/>
    </w:p>
    <w:p>
      <w:pPr>
        <w:pStyle w:val="BookText"/>
        <w:rPr/>
      </w:pPr>
      <w:r>
        <w:rPr>
          <w:rFonts w:ascii="Amiri" w:hAnsi="Amiri" w:eastAsia="Amiri" w:cs="Amiri"/>
          <w:color w:val="111111"/>
          <w:sz w:val="28"/>
          <w:sz w:val="28"/>
          <w:szCs w:val="28"/>
          <w:rtl w:val="true"/>
          <w:lang w:bidi="ar-SA"/>
        </w:rPr>
        <w:t>قد تأتي في بعض عبارات الفقهاء والأصوليين كلمة الاطلاق ولا يراد بها الشمول والاستيعاب ، بل قد يراد بها أحيانا ان اللفظ ظاهر في هذا المعنى ، وهذا مما يلزم التنبه له عند التعامل مع عبائرهم</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هذا المعنى في الجزء الثامن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الكلام عن مقتضى </w:t>
      </w:r>
    </w:p>
    <w:p>
      <w:pPr>
        <w:pStyle w:val="BookText"/>
        <w:rPr/>
      </w:pPr>
      <w:r>
        <w:rPr>
          <w:rFonts w:ascii="Amiri" w:hAnsi="Amiri" w:eastAsia="Amiri" w:cs="Amiri"/>
          <w:color w:val="111111"/>
          <w:sz w:val="28"/>
          <w:sz w:val="28"/>
          <w:szCs w:val="28"/>
          <w:rtl w:val="true"/>
          <w:lang w:bidi="ar-SA"/>
        </w:rPr>
        <w:t xml:space="preserve">الأصل اللفظي في حالة الشك بين العينية والكفائية ، اذ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قضية إطلاق الصيغة كون الوجوب نفسياً تعيينياً عينياً لكون كل واحد مما يقابلها يكون فيه تقييد الوجوب وتضييق دائرته، فإذا كان في مقام البيان ولم ينصب قرينة عليه فالحكمة تقتضي كونه مطلقاً وجب هناك شيء آخر أو لا، أُتي بشيء آخر أو لا، أتى به آخر أو لا</w:t>
      </w:r>
      <w:r>
        <w:rPr>
          <w:rFonts w:eastAsia="Amiri" w:cs="Amiri" w:ascii="Amiri" w:hAnsi="Amiri"/>
          <w:color w:val="111111"/>
          <w:sz w:val="28"/>
          <w:szCs w:val="28"/>
          <w:rtl w:val="true"/>
          <w:lang w:bidi="ar-SA"/>
        </w:rPr>
        <w:t>».</w:t>
      </w:r>
      <w:r>
        <w:rPr>
          <w:rStyle w:val="FootnoteAnchor"/>
          <w:rtl w:val="true"/>
        </w:rPr>
        <w:footnoteReference w:id="368"/>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البحث هو الأخير من الثلاثة، ومقتضى الإطلاق كون الوجوب عينياً؛ لأن الكفائية بمعنى سقوط الوجوب بفعل الغير يحتاج إلى مؤونة زائدة، إذ الظاهر من توجيه الأمر إلى فرد أو مجموعة بالقيام بفعل معين إرادة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نفس الفعل ومدخلية صدوره من المخاطب، كما لو أمر زيداً بالذهاب إلى السوق فإنه يريد الذهاب إلى السوق لا غيره، ويريد صدوره من زيد لا غيره، أما عدم مدخلية المخاطب التي هي مقتضى الكفائية فإنها خلاف المتفاهم العرفي وتحتاج إلى بيان</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يتضح أن المراد بالإطلاق هنا ظهور الصيغة لو خلّيت وطبعها، وليس الإطلاق الثابت بمقدمات الحكمة كما ذهب إليه في الكفاية، وستأتي الإشارة إلى ثمرة لهذا التفريق الدقيق</w:t>
      </w:r>
      <w:r>
        <w:rPr>
          <w:rFonts w:eastAsia="Amiri" w:cs="Amiri" w:ascii="Amiri" w:hAnsi="Amiri"/>
          <w:color w:val="111111"/>
          <w:sz w:val="28"/>
          <w:szCs w:val="28"/>
          <w:rtl w:val="true"/>
          <w:lang w:bidi="ar-SA"/>
        </w:rPr>
        <w:t xml:space="preserve">. </w:t>
      </w:r>
      <w:bookmarkStart w:id="318" w:name="pg8133_62845"/>
    </w:p>
    <w:p>
      <w:pPr>
        <w:pStyle w:val="Heading6"/>
        <w:numPr>
          <w:ilvl w:val="5"/>
          <w:numId w:val="1"/>
        </w:numPr>
        <w:rPr/>
      </w:pPr>
      <w:bookmarkStart w:id="319" w:name="__RefHeading___Toc8193209_1051229030"/>
      <w:bookmarkStart w:id="320" w:name="_Toc116"/>
      <w:bookmarkEnd w:id="318"/>
      <w:bookmarkEnd w:id="319"/>
      <w:r>
        <w:rPr>
          <w:rtl w:val="true"/>
        </w:rPr>
        <w:t>ثالثًا</w:t>
      </w:r>
      <w:r>
        <w:rPr>
          <w:rtl w:val="true"/>
        </w:rPr>
        <w:t xml:space="preserve">: </w:t>
      </w:r>
      <w:r>
        <w:rPr>
          <w:rtl w:val="true"/>
        </w:rPr>
        <w:t>العموم</w:t>
      </w:r>
      <w:bookmarkEnd w:id="320"/>
    </w:p>
    <w:p>
      <w:pPr>
        <w:pStyle w:val="Heading6"/>
        <w:numPr>
          <w:ilvl w:val="5"/>
          <w:numId w:val="1"/>
        </w:numPr>
        <w:rPr/>
      </w:pPr>
      <w:bookmarkStart w:id="321" w:name="__RefHeading___Toc8193211_1051229030"/>
      <w:bookmarkStart w:id="322" w:name="_Toc117"/>
      <w:bookmarkEnd w:id="321"/>
      <w:r>
        <w:rPr>
          <w:rtl w:val="true"/>
        </w:rPr>
        <w:t>اشارة</w:t>
      </w:r>
      <w:bookmarkEnd w:id="322"/>
    </w:p>
    <w:p>
      <w:pPr>
        <w:pStyle w:val="BookText"/>
        <w:rPr/>
      </w:pPr>
      <w:r>
        <w:rPr>
          <w:rFonts w:ascii="Amiri" w:hAnsi="Amiri" w:eastAsia="Amiri" w:cs="Amiri"/>
          <w:color w:val="111111"/>
          <w:sz w:val="28"/>
          <w:sz w:val="28"/>
          <w:szCs w:val="28"/>
          <w:rtl w:val="true"/>
          <w:lang w:bidi="ar-SA"/>
        </w:rPr>
        <w:t>يعد مبحث العموم من اهم ما تم بحثه في علم الأصول ، وقد ذكروا ان هناك ألفاظا وضعت في اللغة لتفيد معنى الشمول والعموم لافراد المفهوم الذي تدخل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ولكننا لا نريد ان نبحث في ذلك هنا ، بل الذي نريد بيانه الموارد التي يمكننا فيها تعميم الحكم لموضوع اخر غير الموضوع الذي ثبت له الحكم في الدليل ، فقد ذكر علماء الأصول عدة موارد يتم فيها تعميم الحكم ، كما سنبين المسائل التي كانت محلا للأخذ والرد والنقاش من مباحث العموم ، فسنذكر ما جاء في موسوعة فقه الخلاف من مناقشات وتطبيقات لهذه الموارد في اربع عشرة مسالة ،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تنقيح المناط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استظهار المناط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المنصوصة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الفارق بين العلة والملاك والحكمة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بعدم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ضابط التعميم بالأولوية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التجريد عن 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الفرد المشكوك دخوله تحت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الافراد الدال على عدم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بالعام في الشبهة المصداقية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الحادية عشرة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المخصص المجمل مفهوماً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المورد لا يخصص الوارد</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الثالثة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التطبيق لا يخصص العموم</w:t>
      </w:r>
      <w:r>
        <w:rPr>
          <w:rFonts w:eastAsia="Amiri" w:cs="Amiri" w:ascii="Amiri" w:hAnsi="Amiri"/>
          <w:color w:val="111111"/>
          <w:sz w:val="28"/>
          <w:szCs w:val="28"/>
          <w:rtl w:val="true"/>
          <w:lang w:bidi="ar-SA"/>
        </w:rPr>
        <w:t xml:space="preserve">. </w:t>
      </w:r>
      <w:bookmarkStart w:id="323" w:name="pg8133_62846"/>
    </w:p>
    <w:p>
      <w:pPr>
        <w:pStyle w:val="BookText"/>
        <w:rPr/>
      </w:pPr>
      <w:bookmarkEnd w:id="323"/>
      <w:r>
        <w:rPr>
          <w:rFonts w:ascii="Amiri" w:hAnsi="Amiri" w:eastAsia="Amiri" w:cs="Amiri"/>
          <w:color w:val="111111"/>
          <w:sz w:val="28"/>
          <w:sz w:val="28"/>
          <w:szCs w:val="28"/>
          <w:rtl w:val="true"/>
          <w:lang w:bidi="ar-SA"/>
        </w:rPr>
        <w:t>المسألة الرابعة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الكتاب بالسنة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واليك تفصيل هذه المسائل</w:t>
      </w:r>
      <w:r>
        <w:rPr>
          <w:rFonts w:eastAsia="Amiri" w:cs="Amiri" w:ascii="Amiri" w:hAnsi="Amiri"/>
          <w:color w:val="111111"/>
          <w:sz w:val="28"/>
          <w:szCs w:val="28"/>
          <w:rtl w:val="true"/>
          <w:lang w:bidi="ar-SA"/>
        </w:rPr>
        <w:t>:</w:t>
      </w:r>
    </w:p>
    <w:p>
      <w:pPr>
        <w:pStyle w:val="Heading6"/>
        <w:numPr>
          <w:ilvl w:val="5"/>
          <w:numId w:val="1"/>
        </w:numPr>
        <w:rPr/>
      </w:pPr>
      <w:bookmarkStart w:id="324" w:name="__RefHeading___Toc8193213_1051229030"/>
      <w:bookmarkStart w:id="325" w:name="_Toc118"/>
      <w:bookmarkEnd w:id="324"/>
      <w:r>
        <w:rPr>
          <w:rtl w:val="true"/>
        </w:rPr>
        <w:t>المسألة الأولى</w:t>
      </w:r>
      <w:r>
        <w:rPr>
          <w:rtl w:val="true"/>
        </w:rPr>
        <w:t xml:space="preserve">: </w:t>
      </w:r>
      <w:r>
        <w:rPr>
          <w:rtl w:val="true"/>
        </w:rPr>
        <w:t>تنقيح المناط</w:t>
      </w:r>
      <w:r>
        <w:rPr>
          <w:rtl w:val="true"/>
        </w:rPr>
        <w:t>.</w:t>
      </w:r>
      <w:bookmarkEnd w:id="325"/>
    </w:p>
    <w:p>
      <w:pPr>
        <w:pStyle w:val="BookText"/>
        <w:rPr/>
      </w:pPr>
      <w:r>
        <w:rPr>
          <w:rFonts w:ascii="Amiri" w:hAnsi="Amiri" w:eastAsia="Amiri" w:cs="Amiri"/>
          <w:color w:val="111111"/>
          <w:sz w:val="28"/>
          <w:sz w:val="28"/>
          <w:szCs w:val="28"/>
          <w:rtl w:val="true"/>
          <w:lang w:bidi="ar-SA"/>
        </w:rPr>
        <w:t xml:space="preserve">عمد الكثير من العلماء الى تعميم الاحكام الشرعية اعتمادًا على فكرة تنقيح المناط ، وقد ناقش سماحة الشيخ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الفكرة في الجزء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مسالة احكام صلاة من عمله السفر ، اذ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فالصحيح ما قالوه من الالتزام بمفاد النصوص خصوصاً وأنهم رتبوا آثاراً على الملاكات التي استنبطوها كعنوان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فرّع عليه سيدنا الأستاذ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مسائل رغم انه عنوان منتزع ومستنبط لا وجود له في النصوص، إلا أن يقال انه عرف بتنقيح المناط لكنه مردود كبروياً وصغروياً، أما كبروياً، فلعدم حجية هذا الدليل كالقياس وأما صغروياً، فلأن النصوص ذكرت مناط الحكم وهو أن عملهم السفر فلا مجال لتنقيح المناط وبين عنواني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عمله السفر، كثير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من وجه، إذ قد يكثر السفر للزيارة أو السياحة ونحوها من غير أن يتخذه عملا له، وربما يكون عملاً له قبل صدق كثرة السفر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سيأتي مثاله بإذن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يجتمعان كما هو الغالب، فلا عبرة بكثرة السفر لوحده ما لم يكن عملاً التزاماً بالنصوص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واكد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الجزء الخامس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مسالة زكاة أموال التجارة عدم حجية تنقيح المناط لتعميم الحكم اذ قال</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أيضاً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المستفاد من أخبار هذه الزكاة اتحادها مع زكاة النقدين من حيث النصاب والقدر المخرج وحول الحول، ولا شك في إفادتها </w:t>
      </w:r>
    </w:p>
    <w:p>
      <w:pPr>
        <w:pStyle w:val="BookText"/>
        <w:rPr/>
      </w:pPr>
      <w:r>
        <w:rPr>
          <w:rFonts w:ascii="Amiri" w:hAnsi="Amiri" w:eastAsia="Amiri" w:cs="Amiri"/>
          <w:color w:val="111111"/>
          <w:sz w:val="28"/>
          <w:sz w:val="28"/>
          <w:szCs w:val="28"/>
          <w:rtl w:val="true"/>
          <w:lang w:bidi="ar-SA"/>
        </w:rPr>
        <w:t>لذلك لمن نظر فيها بتأمل يسير</w:t>
      </w:r>
      <w:r>
        <w:rPr>
          <w:rFonts w:eastAsia="Amiri" w:cs="Amiri" w:ascii="Amiri" w:hAnsi="Amiri"/>
          <w:color w:val="111111"/>
          <w:sz w:val="28"/>
          <w:szCs w:val="28"/>
          <w:rtl w:val="true"/>
          <w:lang w:bidi="ar-SA"/>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الاتحاد إذا بني على استقراء المشتركات وتراكمالاحتمالات باعتبار تزايد هذه المشتركات –كما يبدو من صدر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 عليه بأنه من القياس وتنقيح المناط ونحوها من الظنون غير المعتبرة، نعم إذا كان ظاهراً من الروايات ولو بقرينة السكوت عن بيان مقدار الزكاة مما يعني اتحادها مع النقدين فهو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واكد على عدم حجية تنقيح المناط أيضا في مسالة زكاة العملات المتداولة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ذكر ادلة الشيخ المنتظري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الوجوب ، وكان الوجه الثاني من وجوه استدلاله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إلغاء الخصوصية، بتقريب أن الذهب والفضة المسكوكتين وجب فيهما الزكاة بما أنهما نقد رائج وبهما تقوم الأشياء وتعتبر ماليتها، فالموضوع في الحقيقة النقد الرائج المتعارف الذي يقوم به سائر الأشياء، وربما نلتزم بذلك في باب المضاربة أيضاً حيث اعتبروا فيها بالإجماع أن يكون رأس المال من النقدين، فلو لم نقل بكون المراد النقد الرائج انتفى موضوع المضاربة في هذه الأعصار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بالمقدار الذي عرضه غير صحيح، لأن التجريد عن الخصوصية لا بد أن يستند إلى دليل ولا يكفي فيه الظن والاستحسان وتنقيح المناط ونحوها،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وجهاً للتجريد عن الخصوصية، ونحن قد قربنا عدة وجوه لإلغاء خصوصية النقدين</w:t>
      </w:r>
      <w:r>
        <w:rPr>
          <w:rFonts w:eastAsia="Amiri" w:cs="Amiri" w:ascii="Amiri" w:hAnsi="Amiri"/>
          <w:color w:val="111111"/>
          <w:sz w:val="28"/>
          <w:szCs w:val="28"/>
          <w:rtl w:val="true"/>
          <w:lang w:bidi="ar-SA"/>
        </w:rPr>
        <w:t xml:space="preserve">. </w:t>
      </w:r>
      <w:bookmarkStart w:id="326" w:name="pg8133_62848"/>
    </w:p>
    <w:p>
      <w:pPr>
        <w:pStyle w:val="Heading6"/>
        <w:numPr>
          <w:ilvl w:val="5"/>
          <w:numId w:val="1"/>
        </w:numPr>
        <w:rPr/>
      </w:pPr>
      <w:bookmarkStart w:id="327" w:name="__RefHeading___Toc8193215_1051229030"/>
      <w:bookmarkStart w:id="328" w:name="_Toc119"/>
      <w:bookmarkEnd w:id="326"/>
      <w:bookmarkEnd w:id="327"/>
      <w:r>
        <w:rPr>
          <w:rtl w:val="true"/>
        </w:rPr>
        <w:t>المسألة الثانية</w:t>
      </w:r>
      <w:r>
        <w:rPr>
          <w:rtl w:val="true"/>
        </w:rPr>
        <w:t xml:space="preserve">: </w:t>
      </w:r>
      <w:r>
        <w:rPr>
          <w:rtl w:val="true"/>
        </w:rPr>
        <w:t>حجية استظهار المناط</w:t>
      </w:r>
      <w:r>
        <w:rPr>
          <w:rtl w:val="true"/>
        </w:rPr>
        <w:t>.</w:t>
      </w:r>
      <w:bookmarkEnd w:id="328"/>
    </w:p>
    <w:p>
      <w:pPr>
        <w:pStyle w:val="BookText"/>
        <w:rPr/>
      </w:pPr>
      <w:r>
        <w:rPr>
          <w:rFonts w:ascii="Amiri" w:hAnsi="Amiri" w:eastAsia="Amiri" w:cs="Amiri"/>
          <w:color w:val="111111"/>
          <w:sz w:val="28"/>
          <w:sz w:val="28"/>
          <w:szCs w:val="28"/>
          <w:rtl w:val="true"/>
          <w:lang w:bidi="ar-SA"/>
        </w:rPr>
        <w:t>تبين من المسألة الأولى ان لتنقيح المناط عدة 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يستند الى حساب الاحتمالات ، او القياس ، او التخمين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حجة في هذه الحالات ؛ لعدم حجية هذه الطرق لتحديد ملاكات الاحكام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اذا استنبطنا المناط من ظهور الروايات فسيكون حجة عندئذ ؛ لحجية الظهور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افاد سماحة الشيخ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المطلب في الجزء الخامس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مسالة زكاة العملات المتداولة، اذ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وحدة الملاك بتقريب أن الظاهر من الروايات أن الملاك في جعل الزكاة على النقدين إذا لم يحركا حولاً هو لتحريك عجلة الاقتصاد وعدم حبس فائدة العملة التي هي الواسطة في تلك الحركة، كصحيحة زرارة المتقدمة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الزكاة على المال الصامت الذي يحول عليه الحول ولم يحركه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ولذا كان من وسائل الفرار من الزكاة سبك الذهب والفضة الموجودين في العملة لسلب عنوان العملة وما يستتبعها من منافع عنها، فالزكاة لم تجب عليه لأنه ذهب أو فضة، بل لأنه عملة لا يجوز حبسها، وهذا الملاك جارٍ في سائر العملات، ففي صحيحة علي بن يقطين عن أبي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تجب الزكاة فيما سبك،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كان سبكه فراراً من الزكاة؟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ترى أن المنفعة قد ذهبت منه فلذلك لا يجب عليه الزكاة</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الزكاة، أبواب زكاة الذهب والفضة، باب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وروايته الأخرى عن أبي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تجب الزكاة فيما سبك فراراً به من الزكاة، ألا ترى أن المنفعة قد ذهبت فلذلك لا تجب الزكاة</w:t>
      </w:r>
      <w:r>
        <w:rPr>
          <w:rFonts w:eastAsia="IRNazanin" w:cs="IRNazanin"/>
          <w:color w:val="111111"/>
          <w:sz w:val="28"/>
          <w:szCs w:val="28"/>
          <w:rtl w:val="true"/>
          <w:lang w:bidi="fa-IR"/>
        </w:rPr>
        <w:t xml:space="preserve">) </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الزكاة، أبواب زكاة الذهب والفضة، باب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يعقل ذهاب المنفعة عن الذهب والفضة لأن لهما قيمة في ذاتهما، </w:t>
      </w:r>
    </w:p>
    <w:p>
      <w:pPr>
        <w:pStyle w:val="BookText"/>
        <w:rPr/>
      </w:pPr>
      <w:r>
        <w:rPr>
          <w:rFonts w:ascii="Amiri" w:hAnsi="Amiri" w:eastAsia="Amiri" w:cs="Amiri"/>
          <w:color w:val="111111"/>
          <w:sz w:val="28"/>
          <w:sz w:val="28"/>
          <w:szCs w:val="28"/>
          <w:rtl w:val="true"/>
          <w:lang w:bidi="ar-SA"/>
        </w:rPr>
        <w:t>وإنما تذهب منفعتهما كعملة، فالمناط هو كونهما عملة وليس كونهما ذهباً وفضة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لما جعل على هذه الأرض تجددت حاجاته وتنوعت كاحتياجه إلى الطعام والشراب واللباس ووسائط النقل ومستلزمات الراحة والتجمّل والكماليات وغيرها، ولما كان كل شخصبمفرده لا يستطيع توفير احتياجاته لنفسه بنفسه أي يصنعها ويهيئها هو بنفسه لتعذر ذلك، اقتضت الطبيعة الاجتماعية أن يكمل بعضهم بعضاً بمبادلة المتاع والحاجات بغيرها وهو ما كان يسمى بالمقايضة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كانت الاحتياجات متكثرة –كالدار والسيارة والكتاب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والقيم مختلفة بحسب العرض والطلب وبسبب صعوبة نقل الأشياء لمبادلتها ولعدم توفر حاجة كل طرف عند الطرف الآخر، التفت الإنسان –بلطف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ضرورة جعل وسيط لهذه المبادلات يكون أساساً لتقييم الأعيان والمتاع وتبتنى عليه المبادلات والمعاملات، وقد اصطلحت المجتمعات البشرية على مواد مختلفة للتقييم كالملح مثلاً عند بعضهم، لأهميته واشتداد الحاجة إليه وكذا الحنطة عند بعضهم الآخر</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بعد اكتشاف الذهب والفضة والالتفات إلى أهميتهما وتصاعد الطلب عليهما والرغبة فيهما أصبحا أساس التقييم للأشياء وأجور الأعمال وسَكَّت الحكومات العملات بهما، وكانت هذه من أعظم النقلات الحضارية التي منّ الله تعالى بها على عباده، وإليها يشير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رواه الشيخ في أماليه بسنده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سُئل عن الدنانير والدراهم وما على الناس، فقال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خواتيم الله في أرضه جعلها الله مصلحة لخلقه، وبها يستقيم شؤونهم ومطالبهم فمن أكثر له منها فقام بحق الله تعالى فيها وأدى زكاتها فذاك الذي طابت وخلصت له، </w:t>
      </w:r>
      <w:bookmarkStart w:id="329" w:name="pg8133_62850"/>
    </w:p>
    <w:p>
      <w:pPr>
        <w:pStyle w:val="BookText"/>
        <w:rPr/>
      </w:pPr>
      <w:bookmarkEnd w:id="329"/>
      <w:r>
        <w:rPr>
          <w:rFonts w:ascii="Amiri" w:hAnsi="Amiri" w:eastAsia="Amiri" w:cs="Amiri"/>
          <w:color w:val="111111"/>
          <w:sz w:val="28"/>
          <w:sz w:val="28"/>
          <w:szCs w:val="28"/>
          <w:rtl w:val="true"/>
          <w:lang w:bidi="ar-SA"/>
        </w:rPr>
        <w:t>ومن أكثر منها فبخل بها ولم يؤدِّ حق الله فيها واتخذ منها الأبنية فذاك الذي حق عليه وعيد الله عز وجل في كتابه يقول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يُحْمَى عَلَيْهَا فِي نَارِ جَهَنَّمَ فَتُكْوَى بِهَا جِبَاهُهُمْ وَجُنُوبُهُمْ وَظُهُورُهُمْ هَذَا مَا كَنَزْتُمْ لأنْفُسِكُمْ فَذُوقُوا مَا كُنْتُمْ تَكْنِزُونَ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خبر ضريس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أعطاكم الله هذه الفضول من الأموال لتوجّهوها حيث وجهها الله ولم يعطكموهالتكنزوها</w:t>
      </w:r>
      <w:r>
        <w:rPr>
          <w:rFonts w:eastAsia="IRNazanin" w:cs="IRNazanin"/>
          <w:color w:val="111111"/>
          <w:sz w:val="28"/>
          <w:szCs w:val="28"/>
          <w:rtl w:val="true"/>
          <w:lang w:bidi="fa-IR"/>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فأوجب الله تبارك وتعالى الزكاة منعاً لكنزها وحبسها الذي يعطّل هذه المصلحة النوعية الكبرى، وهو ملاك مطرد في سائر العملات ولا مدخلية لكونها من الذهب والفضة</w:t>
      </w:r>
      <w:r>
        <w:rPr>
          <w:rFonts w:eastAsia="Amiri" w:cs="Amiri" w:ascii="Amiri" w:hAnsi="Amiri"/>
          <w:color w:val="111111"/>
          <w:sz w:val="28"/>
          <w:szCs w:val="28"/>
          <w:rtl w:val="true"/>
          <w:lang w:bidi="ar-SA"/>
        </w:rPr>
        <w:t>.</w:t>
      </w:r>
    </w:p>
    <w:p>
      <w:pPr>
        <w:pStyle w:val="Heading6"/>
        <w:numPr>
          <w:ilvl w:val="5"/>
          <w:numId w:val="1"/>
        </w:numPr>
        <w:rPr/>
      </w:pPr>
      <w:bookmarkStart w:id="330" w:name="__RefHeading___Toc8193217_1051229030"/>
      <w:bookmarkStart w:id="331" w:name="_Toc120"/>
      <w:bookmarkEnd w:id="330"/>
      <w:r>
        <w:rPr>
          <w:rtl w:val="true"/>
        </w:rPr>
        <w:t>المسألة الثالثة</w:t>
      </w:r>
      <w:r>
        <w:rPr>
          <w:rtl w:val="true"/>
        </w:rPr>
        <w:t xml:space="preserve">: </w:t>
      </w:r>
      <w:r>
        <w:rPr>
          <w:rtl w:val="true"/>
        </w:rPr>
        <w:t>العلة المنصوصة</w:t>
      </w:r>
      <w:r>
        <w:rPr>
          <w:rtl w:val="true"/>
        </w:rPr>
        <w:t>.</w:t>
      </w:r>
      <w:bookmarkEnd w:id="331"/>
    </w:p>
    <w:p>
      <w:pPr>
        <w:pStyle w:val="BookText"/>
        <w:rPr/>
      </w:pPr>
      <w:r>
        <w:rPr>
          <w:rFonts w:ascii="Amiri" w:hAnsi="Amiri" w:eastAsia="Amiri" w:cs="Amiri"/>
          <w:color w:val="111111"/>
          <w:sz w:val="28"/>
          <w:sz w:val="28"/>
          <w:szCs w:val="28"/>
          <w:rtl w:val="true"/>
          <w:lang w:bidi="ar-SA"/>
        </w:rPr>
        <w:t>قد تأتي بعض الاحكام الشرعية مصحوبة ببيان علتها ، وفي مثل ذلك قال العلماء بإمكان التمسك بهذه العلة المنصوصة لتعميم الحكم في كل مورد وجدت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سماحة الشيخ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تطبيقات لهذه المسالة في موسوعة فقه الخلاف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جاء في الجزء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مسالة احكام صلاة من عمله السفر</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صدق التعليل الوارد في النص عليهم عرفاً أي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3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عملهم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فمثلاً لا يبعد ان يقال عرفاً للموظف الذي يسافر يومياً إلى دائرته أو </w:t>
      </w:r>
      <w:bookmarkStart w:id="332" w:name="pg8133_62851"/>
    </w:p>
    <w:p>
      <w:pPr>
        <w:pStyle w:val="BookText"/>
        <w:rPr/>
      </w:pPr>
      <w:bookmarkEnd w:id="332"/>
      <w:r>
        <w:rPr>
          <w:rFonts w:ascii="Amiri" w:hAnsi="Amiri" w:eastAsia="Amiri" w:cs="Amiri"/>
          <w:color w:val="111111"/>
          <w:sz w:val="28"/>
          <w:sz w:val="28"/>
          <w:szCs w:val="28"/>
          <w:rtl w:val="true"/>
          <w:lang w:bidi="ar-SA"/>
        </w:rPr>
        <w:t>الطالب إلى جامعته من دون ان يتوطن محل عمله كما سيأتي ان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السفر عمل له والشاهد على ذلك جمع الإمام لكل هذه العناوين بتعليلٍ واحد في نهاية الحديث</w:t>
      </w:r>
      <w:r>
        <w:rPr>
          <w:rFonts w:eastAsia="Amiri" w:cs="Amiri" w:ascii="Amiri" w:hAnsi="Amiri"/>
          <w:color w:val="111111"/>
          <w:sz w:val="28"/>
          <w:szCs w:val="28"/>
          <w:rtl w:val="true"/>
          <w:lang w:bidi="ar-SA"/>
        </w:rPr>
        <w:t>.</w:t>
      </w:r>
    </w:p>
    <w:p>
      <w:pPr>
        <w:pStyle w:val="Heading6"/>
        <w:numPr>
          <w:ilvl w:val="5"/>
          <w:numId w:val="1"/>
        </w:numPr>
        <w:rPr/>
      </w:pPr>
      <w:bookmarkStart w:id="333" w:name="__RefHeading___Toc8193219_1051229030"/>
      <w:bookmarkStart w:id="334" w:name="_Toc121"/>
      <w:bookmarkEnd w:id="333"/>
      <w:r>
        <w:rPr>
          <w:rtl w:val="true"/>
        </w:rPr>
        <w:t>المسألة الرابعة</w:t>
      </w:r>
      <w:r>
        <w:rPr>
          <w:rtl w:val="true"/>
        </w:rPr>
        <w:t xml:space="preserve">: </w:t>
      </w:r>
      <w:r>
        <w:rPr>
          <w:rtl w:val="true"/>
        </w:rPr>
        <w:t>الفارق بين العلة والملاك والحكمة</w:t>
      </w:r>
      <w:r>
        <w:rPr>
          <w:rtl w:val="true"/>
        </w:rPr>
        <w:t>.</w:t>
      </w:r>
      <w:bookmarkEnd w:id="334"/>
    </w:p>
    <w:p>
      <w:pPr>
        <w:pStyle w:val="BookText"/>
        <w:rPr/>
      </w:pPr>
      <w:r>
        <w:rPr>
          <w:rFonts w:ascii="Amiri" w:hAnsi="Amiri" w:eastAsia="Amiri" w:cs="Amiri"/>
          <w:color w:val="111111"/>
          <w:sz w:val="28"/>
          <w:sz w:val="28"/>
          <w:szCs w:val="28"/>
          <w:rtl w:val="true"/>
          <w:lang w:bidi="ar-SA"/>
        </w:rPr>
        <w:t xml:space="preserve">من الأمور المهمة التي نبّه عليها سماحة الشيخ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بعض علمائنايعبر عن الحكمة بالعلة ، كما انهم قد يعبرون بالعلة والملاك عن معنى واحد ، ومن هنا تصدى لبيان الفارق بينها ، وأي منها هو الذي يفيد لتعميم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سماحته في الجزء الخامس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مسالة زكاة العملات المتداولة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رفع احتياجات المسلمين وسد خلاتهم هي حكمة التشريع وليست ملاك الحكم فلا تسوّغ التبرع بإنشاء الأحكام، نعم، الملاك هو الذي يعمم الحكم، وما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Style w:val="FootnoteAnchor"/>
          <w:rtl w:val="true"/>
        </w:rPr>
        <w:footnoteReference w:id="374"/>
      </w:r>
      <w:r>
        <w:rPr>
          <w:rFonts w:ascii="Amiri" w:hAnsi="Amiri" w:eastAsia="Amiri" w:cs="Amiri"/>
          <w:color w:val="111111"/>
          <w:sz w:val="28"/>
          <w:sz w:val="28"/>
          <w:szCs w:val="28"/>
          <w:rtl w:val="true"/>
          <w:lang w:bidi="ar-SA"/>
        </w:rPr>
        <w:t>هو من الأول وليس من الثاني فلا يصلح للتعميم، وقد يُعبَّر في كلمات الأصحاب عن هذه الحكمة بالعلة، مما يسبب تشويشاً وإشكالات، لأن العلة تُعمّم، وإن أصروا على ترادفهما متشرعياً فلا بد من التفريق بينهما وبين الملاك</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ضوء هذا علينا أن نفرق بين مصطلحين يردان في تعبير كلمات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الماضين وحفظ الله الباقين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ويستعملان بمعنى واحد وهما ليسا كذلك، فالعلة هي غاية الفاعل من جعل الحكم والباعث على تشريعه وهي لا تكون مرتبطة بشكل مباشر بالفعل إلا </w:t>
      </w:r>
    </w:p>
    <w:p>
      <w:pPr>
        <w:pStyle w:val="BookText"/>
        <w:rPr/>
      </w:pPr>
      <w:r>
        <w:rPr>
          <w:rFonts w:ascii="Amiri" w:hAnsi="Amiri" w:eastAsia="Amiri" w:cs="Amiri"/>
          <w:color w:val="111111"/>
          <w:sz w:val="28"/>
          <w:sz w:val="28"/>
          <w:szCs w:val="28"/>
          <w:rtl w:val="true"/>
          <w:lang w:bidi="ar-SA"/>
        </w:rPr>
        <w:t>لكونه أحد مواردها، أما الملاك فهو منشأ الحكم في الموضوع المعين ويرتبط به مباشرة، وبينهما فرق، وأوضح فرق أن العلة مرتبطة بالفاعل بينما الملاك مرتبط بالفعل، 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الملاك هو الداعي إلى جعل الحكم بينما العلة هي الداعي إلى الداعي إلى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 من مهام الحكومة توسيع إيرادات الدولة لتفي بمتطلبات مسؤوليتها واحتياجاتها، وهذه العلة لا تدفع الحكومة إلى جباية الأموال كيفما اتفق وإنما تنظر لملاكات في القوانين التي تسنها، مثلاً ترى من المصلحة فرض رسوم كمركية على البضائع المستوردة لتشجيع المنتوج الوطني، أو تفرض رسوماً كبيرة على بيع وشراء العقارات لمنع مضاربة أصحاب الأموال فيها وزيادة أسعارها بحيث لا يستطيع ذوو الدخلالمحدود تملك عقار، أو تفرض عقوبات مالية على من يرتكب مخالفة مرورية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فتشجيع المنتوج الوطني وحفظ أسعار العقارات والمحافظة على النظام العام هي ملاكات القوانين، والعلة هي استحصال الأموال لخزينة الدولة لتمويل فعاليتها، وهذه العلة لا ترتبط بتلك القوانين بشكل مباشر أي لا يتعين تحقيقها بها إلا لكونها أحد مواردها، بحسب هذا القانون، وإلا فيمكن للدولة أن تسن قانون العقوبة بالحبس أو أي قرار آخر كالمنع من بيع العقار مدة معينة بدل الرسوم المالية فهنا الملاك موجود وهو مرتبط بالقانون مباشرة لكن العلة المذكورة ليست موجودة، ومن هنا فإن الملاك يعمم الحكم دون العلة</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ونعود إلى مناقشة الشيخ المنتظري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هذه المقدمة فنقول إن العلة هنا هي مساعدة الفقراء ورفع احتياجاتهم وابتلاء الأغنياء وتزكية أموالهم وإقامة النظام الاجتماعي العام، لكن الفرائض </w:t>
      </w:r>
      <w:bookmarkStart w:id="335" w:name="pg8133_62853"/>
    </w:p>
    <w:p>
      <w:pPr>
        <w:pStyle w:val="BookText"/>
        <w:rPr/>
      </w:pPr>
      <w:bookmarkEnd w:id="335"/>
      <w:r>
        <w:rPr>
          <w:rFonts w:ascii="Amiri" w:hAnsi="Amiri" w:eastAsia="Amiri" w:cs="Amiri"/>
          <w:color w:val="111111"/>
          <w:sz w:val="28"/>
          <w:sz w:val="28"/>
          <w:szCs w:val="28"/>
          <w:rtl w:val="true"/>
          <w:lang w:bidi="ar-SA"/>
        </w:rPr>
        <w:t>المالية لها ملاكاتها كزكاة النقود لمنع تجميدها وتعويق الحركة الاقتصادية، أو زكاة أموال التجارة لمنع احتكارها ورفع أسعار السوق من دون مسوغ عقلائي إلا جشع التجار، وهذا الملاك هو الذي يمكن أن يعمم حكم وجوب الزكاة من النقدين إلى سائر العملات والنقود، أما العلة فلا تعمم إلا بقوانين من قبل الشارع المقدس ولا يمكن أن تعمم الأحكام بمجرد أن الزكاة المنصوصة لا تفي بحاجة الفقراء</w:t>
      </w:r>
      <w:r>
        <w:rPr>
          <w:rFonts w:eastAsia="Amiri" w:cs="Amiri" w:ascii="Amiri" w:hAnsi="Amiri"/>
          <w:color w:val="111111"/>
          <w:sz w:val="28"/>
          <w:szCs w:val="28"/>
          <w:rtl w:val="true"/>
          <w:lang w:bidi="ar-SA"/>
        </w:rPr>
        <w:t>.</w:t>
      </w:r>
    </w:p>
    <w:p>
      <w:pPr>
        <w:pStyle w:val="Heading6"/>
        <w:numPr>
          <w:ilvl w:val="5"/>
          <w:numId w:val="1"/>
        </w:numPr>
        <w:rPr/>
      </w:pPr>
      <w:bookmarkStart w:id="336" w:name="__RefHeading___Toc8193221_1051229030"/>
      <w:bookmarkStart w:id="337" w:name="_Toc122"/>
      <w:bookmarkEnd w:id="336"/>
      <w:r>
        <w:rPr>
          <w:rtl w:val="true"/>
        </w:rPr>
        <w:t>المسألة الخامسة</w:t>
      </w:r>
      <w:r>
        <w:rPr>
          <w:rtl w:val="true"/>
        </w:rPr>
        <w:t xml:space="preserve">: </w:t>
      </w:r>
      <w:r>
        <w:rPr>
          <w:rtl w:val="true"/>
        </w:rPr>
        <w:t>القول بعدم الفصل</w:t>
      </w:r>
      <w:r>
        <w:rPr>
          <w:rtl w:val="true"/>
        </w:rPr>
        <w:t>.</w:t>
      </w:r>
      <w:bookmarkEnd w:id="337"/>
    </w:p>
    <w:p>
      <w:pPr>
        <w:pStyle w:val="BookText"/>
        <w:rPr/>
      </w:pPr>
      <w:r>
        <w:rPr>
          <w:rFonts w:ascii="Amiri" w:hAnsi="Amiri" w:eastAsia="Amiri" w:cs="Amiri"/>
          <w:color w:val="111111"/>
          <w:sz w:val="28"/>
          <w:sz w:val="28"/>
          <w:szCs w:val="28"/>
          <w:rtl w:val="true"/>
          <w:lang w:bidi="ar-SA"/>
        </w:rPr>
        <w:t>من طرق تعميم الحكم لغير الموضوع الذي ثبت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بعدم الفصل ، فاذا صرح الفقهاء بعدم الفصل بين حكم موضوع ما وحكم موضوع اخر أمكننا ان نعمم الحكم الثابت للموضوع الأول الى الثاني ، اما مجرد عدم القول بالفصل فلا يفيد التعميم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جاء في الجزء الخامس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مسالة زكاة أموال الصغير تطبيق لهذه القاعدة الأصولية ، فقد قال سماحة الشيخ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w:t>
      </w:r>
      <w:r>
        <w:rPr>
          <w:rFonts w:eastAsia="Amiri" w:cs="Amiri" w:ascii="Amiri" w:hAnsi="Amiri"/>
          <w:color w:val="111111"/>
          <w:sz w:val="28"/>
          <w:szCs w:val="28"/>
          <w:rtl w:val="true"/>
          <w:lang w:bidi="ar-SA"/>
        </w:rPr>
        <w:t>:</w:t>
      </w:r>
    </w:p>
    <w:p>
      <w:pPr>
        <w:pStyle w:val="Heading6"/>
        <w:numPr>
          <w:ilvl w:val="5"/>
          <w:numId w:val="1"/>
        </w:numPr>
        <w:rPr/>
      </w:pPr>
      <w:bookmarkStart w:id="338" w:name="__RefHeading___Toc8193223_1051229030"/>
      <w:bookmarkStart w:id="339" w:name="_Toc123"/>
      <w:bookmarkEnd w:id="338"/>
      <w:r>
        <w:rPr>
          <w:rtl w:val="true"/>
        </w:rPr>
        <w:t>القول الأول</w:t>
      </w:r>
      <w:r>
        <w:rPr>
          <w:rtl w:val="true"/>
        </w:rPr>
        <w:t xml:space="preserve">: </w:t>
      </w:r>
      <w:r>
        <w:rPr>
          <w:rtl w:val="true"/>
        </w:rPr>
        <w:t>الوجوب، وقد استدل عليه بوجوه</w:t>
      </w:r>
      <w:r>
        <w:rPr>
          <w:rtl w:val="true"/>
        </w:rPr>
        <w:t>:</w:t>
      </w:r>
      <w:bookmarkEnd w:id="339"/>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القول بالفصل بين الغلات والمواشي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حكاه في الإيضاح عن ابن حمزة الذي هو أحد الموجبين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تجب في مال الصبي لما صح عنهما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الطفل ليس عليه في العين والصامت شيء، وأما الغلات فإن عليها الصدقة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فتجب في الأنعام بالإجماع المركب</w:t>
      </w:r>
      <w:r>
        <w:rPr>
          <w:rFonts w:eastAsia="IRNazanin" w:cs="IRNazanin"/>
          <w:color w:val="111111"/>
          <w:sz w:val="28"/>
          <w:szCs w:val="28"/>
          <w:rtl w:val="true"/>
          <w:lang w:bidi="fa-IR"/>
        </w:rPr>
        <w:t xml:space="preserve">» </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تمامية الكبرى؛ لأن النافي للتفصيل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القول بعدم الفصل وليس مجرد عدم القول بالفصل، وبشرط كونه تعبدياً، والأمران غير موجودين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عرّض سماحته بالتعميم بداعي عدم القول بالفصل في الجزء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مسالة صلاة الرجل والمرأة متحاذيين ،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كله في جواز المحاذاة، أما تقدم المرأة فإن استدلالهم السابق على جواز المحاذاة لا يتضمن جواز تقدم المرأة الذي قالوا به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يتمم بضميمة عدم القول بالفصل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اكد سماحته ان الحجة في التعميم يحصل بالقول بعدم الفصل لا بمجرد عدم القول بالفصل ،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الجزء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مسالة الاكتفاء ببعض السورة بعد الفاتحة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تتميم هذه الملازمة بعدم القول بالفصل الذي وردت الإشارة إليه في كلمات جملة من الأساطين، قال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تكن السورة واجبة لم تكن أبعاضها واجبة، لأن علماءنا بين قائلين، أحدهماأوجب السورة، والآخر لم يوجبها فلم يوجب أبعاضها فالفرق ثالث</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مردود صغرىً وكبرى، أما صغروياً فلوجود القائل بالفصل كالشيخ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المبسوط وقد تقدمت كلمته، ولأن القائلين بعدم الوجوب أطلقوا كلماتهم وهي تحتمل القولين بل صرح ابن الجنيد في اشتراط قراءة شيء بعد الفاتحة في الجملة ولو بعض سورة كما تقدم النقل عنه، وأما </w:t>
      </w:r>
      <w:bookmarkStart w:id="340" w:name="pg8133_62855"/>
    </w:p>
    <w:p>
      <w:pPr>
        <w:pStyle w:val="BookText"/>
        <w:rPr/>
      </w:pPr>
      <w:bookmarkEnd w:id="340"/>
      <w:r>
        <w:rPr>
          <w:rFonts w:ascii="Amiri" w:hAnsi="Amiri" w:eastAsia="Amiri" w:cs="Amiri"/>
          <w:color w:val="111111"/>
          <w:sz w:val="28"/>
          <w:sz w:val="28"/>
          <w:szCs w:val="28"/>
          <w:rtl w:val="true"/>
          <w:lang w:bidi="ar-SA"/>
        </w:rPr>
        <w:t>كبروياً فلأن المجدي –لو تمت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بعدم الفصل لا عدم القول بالفصل كما ذكرنا مراراً</w:t>
      </w:r>
      <w:r>
        <w:rPr>
          <w:rFonts w:eastAsia="Amiri" w:cs="Amiri" w:ascii="Amiri" w:hAnsi="Amiri"/>
          <w:color w:val="111111"/>
          <w:sz w:val="28"/>
          <w:szCs w:val="28"/>
          <w:rtl w:val="true"/>
          <w:lang w:bidi="ar-SA"/>
        </w:rPr>
        <w:t>.</w:t>
      </w:r>
    </w:p>
    <w:p>
      <w:pPr>
        <w:pStyle w:val="Heading6"/>
        <w:numPr>
          <w:ilvl w:val="5"/>
          <w:numId w:val="1"/>
        </w:numPr>
        <w:rPr/>
      </w:pPr>
      <w:bookmarkStart w:id="341" w:name="__RefHeading___Toc8193225_1051229030"/>
      <w:bookmarkStart w:id="342" w:name="_Toc124"/>
      <w:bookmarkEnd w:id="341"/>
      <w:r>
        <w:rPr>
          <w:rtl w:val="true"/>
        </w:rPr>
        <w:t>المسألة السادسة</w:t>
      </w:r>
      <w:r>
        <w:rPr>
          <w:rtl w:val="true"/>
        </w:rPr>
        <w:t xml:space="preserve">: </w:t>
      </w:r>
      <w:r>
        <w:rPr>
          <w:rtl w:val="true"/>
        </w:rPr>
        <w:t>ضابط التعميم بالأولوية</w:t>
      </w:r>
      <w:r>
        <w:rPr>
          <w:rtl w:val="true"/>
        </w:rPr>
        <w:t>.</w:t>
      </w:r>
      <w:bookmarkEnd w:id="342"/>
    </w:p>
    <w:p>
      <w:pPr>
        <w:pStyle w:val="BookText"/>
        <w:rPr/>
      </w:pPr>
      <w:r>
        <w:rPr>
          <w:rFonts w:ascii="Amiri" w:hAnsi="Amiri" w:eastAsia="Amiri" w:cs="Amiri"/>
          <w:color w:val="111111"/>
          <w:sz w:val="28"/>
          <w:sz w:val="28"/>
          <w:szCs w:val="28"/>
          <w:rtl w:val="true"/>
          <w:lang w:bidi="ar-SA"/>
        </w:rPr>
        <w:t>من طرق تعميم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التعميم بالأولوية ، فقد قيل في علم الأصول عندما يثبت حكم لموضوع ما ، فانه يمكن تعديته لموضوع اخر باعتبار ان ثبوته للموضوع الثاني أولى من ثبوته للأول ، ولهذا افتوا بحرمة ضرب الوالدين ؛ لان الله سبحانه وتعالى حرّم ان يقال لهما أف فمن باب أولى يحرم كل ما هو اشد من قول أف ومنه 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بيّن سماحة الشيخ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الضابط الذي يمكن على أساسه التمسك بالأولوية لتعميم الحكم في مسالة من يتزوج امرأة طلقت طلاقا غير صحيح في الجزء السادس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والأولوية المدعاة منشؤها ان ملاك الحرمة في ذات البعل أقوى من المعتدة لان علقة الزوجية فيها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يرد على الأولوية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الأولوية لا تكون حجة إلا إذا بلغت قوة الظهور لان الظواهر حجة أما إذا كانت أولوية عقلية وحدسية فلا يكون حجة وليست أقوى أولوية من نقصان دية المرأة عند قطع أربعأصابع عن الدية بقطع ثلاث أصابع الواردة في صحيحة أبان بن تغلب </w:t>
      </w:r>
      <w:r>
        <w:rPr>
          <w:rStyle w:val="FootnoteAnchor"/>
          <w:rtl w:val="true"/>
        </w:rPr>
        <w:footnoteReference w:id="377"/>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 هذه </w:t>
      </w:r>
      <w:bookmarkStart w:id="343" w:name="pg8133_62856"/>
    </w:p>
    <w:p>
      <w:pPr>
        <w:pStyle w:val="BookText"/>
        <w:rPr/>
      </w:pPr>
      <w:bookmarkEnd w:id="343"/>
      <w:r>
        <w:rPr>
          <w:rFonts w:ascii="Amiri" w:hAnsi="Amiri" w:eastAsia="Amiri" w:cs="Amiri"/>
          <w:color w:val="111111"/>
          <w:sz w:val="28"/>
          <w:sz w:val="28"/>
          <w:szCs w:val="28"/>
          <w:rtl w:val="true"/>
          <w:lang w:bidi="ar-SA"/>
        </w:rPr>
        <w:t>الأحكام تعبدية محضة ولا نص يكشف عن علة الحكم وملاكه حتى نتمسك بعموم التعليل خصوصاً وان حكم الحرمة المؤبدة بالدخول بذات العدة ولو جهلاً غير خاص بذات العدة الرجعية حتى يمكن ان نقول أنها بلحاظ بقاء العلقة الزوجية وإنما هي شاملة لكل عدة حتى مع عدم احتمال الزوجية كالمعتدة من الطلاق الثالث وكل طلاق بائن فيه عدة أو من الوفاة وغيرها</w:t>
      </w:r>
      <w:r>
        <w:rPr>
          <w:rFonts w:eastAsia="Amiri" w:cs="Amiri" w:ascii="Amiri" w:hAnsi="Amiri"/>
          <w:color w:val="111111"/>
          <w:sz w:val="28"/>
          <w:szCs w:val="28"/>
          <w:rtl w:val="true"/>
          <w:lang w:bidi="ar-SA"/>
        </w:rPr>
        <w:t>.</w:t>
      </w:r>
    </w:p>
    <w:p>
      <w:pPr>
        <w:pStyle w:val="Heading6"/>
        <w:numPr>
          <w:ilvl w:val="5"/>
          <w:numId w:val="1"/>
        </w:numPr>
        <w:rPr/>
      </w:pPr>
      <w:bookmarkStart w:id="344" w:name="__RefHeading___Toc8193227_1051229030"/>
      <w:bookmarkStart w:id="345" w:name="_Toc125"/>
      <w:bookmarkEnd w:id="344"/>
      <w:r>
        <w:rPr>
          <w:rtl w:val="true"/>
        </w:rPr>
        <w:t>المسألة السابعة</w:t>
      </w:r>
      <w:r>
        <w:rPr>
          <w:rtl w:val="true"/>
        </w:rPr>
        <w:t xml:space="preserve">: </w:t>
      </w:r>
      <w:r>
        <w:rPr>
          <w:rtl w:val="true"/>
        </w:rPr>
        <w:t>التجريد عن الخصوصية</w:t>
      </w:r>
      <w:r>
        <w:rPr>
          <w:rtl w:val="true"/>
        </w:rPr>
        <w:t>.</w:t>
      </w:r>
      <w:bookmarkEnd w:id="345"/>
    </w:p>
    <w:p>
      <w:pPr>
        <w:pStyle w:val="BookText"/>
        <w:rPr/>
      </w:pPr>
      <w:r>
        <w:rPr>
          <w:rFonts w:ascii="Amiri" w:hAnsi="Amiri" w:eastAsia="Amiri" w:cs="Amiri"/>
          <w:color w:val="111111"/>
          <w:sz w:val="28"/>
          <w:sz w:val="28"/>
          <w:szCs w:val="28"/>
          <w:rtl w:val="true"/>
          <w:lang w:bidi="ar-SA"/>
        </w:rPr>
        <w:t>من طرق تعميم الحكم التجريد عن الخصوصية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يثبت الحكم لموضوع معين ، ولكننا نرى ان لا خصوصية لذلك الموضوع ، وانما جاء ذكره على سبيل المثال او لانه كان مورد سؤال السائل فنعمم الحكم لغيره من الموضوعات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التطبيقات التي رفضها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في الجزء الثالث عشر في مسالة مقدار دية القتل عند اختلاف الأصناف في القيمة كثيرا ، حيث ذهب البعض الى ان المهم في الدنانير والدرهم هو وزن الذهب والفضة ولا مدخلية للسكة في أجزاء دفعها ، ولكن شيخنا الأستاذ بيّن ان الروايات التي تدل على ذلك إنما جاءت في باب الصرف والربافلا يمكن تعميم هذه الفكرة لبقية الأبواب ؛ لاحتمال خصوصية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ونص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الروايات الكثيرة الدالة على أن الملحوظ في الدنانير والدراهم وزن الذهب والفضة فيهما عند التعامل وعلى هذا فلا فرق بين المسكوك وغيره كصحيحة أبي بصير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آتي الصيرفي بالدراهم </w:t>
      </w:r>
    </w:p>
    <w:p>
      <w:pPr>
        <w:pStyle w:val="BookText"/>
        <w:rPr/>
      </w:pPr>
      <w:r>
        <w:rPr>
          <w:rFonts w:ascii="Amiri" w:hAnsi="Amiri" w:eastAsia="Amiri" w:cs="Amiri"/>
          <w:color w:val="111111"/>
          <w:sz w:val="28"/>
          <w:sz w:val="28"/>
          <w:szCs w:val="28"/>
          <w:rtl w:val="true"/>
          <w:lang w:bidi="ar-SA"/>
        </w:rPr>
        <w:t>أشتري منه الدنانير فيزن لي أكثر من حقي، ثم أبتاع منه مكاني دراهم،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 ولكن لا تزن أقل من حقك</w:t>
      </w:r>
      <w:r>
        <w:rPr>
          <w:rFonts w:eastAsia="Amiri" w:cs="Amiri" w:ascii="Amiri" w:hAnsi="Amiri"/>
          <w:color w:val="111111"/>
          <w:sz w:val="28"/>
          <w:szCs w:val="28"/>
          <w:rtl w:val="true"/>
          <w:lang w:bidi="ar-SA"/>
        </w:rPr>
        <w:t>)</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 xml:space="preserve">وصحيحة عبد الرحمن بن الحجاج 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يشتري من الرجل الدراهم بالدنانير فيزنها وينقدها ويحسب ثمنها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فرغ من وزنها وانتقادها</w:t>
      </w:r>
      <w:r>
        <w:rPr>
          <w:rFonts w:eastAsia="Amiri" w:cs="Amiri" w:ascii="Amiri" w:hAnsi="Amiri"/>
          <w:color w:val="111111"/>
          <w:sz w:val="28"/>
          <w:szCs w:val="28"/>
          <w:rtl w:val="true"/>
          <w:lang w:bidi="ar-SA"/>
        </w:rPr>
        <w:t xml:space="preserve">) </w:t>
      </w:r>
      <w:r>
        <w:rPr>
          <w:rStyle w:val="FootnoteAnchor"/>
          <w:rtl w:val="true"/>
        </w:rPr>
        <w:footnoteReference w:id="379"/>
      </w:r>
      <w:r>
        <w:rPr>
          <w:rFonts w:ascii="Amiri" w:hAnsi="Amiri" w:eastAsia="Amiri" w:cs="Amiri"/>
          <w:color w:val="111111"/>
          <w:sz w:val="28"/>
          <w:sz w:val="28"/>
          <w:szCs w:val="28"/>
          <w:rtl w:val="true"/>
          <w:lang w:bidi="ar-SA"/>
        </w:rPr>
        <w:t>وفي</w:t>
      </w:r>
    </w:p>
    <w:p>
      <w:pPr>
        <w:pStyle w:val="BookText"/>
        <w:rPr/>
      </w:pPr>
      <w:r>
        <w:rPr>
          <w:rFonts w:ascii="IRNazanin" w:hAnsi="IRNazanin" w:eastAsia="IRNazanin"/>
          <w:color w:val="111111"/>
          <w:sz w:val="28"/>
          <w:sz w:val="28"/>
          <w:szCs w:val="28"/>
          <w:rtl w:val="true"/>
          <w:lang w:bidi="fa-IR"/>
        </w:rPr>
        <w:t xml:space="preserve">معتبرة إسحاق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يأتيني بالورق فأشتريها منه بالدنانير فأشتغل عن تعيير وزنها وانتقادها</w:t>
      </w:r>
      <w:r>
        <w:rPr>
          <w:rFonts w:eastAsia="IRNazanin" w:cs="IRNazanin"/>
          <w:color w:val="111111"/>
          <w:sz w:val="28"/>
          <w:szCs w:val="28"/>
          <w:rtl w:val="true"/>
          <w:lang w:bidi="fa-IR"/>
        </w:rPr>
        <w:t xml:space="preserve">) </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18/168</w:t>
      </w:r>
      <w:r>
        <w:rPr>
          <w:rFonts w:ascii="Amiri" w:hAnsi="Amiri" w:eastAsia="Amiri" w:cs="Amiri"/>
          <w:color w:val="111111"/>
          <w:sz w:val="28"/>
          <w:sz w:val="28"/>
          <w:szCs w:val="28"/>
          <w:rtl w:val="true"/>
          <w:lang w:bidi="ar-SA"/>
        </w:rPr>
        <w:t xml:space="preserve">، أبواب الصرف، 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استعمال الوزن في الدراهم التي فيها غش من غير الفضة فتوزن لمعرفة مقدار الفضة فيها، أما الدراهم الجياد المعروفة بالوضح فإنها تباع عدداً وقد صرّحت صحيحة عبد الرحمن بن الحجاج بذلك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أشتري الشيء بالدراهم فأعطي الناقص الحبة والحبتين،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تبيّنه،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نحو هذه الدراهم الأوضاحية التي تكون عندنا عدداً</w:t>
      </w:r>
      <w:r>
        <w:rPr>
          <w:rFonts w:eastAsia="Amiri" w:cs="Amiri" w:ascii="Amiri" w:hAnsi="Amiri"/>
          <w:color w:val="111111"/>
          <w:sz w:val="28"/>
          <w:szCs w:val="28"/>
          <w:rtl w:val="true"/>
          <w:lang w:bidi="ar-SA"/>
        </w:rPr>
        <w:t xml:space="preserve">) </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18/187</w:t>
      </w:r>
      <w:r>
        <w:rPr>
          <w:rFonts w:ascii="Amiri" w:hAnsi="Amiri" w:eastAsia="Amiri" w:cs="Amiri"/>
          <w:color w:val="111111"/>
          <w:sz w:val="28"/>
          <w:sz w:val="28"/>
          <w:szCs w:val="28"/>
          <w:rtl w:val="true"/>
          <w:lang w:bidi="ar-SA"/>
        </w:rPr>
        <w:t>، الباب السابق، 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قياس باطل وتجريد عن الخصوصية في غير محله؛ لأن هذهالروايات كلها وردت في أبواب الصرف والربا</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 xml:space="preserve">ورد في ذكر مهر أزواج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لبيان الموضوع والتعريف بالأوزان كصحيحة معاوية بن وهب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ساق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اثنتي عشرة أوقية ونشاً، والأوقية أربعون درهماً، والنش نصف الأوقية عشرون درهماً وكان ذلك خمسمائة درهم،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بوزننا؟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وسائل الشيعة</w:t>
      </w:r>
      <w:r>
        <w:rPr>
          <w:rFonts w:eastAsia="IRNazanin" w:cs="IRNazanin"/>
          <w:color w:val="111111"/>
          <w:sz w:val="28"/>
          <w:szCs w:val="28"/>
          <w:rtl w:val="true"/>
          <w:lang w:bidi="fa-IR"/>
        </w:rPr>
        <w:t xml:space="preserve">: </w:t>
      </w:r>
      <w:r>
        <w:rPr>
          <w:rFonts w:eastAsia="IRNazanin" w:cs="IRNazanin"/>
          <w:color w:val="111111"/>
          <w:sz w:val="28"/>
          <w:szCs w:val="28"/>
          <w:lang w:bidi="fa-IR"/>
        </w:rPr>
        <w:t>21/244</w:t>
      </w:r>
      <w:r>
        <w:rPr>
          <w:rFonts w:ascii="IRNazanin" w:hAnsi="IRNazanin" w:eastAsia="IRNazanin"/>
          <w:color w:val="111111"/>
          <w:sz w:val="28"/>
          <w:sz w:val="28"/>
          <w:szCs w:val="28"/>
          <w:rtl w:val="true"/>
          <w:lang w:bidi="fa-IR"/>
        </w:rPr>
        <w:t xml:space="preserve">، كتاب النكاح، أبواب المهور، 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دلت الروايات على </w:t>
      </w:r>
    </w:p>
    <w:p>
      <w:pPr>
        <w:pStyle w:val="BookText"/>
        <w:rPr/>
      </w:pPr>
      <w:r>
        <w:rPr>
          <w:rFonts w:ascii="IRNazanin" w:hAnsi="IRNazanin" w:eastAsia="IRNazanin"/>
          <w:color w:val="111111"/>
          <w:sz w:val="28"/>
          <w:sz w:val="28"/>
          <w:szCs w:val="28"/>
          <w:rtl w:val="true"/>
          <w:lang w:bidi="fa-IR"/>
        </w:rPr>
        <w:t xml:space="preserve">حرمة الربا في الذهب والفضة سواء كان مسكوكاً أو غيره ففي صحيحة الوليد بن صبيح قال 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الذهب بالذهب، والفضة بالفضة الفضل بينهما هو الربا المنكر</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وصحيحة محمد بن مسلم عن أبي جعفر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الورق بالورق وزناً بوزن والذهب وزناً بوزن</w:t>
      </w:r>
      <w:r>
        <w:rPr>
          <w:rFonts w:eastAsia="Amiri" w:cs="Amiri" w:ascii="Amiri" w:hAnsi="Amiri"/>
          <w:color w:val="111111"/>
          <w:sz w:val="28"/>
          <w:szCs w:val="28"/>
          <w:rtl w:val="true"/>
          <w:lang w:bidi="ar-SA"/>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ولذا نهي عن البيع بالتفاضل بين وزنين من جنس واحد مما فيه الربا ففي صحيحة عبد الرحمن بن الحجاج 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فبعثنا بالغلة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الدراهم غير النقية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فصرفوا ألفاً وخمسين منها بألف من الدمشقية والبصرية،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هذا، أفلا يجعلون فيها ذهباً لمكان زيادتها</w:t>
      </w:r>
      <w:r>
        <w:rPr>
          <w:rFonts w:eastAsia="Amiri" w:cs="Amiri" w:ascii="Amiri" w:hAnsi="Amiri"/>
          <w:color w:val="111111"/>
          <w:sz w:val="28"/>
          <w:szCs w:val="28"/>
          <w:rtl w:val="true"/>
          <w:lang w:bidi="ar-SA"/>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 xml:space="preserve">ومفهوم رواية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الدراهم بالدراهم وعن فضل ما بينهما؟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بينهما نحاس أو ذهب فلا بأس</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الحكم قد يختلف عما عليه في باب آخر بحسب الدليل فالقياس باطل، ففي الزكاة مثلاً ورد التفريق بوضوح بين المسكوك وغيره كصحيحة علي بن يقطين عن أبي إبراهيم وفيه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وكل ما لم يكن ركازاً فليس عليك فيه شيء،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الركاز؟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الصامت المنقوش،ثم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ذلك فاسبكه فإنه ليس في سبائك الذهاب ونقار الفضة شيء من الزكاة</w:t>
      </w:r>
      <w:r>
        <w:rPr>
          <w:rFonts w:eastAsia="IRNazanin" w:cs="IRNazanin"/>
          <w:color w:val="111111"/>
          <w:sz w:val="28"/>
          <w:szCs w:val="28"/>
          <w:rtl w:val="true"/>
          <w:lang w:bidi="fa-IR"/>
        </w:rPr>
        <w:t>)(</w:t>
      </w:r>
      <w:r>
        <w:rPr>
          <w:rStyle w:val="FootnoteAnchor"/>
          <w:rtl w:val="true"/>
        </w:rPr>
        <w:footnoteReference w:id="386"/>
      </w:r>
      <w:r>
        <w:rPr>
          <w:rFonts w:ascii="IRNazanin" w:hAnsi="IRNazanin" w:eastAsia="IRNazanin"/>
          <w:color w:val="111111"/>
          <w:sz w:val="28"/>
          <w:sz w:val="28"/>
          <w:szCs w:val="28"/>
          <w:rtl w:val="true"/>
          <w:lang w:bidi="fa-IR"/>
        </w:rPr>
        <w:t xml:space="preserve">، ورواية جميل بن دراج عن أبي عبد الله وأبي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bookmarkStart w:id="346" w:name="pg8133_62859"/>
    </w:p>
    <w:p>
      <w:pPr>
        <w:pStyle w:val="BookText"/>
        <w:rPr/>
      </w:pPr>
      <w:bookmarkEnd w:id="346"/>
      <w:r>
        <w:rPr>
          <w:rFonts w:ascii="Amiri" w:hAnsi="Amiri" w:eastAsia="Amiri" w:cs="Amiri"/>
          <w:color w:val="111111"/>
          <w:sz w:val="28"/>
          <w:sz w:val="28"/>
          <w:szCs w:val="28"/>
          <w:rtl w:val="true"/>
          <w:lang w:bidi="ar-SA"/>
        </w:rPr>
        <w:t>أنهما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التبر زكاة، إنما هي على الدنانير والدراهم</w:t>
      </w:r>
      <w:r>
        <w:rPr>
          <w:rFonts w:eastAsia="Amiri" w:cs="Amiri" w:ascii="Amiri" w:hAnsi="Amiri"/>
          <w:color w:val="111111"/>
          <w:sz w:val="28"/>
          <w:szCs w:val="28"/>
          <w:rtl w:val="true"/>
          <w:lang w:bidi="ar-SA"/>
        </w:rPr>
        <w:t>)</w:t>
      </w:r>
      <w:r>
        <w:rPr>
          <w:rStyle w:val="FootnoteAnchor"/>
          <w:rtl w:val="true"/>
        </w:rPr>
        <w:footnoteReference w:id="38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ومعتبرة علي بن يقطين عن أبي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تجب الزكاة في ما سُبك فراراً به من الزكاة، ألا ترى أن المنفعة قد ذهبت، فلذلك لا تجب الزكاة</w:t>
      </w:r>
      <w:r>
        <w:rPr>
          <w:rFonts w:eastAsia="IRNazanin" w:cs="IRNazanin"/>
          <w:color w:val="111111"/>
          <w:sz w:val="28"/>
          <w:szCs w:val="28"/>
          <w:rtl w:val="true"/>
          <w:lang w:bidi="fa-IR"/>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إذن يشترط في الدية أن تكون من الذهب والفضة مضروبين بسكة المعاملة ولم يتم دليل على كفاية وزنهما، وقد صرّح المشهور بهذا الشرط وأضاف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يكفي ألف مثقال ذهب أو عشرة آلاف مثقال فضة غير مسكوكين</w:t>
      </w:r>
      <w:r>
        <w:rPr>
          <w:rFonts w:eastAsia="Amiri" w:cs="Amiri" w:ascii="Amiri" w:hAnsi="Amiri"/>
          <w:color w:val="111111"/>
          <w:sz w:val="28"/>
          <w:szCs w:val="28"/>
          <w:rtl w:val="true"/>
          <w:lang w:bidi="ar-SA"/>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عليه مشهور الفقهاء المعاصرين من أدائها بالوزن لا دليل عليه ومخالف لمبانيهم، والفرق في القيمة بين الدرهم المسكوك ووزنه من الفضة غير المسكوكة بما لا يسقطه العرف والعقلاء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يقال بكفاية أداء الوزن من الذهب الخالص باعتبار أن خلوصه من المعادن المضافة عند السك يعادل الزيادة في قيمة العملة بعد سكها كما قرّبنا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ويكون الجواز أوضح على القول بإجزاء دفع القيمة في الذهب</w:t>
      </w:r>
      <w:r>
        <w:rPr>
          <w:rFonts w:eastAsia="Amiri" w:cs="Amiri" w:ascii="Amiri" w:hAnsi="Amiri"/>
          <w:color w:val="111111"/>
          <w:sz w:val="28"/>
          <w:szCs w:val="28"/>
          <w:rtl w:val="true"/>
          <w:lang w:bidi="ar-SA"/>
        </w:rPr>
        <w:t>.</w:t>
      </w:r>
    </w:p>
    <w:p>
      <w:pPr>
        <w:pStyle w:val="Heading6"/>
        <w:numPr>
          <w:ilvl w:val="5"/>
          <w:numId w:val="1"/>
        </w:numPr>
        <w:rPr/>
      </w:pPr>
      <w:bookmarkStart w:id="347" w:name="__RefHeading___Toc8193229_1051229030"/>
      <w:bookmarkStart w:id="348" w:name="_Toc126"/>
      <w:bookmarkEnd w:id="347"/>
      <w:r>
        <w:rPr>
          <w:rtl w:val="true"/>
        </w:rPr>
        <w:t>المسألة الثامنة</w:t>
      </w:r>
      <w:r>
        <w:rPr>
          <w:rtl w:val="true"/>
        </w:rPr>
        <w:t xml:space="preserve">: </w:t>
      </w:r>
      <w:r>
        <w:rPr>
          <w:rtl w:val="true"/>
        </w:rPr>
        <w:t>الفرد المشكوك دخوله تحت الخاص</w:t>
      </w:r>
      <w:r>
        <w:rPr>
          <w:rtl w:val="true"/>
        </w:rPr>
        <w:t>.</w:t>
      </w:r>
      <w:bookmarkEnd w:id="348"/>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عندما يكون لدينا عموم شامل لكل الافراد ، ثم يأتي خاص ليخرج بعضا منها ، ونشكفي خروج البعض الاخر يجب ان نتمسك بحكم العام في كل فرد شككنا في دخوله تحت الخاص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جاء هذا المطلب في عدة مواضع من فقه الخلاف ، ومنها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في الجزء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مسالة تحديد سن البلوغ وعلاماته ، اذ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عرفنا كيفية الجمع بين الروايات بحسب دلالة الروايات أنفسها ولكن لو تنزلنا وافترضنا استقرار التعارض بين القولين فإنه يحصل الشك في جريان التكاليف والأحكام فيما بين الحدين وحينئذٍ ننظر في مقتضى العمومات الفوقانية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فنعمل بمقتضى الأصول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والعمومات الفوقانية مختلفة بحسب الأحكام ففي العبادات يلزم الصبي بها عند الشك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أَقِيمُوا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عَلَيكُمُ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خرج منها المتيقن عدم بلوغه بحديث الرفع ونحوه ويبقى غيره مشمولاً بعموم الخطاب، لجريان العام في الفرد المشكوك دخوله تحت الخاص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الجزء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مسالة شرط الفرسخين في وجوب صلاة الجمعة ، اذ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شككنا في الحكم الخاص بالمسألة لسبب أو آخر من الإشكالات المتقدمة فنتمسك بالعمومات والإطلاقات الجارية في المقام، وهي تقتضي وجوب حضور أبناء المدينة الواحدة في صلاة الجمعة إذا زادت مسافتهم على الفرسخين تمسكاً بعمومات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نُودِيَ لِلصَّلاةِ مِنْ يَوْمِ الْجُمُعَةِ فَاسَعَوْا إِلَى ذِكْرِ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والروايات الكثيرة المعتبرة الدالة على وجوب الحضور التي ذكرناها في مسألة الوجوب التعييني لإقامة صلاة الجمعة والحضور فيها</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ووجهه أن الفرد المشكوك دخوله تحت الخاص يبقى تحت العام،والخاص هنا سقوط الوجوب عمن كان على رأس فرسخين، بعد أن شككنا </w:t>
      </w:r>
      <w:bookmarkStart w:id="349" w:name="pg8133_62861"/>
    </w:p>
    <w:p>
      <w:pPr>
        <w:pStyle w:val="BookText"/>
        <w:rPr/>
      </w:pPr>
      <w:bookmarkEnd w:id="349"/>
      <w:r>
        <w:rPr>
          <w:rFonts w:ascii="Amiri" w:hAnsi="Amiri" w:eastAsia="Amiri" w:cs="Amiri"/>
          <w:color w:val="111111"/>
          <w:sz w:val="28"/>
          <w:sz w:val="28"/>
          <w:szCs w:val="28"/>
          <w:rtl w:val="true"/>
          <w:lang w:bidi="ar-SA"/>
        </w:rPr>
        <w:t>في إطلاقه وشموله لمن كان على هذه المسافة من سكان نفس 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الجزء الحادي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مسالة ارث الزوجة من العقار ، اذ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الاقتصار في تخصيص العمومات القطعية على القدر المتيقن المجمع عليه والمصرَّح به في النصوص للكبرى المعروفة في علم الأصول وما زاد عن الرباع غير مجمعٍ عليه ولا تدل عليه النصوص بنحو معتبر لما ذكرناه من رجوع الروايات إلى بعضها، قال الشيخ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 شيخنا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 لما فيه من تقليل التخصيص، فإن القرآن دال على التوريث مطلقاً، فالتخصيص مخالف، وكلما قلّ كان أولى</w:t>
      </w:r>
      <w:r>
        <w:rPr>
          <w:rFonts w:eastAsia="Amiri" w:cs="Amiri" w:ascii="Amiri" w:hAnsi="Amiri"/>
          <w:color w:val="111111"/>
          <w:sz w:val="28"/>
          <w:szCs w:val="28"/>
          <w:rtl w:val="true"/>
          <w:lang w:bidi="ar-SA"/>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50" w:name="__RefHeading___Toc8193231_1051229030"/>
      <w:bookmarkStart w:id="351" w:name="_Toc127"/>
      <w:bookmarkEnd w:id="350"/>
      <w:r>
        <w:rPr>
          <w:rtl w:val="true"/>
        </w:rPr>
        <w:t>المسألة التاسعة</w:t>
      </w:r>
      <w:r>
        <w:rPr>
          <w:rtl w:val="true"/>
        </w:rPr>
        <w:t xml:space="preserve">: </w:t>
      </w:r>
      <w:r>
        <w:rPr>
          <w:rtl w:val="true"/>
        </w:rPr>
        <w:t>خروج الافراد الدال على عدم العموم</w:t>
      </w:r>
      <w:r>
        <w:rPr>
          <w:rtl w:val="true"/>
        </w:rPr>
        <w:t>.</w:t>
      </w:r>
      <w:bookmarkEnd w:id="351"/>
    </w:p>
    <w:p>
      <w:pPr>
        <w:pStyle w:val="BookText"/>
        <w:rPr/>
      </w:pPr>
      <w:r>
        <w:rPr>
          <w:rFonts w:ascii="Amiri" w:hAnsi="Amiri" w:eastAsia="Amiri" w:cs="Amiri"/>
          <w:color w:val="111111"/>
          <w:sz w:val="28"/>
          <w:sz w:val="28"/>
          <w:szCs w:val="28"/>
          <w:rtl w:val="true"/>
          <w:lang w:bidi="ar-SA"/>
        </w:rPr>
        <w:t>من المعروف في علم الأصول انه اذا كان لدينا عموم او اطلاق ثم جاء دليل شرعي فاخرج بعض أفراد ذلك العام ، او قيد اطلاق المطلق ، فان ذلك يعرف بالتخصيص او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سماحة الشيخ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في الجزء الثاني عشر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هامش الصفحة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مطلب اصولي مهم أراد تاسيسه ،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خروج بعض الافراد من العام قد يكشف عن عدم تمامية العموم من الأصل ، ونص كلامه</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 نؤسس لمطلب أصولي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خروج بعض الموارد من تحت عام أو مطلق قد لا يعبِّر عن مجرد تخصيص أو تقييد فيهما وإنما يكون كاشفاً عن أن العموم والإطلاق غير تام في نفسه والخارج عنهما لا يقتصر على المذكورات أي أن نكتة الخروج ثبوتية يمكن أن تعمِّم الخارج لا إثباتية </w:t>
      </w:r>
      <w:bookmarkStart w:id="352" w:name="pg8133_62862"/>
    </w:p>
    <w:p>
      <w:pPr>
        <w:pStyle w:val="BookText"/>
        <w:rPr/>
      </w:pPr>
      <w:bookmarkEnd w:id="352"/>
      <w:r>
        <w:rPr>
          <w:rFonts w:ascii="Amiri" w:hAnsi="Amiri" w:eastAsia="Amiri" w:cs="Amiri"/>
          <w:color w:val="111111"/>
          <w:sz w:val="28"/>
          <w:sz w:val="28"/>
          <w:szCs w:val="28"/>
          <w:rtl w:val="true"/>
          <w:lang w:bidi="ar-SA"/>
        </w:rPr>
        <w:t>بالدليل الخاص مقتصرة على المذكورات فيُنظر في الأدلةلاكتشاف النكتة الثبوتية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ويتفرع على هذا المطلب أن ما أسسناه في علم الأصول من دخول الفرد المشكوك تحت العام إذا لم يتيقن دخوله تحت الخاص صحيح إلا أن يكشف الخاص عن ضيق دائرة العام</w:t>
      </w:r>
      <w:r>
        <w:rPr>
          <w:rFonts w:eastAsia="Amiri" w:cs="Amiri" w:ascii="Amiri" w:hAnsi="Amiri"/>
          <w:color w:val="111111"/>
          <w:sz w:val="28"/>
          <w:szCs w:val="28"/>
          <w:rtl w:val="true"/>
          <w:lang w:bidi="ar-SA"/>
        </w:rPr>
        <w:t>.</w:t>
      </w:r>
    </w:p>
    <w:p>
      <w:pPr>
        <w:pStyle w:val="Heading6"/>
        <w:numPr>
          <w:ilvl w:val="5"/>
          <w:numId w:val="1"/>
        </w:numPr>
        <w:rPr/>
      </w:pPr>
      <w:bookmarkStart w:id="353" w:name="__RefHeading___Toc8193233_1051229030"/>
      <w:bookmarkStart w:id="354" w:name="_Toc128"/>
      <w:bookmarkEnd w:id="353"/>
      <w:r>
        <w:rPr>
          <w:rtl w:val="true"/>
        </w:rPr>
        <w:t>المسألة العاشرة</w:t>
      </w:r>
      <w:r>
        <w:rPr>
          <w:rtl w:val="true"/>
        </w:rPr>
        <w:t xml:space="preserve">: </w:t>
      </w:r>
      <w:r>
        <w:rPr>
          <w:rtl w:val="true"/>
        </w:rPr>
        <w:t>التمسك بالعام في الشبهة المصداقية</w:t>
      </w:r>
      <w:r>
        <w:rPr>
          <w:rtl w:val="true"/>
        </w:rPr>
        <w:t>.</w:t>
      </w:r>
      <w:bookmarkEnd w:id="354"/>
    </w:p>
    <w:p>
      <w:pPr>
        <w:pStyle w:val="BookText"/>
        <w:rPr/>
      </w:pPr>
      <w:r>
        <w:rPr>
          <w:rFonts w:ascii="Amiri" w:hAnsi="Amiri" w:eastAsia="Amiri" w:cs="Amiri"/>
          <w:color w:val="111111"/>
          <w:sz w:val="28"/>
          <w:sz w:val="28"/>
          <w:szCs w:val="28"/>
          <w:rtl w:val="true"/>
          <w:lang w:bidi="ar-SA"/>
        </w:rPr>
        <w:t xml:space="preserve">جاء في الجزء السادس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مسالة حكم العقد المنقطع على الباكر دون اذن وليها بيان من سماحة الشيخ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للرد على تطبيق لقاعدة عدم حجية العام في الشبهة المصداقية ،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الروايات الخاصة بالمقام وقال عنها السيد الخوئي</w:t>
      </w:r>
      <w:r>
        <w:rPr>
          <w:rStyle w:val="FootnoteAnchor"/>
          <w:rtl w:val="true"/>
        </w:rPr>
        <w:footnoteReference w:id="3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هذه النصوص لا تخلو أجمعها من الضعف في الدلالة أو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والتحقيق في دعواه يتطلب النظر فيها تفصيلاً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الفضلاء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التي قد ملكت نفسها غير السفيهة ولا المولى عليها تزويجها بغير ولي جائز</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والولي المنفي عنها هو الولي عن غير النكاح وإلا أصبحت قضية بشرط المحمول وهي لا معنى لها إذ سيصبح معناها أن من لا ولاية عليها في النكاح فنكاحها بلا إذن الولي جائز، أما ما فهمناه فيجعل القيد بياناً شارحاً لمعنى ملكت نفسها</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أن المناقشة في الاستدلال بهذه الصحيحة </w:t>
      </w:r>
    </w:p>
    <w:p>
      <w:pPr>
        <w:pStyle w:val="BookText"/>
        <w:rPr/>
      </w:pPr>
      <w:r>
        <w:rPr>
          <w:rFonts w:ascii="Amiri" w:hAnsi="Amiri" w:eastAsia="Amiri" w:cs="Amiri"/>
          <w:color w:val="111111"/>
          <w:sz w:val="28"/>
          <w:sz w:val="28"/>
          <w:szCs w:val="28"/>
          <w:rtl w:val="true"/>
          <w:lang w:bidi="ar-SA"/>
        </w:rPr>
        <w:t>تكاد أن تكون واضحة فإن الموضوع فيها هي الجارية وهي أعم من البكر والثيب ومن هنا فلا تكون هذه الصحيحة صريحة فيالمدّعى ومن النصوص الخاصة في المقام وإنما هي مطلقة فيكون حالها حال الآيات والنصوص المتقدمة لا تصلح لمعارضة ما دلّ على اعتبار إذن الولي – لو تمت دلالة وسنداً</w:t>
      </w:r>
      <w:r>
        <w:rPr>
          <w:rFonts w:eastAsia="Amiri" w:cs="Amiri" w:ascii="Amiri" w:hAnsi="Amiri"/>
          <w:color w:val="111111"/>
          <w:sz w:val="28"/>
          <w:szCs w:val="28"/>
          <w:rtl w:val="true"/>
          <w:lang w:bidi="ar-SA"/>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ذكر للجارية فيها بل إن الموضوع المذكور فيها المرأة فلعله من سهو القلم وهي أيضاً كما قال أعم من البكر والثيب وهذا العموم لمصلحة المستدل لا ضده كما يوحي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وبالعموم والشمول للبكر يستدل صاحب هذا القول فكان الأولى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يصفها بأنها مجملة إذ قد يراد بالمرأة التي ملكت نفسها الثيّب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أي حال فإنها قابلة للتخصيص بما دلّ على اشتراط الإذن لو تم وربما كان يشير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بقوله إنها لا تصلح للمعارضة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من الرواية أن علة سقوط ولاية الأب كونها مالكة لأمرها بلا فرق بين كونها بكراً أو ثيباً فبعموم التعليل يستدل على استقلال البنت المتصفة بهذه الصفة لا بعموم المرأة حتى تكون قابلة للتخصيص وهذه نكتة يجب الالتفات إليها</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وتضاف هنا نكتة أخرى وهي أن هذه الطائفة من الروايات ورد فيها التعبير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الكبيرة الناضجة الرشيدة مقابل الرجل، أما البنت الصغيرة حديثة العهد بالبلوغ فأطلقت عليها الروايات في الطائفة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مقابل الغلام فهذا التنوع يشير إلى العلة التي ذكرناها والتفريق بلحاظ رشد المرأة ونضجها</w:t>
      </w:r>
      <w:r>
        <w:rPr>
          <w:rFonts w:eastAsia="Amiri" w:cs="Amiri" w:ascii="Amiri" w:hAnsi="Amiri"/>
          <w:color w:val="111111"/>
          <w:sz w:val="28"/>
          <w:szCs w:val="28"/>
          <w:rtl w:val="true"/>
          <w:lang w:bidi="ar-SA"/>
        </w:rPr>
        <w:t xml:space="preserve">. </w:t>
      </w:r>
      <w:bookmarkStart w:id="355" w:name="pg8133_62864"/>
    </w:p>
    <w:p>
      <w:pPr>
        <w:pStyle w:val="BookText"/>
        <w:rPr/>
      </w:pPr>
      <w:bookmarkEnd w:id="355"/>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من التمسك بالعام في الشبهة المصداقية وهو ممنوع،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الموضوع هنا مركب من جزئين المرأة المالكة أمرها وأخذ عموم المرأة للبكر والثيب جزءاً للموضوع ليثبت الحكم وهو استقلالها بالولاية خصص بروايات اشتراط إذن الأب فخرجت البكر منالموضوع فلا يجوز التمسك بالعام فيها ويعود الموضوع إلى الثيِّب المالكة نفسها ويكون القيد توضيحياً لا احترازياً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أوجب التخصيص هي المعارضة بين عموم المرأة واشتراط إذن ولي الأمر وسيأتي بإذن الله تعالى أن هذه المعارضة لا واقع لها لأن موضوع الحكم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استقلال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موضوع الحكم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اشتراط إذن ولي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ارتفع المانع من التمسك بعموم المرأة تنقح موضوع حكم العام وهو استقلالها بالتصرف وجاز التمسك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الموضوع هنا واحد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المالكة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وتصلح أن تخصّص روايات اشتراط إذن الولي خصوصاً مع ضميمة القرائن التي أقمناها على أن مفاد روايات الاشتراط أخصّ من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الأصل في القيود أنها احترازية</w:t>
      </w:r>
      <w:r>
        <w:rPr>
          <w:rFonts w:eastAsia="Amiri" w:cs="Amiri" w:ascii="Amiri" w:hAnsi="Amiri"/>
          <w:color w:val="111111"/>
          <w:sz w:val="28"/>
          <w:szCs w:val="28"/>
          <w:rtl w:val="true"/>
          <w:lang w:bidi="ar-SA"/>
        </w:rPr>
        <w:t>.</w:t>
      </w:r>
    </w:p>
    <w:p>
      <w:pPr>
        <w:pStyle w:val="Heading6"/>
        <w:numPr>
          <w:ilvl w:val="5"/>
          <w:numId w:val="1"/>
        </w:numPr>
        <w:rPr/>
      </w:pPr>
      <w:bookmarkStart w:id="356" w:name="__RefHeading___Toc8193235_1051229030"/>
      <w:bookmarkStart w:id="357" w:name="_Toc129"/>
      <w:bookmarkEnd w:id="356"/>
      <w:r>
        <w:rPr>
          <w:rtl w:val="true"/>
        </w:rPr>
        <w:t>المسألة الحادية عشرة</w:t>
      </w:r>
      <w:r>
        <w:rPr>
          <w:rtl w:val="true"/>
        </w:rPr>
        <w:t xml:space="preserve">: </w:t>
      </w:r>
      <w:r>
        <w:rPr>
          <w:rtl w:val="true"/>
        </w:rPr>
        <w:t>المخصص المجمل مفهوما</w:t>
      </w:r>
      <w:r>
        <w:rPr>
          <w:rtl w:val="true"/>
        </w:rPr>
        <w:t>.</w:t>
      </w:r>
      <w:bookmarkEnd w:id="357"/>
    </w:p>
    <w:p>
      <w:pPr>
        <w:pStyle w:val="BookText"/>
        <w:rPr/>
      </w:pPr>
      <w:r>
        <w:rPr>
          <w:rFonts w:ascii="Amiri" w:hAnsi="Amiri" w:eastAsia="Amiri" w:cs="Amiri"/>
          <w:color w:val="111111"/>
          <w:sz w:val="28"/>
          <w:sz w:val="28"/>
          <w:szCs w:val="28"/>
          <w:rtl w:val="true"/>
          <w:lang w:bidi="ar-SA"/>
        </w:rPr>
        <w:t>ان المخصص من حيث المفهوم قد يكون مبينا وقد يكون مجملا ، فاذا كان مبينا عرفنا بالتحديد المعنى الذي خرج من العام كما لو عرفنا ان مفهوم الفاسق هو خصوص مرتكب الكبيرة فَلَو اُمرنا بإكرام العالم الا الفاسق سنعرف ان المتبقي تحت العام هو كل عالم لم يرتكب الكبيرة</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البحث فيما لو كان المخصص مجملا ودار الإجمال فيه بين الأقل والأكثر كما لو دار مفهوم الفاسق بين خصوص مرتكب الكبيرة او مرتكب </w:t>
      </w:r>
      <w:bookmarkStart w:id="358" w:name="pg8133_62865"/>
    </w:p>
    <w:p>
      <w:pPr>
        <w:pStyle w:val="BookText"/>
        <w:rPr/>
      </w:pPr>
      <w:bookmarkEnd w:id="358"/>
      <w:r>
        <w:rPr>
          <w:rFonts w:ascii="IRNazanin" w:hAnsi="IRNazanin" w:eastAsia="IRNazanin"/>
          <w:color w:val="111111"/>
          <w:sz w:val="28"/>
          <w:sz w:val="28"/>
          <w:szCs w:val="28"/>
          <w:rtl w:val="true"/>
          <w:lang w:bidi="fa-IR"/>
        </w:rPr>
        <w:t>الذنب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فالأقل وهو القدر المتيقن سيخرج من العام بلا اشكال ، ولكن الأكثر سيدور أمره بين الخروج من العام او بقاء العام حجة فيه ، وقد ذهب سماحة الشيخ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العام يبقى حجة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ذلك في الجزء السابع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مسالة حكم الصلاة في عرفة لمن أقامفي مكة ، ونص ما قاله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لدينا هنا عاماً هو وجوب التقصير على المسافر، وقد ورد عليه مخصص وهو المقيم فإنه يتم، لكن هذا المخصص كان مجملاً مفهوماً في الأزيد من القدر المتيقن وهو الخروج غير المنافي لصدق الإقامة، والمختار في علم الأصول الاقتصار من هذا الخاص على القدر المتيقن، وشمول العام للأزيد المشكوك من الخاص إذا كان على نحو الشبهة المفهومية الدائرة بين الأقل والأكثر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لا مجال لاستصحاب الخاص وفق ما قربوه في تنبيهات الاستصحاب</w:t>
      </w:r>
      <w:r>
        <w:rPr>
          <w:rStyle w:val="FootnoteAnchor"/>
          <w:rtl w:val="true"/>
        </w:rPr>
        <w:footnoteReference w:id="394"/>
      </w:r>
      <w:r>
        <w:rPr>
          <w:rFonts w:ascii="Amiri" w:hAnsi="Amiri" w:eastAsia="Amiri" w:cs="Amiri"/>
          <w:color w:val="111111"/>
          <w:sz w:val="28"/>
          <w:sz w:val="28"/>
          <w:szCs w:val="28"/>
          <w:rtl w:val="true"/>
          <w:lang w:bidi="ar-SA"/>
        </w:rPr>
        <w:t>لصدق موضوع العام وهو المسافر عرفاً، خصوصاً على مختارنا من التفصيل في حجية الاستصحاب بين الشك في الرافع فيجري وبين الشك في المقتضي فلا يجري، وهنا الشك في المقتضي أي كون الإقامة التي خرج منها إلى ما ينافيها فيها اقتضاء استمرارية التمام</w:t>
      </w:r>
      <w:r>
        <w:rPr>
          <w:rFonts w:eastAsia="Amiri" w:cs="Amiri" w:ascii="Amiri" w:hAnsi="Amiri"/>
          <w:color w:val="111111"/>
          <w:sz w:val="28"/>
          <w:szCs w:val="28"/>
          <w:rtl w:val="true"/>
          <w:lang w:bidi="ar-SA"/>
        </w:rPr>
        <w:t>.</w:t>
      </w:r>
    </w:p>
    <w:p>
      <w:pPr>
        <w:pStyle w:val="Heading6"/>
        <w:numPr>
          <w:ilvl w:val="5"/>
          <w:numId w:val="1"/>
        </w:numPr>
        <w:rPr/>
      </w:pPr>
      <w:bookmarkStart w:id="359" w:name="__RefHeading___Toc8193237_1051229030"/>
      <w:bookmarkStart w:id="360" w:name="_Toc130"/>
      <w:bookmarkEnd w:id="359"/>
      <w:r>
        <w:rPr>
          <w:rtl w:val="true"/>
        </w:rPr>
        <w:t>المسألة الثانية عشرة</w:t>
      </w:r>
      <w:r>
        <w:rPr>
          <w:rtl w:val="true"/>
        </w:rPr>
        <w:t xml:space="preserve">: </w:t>
      </w:r>
      <w:r>
        <w:rPr>
          <w:rtl w:val="true"/>
        </w:rPr>
        <w:t>المورد لا يخصص الوارد</w:t>
      </w:r>
      <w:r>
        <w:rPr>
          <w:rtl w:val="true"/>
        </w:rPr>
        <w:t>.</w:t>
      </w:r>
      <w:bookmarkEnd w:id="360"/>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كثير من الحالات يشرع الحكم في مورد معين او في مناسبة معينة ، كما </w:t>
      </w:r>
      <w:bookmarkStart w:id="361" w:name="pg8133_62866"/>
    </w:p>
    <w:p>
      <w:pPr>
        <w:pStyle w:val="BookText"/>
        <w:rPr/>
      </w:pPr>
      <w:bookmarkEnd w:id="361"/>
      <w:r>
        <w:rPr>
          <w:rFonts w:ascii="Amiri" w:hAnsi="Amiri" w:eastAsia="Amiri" w:cs="Amiri"/>
          <w:color w:val="111111"/>
          <w:sz w:val="28"/>
          <w:sz w:val="28"/>
          <w:szCs w:val="28"/>
          <w:rtl w:val="true"/>
          <w:lang w:bidi="ar-SA"/>
        </w:rPr>
        <w:t>هو الحال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إِنْ جاءَكُمْ فاسِقٌ بِنَبَإٍ فَتَبَيَّنُوا أَنْ تُصِيبُوا قَوْماً بِجَهالَةٍ فَتُصْبِحُوا عَلى ما فَعَلْتُمْ نادِمِينَ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نزل في واقعة 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اتفق الأصوليون على ان المورد لا يخصص الوارد ، ومن هنا قالوا بعدم حجية خبر الفاسق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تطبيقات هذه المسالة ما ذكره سماحة الشيخ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الجزءالسادس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مسالة وجوب الخمس في الميراث ،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وأشكل على الاستدلال بالآية بأن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 بغنائم الحرب كما تشهد استعمالاته في القرآن الكريم فينصرف إليه اللفظ في هذه الآية خصوصاً وأنها واردة ضمن مجموعة آيات تتناول معركة بدر فيُظنّ أن المراد بالغنيمة ما يؤخذ بالحرب إلا أن هذا الظن غير صحيح لعدة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القاعدة المعروفة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المورد لا يخصّص الوارد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خُصّصت كل آية بمورد نزولها لخرج القرآن عن كونه كتاباً خالداً يأخذ بأيدي البشر نحو الكمال حتى قيام يوم الدين، فمثلاً لا يكتفى بتخصيص الآية بغنائم الحرب بل بغنائم معركة بدر خاصة</w:t>
      </w:r>
      <w:r>
        <w:rPr>
          <w:rFonts w:eastAsia="Amiri" w:cs="Amiri" w:ascii="Amiri" w:hAnsi="Amiri"/>
          <w:color w:val="111111"/>
          <w:sz w:val="28"/>
          <w:szCs w:val="28"/>
          <w:rtl w:val="true"/>
          <w:lang w:bidi="ar-SA"/>
        </w:rPr>
        <w:t>.</w:t>
      </w:r>
    </w:p>
    <w:p>
      <w:pPr>
        <w:pStyle w:val="Heading6"/>
        <w:numPr>
          <w:ilvl w:val="5"/>
          <w:numId w:val="1"/>
        </w:numPr>
        <w:rPr/>
      </w:pPr>
      <w:bookmarkStart w:id="362" w:name="__RefHeading___Toc8193239_1051229030"/>
      <w:bookmarkStart w:id="363" w:name="_Toc131"/>
      <w:bookmarkEnd w:id="362"/>
      <w:r>
        <w:rPr>
          <w:rtl w:val="true"/>
        </w:rPr>
        <w:t>المسألة الثالثة عشرة</w:t>
      </w:r>
      <w:r>
        <w:rPr>
          <w:rtl w:val="true"/>
        </w:rPr>
        <w:t xml:space="preserve">: </w:t>
      </w:r>
      <w:r>
        <w:rPr>
          <w:rtl w:val="true"/>
        </w:rPr>
        <w:t>التطبيق لا يخصص العموم</w:t>
      </w:r>
      <w:r>
        <w:rPr>
          <w:rtl w:val="true"/>
        </w:rPr>
        <w:t>.</w:t>
      </w:r>
      <w:bookmarkEnd w:id="363"/>
    </w:p>
    <w:p>
      <w:pPr>
        <w:pStyle w:val="BookText"/>
        <w:rPr/>
      </w:pPr>
      <w:r>
        <w:rPr>
          <w:rFonts w:ascii="IRNazanin" w:hAnsi="IRNazanin" w:eastAsia="IRNazanin"/>
          <w:color w:val="111111"/>
          <w:sz w:val="28"/>
          <w:sz w:val="28"/>
          <w:szCs w:val="28"/>
          <w:rtl w:val="true"/>
          <w:lang w:bidi="fa-IR"/>
        </w:rPr>
        <w:t xml:space="preserve">في كثير من الحالات يطبّق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حكما من الاحكام على مصداق معين، فبحث علماء الأصول في ان تطبيق الحكم على المصداق يجعله خاصا بذلك المصداق ام ان التطبيق لا يخصص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سماحة الشيخ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الجزء السادس من نفس المسألة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التطبيق على مصداق معين لا يصلح </w:t>
      </w:r>
      <w:bookmarkStart w:id="364" w:name="pg8133_62867"/>
    </w:p>
    <w:p>
      <w:pPr>
        <w:pStyle w:val="BookText"/>
        <w:rPr/>
      </w:pPr>
      <w:bookmarkEnd w:id="364"/>
      <w:r>
        <w:rPr>
          <w:rFonts w:ascii="Amiri" w:hAnsi="Amiri" w:eastAsia="Amiri" w:cs="Amiri"/>
          <w:color w:val="111111"/>
          <w:sz w:val="28"/>
          <w:sz w:val="28"/>
          <w:szCs w:val="28"/>
          <w:rtl w:val="true"/>
          <w:lang w:bidi="ar-SA"/>
        </w:rPr>
        <w:t>للتخصيص ، اذ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غاية ما تدل عليه كلمات المستشكل هو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الآية في مرحلة التنفيذ والإجراء على خصوص غنائم الحرب وهي لا شك من مصاديق الغنيمة، لكن هذا لا يقيد إطلاقها ويمنع شمولها للمصاديق الأخرى إذ قد يجد ولي الأمر مصلحة في تنفيذ القانون على بعض المصاديق وتأجيله في المصاديق الأخرى</w:t>
      </w:r>
      <w:r>
        <w:rPr>
          <w:rFonts w:eastAsia="IRNazanin" w:cs="IRNazanin"/>
          <w:color w:val="111111"/>
          <w:sz w:val="28"/>
          <w:szCs w:val="28"/>
          <w:rtl w:val="true"/>
          <w:lang w:bidi="fa-IR"/>
        </w:rPr>
        <w:t>.</w:t>
      </w:r>
    </w:p>
    <w:p>
      <w:pPr>
        <w:pStyle w:val="Heading6"/>
        <w:numPr>
          <w:ilvl w:val="5"/>
          <w:numId w:val="1"/>
        </w:numPr>
        <w:rPr/>
      </w:pPr>
      <w:bookmarkStart w:id="365" w:name="__RefHeading___Toc8193241_1051229030"/>
      <w:bookmarkStart w:id="366" w:name="_Toc132"/>
      <w:bookmarkEnd w:id="365"/>
      <w:r>
        <w:rPr>
          <w:rtl w:val="true"/>
        </w:rPr>
        <w:t>المسألة الرابعة عشرة</w:t>
      </w:r>
      <w:r>
        <w:rPr>
          <w:rtl w:val="true"/>
        </w:rPr>
        <w:t xml:space="preserve">: </w:t>
      </w:r>
      <w:r>
        <w:rPr>
          <w:rtl w:val="true"/>
        </w:rPr>
        <w:t>تخصيص الكتاب بالسنة</w:t>
      </w:r>
      <w:r>
        <w:rPr>
          <w:rtl w:val="true"/>
        </w:rPr>
        <w:t>.</w:t>
      </w:r>
      <w:bookmarkEnd w:id="366"/>
    </w:p>
    <w:p>
      <w:pPr>
        <w:pStyle w:val="BookText"/>
        <w:rPr/>
      </w:pPr>
      <w:r>
        <w:rPr>
          <w:rFonts w:ascii="Amiri" w:hAnsi="Amiri" w:eastAsia="Amiri" w:cs="Amiri"/>
          <w:color w:val="111111"/>
          <w:sz w:val="28"/>
          <w:sz w:val="28"/>
          <w:szCs w:val="28"/>
          <w:rtl w:val="true"/>
          <w:lang w:bidi="ar-SA"/>
        </w:rPr>
        <w:t>اثار البعض إشكالية في مسالة تخصيص الكتاب بالسنة باعتبار ان الكتاب قطعي الصدور فكيف يخصص بما هو ظني الصدور ؟</w:t>
      </w:r>
    </w:p>
    <w:p>
      <w:pPr>
        <w:pStyle w:val="BookText"/>
        <w:rPr/>
      </w:pPr>
      <w:r>
        <w:rPr>
          <w:rFonts w:ascii="Amiri" w:hAnsi="Amiri" w:eastAsia="Amiri" w:cs="Amiri"/>
          <w:color w:val="111111"/>
          <w:sz w:val="28"/>
          <w:sz w:val="28"/>
          <w:szCs w:val="28"/>
          <w:rtl w:val="true"/>
          <w:lang w:bidi="ar-SA"/>
        </w:rPr>
        <w:t xml:space="preserve">الا ان علماء المسلمين قد اتفقوا على إمكانية تخصيص الكتاب بالسنة ، ومن كلمات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المقام ما جاء في الجزء الحادي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مسالة ارث الزوجة من العقار ، اذ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يحصل من مجموع هذه الروايات القطع بصدور حكم عن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بحرمان الزوجة من الأرض في الجملة حتى وإن لم نقل بتواترها عدداً باعتبار تداخل جملة منها مع بعضها وربما سنبيّن ذلك لاحقاً</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وبحسب القواعد فإن هذا الحكم مخصّص لعمومات وإطلاقات الكتاب لأنه أخص منها موضوعاً، وهذه الكبرى –أي تخصيص الكتاب بالسنة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متفق عليها لدى علماء الإسلام وقد وقع تخصيص آيات الكتاب بالسنة في موارد كثيرة يسلّم بها الفريقان، وأذكر مثالاً واحداً لتثبيت الفكرة كتخصيص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 فِي أَوْلادِكُمْ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لِلرِّجَالِ نَصِيبٌ مِمَّا تَرَكَ الْوَالِدَانِ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ورد عن النبي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يرث القاتل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يتوارث أهل ملتين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واما مخالفة علماء العامة للإمامية في المسألة محل البحث فليس للخلاف في هذه الكبرى بل لأنهم حرموا أنفسهم من الأخذ عن معين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الصافي، وهذا الحكم لم يرو إلا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لا مانع كبروياً من تقييد إطلاقات استحقاق الزوجة من كل ما ترك زوجها بهذه الروايات الآنفة، 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لم يقل بهذا الحكم الخاص، ولم يعمل بهذه الروايات فليس إشكاله كبروياً</w:t>
      </w:r>
      <w:r>
        <w:rPr>
          <w:rFonts w:eastAsia="Amiri" w:cs="Amiri" w:ascii="Amiri" w:hAnsi="Amiri"/>
          <w:color w:val="111111"/>
          <w:sz w:val="28"/>
          <w:szCs w:val="28"/>
          <w:rtl w:val="true"/>
          <w:lang w:bidi="ar-SA"/>
        </w:rPr>
        <w:t xml:space="preserve">. </w:t>
      </w:r>
      <w:bookmarkStart w:id="367" w:name="pg8133_62869"/>
    </w:p>
    <w:p>
      <w:pPr>
        <w:pStyle w:val="Heading6"/>
        <w:numPr>
          <w:ilvl w:val="5"/>
          <w:numId w:val="1"/>
        </w:numPr>
        <w:rPr/>
      </w:pPr>
      <w:bookmarkStart w:id="368" w:name="__RefHeading___Toc8193243_1051229030"/>
      <w:bookmarkStart w:id="369" w:name="_Toc133"/>
      <w:bookmarkEnd w:id="367"/>
      <w:bookmarkEnd w:id="368"/>
      <w:r>
        <w:rPr>
          <w:rtl w:val="true"/>
        </w:rPr>
        <w:t>رابعًا</w:t>
      </w:r>
      <w:r>
        <w:rPr>
          <w:rtl w:val="true"/>
        </w:rPr>
        <w:t xml:space="preserve">: </w:t>
      </w:r>
      <w:r>
        <w:rPr>
          <w:rtl w:val="true"/>
        </w:rPr>
        <w:t>المفاهيم</w:t>
      </w:r>
      <w:bookmarkEnd w:id="369"/>
    </w:p>
    <w:p>
      <w:pPr>
        <w:pStyle w:val="Heading6"/>
        <w:numPr>
          <w:ilvl w:val="5"/>
          <w:numId w:val="1"/>
        </w:numPr>
        <w:rPr/>
      </w:pPr>
      <w:bookmarkStart w:id="370" w:name="__RefHeading___Toc8193245_1051229030"/>
      <w:bookmarkStart w:id="371" w:name="_Toc134"/>
      <w:bookmarkEnd w:id="370"/>
      <w:r>
        <w:rPr>
          <w:rtl w:val="true"/>
        </w:rPr>
        <w:t>اشارة</w:t>
      </w:r>
      <w:bookmarkEnd w:id="371"/>
    </w:p>
    <w:p>
      <w:pPr>
        <w:pStyle w:val="BookText"/>
        <w:rPr/>
      </w:pPr>
      <w:r>
        <w:rPr>
          <w:rFonts w:ascii="Amiri" w:hAnsi="Amiri" w:eastAsia="Amiri" w:cs="Amiri"/>
          <w:color w:val="111111"/>
          <w:sz w:val="28"/>
          <w:sz w:val="28"/>
          <w:szCs w:val="28"/>
          <w:rtl w:val="true"/>
          <w:lang w:bidi="ar-SA"/>
        </w:rPr>
        <w:t>يعد مبحث المفاهيم واحداً من اهم مباحث الدليل اللفظي في علم الأصول ، خاصة انه ينتج معلومة إضافية فيمكننا ان نستفيد من المدلول الالتزامي للدليل فضلا عن مدلولها المطابقي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وسنتناول هنا المهم مما ذكر في فقه الخلاف حول تطبيقات المفاهيم ضمن مسائل سبعة ،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تقدم الجزاء على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المسوق لتحقق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التفصيلية بقوة الشرطية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مفهوم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استفادة المفهوم من القرينة</w:t>
      </w:r>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الوصف واللقب</w:t>
      </w:r>
      <w:r>
        <w:rPr>
          <w:rFonts w:eastAsia="Amiri" w:cs="Amiri" w:ascii="Amiri" w:hAnsi="Amiri"/>
          <w:color w:val="111111"/>
          <w:sz w:val="28"/>
          <w:szCs w:val="28"/>
          <w:rtl w:val="true"/>
          <w:lang w:bidi="ar-SA"/>
        </w:rPr>
        <w:t>.</w:t>
      </w:r>
    </w:p>
    <w:p>
      <w:pPr>
        <w:pStyle w:val="Heading6"/>
        <w:numPr>
          <w:ilvl w:val="5"/>
          <w:numId w:val="1"/>
        </w:numPr>
        <w:rPr/>
      </w:pPr>
      <w:bookmarkStart w:id="372" w:name="__RefHeading___Toc8193247_1051229030"/>
      <w:bookmarkStart w:id="373" w:name="_Toc135"/>
      <w:bookmarkEnd w:id="372"/>
      <w:r>
        <w:rPr>
          <w:rtl w:val="true"/>
        </w:rPr>
        <w:t>المسألة الأولى</w:t>
      </w:r>
      <w:r>
        <w:rPr>
          <w:rtl w:val="true"/>
        </w:rPr>
        <w:t xml:space="preserve">: </w:t>
      </w:r>
      <w:r>
        <w:rPr>
          <w:rtl w:val="true"/>
        </w:rPr>
        <w:t>دلالة تقدم الجزاء على الشرط</w:t>
      </w:r>
      <w:r>
        <w:rPr>
          <w:rtl w:val="true"/>
        </w:rPr>
        <w:t>.</w:t>
      </w:r>
      <w:bookmarkEnd w:id="373"/>
    </w:p>
    <w:p>
      <w:pPr>
        <w:pStyle w:val="BookText"/>
        <w:rPr/>
      </w:pPr>
      <w:r>
        <w:rPr>
          <w:rFonts w:ascii="Amiri" w:hAnsi="Amiri" w:eastAsia="Amiri" w:cs="Amiri"/>
          <w:color w:val="111111"/>
          <w:sz w:val="28"/>
          <w:sz w:val="28"/>
          <w:szCs w:val="28"/>
          <w:rtl w:val="true"/>
          <w:lang w:bidi="ar-SA"/>
        </w:rPr>
        <w:t>من الجمل التي شغلت البحث الأصولي في مبحث المفاهيم جملة الشرط ، فقال المشهور بثبوت المفهوم للجملة الشرطية ، بمعنى انتفاء الجزاء بانتفاء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ويسلط سماحة الشخ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الضوء على نقطة مهمة جدا في هذا الموضوع ، فبيّن ان مفهوم الجملة الشرطية يكون اظهر وأوضح فيما لو تقدم الجزاء على الشرط كما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اكرم أخاك اذا زارك</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جاء هذا الكلام في الجزء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مسالة طهارة غير المسلمين ، ونص كلام سماحته هناك هو</w:t>
      </w:r>
      <w:r>
        <w:rPr>
          <w:rFonts w:eastAsia="Amiri" w:cs="Amiri" w:ascii="Amiri" w:hAnsi="Amiri"/>
          <w:color w:val="111111"/>
          <w:sz w:val="28"/>
          <w:szCs w:val="28"/>
          <w:rtl w:val="true"/>
          <w:lang w:bidi="ar-SA"/>
        </w:rPr>
        <w:t xml:space="preserve">: </w:t>
      </w:r>
      <w:bookmarkStart w:id="374" w:name="pg8133_62870"/>
    </w:p>
    <w:p>
      <w:pPr>
        <w:pStyle w:val="BookText"/>
        <w:rPr/>
      </w:pPr>
      <w:bookmarkEnd w:id="374"/>
      <w:r>
        <w:rPr>
          <w:rFonts w:ascii="IRNazanin" w:hAnsi="IRNazanin" w:eastAsia="IRNazanin"/>
          <w:color w:val="111111"/>
          <w:sz w:val="28"/>
          <w:sz w:val="28"/>
          <w:szCs w:val="28"/>
          <w:rtl w:val="true"/>
          <w:lang w:bidi="fa-IR"/>
        </w:rPr>
        <w:t xml:space="preserve">صحيحة محمد بن مسلم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آنية أهل الكتاب،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تأكل في آنيتهم إذا كانوا يأكلون فيه الميتة والدم ولحم الخنزير</w:t>
      </w:r>
      <w:r>
        <w:rPr>
          <w:rFonts w:eastAsia="IRNazanin" w:cs="IRNazanin"/>
          <w:color w:val="111111"/>
          <w:sz w:val="28"/>
          <w:szCs w:val="28"/>
          <w:rtl w:val="true"/>
          <w:lang w:bidi="fa-IR"/>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بتقريب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مفهوم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الأكل في آنيتهم إذا اجتنبوا هذه النجاسات مع مساورتهم إياها بالرطوبات فهم طاهرون ذاتاً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وناقش فيها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الشرطية فيه ليست لها مفهوم</w:t>
      </w:r>
      <w:r>
        <w:rPr>
          <w:rFonts w:eastAsia="Amiri" w:cs="Amiri" w:ascii="Amiri" w:hAnsi="Amiri"/>
          <w:color w:val="111111"/>
          <w:sz w:val="28"/>
          <w:szCs w:val="28"/>
          <w:rtl w:val="true"/>
          <w:lang w:bidi="ar-SA"/>
        </w:rPr>
        <w:t xml:space="preserve">»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نعلم وجهاً لنفي المفهوم في هذه الجملة التي هي أوضح الجمل في تحقق المفهوم لتقدم الجزاء على الشرط، إلا أن يقال أن الوجه في عدم المفهوم عدم كون العلة لاجتناب الأكل من آنيتهم وهي النجاسة العرضية بأكل الميتة والدم غير منحصرة لاحتمال أن العلة هي النجاسة الذاتية لأهل الكتاب، لكن هذا مردود لأن فيه مصادرة على المطلوب، وقيل أن الوجه كون الشرطية مسوقة لبيان تحقق الموضوع فلا مفهوم لها، وهو مردود أيضاً لأن الموضوع –وهو الآنية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حتى مع انتفاء الشرط وهو عدم أكل النجاسات المذكورة فيها</w:t>
      </w:r>
      <w:r>
        <w:rPr>
          <w:rFonts w:eastAsia="Amiri" w:cs="Amiri" w:ascii="Amiri" w:hAnsi="Amiri"/>
          <w:color w:val="111111"/>
          <w:sz w:val="28"/>
          <w:szCs w:val="28"/>
          <w:rtl w:val="true"/>
          <w:lang w:bidi="ar-SA"/>
        </w:rPr>
        <w:t>.</w:t>
      </w:r>
    </w:p>
    <w:p>
      <w:pPr>
        <w:pStyle w:val="Heading6"/>
        <w:numPr>
          <w:ilvl w:val="5"/>
          <w:numId w:val="1"/>
        </w:numPr>
        <w:rPr/>
      </w:pPr>
      <w:bookmarkStart w:id="375" w:name="__RefHeading___Toc8193249_1051229030"/>
      <w:bookmarkStart w:id="376" w:name="_Toc136"/>
      <w:bookmarkEnd w:id="375"/>
      <w:r>
        <w:rPr>
          <w:rtl w:val="true"/>
        </w:rPr>
        <w:t>المسألة الثانية</w:t>
      </w:r>
      <w:r>
        <w:rPr>
          <w:rtl w:val="true"/>
        </w:rPr>
        <w:t xml:space="preserve">: </w:t>
      </w:r>
      <w:r>
        <w:rPr>
          <w:rtl w:val="true"/>
        </w:rPr>
        <w:t>الشرط المسوق لتحقق الموضوع</w:t>
      </w:r>
      <w:r>
        <w:rPr>
          <w:rtl w:val="true"/>
        </w:rPr>
        <w:t>.</w:t>
      </w:r>
      <w:bookmarkEnd w:id="376"/>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 مشهور علماء الأصول الى ان المفهوم لا ينعقد للجملة الشرطية فيما لو كان الشرط مسوقًا لتحقق الموضوع ؛ لان نتيجة ذلك هو انتفاء الحكم بانتفاء موضوعه لا لانتفاء شرطه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مجال تطبيق هذه المسالة تزل اقدام الكثيرين ، فاننا غالبا ما نجد اعتراضا على الاستدلال بمفهوم الشرطية باعتبار ان الشرط فيها مسوق لتحقق 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التطبيقات المهمة لهذه المسالة ما جاء في الجزء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مسالة الوجوب التعييني لصلاة الجمعة ، ونص كلام سماحة الشيخ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فالآية </w:t>
      </w:r>
      <w:r>
        <w:rPr>
          <w:rStyle w:val="FootnoteAnchor"/>
          <w:rtl w:val="true"/>
        </w:rPr>
        <w:footnoteReference w:id="397"/>
      </w:r>
      <w:r>
        <w:rPr>
          <w:rFonts w:ascii="Amiri" w:hAnsi="Amiri" w:eastAsia="Amiri" w:cs="Amiri"/>
          <w:color w:val="111111"/>
          <w:sz w:val="28"/>
          <w:sz w:val="28"/>
          <w:szCs w:val="28"/>
          <w:rtl w:val="true"/>
          <w:lang w:bidi="ar-SA"/>
        </w:rPr>
        <w:t>تعتبر صلاة الجمعة مفروضة الانعقاد والإقامة بدعوة الإمام أو نائبه الفقيه الجامع للشرائط إليها وإنما نزلت الآية لبيان الحكم بوجوب الحضور فيها وحرمة البيع وقت النداء لصلاة الجمعة وهي أحكام فرعية لاحقة للحكم بأصل الوجوب فهو تعبير حسن عن وجوب الفعل بوجوب مقدماته، وإذا كان للآية دلالة على وجوب إقامة صلاة الجمعة فبهذا التقريب، ولا يتم التقريب الذي ذكره صاحب الحدائق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فالمستفاد من الآية المذكورة الأمر بالسعي إلى صلاة الجمعة لكل واحد من المؤمنين متى تحقق الأذان لها أو دخول وقته، وحيث أن الأصل عدم التقييد بشرط يلزم عموم الوجوب بالنسبة إلى زمان الغيبة والحضور</w:t>
      </w:r>
      <w:r>
        <w:rPr>
          <w:rFonts w:eastAsia="Amiri" w:cs="Amiri" w:ascii="Amiri" w:hAnsi="Amiri"/>
          <w:color w:val="111111"/>
          <w:sz w:val="28"/>
          <w:szCs w:val="28"/>
          <w:rtl w:val="true"/>
          <w:lang w:bidi="ar-SA"/>
        </w:rPr>
        <w:t>»</w:t>
      </w:r>
      <w:r>
        <w:rPr>
          <w:rStyle w:val="FootnoteAnchor"/>
          <w:rtl w:val="true"/>
        </w:rPr>
        <w:footnoteReference w:id="398"/>
      </w:r>
      <w:r>
        <w:rPr>
          <w:rFonts w:ascii="IRNazanin" w:hAnsi="IRNazanin" w:eastAsia="IRNazanin"/>
          <w:color w:val="111111"/>
          <w:sz w:val="28"/>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نفهم حينئذٍ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الشرطية التي تدل على انتفاء الحكم عند انتفاء الموضوع وإنما هي جملة شرطية سيقت لبيان تحقق الموضوع ومعناها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حلّ زوال يوم الجمعة فيجب السعي إلى صلاة الجمعة ويحرم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يشك العرف في وجوب إقامتها إذا أمر الشارع بالسعي إليها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الآية لا دلالة لها على الوجوب التعييني بوجه وذلك لوجهين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قضية شرطية وقد علّق فيها وجوب السعي إلى الصلاة على النداء إليها فقال عزّ من قائل إذا نودي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ذلك أنهمتى ما تحققت إقامة الجمعة في الخارج في نفسها ونودي إليها وجب السعي نحوها وأما أنَّ النداء إليها وإقامتها واجبان مطلقاً على كل مكلف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يستفاد منها أبداً، بل مقتضى المفهوم المستفاد من الجملة الشرطية عدم وجوب صلاة الجمعة إذا لم يناد إليها ولم يتحقق إقامتها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والإشكال قديم أورده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رسالته عن صلاة الجمعة</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إن الآية لا تدل على وجوب إقامة صلاة الجمعة بوجه وقد مرّ تقريبه وقلنا إنه أأكد في الدلالة على الوجوب وأحسن في التعبير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وإن كانت بصورة الجملة الشرطية إلا أنها لا تفيد التعليق أي تعليق الجزاء على الشرط وإنما هي مسوقة لبيان تحقق الموضوع وهو النداء نظير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رُزقت ولداً فاختنه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هذا فلا يستفاد من الآية شرطية النداء لوجوب صلاة 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الجملة مسوقة لبيان تحقق الموضوع فلا يكون لها مفهوم حتى تدل على عدم الوجوب عند عدم النداء</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لوازم كون الجملة الشرطية مسوقة لبيان الموضوع كون المفهوم مما لا معنى له وهنا يصحّ المفهوم إذ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لم ينادَ لصلاة </w:t>
      </w:r>
      <w:bookmarkStart w:id="377" w:name="pg8133_62873"/>
    </w:p>
    <w:p>
      <w:pPr>
        <w:pStyle w:val="BookText"/>
        <w:rPr/>
      </w:pPr>
      <w:bookmarkEnd w:id="377"/>
      <w:r>
        <w:rPr>
          <w:rFonts w:ascii="Amiri" w:hAnsi="Amiri" w:eastAsia="Amiri" w:cs="Amiri"/>
          <w:color w:val="111111"/>
          <w:sz w:val="28"/>
          <w:sz w:val="28"/>
          <w:szCs w:val="28"/>
          <w:rtl w:val="true"/>
          <w:lang w:bidi="ar-SA"/>
        </w:rPr>
        <w:t>الجمعة فلا تسعوا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صحة هذا المفهوم ناشئ من ملاحظة الدلالة المطابقية للآية وعدم الالتفات إلى المعنى الحقيقي المكنّى عنه حيث قلنا أن المراد بالنداء دخول الوقت وحينئذٍ لا يصحّ المفهوم 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يدخل الوقت فلا تسعوا إلى صلاة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معنى له</w:t>
      </w:r>
      <w:r>
        <w:rPr>
          <w:rFonts w:eastAsia="Amiri" w:cs="Amiri" w:ascii="Amiri" w:hAnsi="Amiri"/>
          <w:color w:val="111111"/>
          <w:sz w:val="28"/>
          <w:szCs w:val="28"/>
          <w:rtl w:val="true"/>
          <w:lang w:bidi="ar-SA"/>
        </w:rPr>
        <w:t>.</w:t>
      </w:r>
    </w:p>
    <w:p>
      <w:pPr>
        <w:pStyle w:val="Heading6"/>
        <w:numPr>
          <w:ilvl w:val="5"/>
          <w:numId w:val="1"/>
        </w:numPr>
        <w:rPr/>
      </w:pPr>
      <w:bookmarkStart w:id="378" w:name="__RefHeading___Toc8193251_1051229030"/>
      <w:bookmarkStart w:id="379" w:name="_Toc137"/>
      <w:bookmarkEnd w:id="378"/>
      <w:r>
        <w:rPr>
          <w:rtl w:val="true"/>
        </w:rPr>
        <w:t>المسألة الثالثة</w:t>
      </w:r>
      <w:r>
        <w:rPr>
          <w:rtl w:val="true"/>
        </w:rPr>
        <w:t>: (</w:t>
      </w:r>
      <w:r>
        <w:rPr>
          <w:rtl w:val="true"/>
        </w:rPr>
        <w:t>اما</w:t>
      </w:r>
      <w:r>
        <w:rPr>
          <w:rtl w:val="true"/>
        </w:rPr>
        <w:t xml:space="preserve">) </w:t>
      </w:r>
      <w:r>
        <w:rPr>
          <w:rtl w:val="true"/>
        </w:rPr>
        <w:t>التفصيلية بقوة الشرطية</w:t>
      </w:r>
      <w:r>
        <w:rPr>
          <w:rtl w:val="true"/>
        </w:rPr>
        <w:t>.</w:t>
      </w:r>
      <w:bookmarkEnd w:id="379"/>
    </w:p>
    <w:p>
      <w:pPr>
        <w:pStyle w:val="BookText"/>
        <w:rPr/>
      </w:pPr>
      <w:r>
        <w:rPr>
          <w:rFonts w:ascii="Amiri" w:hAnsi="Amiri" w:eastAsia="Amiri" w:cs="Amiri"/>
          <w:color w:val="111111"/>
          <w:sz w:val="28"/>
          <w:sz w:val="28"/>
          <w:szCs w:val="28"/>
          <w:rtl w:val="true"/>
          <w:lang w:bidi="ar-SA"/>
        </w:rPr>
        <w:t xml:space="preserve">من اركان الجملة الشرطية أداة الشرط ، وأدوات الشرط معروفة عندنا ، الا ان سماحة الشيخ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التفصيلية وان لم تكن من أدوات الشرط الا انها بقوة الشرطية فتفيد حصر الحكم بالموضوع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هذا الكلام في الجزء الخامس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مسالة الزكاة في أموال الصغير ، اذ قال سماحة الشيخ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الغلات فعليها الصدقة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في حصر الوجوب بها؛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تفصيلية، وهي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أهل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بقوة الشرطية فيكون لها مفهوم، ولازمه نفي الوجوب عما سواها</w:t>
      </w:r>
      <w:r>
        <w:rPr>
          <w:rFonts w:eastAsia="IRNazanin" w:cs="IRNazanin"/>
          <w:color w:val="111111"/>
          <w:sz w:val="28"/>
          <w:szCs w:val="28"/>
          <w:rtl w:val="true"/>
          <w:lang w:bidi="fa-IR"/>
        </w:rPr>
        <w:t>.</w:t>
      </w:r>
    </w:p>
    <w:p>
      <w:pPr>
        <w:pStyle w:val="Heading6"/>
        <w:numPr>
          <w:ilvl w:val="5"/>
          <w:numId w:val="1"/>
        </w:numPr>
        <w:rPr/>
      </w:pPr>
      <w:bookmarkStart w:id="380" w:name="__RefHeading___Toc8193253_1051229030"/>
      <w:bookmarkStart w:id="381" w:name="_Toc138"/>
      <w:bookmarkEnd w:id="380"/>
      <w:r>
        <w:rPr>
          <w:rtl w:val="true"/>
        </w:rPr>
        <w:t>المسألة الرابعة</w:t>
      </w:r>
      <w:r>
        <w:rPr>
          <w:rtl w:val="true"/>
        </w:rPr>
        <w:t xml:space="preserve">: </w:t>
      </w:r>
      <w:r>
        <w:rPr>
          <w:rtl w:val="true"/>
        </w:rPr>
        <w:t>حجية مفهوم الغاية</w:t>
      </w:r>
      <w:r>
        <w:rPr>
          <w:rtl w:val="true"/>
        </w:rPr>
        <w:t>.</w:t>
      </w:r>
      <w:bookmarkEnd w:id="381"/>
    </w:p>
    <w:p>
      <w:pPr>
        <w:pStyle w:val="BookText"/>
        <w:rPr/>
      </w:pPr>
      <w:r>
        <w:rPr>
          <w:rFonts w:ascii="Amiri" w:hAnsi="Amiri" w:eastAsia="Amiri" w:cs="Amiri"/>
          <w:color w:val="111111"/>
          <w:sz w:val="28"/>
          <w:sz w:val="28"/>
          <w:szCs w:val="28"/>
          <w:rtl w:val="true"/>
          <w:lang w:bidi="ar-SA"/>
        </w:rPr>
        <w:t xml:space="preserve">من الجمل التي اختلف الأصوليون في حجية مفهومها جملة الغاية ، والظاهر من كلام الشيخ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يذهب الى حجية مفهوم الغاية ، فقد جاء في الجزء السادس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مسالة من يتزوج امرأة طلقت طلاقا غير صحيح</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عبد الرحمن بن الحجاج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تزوّج امرأة ولها زوج وهو لا يعلم فطلّقها الأول أو مات عنها ثم علم </w:t>
      </w:r>
    </w:p>
    <w:p>
      <w:pPr>
        <w:pStyle w:val="BookText"/>
        <w:rPr/>
      </w:pPr>
      <w:r>
        <w:rPr>
          <w:rFonts w:ascii="Amiri" w:hAnsi="Amiri" w:eastAsia="Amiri" w:cs="Amiri"/>
          <w:color w:val="111111"/>
          <w:sz w:val="28"/>
          <w:sz w:val="28"/>
          <w:szCs w:val="28"/>
          <w:rtl w:val="true"/>
          <w:lang w:bidi="ar-SA"/>
        </w:rPr>
        <w:t>الأخير أيراجعها؟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تنقضي عدتها</w:t>
      </w:r>
      <w:r>
        <w:rPr>
          <w:rFonts w:eastAsia="Amiri" w:cs="Amiri" w:ascii="Amiri" w:hAnsi="Amiri"/>
          <w:color w:val="111111"/>
          <w:sz w:val="28"/>
          <w:szCs w:val="28"/>
          <w:rtl w:val="true"/>
          <w:lang w:bidi="ar-SA"/>
        </w:rPr>
        <w:t>)</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وتستفاد الحلية من مفهوم الغاية الذي حاصله جواز المراجعة بعد انقضاء عدتها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واكد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بحجية مفهوم الغاية في موضع اخر من الجزء السادس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جاء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عبد الرحمن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رجلتزوج امرأة ثم استبان له بعد ما دخل بها انَّ لها زوجاً غائباً فتركها ثم ان الزوج قدم فطلّقها أو مات عنها أيتزوجها بعد هذا الذي كان تزوجها ولم يعلم انَّ لها زوجاً؟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احبُّ له ان يتزوجها حتى تنكح زوجاً غيره</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تمت دلالتها على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تنتج حلية الزواج للجاهل حتى مع الدخول وقد استفيدت هذه الدلالة من قرينتين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الظاهرة في الكراهة وليس الحرمة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الغاية فانه يدل على ارتفاع المنع بعد ان تتزوج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وعندما ناقش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بهذه الصحيحة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يناقش في كبرى ثبوت المفهوم لجملة الغاية ، وانما قال ان هذه الجملة لا يثبت لها المفهوم لقرينة داخلية فيها ، ونص المناقشة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صحيحة عبد الرحمن الأخرى فلوجوه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تتعلق بالحرام كما تتعلق بالمكروه فلا تعيّن لها في الثاني حتى تستفاد الحلّية ككلمة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الخاصة بالكراهة بمعنى المرجوحية الخاصة وإنما تأتي بمعنى التحريم والمنع</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استفاده المستدل على الحلّية من مفهوم الغاية لا يمكن الأخذ به لعدم احتمال ان التزويج بالغير له مدخلية في حلّيتها له نظير المطلّقة </w:t>
      </w:r>
    </w:p>
    <w:p>
      <w:pPr>
        <w:pStyle w:val="BookText"/>
        <w:rPr/>
      </w:pPr>
      <w:r>
        <w:rPr>
          <w:rFonts w:ascii="IRNazanin" w:hAnsi="IRNazanin" w:eastAsia="IRNazanin"/>
          <w:color w:val="111111"/>
          <w:sz w:val="28"/>
          <w:sz w:val="28"/>
          <w:szCs w:val="28"/>
          <w:rtl w:val="true"/>
          <w:lang w:bidi="fa-IR"/>
        </w:rPr>
        <w:t xml:space="preserve">ثلاثاً التي تحل لزوجها الأول بعد ان تنكح زوجاً آخر 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تنكح زوجاً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يفيد الغاية وإنما يعني ان هذا الرجل عليه ان يبتعد عن هذه المرأة ويعطيها الفرصة لتنكح أي رجل آخر غيره ممن يحلّ عليها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وطبعاً، فان المستدل لا يريد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تنكح زوجاً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أنها تحلّ لهذا الزوج الداخل بها جهلاً إذا ضمّت له زوجاً غيره فان هذا لا يمكن احتماله فضلاً عن البناء عليه حتى يرد عليه السيد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Style w:val="FootnoteAnchor"/>
          <w:rtl w:val="true"/>
        </w:rPr>
        <w:footnoteReference w:id="4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كيف يمكن ان يكون تزوجها من الغير مجوزاً لتزوجها منه بل ذلك إنما يوجب عظم حالها وشدة أمرها به حيث تصبح به ذات بعل إذ لم يذكر فيها كون تزوجه منها ثانياً بعد طلاق الزوج الجديد لها وانقضاء عدتها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مما لا يحتاج إلى بيان، نظير ما لو مثّلنا في المطلّقة ثلاثاً فان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تنكح زوجا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يفهم منه ثم يطلّقها هذا المحلل أو يموت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الجزء العاشر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مسالة حرمة التصوير التصريح من سماحته بثبوت المفهوم لجملة الغاية ، اذ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w:t>
      </w:r>
      <w:r>
        <w:rPr>
          <w:rStyle w:val="FootnoteAnchor"/>
          <w:rtl w:val="true"/>
        </w:rPr>
        <w:footnoteReference w:id="404"/>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ليست شرطية وإنما هي موصولة أو ظرفية، وعلى كلا التقديرين، يكون المفهوم من قبيل مفهوم الوصف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ليس مفهوم الشرط ولا مفهوم الغاية، ولا غيرهما طبعاً، ومفهوم الوصف ليس بحجة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الإنصاف أنه من الواضح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بصدد المنع من تصوير الحيوان، مضافاً إلى بيان جواز غيره، فيكون ظهورها هذا حجة</w:t>
      </w:r>
      <w:r>
        <w:rPr>
          <w:rFonts w:eastAsia="IRNazanin" w:cs="IRNazanin"/>
          <w:color w:val="111111"/>
          <w:sz w:val="28"/>
          <w:szCs w:val="28"/>
          <w:rtl w:val="true"/>
          <w:lang w:bidi="fa-IR"/>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 xml:space="preserve">. </w:t>
      </w:r>
      <w:bookmarkStart w:id="382" w:name="pg8133_62876"/>
    </w:p>
    <w:p>
      <w:pPr>
        <w:pStyle w:val="BookText"/>
        <w:rPr/>
      </w:pPr>
      <w:bookmarkEnd w:id="382"/>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الإشكال غير وارد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ظرفية أو استثنائية وعلى التقديرين فهي غائية لها مفهوم</w:t>
      </w:r>
      <w:r>
        <w:rPr>
          <w:rFonts w:eastAsia="Amiri" w:cs="Amiri" w:ascii="Amiri" w:hAnsi="Amiri"/>
          <w:color w:val="111111"/>
          <w:sz w:val="28"/>
          <w:szCs w:val="28"/>
          <w:rtl w:val="true"/>
          <w:lang w:bidi="ar-SA"/>
        </w:rPr>
        <w:t>.</w:t>
      </w:r>
    </w:p>
    <w:p>
      <w:pPr>
        <w:pStyle w:val="Heading6"/>
        <w:numPr>
          <w:ilvl w:val="5"/>
          <w:numId w:val="1"/>
        </w:numPr>
        <w:rPr/>
      </w:pPr>
      <w:bookmarkStart w:id="383" w:name="__RefHeading___Toc8193255_1051229030"/>
      <w:bookmarkStart w:id="384" w:name="_Toc139"/>
      <w:bookmarkEnd w:id="383"/>
      <w:r>
        <w:rPr>
          <w:rtl w:val="true"/>
        </w:rPr>
        <w:t>المسألة الخامسة</w:t>
      </w:r>
      <w:r>
        <w:rPr>
          <w:rtl w:val="true"/>
        </w:rPr>
        <w:t xml:space="preserve">: </w:t>
      </w:r>
      <w:r>
        <w:rPr>
          <w:rtl w:val="true"/>
        </w:rPr>
        <w:t>مفهوم الوصف</w:t>
      </w:r>
      <w:r>
        <w:rPr>
          <w:rtl w:val="true"/>
        </w:rPr>
        <w:t>.</w:t>
      </w:r>
      <w:bookmarkEnd w:id="384"/>
    </w:p>
    <w:p>
      <w:pPr>
        <w:pStyle w:val="BookText"/>
        <w:rPr/>
      </w:pPr>
      <w:r>
        <w:rPr>
          <w:rFonts w:ascii="Amiri" w:hAnsi="Amiri" w:eastAsia="Amiri" w:cs="Amiri"/>
          <w:color w:val="111111"/>
          <w:sz w:val="28"/>
          <w:sz w:val="28"/>
          <w:szCs w:val="28"/>
          <w:rtl w:val="true"/>
          <w:lang w:bidi="ar-SA"/>
        </w:rPr>
        <w:t>بحث علماء الأصول في مفهوم الوصف ، وذهب المشهور الى ان الجملة الوصفية لا مفهوم لها ، بمعنى انها لا تنفي الحكم عن غير الموصوف ، وغاية ما تثبته ان الحكم لا يثبت للطبيعي بما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ما ذهب اليه سماحة الشيخ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 وجاء هذا المعنى في الجزء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مسالة احكام صلاة من عمله السفر ، ونص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الطائفة الثالثة </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اعتبرت عنوان الاختلاف المتقوم بالتكرّر مع البناء على الاستمرار على ذلك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ضوء هذا قد يفكر البعض بإضافة قيد آخر وهو تكرار السفرة لصدق عنوان أن عمله السفر المتقوم بالاختلاف والتردد، وقد نقل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الشهيد الثاني احتماله التكرار إلى ثلاث سفرات فلا يتم قبلها كما لا يقصّر بعدها، وعن العلامة في المختلف اختياره اعتبار السفرتين</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هذا غير صحيح لوجهين</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ابتناؤه على أن يكون للوصف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التقييد بالاختلاف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والصحيح عدمه فلا يدلُّ على أنّ غير هذا المورد غير محكوم بهذا الحكم ليتنافى مع ما سبق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ذكر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فائدة أصولية يحسن ذكرها،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ذكرنا في الأصول أن له مفهوما بمعنى آخر وهو الدلالة على عدم تعلق الحكم بالطبيعي على إطلاقه وسريانه وإلا لأصبح التقييد بالوصف لغواً محضاً، وأما أن الحكم خاص بهذا المورد ومنفي عما عداه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معنى المفهوم اصطلاحاً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فكلاّ، فغايته أن طبيعي المكاري غير محكوم بالتمام لا انه خاص بمن يختلف، ومن الجائز ثبوته لغير هذا الفرد كمن كان شغله السفر وان لم يختلف، فلا معارضة بين الطائفتين بوجه</w:t>
      </w:r>
      <w:r>
        <w:rPr>
          <w:rFonts w:eastAsia="Amiri" w:cs="Amiri" w:ascii="Amiri" w:hAnsi="Amiri"/>
          <w:color w:val="111111"/>
          <w:sz w:val="28"/>
          <w:szCs w:val="28"/>
          <w:rtl w:val="true"/>
          <w:lang w:bidi="ar-SA"/>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تأكيد هذا المطلب في الجزء السادس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مسالة وجوب الخمس في الميراث ، اذ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المذكور في صحيح ابن مهزيار </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فأما الذي أوجب من الضياع والغلات في كل عام فهو نصف السدس ممن كانت ضيعته تقوم بمؤونته، ومن كانت ضيعته لا تقوم بمؤونته فليس عليه نصف سدس ولا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التفصيل بين الذي لا يحتسب وغيره، ولأجله فصّل في المتن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المحتسب فجزم بعدم الخمس فيه اعتماداً على مفهوم الوصف، وغيره فتوقف فيه، إذ لا شبهة في عدم صدق التكسب فيه، وبذلك افترق عن الهبة</w:t>
      </w:r>
      <w:r>
        <w:rPr>
          <w:rFonts w:eastAsia="Amiri" w:cs="Amiri" w:ascii="Amiri" w:hAnsi="Amiri"/>
          <w:color w:val="111111"/>
          <w:sz w:val="28"/>
          <w:szCs w:val="28"/>
          <w:rtl w:val="true"/>
          <w:lang w:bidi="ar-SA"/>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التفصيل المزبور فلا بأس به، وقد دلّت عليه صريحاً صحيحة علي بن مهزيار</w:t>
      </w:r>
      <w:r>
        <w:rPr>
          <w:rFonts w:eastAsia="Amiri" w:cs="Amiri" w:ascii="Amiri" w:hAnsi="Amiri"/>
          <w:color w:val="111111"/>
          <w:sz w:val="28"/>
          <w:szCs w:val="28"/>
          <w:rtl w:val="true"/>
          <w:lang w:bidi="ar-SA"/>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الصحيحة إنما دلّت صريحاً على وجوبه في غير المحتسب ولا سبيل إلى نفي الوجوب عن الميراث المحتسب إلا على القول بالمفهوم، مع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اعترف بأن هذا التقييد في الصحيحة لا يدل على المفهوم عندما تناول الجائزة الخطيرة وقد وردت في نفس السياق،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والتقييد بالخطير لا يدلّ على المفهوم بالمعنى المصطلح، بل غايته الدلالة على عدم تعلّق الحكم بالطبيعي الجامع، وإلا لأصبح القيد لغواً</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صحيحاً إلا أنه لا يحقق نتيجة المفهوم لأن القيود وإن كان الأصل فيها الاحترازية وأنها ظاهرة فيها وإلا لزملغوية ذكره، إلا أن وجود القيد يدل على أن موضوع الحكم في القضية هي الحصة المقيدة وليس كل الطبيعي الجامع، ففي المورد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الميراث غير المحتسب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الحكم بوجوب الخمس لا طبيعي الميراث، ونتيجة ذلك انتفاء هذه الحصة من الحكم بانتفاء القيد من باب انتفاء الحكم بانتفاء موضوعه وهو حكم عقلي ليس من مفهوم الوصف بشيء، والانتفاء بهذا المقدار لا يعني انتفاء طبيعي الحكم وهو وجوب الخمس عن الحصة الأخرى من الموضوع وهي غير المقيدة في الجملة إذ يمكن أن يكون الوجوب فيها بدليل آخر وهو موجود في المقام وأعني بها عمومات وجوب الخمس في كل فائدة التي ذكرناها في المطلب الأول فيتعلق الخمس بالميراث المحتسب من جهة كونه فائدة لا من جهة صحيحة علي بن مهزيار</w:t>
      </w:r>
      <w:r>
        <w:rPr>
          <w:rFonts w:eastAsia="Amiri" w:cs="Amiri" w:ascii="Amiri" w:hAnsi="Amiri"/>
          <w:color w:val="111111"/>
          <w:sz w:val="28"/>
          <w:szCs w:val="28"/>
          <w:rtl w:val="true"/>
          <w:lang w:bidi="ar-SA"/>
        </w:rPr>
        <w:t xml:space="preserve">. </w:t>
      </w:r>
      <w:bookmarkStart w:id="385" w:name="pg8133_62879"/>
    </w:p>
    <w:p>
      <w:pPr>
        <w:pStyle w:val="BookText"/>
        <w:rPr/>
      </w:pPr>
      <w:bookmarkEnd w:id="385"/>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لا يبقى فرق بين الميراث المحتسب وغيره فما فائدة التقييد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مهماً أن نعرف الفرق ما دام الحكم في الحصة غير المقيدة قد استفيد من دليل آخر، ومع ذلك فالفرق موجود وهو عد الميراث غير المحتسب من الغنيمة فيكون تعلق الخمس فيه من باب وجوب الخمس في الغنيمة أما المحتسب فمن مطلق الفائدة ووجوب الخمس فيه من باب وجوبه في عموم الفائدة، ولهذه الخصوصية آثار، منها أن دفع خمس الغنيمة فوري ولا تستثنى منه مؤونة السنة بعكس الآخر، ومنها أن مصرف الأول هي العناوين التي ذكرت في الآية الشريفة بينما الثاني كله للإمام على تفصيل تقدم في مسألة سابقة</w:t>
      </w:r>
      <w:r>
        <w:rPr>
          <w:rFonts w:eastAsia="Amiri" w:cs="Amiri" w:ascii="Amiri" w:hAnsi="Amiri"/>
          <w:color w:val="111111"/>
          <w:sz w:val="28"/>
          <w:szCs w:val="28"/>
          <w:rtl w:val="true"/>
          <w:lang w:bidi="ar-SA"/>
        </w:rPr>
        <w:t>.</w:t>
      </w:r>
    </w:p>
    <w:p>
      <w:pPr>
        <w:pStyle w:val="Heading6"/>
        <w:numPr>
          <w:ilvl w:val="5"/>
          <w:numId w:val="1"/>
        </w:numPr>
        <w:rPr/>
      </w:pPr>
      <w:bookmarkStart w:id="386" w:name="__RefHeading___Toc8193257_1051229030"/>
      <w:bookmarkStart w:id="387" w:name="_Toc140"/>
      <w:bookmarkEnd w:id="386"/>
      <w:r>
        <w:rPr>
          <w:rtl w:val="true"/>
        </w:rPr>
        <w:t>المسألة السادسة</w:t>
      </w:r>
      <w:r>
        <w:rPr>
          <w:rtl w:val="true"/>
        </w:rPr>
        <w:t xml:space="preserve">: </w:t>
      </w:r>
      <w:r>
        <w:rPr>
          <w:rtl w:val="true"/>
        </w:rPr>
        <w:t>استفادة المفهوم من القرينة</w:t>
      </w:r>
      <w:r>
        <w:rPr>
          <w:rtl w:val="true"/>
        </w:rPr>
        <w:t>.</w:t>
      </w:r>
      <w:bookmarkEnd w:id="387"/>
    </w:p>
    <w:p>
      <w:pPr>
        <w:pStyle w:val="BookText"/>
        <w:rPr/>
      </w:pPr>
      <w:r>
        <w:rPr>
          <w:rFonts w:ascii="Amiri" w:hAnsi="Amiri" w:eastAsia="Amiri" w:cs="Amiri"/>
          <w:color w:val="111111"/>
          <w:sz w:val="28"/>
          <w:sz w:val="28"/>
          <w:szCs w:val="28"/>
          <w:rtl w:val="true"/>
          <w:lang w:bidi="ar-SA"/>
        </w:rPr>
        <w:t>بعد ان بنينا على ان الجملة الوصفية لا مفهوم لها ، نقول هنا ان ذلك لا يعني ان كلجملة وصفية تكون خالية من المفهوم ؛ لانه قد توجد قرينة خاصة تدل على المفهوم ، فيستفاد المفهوم من القرينة الخاصة لا من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تطبيقات هذه المسالة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الجزء الخامس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مسالة الزكاة في أموال الصغير عند مناقشة القول بوجوب الزكاة في مواشي الصغير الذي استدل عليه بعدة ادلة منها صحيحة زرارة ومحمد بن مسلم </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التي قربت بتقريبين كان اولهما</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مفهوم نفي وجوب الزكاة في الصامت وهو يقتضي وجوبها في الناطق أي الحيوان، لا من جهة مجرد دلالة الجملة الوصفية على المفهوم بل لنكتة </w:t>
      </w:r>
    </w:p>
    <w:p>
      <w:pPr>
        <w:pStyle w:val="BookText"/>
        <w:rPr/>
      </w:pPr>
      <w:r>
        <w:rPr>
          <w:rFonts w:ascii="Amiri" w:hAnsi="Amiri" w:eastAsia="Amiri" w:cs="Amiri"/>
          <w:color w:val="111111"/>
          <w:sz w:val="28"/>
          <w:sz w:val="28"/>
          <w:szCs w:val="28"/>
          <w:rtl w:val="true"/>
          <w:lang w:bidi="ar-SA"/>
        </w:rPr>
        <w:t>خاصة بالمقام تضم إلى المفهوم دلالة الاقتضاء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بيانها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السيد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الاستدلال في موضعين من بحثه الشريف، بنى الأول على ما اختاره في علم الأصول تبعاً لأستاذه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التفصيل في مفهوم الوصف وحاصله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النزاع في دلالة القضية الوصفية على المفهوم إن كان في دلالتها على نفي الحكم الثابت فيها عن غير موضوعها ولو بسبب آخر فقد عرفت أنها لا تدل على ذلك بوجه، بل لا إشعار فيها على ذلك فضلاً عن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في دلالتها على نفي هذا الحكم عن طبيعي الموصوف على إطلاقه فقد عرفت أنها تدل على ذلك جزماً حيث لا شبهة في ظهورها فيه إلا فيما قامت قرينة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يظهر الفرق بين الوصف المعتمد على موصوفه، وغير المعتمد عليه كقولنا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فإنه لا يدل على المفهوم بهذا المعنى وإن انحل بحسب مقام اللب والواقع إلى شيء له العلم إلا أنه لا أثر له في مقام الإثبات بعدما كان في هذا المقام شيئاً واحداً لا شيئان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أحدهماموصوف، والآخر صفة له</w:t>
      </w:r>
      <w:r>
        <w:rPr>
          <w:rFonts w:eastAsia="Amiri" w:cs="Amiri" w:ascii="Amiri" w:hAnsi="Amiri"/>
          <w:color w:val="111111"/>
          <w:sz w:val="28"/>
          <w:szCs w:val="28"/>
          <w:rtl w:val="true"/>
          <w:lang w:bidi="ar-SA"/>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وقرّب السيد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هذه الكبرى في المقام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بناءً على ما اخترناه وفاقاً للسيد الأستاذ من وجود المفهوم للوصف والقيد إن كان معتمداً على الموصوف سواء كان سلبياً أو إيجابياً فله دخل في الموصوف، إذ ليس طبيعي الموصوف هو الموضوع بل المقيد، فللصامت دخل في ثبوت الزكاة فيدل على أن طبيعي مال اليتيم ليس منفياً عنه الزكاة بل الموصوف بالصامت، ويكفي في دخالته ثبوت الزكاة في فردٍ </w:t>
      </w:r>
    </w:p>
    <w:p>
      <w:pPr>
        <w:pStyle w:val="BookText"/>
        <w:rPr/>
      </w:pPr>
      <w:r>
        <w:rPr>
          <w:rFonts w:ascii="Amiri" w:hAnsi="Amiri" w:eastAsia="Amiri" w:cs="Amiri"/>
          <w:color w:val="111111"/>
          <w:sz w:val="28"/>
          <w:sz w:val="28"/>
          <w:szCs w:val="28"/>
          <w:rtl w:val="true"/>
          <w:lang w:bidi="ar-SA"/>
        </w:rPr>
        <w:t>مما سواه، وقد ثبت في الذيل ثبوتها على الغلات</w:t>
      </w:r>
      <w:r>
        <w:rPr>
          <w:rFonts w:eastAsia="Amiri" w:cs="Amiri" w:ascii="Amiri" w:hAnsi="Amiri"/>
          <w:color w:val="111111"/>
          <w:sz w:val="28"/>
          <w:szCs w:val="28"/>
          <w:rtl w:val="true"/>
          <w:lang w:bidi="ar-SA"/>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التقريب كما ترى غير كافٍ لثبوت الحكم بالمفهوم للناطق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غايته عدم ثبوت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نفي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لطبيعي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لحصة خاصة وهو المال الصامت، ولا تنفي ثبوت الحكم لغيره بدليل آخر؛ لأن القيد هنا راجع إلى الموضوع لا إلى الحكم، لكنه لا يثبت الحكم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تقريباً للمفهوم في موضع آخر أقرب إلى ما نريد بيانه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المواشي وإن لم تذكر بالصراحة إلا أنها تستفاد من مفهوم الجملة الأولى ومقتضاه أن في الناطق شيئاً من لحاظ القيد خصوصاً من المقابلة بالناطق مع الصامت، أما الجملة الثانية فلا مفهوم فيها، فظهر مما ذكرنا أن هذه الرواية في حد نفسها تعد دليلاً على التفصيل المنقول عن بعض أكابر القدماء</w:t>
      </w:r>
      <w:r>
        <w:rPr>
          <w:rFonts w:eastAsia="Amiri" w:cs="Amiri" w:ascii="Amiri" w:hAnsi="Amiri"/>
          <w:color w:val="111111"/>
          <w:sz w:val="28"/>
          <w:szCs w:val="28"/>
          <w:rtl w:val="true"/>
          <w:lang w:bidi="ar-SA"/>
        </w:rPr>
        <w:t>»</w:t>
      </w:r>
      <w:r>
        <w:rPr>
          <w:rStyle w:val="FootnoteAnchor"/>
          <w:rtl w:val="true"/>
        </w:rPr>
        <w:footnoteReference w:id="41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مراده من هذه المقابلة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الفرق بين التقريبين أن المفهوم هنا يستفاد بضميمة دلالة الاقتضاء وليس من مجرد الجملة الوصفية لنكتة خاصة في المقام وهيالمقابلة بين المال الصامت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النقدين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والمال الناطق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أنهما كالقضية مانعة الخلو، فيلزم من نفي الزكاة عن الصامت إثباتها لمقابله وهو الناطق وإلا لزمت اللغوية</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المقابلة بين المالين معهودة لدى أهل اللغة ففي لسان العرب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وماله صامت ولا ناطق، الصامت، الذهب والفضة، والناطق</w:t>
      </w:r>
      <w:r>
        <w:rPr>
          <w:rFonts w:eastAsia="Amiri" w:cs="Amiri" w:ascii="Amiri" w:hAnsi="Amiri"/>
          <w:color w:val="111111"/>
          <w:sz w:val="28"/>
          <w:szCs w:val="28"/>
          <w:rtl w:val="true"/>
          <w:lang w:bidi="ar-SA"/>
        </w:rPr>
        <w:t xml:space="preserve">: </w:t>
      </w:r>
      <w:bookmarkStart w:id="388" w:name="pg8133_62882"/>
    </w:p>
    <w:p>
      <w:pPr>
        <w:pStyle w:val="BookText"/>
        <w:rPr/>
      </w:pPr>
      <w:bookmarkEnd w:id="388"/>
      <w:r>
        <w:rPr>
          <w:rFonts w:ascii="Amiri" w:hAnsi="Amiri" w:eastAsia="Amiri" w:cs="Amiri"/>
          <w:color w:val="111111"/>
          <w:sz w:val="28"/>
          <w:sz w:val="28"/>
          <w:szCs w:val="28"/>
          <w:rtl w:val="true"/>
          <w:lang w:bidi="ar-SA"/>
        </w:rPr>
        <w:t>الحيوان الإبل والغنم، أي ليس له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مضافاً إلى ما استظهرناه من كون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وهو يوجه كلامه إلى اثنين من أكابر الفقهاء وهما محمد بن مسلم وزرارة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مقام استيعاب شقوق المسألة، ومن البعيد إهمال الحيوان التي هي من أوسع الثروات انتشاراً لدى الناس يومئذٍ</w:t>
      </w:r>
      <w:r>
        <w:rPr>
          <w:rFonts w:eastAsia="IRNazanin" w:cs="IRNazanin"/>
          <w:color w:val="111111"/>
          <w:sz w:val="28"/>
          <w:szCs w:val="28"/>
          <w:rtl w:val="true"/>
          <w:lang w:bidi="fa-IR"/>
        </w:rPr>
        <w:t>.</w:t>
      </w:r>
    </w:p>
    <w:p>
      <w:pPr>
        <w:pStyle w:val="Heading6"/>
        <w:numPr>
          <w:ilvl w:val="5"/>
          <w:numId w:val="1"/>
        </w:numPr>
        <w:rPr/>
      </w:pPr>
      <w:bookmarkStart w:id="389" w:name="__RefHeading___Toc8193259_1051229030"/>
      <w:bookmarkStart w:id="390" w:name="_Toc141"/>
      <w:bookmarkEnd w:id="389"/>
      <w:r>
        <w:rPr>
          <w:rtl w:val="true"/>
        </w:rPr>
        <w:t>المسألة السابعة</w:t>
      </w:r>
      <w:r>
        <w:rPr>
          <w:rtl w:val="true"/>
        </w:rPr>
        <w:t xml:space="preserve">: </w:t>
      </w:r>
      <w:r>
        <w:rPr>
          <w:rtl w:val="true"/>
        </w:rPr>
        <w:t>الفرق بين الوصف واللقب</w:t>
      </w:r>
      <w:r>
        <w:rPr>
          <w:rtl w:val="true"/>
        </w:rPr>
        <w:t>.</w:t>
      </w:r>
      <w:bookmarkEnd w:id="390"/>
    </w:p>
    <w:p>
      <w:pPr>
        <w:pStyle w:val="BookText"/>
        <w:rPr/>
      </w:pPr>
      <w:r>
        <w:rPr>
          <w:rFonts w:ascii="Amiri" w:hAnsi="Amiri" w:eastAsia="Amiri" w:cs="Amiri"/>
          <w:color w:val="111111"/>
          <w:sz w:val="28"/>
          <w:sz w:val="28"/>
          <w:szCs w:val="28"/>
          <w:rtl w:val="true"/>
          <w:lang w:bidi="ar-SA"/>
        </w:rPr>
        <w:t xml:space="preserve">يذهب مشهور علماء الأصول الى ان الفرق بين جملة الوصف وجملة اللقب هو ذكر الموصوف ، ففي جملة الوصف يكون الموصوف مذكورا كما لو 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اكرم العالم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فالموصوف هو العالم وهو مذكور ، اما في جملة اللقب فلا يكون الموصوف مذكورا كما لو 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اكرم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فالعادل وصف لكن الموصوف غير مذكور في هذه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 سماحة الشيخ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يرتضِ بهذا التفريق فقد يستظهر من الجملة كونها وصفية مع ان الموصوف لم يذكر ، وهذا ما أشار اليه في الجزء السادس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مسالة حكم العقد المنقطع على الباكر بدون اذن وليها ، ونص الكلام</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واستدلوا أيضاً بمفهوم ما دلّ على اشتراط الإذن في المنقطع أي الدعوى الثانية في صحيح البزنطي وأبي مريم المتقدمتين آنفاً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البكر لا تتزوج متعة إلا بإذن أبيها</w:t>
      </w:r>
      <w:r>
        <w:rPr>
          <w:rFonts w:eastAsia="IRNazanin" w:cs="IRNazanin"/>
          <w:color w:val="111111"/>
          <w:sz w:val="28"/>
          <w:szCs w:val="28"/>
          <w:rtl w:val="true"/>
          <w:lang w:bidi="fa-IR"/>
        </w:rPr>
        <w:t>)</w:t>
      </w:r>
      <w:r>
        <w:rPr>
          <w:rStyle w:val="FootnoteAnchor"/>
          <w:rtl w:val="true"/>
        </w:rPr>
        <w:footnoteReference w:id="417"/>
      </w:r>
      <w:r>
        <w:rPr>
          <w:rFonts w:ascii="IRNazanin" w:hAnsi="IRNazanin" w:eastAsia="IRNazanin"/>
          <w:color w:val="111111"/>
          <w:sz w:val="28"/>
          <w:sz w:val="28"/>
          <w:szCs w:val="28"/>
          <w:rtl w:val="true"/>
          <w:lang w:bidi="fa-IR"/>
        </w:rPr>
        <w:t xml:space="preserve">وصحيح أبي مريم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العذراء التي لها أب لا تتزوج متعة إلا بإذن أبيها</w:t>
      </w:r>
      <w:r>
        <w:rPr>
          <w:rStyle w:val="FootnoteAnchor"/>
          <w:rtl w:val="true"/>
        </w:rPr>
        <w:footnoteReference w:id="418"/>
      </w:r>
      <w:r>
        <w:rPr>
          <w:rFonts w:ascii="Amiri" w:hAnsi="Amiri" w:eastAsia="Amiri" w:cs="Amiri"/>
          <w:color w:val="111111"/>
          <w:sz w:val="28"/>
          <w:sz w:val="28"/>
          <w:szCs w:val="28"/>
          <w:rtl w:val="true"/>
          <w:lang w:bidi="ar-SA"/>
        </w:rPr>
        <w:t>فمفهومهما أن الزواج الدائم لا يشترط فيه إذن أبيها وهو مردود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الجملة الوصفية وهي لا مفهوم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 الجملة اللقبية</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منشأ توهمها من اللقبية عدم ذكر الموصوف لكننا لم نرتض هذا المائز بين الجملة الوصفية واللقبية</w:t>
      </w:r>
      <w:r>
        <w:rPr>
          <w:rStyle w:val="FootnoteAnchor"/>
          <w:rtl w:val="true"/>
        </w:rPr>
        <w:footnoteReference w:id="419"/>
      </w:r>
      <w:r>
        <w:rPr>
          <w:rFonts w:ascii="Amiri" w:hAnsi="Amiri" w:eastAsia="Amiri" w:cs="Amiri"/>
          <w:color w:val="111111"/>
          <w:sz w:val="28"/>
          <w:sz w:val="28"/>
          <w:szCs w:val="28"/>
          <w:rtl w:val="true"/>
          <w:lang w:bidi="ar-SA"/>
        </w:rPr>
        <w:t>وهو على أي حال تفريق غير مؤثر على مختارنا لأن كلتا الجملتين ليس لها مفهوم</w:t>
      </w:r>
      <w:r>
        <w:rPr>
          <w:rFonts w:eastAsia="Amiri" w:cs="Amiri" w:ascii="Amiri" w:hAnsi="Amiri"/>
          <w:color w:val="111111"/>
          <w:sz w:val="28"/>
          <w:szCs w:val="28"/>
          <w:rtl w:val="true"/>
          <w:lang w:bidi="ar-SA"/>
        </w:rPr>
        <w:t xml:space="preserve">. </w:t>
      </w:r>
      <w:bookmarkStart w:id="391" w:name="pg8133_62884"/>
    </w:p>
    <w:p>
      <w:pPr>
        <w:pStyle w:val="Heading5"/>
        <w:numPr>
          <w:ilvl w:val="4"/>
          <w:numId w:val="1"/>
        </w:numPr>
        <w:rPr/>
      </w:pPr>
      <w:bookmarkStart w:id="392" w:name="__RefHeading___Toc8193261_1051229030"/>
      <w:bookmarkStart w:id="393" w:name="_Toc142"/>
      <w:bookmarkEnd w:id="391"/>
      <w:bookmarkEnd w:id="392"/>
      <w:r>
        <w:rPr>
          <w:rtl w:val="true"/>
        </w:rPr>
        <w:t>الدليل الشرعي غير اللفظي</w:t>
      </w:r>
      <w:bookmarkEnd w:id="393"/>
    </w:p>
    <w:p>
      <w:pPr>
        <w:pStyle w:val="Heading6"/>
        <w:numPr>
          <w:ilvl w:val="5"/>
          <w:numId w:val="1"/>
        </w:numPr>
        <w:rPr/>
      </w:pPr>
      <w:bookmarkStart w:id="394" w:name="__RefHeading___Toc8193263_1051229030"/>
      <w:bookmarkStart w:id="395" w:name="_Toc143"/>
      <w:bookmarkEnd w:id="394"/>
      <w:r>
        <w:rPr>
          <w:rtl w:val="true"/>
        </w:rPr>
        <w:t>اشارة</w:t>
      </w:r>
      <w:bookmarkEnd w:id="395"/>
    </w:p>
    <w:p>
      <w:pPr>
        <w:pStyle w:val="BookText"/>
        <w:rPr/>
      </w:pPr>
      <w:r>
        <w:rPr>
          <w:rFonts w:ascii="Amiri" w:hAnsi="Amiri" w:eastAsia="Amiri" w:cs="Amiri"/>
          <w:color w:val="111111"/>
          <w:sz w:val="28"/>
          <w:sz w:val="28"/>
          <w:szCs w:val="28"/>
          <w:rtl w:val="true"/>
          <w:lang w:bidi="ar-SA"/>
        </w:rPr>
        <w:t>ان مصادر التشريع هي الكتاب والسنة ، ولا شك في ان الكتاب الكريم يندرج في الدليل الشرعي اللفظي ، اما السنة فهي قول المعصوم وفعله وتقريره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 المعصوم دليل شرعي لفظي أيضا ، اما فعله وتقريره فهما دليلان شرعيان غير لفظيين ، فيبحث هنا في دلالة فعل المعصوم ، وفي سيرة المتشرعة باعتبارها مأخوذة من المعصوم ومتجسدة على شكل سيرة عملية بين المتشرعة من دون ان يصل إلينا دليل لفظي يدل عليها ، وسيرة العقلاء التي يستدل بها بدلالة سكوت المعصوم وإقراره الدال على رضاه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وسنذكر هنا اهم ما جاء في موسوعة فقه الخلاف في ضمن مسائل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اتصال السيرة بزمن المعصوم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سيرة المتشرعة على المرجوح احيانًا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شرطية الالتفات للحكم الشرعي في حجية السيرة</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فعل المعصوم</w:t>
      </w:r>
      <w:r>
        <w:rPr>
          <w:rFonts w:eastAsia="Amiri" w:cs="Amiri" w:ascii="Amiri" w:hAnsi="Amiri"/>
          <w:color w:val="111111"/>
          <w:sz w:val="28"/>
          <w:szCs w:val="28"/>
          <w:rtl w:val="true"/>
          <w:lang w:bidi="ar-SA"/>
        </w:rPr>
        <w:t xml:space="preserve">. </w:t>
      </w:r>
      <w:bookmarkStart w:id="396" w:name="pg8133_62885"/>
    </w:p>
    <w:p>
      <w:pPr>
        <w:pStyle w:val="Heading6"/>
        <w:numPr>
          <w:ilvl w:val="5"/>
          <w:numId w:val="1"/>
        </w:numPr>
        <w:rPr/>
      </w:pPr>
      <w:bookmarkStart w:id="397" w:name="__RefHeading___Toc8193265_1051229030"/>
      <w:bookmarkStart w:id="398" w:name="_Toc144"/>
      <w:bookmarkEnd w:id="396"/>
      <w:bookmarkEnd w:id="397"/>
      <w:r>
        <w:rPr>
          <w:rtl w:val="true"/>
        </w:rPr>
        <w:t>المسألة الأولى</w:t>
      </w:r>
      <w:r>
        <w:rPr>
          <w:rtl w:val="true"/>
        </w:rPr>
        <w:t xml:space="preserve">: </w:t>
      </w:r>
      <w:r>
        <w:rPr>
          <w:rtl w:val="true"/>
        </w:rPr>
        <w:t>اتصال السيرة بزمن المعصوم</w:t>
      </w:r>
      <w:r>
        <w:rPr>
          <w:rtl w:val="true"/>
        </w:rPr>
        <w:t>.</w:t>
      </w:r>
      <w:bookmarkEnd w:id="398"/>
    </w:p>
    <w:p>
      <w:pPr>
        <w:pStyle w:val="BookText"/>
        <w:rPr/>
      </w:pPr>
      <w:r>
        <w:rPr>
          <w:rFonts w:ascii="IRNazanin" w:hAnsi="IRNazanin" w:eastAsia="IRNazanin"/>
          <w:color w:val="111111"/>
          <w:sz w:val="28"/>
          <w:sz w:val="28"/>
          <w:szCs w:val="28"/>
          <w:rtl w:val="true"/>
          <w:lang w:bidi="fa-IR"/>
        </w:rPr>
        <w:t xml:space="preserve">بما ان حجية سيرة المتشرعة تتقوم بكشفها عن فعل المعصوم ، كما ان حجية السيرة العقلائية تتقوم بتقرير المعصوم لها ، وعدم ردعه عنها ؛ لذا اشترط الجزم بانها كانت موجودة في زمانه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ولا يتم ذلك الا اذا علمنا ان هذه السيرة متلاقاة جيلا بعد جيل الى زمان المعصوم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جاء هذا الكلام في الجزء الأول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مسالة مطهرية الشمس ، اذ قال سماحة الشيخ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بمطهرية 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المشهور لدى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عن جماعة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الخلاف والسرائر حكاية الإجماع عليه </w:t>
      </w:r>
      <w:r>
        <w:rPr>
          <w:rStyle w:val="FootnoteAnchor"/>
          <w:rtl w:val="true"/>
        </w:rPr>
        <w:footnoteReference w:id="42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وخالف سيدنا الأستاذ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بعدم مطهريتها ونقله عن أستاذه الشهيد السيد محمد باقر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عدم ذكره الشمس ضمن المطهرات في رسالته العملية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الفتاوى الواضحة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إليه شيخنا الأستاذ الفياض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لا يبعد عدم مطهرية الشمس مطلقاً</w:t>
      </w:r>
      <w:r>
        <w:rPr>
          <w:rFonts w:eastAsia="Amiri" w:cs="Amiri" w:ascii="Amiri" w:hAnsi="Amiri"/>
          <w:color w:val="111111"/>
          <w:sz w:val="28"/>
          <w:szCs w:val="28"/>
          <w:rtl w:val="true"/>
          <w:lang w:bidi="ar-SA"/>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ودليل المشهور عدة روايات بعد الشهرة المحققة والإجماع المنقول حيث نقل صاحب الجواهر</w:t>
      </w:r>
      <w:r>
        <w:rPr>
          <w:rStyle w:val="FootnoteAnchor"/>
          <w:rtl w:val="true"/>
        </w:rPr>
        <w:footnoteReference w:id="422"/>
      </w:r>
      <w:r>
        <w:rPr>
          <w:rFonts w:ascii="Amiri" w:hAnsi="Amiri" w:eastAsia="Amiri" w:cs="Amiri"/>
          <w:color w:val="111111"/>
          <w:sz w:val="28"/>
          <w:sz w:val="28"/>
          <w:szCs w:val="28"/>
          <w:rtl w:val="true"/>
          <w:lang w:bidi="ar-SA"/>
        </w:rPr>
        <w:t xml:space="preserve">عن أستاذه كاشف الغطاء أنها شهرة كادت تبلغ الإجماع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معقد مذهب الإمامية في كشف الحق والإجماع في السرائر وموضعين من الخلاف</w:t>
      </w:r>
      <w:r>
        <w:rPr>
          <w:rFonts w:eastAsia="Amiri" w:cs="Amiri" w:ascii="Amiri" w:hAnsi="Amiri"/>
          <w:color w:val="111111"/>
          <w:sz w:val="28"/>
          <w:szCs w:val="28"/>
          <w:rtl w:val="true"/>
          <w:lang w:bidi="ar-SA"/>
        </w:rPr>
        <w:t>»</w:t>
      </w:r>
      <w:r>
        <w:rPr>
          <w:rStyle w:val="FootnoteAnchor"/>
          <w:rtl w:val="true"/>
        </w:rPr>
        <w:footnoteReference w:id="423"/>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الحجة بعد صحيح </w:t>
      </w:r>
    </w:p>
    <w:p>
      <w:pPr>
        <w:pStyle w:val="BookText"/>
        <w:rPr/>
      </w:pPr>
      <w:r>
        <w:rPr>
          <w:rFonts w:ascii="Amiri" w:hAnsi="Amiri" w:eastAsia="Amiri" w:cs="Amiri"/>
          <w:color w:val="111111"/>
          <w:sz w:val="28"/>
          <w:sz w:val="28"/>
          <w:szCs w:val="28"/>
          <w:rtl w:val="true"/>
          <w:lang w:bidi="ar-SA"/>
        </w:rPr>
        <w:t>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وسرد الروايات في المقام وتستفاد من كلماته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المبثوثة في مناقشة الروايات تقريبات أخرى فاستدل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تتمالروايات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بسهولة الملة وسماحتها، بل وبنفي العسر والحرج اللازمين على تقدير عدم الطهارة بالإشراق، بل وبالسيرة من الناس كافة كما في الرياض في جميع الأزمنة على عدم إزالة النجاسة عن مثل الأرض بالماء، وعلى الاكتفاء بالطهارة بالشمس بل وبما قيل من عموم ما دل على طهورية الأرض ومن ان الشمس من شأنها الاسخان الملطف للاجزاء الرطبة والمصعّد لها، مع إحالة الأرض للاجزاء الباقية اليسيرة، فتطهر حينئذ، خصوصاً لو قلنا ان الطهارة النظافة والنزاهة الحاصلتان بمجرد زوال القذارة عن المحل إلى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عن غيرها</w:t>
      </w:r>
      <w:r>
        <w:rPr>
          <w:rFonts w:eastAsia="Amiri" w:cs="Amiri" w:ascii="Amiri" w:hAnsi="Amiri"/>
          <w:color w:val="111111"/>
          <w:sz w:val="28"/>
          <w:szCs w:val="28"/>
          <w:rtl w:val="true"/>
          <w:lang w:bidi="ar-SA"/>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كلها قابلة للمناقشة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الشهرة حتى لو بلغت الإجماع إنما هي مدركية لوضوح استنادها إلى الروايات التي سنتعرض لها إن شاء الله تعالى فلا يكون الإجماع فضلاً عن الشهرة حجة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ذكر من نفي العسر والحرج إنما يصلح لبيان الحكمة والمصلحة في التشريع وليس علة للحكم فلا يصلح دليلاً على مستوى العناوين الثانوية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المفروض عند ذكر هذه العناوين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يريد أكيداً حكومة هذه العناوين الثانوية واستناد الحكم إليها وإلا لدار الحكم مدارها وهو لا يلتزم به</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المورد من تطبيقاتها كما اننا لا نعتقد ان في الإلزام بتطهير الأرض بالماء فيه عسر ومشقة</w:t>
      </w:r>
      <w:r>
        <w:rPr>
          <w:rFonts w:eastAsia="Amiri" w:cs="Amiri" w:ascii="Amiri" w:hAnsi="Amiri"/>
          <w:color w:val="111111"/>
          <w:sz w:val="28"/>
          <w:szCs w:val="28"/>
          <w:rtl w:val="true"/>
          <w:lang w:bidi="ar-SA"/>
        </w:rPr>
        <w:t xml:space="preserve">. </w:t>
      </w:r>
      <w:bookmarkStart w:id="399" w:name="pg8133_62887"/>
    </w:p>
    <w:p>
      <w:pPr>
        <w:pStyle w:val="BookText"/>
        <w:rPr/>
      </w:pPr>
      <w:bookmarkEnd w:id="399"/>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الاسخان والتصعيد والإحالة جارٍ في المتنجسات الأخرى كالبدن والثياب وهو لا يغني عن التطهير بالماء اما الاستحالة التي عُدَّت من المطهرات فإنها خاصة بموارد تبدل الحقيقة والمورد ليس منموارد تطهير الاستحالة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الاستدلال بالسيرة ونقله عن الرياض غير تام صغرى وكبرى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وجود سيرة متشرعية وبناء على الطهارة الا لمن يقول بها فقهياً اما عند غيرهم فربما كان عدم التطهير للاستغناء عن طهارة المكان مثلاً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واما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فلعدم وجود ما يثبت ان السيرة متصلة جيلاً بعد جيل إلى زمان المعصوم لتكون كاشفة عن فعله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6"/>
        <w:numPr>
          <w:ilvl w:val="5"/>
          <w:numId w:val="1"/>
        </w:numPr>
        <w:rPr/>
      </w:pPr>
      <w:bookmarkStart w:id="400" w:name="__RefHeading___Toc8193267_1051229030"/>
      <w:bookmarkStart w:id="401" w:name="_Toc145"/>
      <w:bookmarkEnd w:id="400"/>
      <w:r>
        <w:rPr>
          <w:rtl w:val="true"/>
        </w:rPr>
        <w:t>المسألة الثانية</w:t>
      </w:r>
      <w:r>
        <w:rPr>
          <w:rtl w:val="true"/>
        </w:rPr>
        <w:t xml:space="preserve">: </w:t>
      </w:r>
      <w:r>
        <w:rPr>
          <w:rtl w:val="true"/>
        </w:rPr>
        <w:t>قيام سيرة المتشرعة على المرجوح احيانًا</w:t>
      </w:r>
      <w:r>
        <w:rPr>
          <w:rtl w:val="true"/>
        </w:rPr>
        <w:t>.</w:t>
      </w:r>
      <w:bookmarkEnd w:id="401"/>
    </w:p>
    <w:p>
      <w:pPr>
        <w:pStyle w:val="BookText"/>
        <w:rPr/>
      </w:pPr>
      <w:r>
        <w:rPr>
          <w:rFonts w:ascii="Amiri" w:hAnsi="Amiri" w:eastAsia="Amiri" w:cs="Amiri"/>
          <w:color w:val="111111"/>
          <w:sz w:val="28"/>
          <w:sz w:val="28"/>
          <w:szCs w:val="28"/>
          <w:rtl w:val="true"/>
          <w:lang w:bidi="ar-SA"/>
        </w:rPr>
        <w:t>من المعروف ان المتشرعة باعتبارهم متشرعة فانهم يأخذون أحكامهم من الشارع ولذا لا نحتاج في سيرة المتشرعة الى تقرير المعصوم ، فاذا قامت سيرة المتشرعة على وجوب فعل كانت دليلا على الوجوب ، كما انها لو قامت على حرمة فعل كانت دليلا على الحرمة ، ولو قامت على حجية امر كانت دليلا على الحجية ، وهذا مما لا اشكال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 باب الوجوب التخييري لا يلزم قيام سيرة المتشرعة على الفرد الأفضل فقد يعمل المتشرعة بالفرد المرجوح ؛ لانه يحقق الامتثال ولا اشكال فيه ، ولذا فان سيرة المتشرعة لا تصلح دليلا على أرجحية احد أمرين جائزين او واجبين</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بيّن سماحة الشيخ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المطلب في الجزء الثاني </w:t>
      </w:r>
      <w:bookmarkStart w:id="402" w:name="pg8133_62888"/>
    </w:p>
    <w:p>
      <w:pPr>
        <w:pStyle w:val="BookText"/>
        <w:rPr/>
      </w:pPr>
      <w:bookmarkEnd w:id="40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مسالة الاكتفاء ببعض السورة بعد الفاتحة ، اذ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انتقلوا بالاستدلال إلى سيرة المتشرعة كان أبعد عن الصواب؛ لأن سيرتهم قد تجري على المرجوح كإعراضهم عن إقامة صلاة الجمعة مع أنها أفضل فردي التخيير لو لم يقولوا بالوجوب التعييني</w:t>
      </w:r>
      <w:r>
        <w:rPr>
          <w:rFonts w:eastAsia="Amiri" w:cs="Amiri" w:ascii="Amiri" w:hAnsi="Amiri"/>
          <w:color w:val="111111"/>
          <w:sz w:val="28"/>
          <w:szCs w:val="28"/>
          <w:rtl w:val="true"/>
          <w:lang w:bidi="ar-SA"/>
        </w:rPr>
        <w:t>.</w:t>
      </w:r>
    </w:p>
    <w:p>
      <w:pPr>
        <w:pStyle w:val="Heading6"/>
        <w:numPr>
          <w:ilvl w:val="5"/>
          <w:numId w:val="1"/>
        </w:numPr>
        <w:rPr/>
      </w:pPr>
      <w:bookmarkStart w:id="403" w:name="__RefHeading___Toc8193269_1051229030"/>
      <w:bookmarkStart w:id="404" w:name="_Toc146"/>
      <w:bookmarkEnd w:id="403"/>
      <w:r>
        <w:rPr>
          <w:rtl w:val="true"/>
        </w:rPr>
        <w:t>المسألة الثالثة</w:t>
      </w:r>
      <w:r>
        <w:rPr>
          <w:rtl w:val="true"/>
        </w:rPr>
        <w:t xml:space="preserve">: </w:t>
      </w:r>
      <w:r>
        <w:rPr>
          <w:rtl w:val="true"/>
        </w:rPr>
        <w:t>شرطية الالتفات للحكم الشرعي في حجية السيرة</w:t>
      </w:r>
      <w:r>
        <w:rPr>
          <w:rtl w:val="true"/>
        </w:rPr>
        <w:t>.</w:t>
      </w:r>
      <w:bookmarkEnd w:id="404"/>
    </w:p>
    <w:p>
      <w:pPr>
        <w:pStyle w:val="BookText"/>
        <w:rPr/>
      </w:pPr>
      <w:r>
        <w:rPr>
          <w:rFonts w:ascii="IRNazanin" w:hAnsi="IRNazanin" w:eastAsia="IRNazanin"/>
          <w:color w:val="111111"/>
          <w:sz w:val="28"/>
          <w:sz w:val="28"/>
          <w:szCs w:val="28"/>
          <w:rtl w:val="true"/>
          <w:lang w:bidi="fa-IR"/>
        </w:rPr>
        <w:t xml:space="preserve">قد تكون هناك سيرة منتشرة بين الناس في الأزمنة المتأخرة ، ولكن هذا لا يعني انها كانت موجودة في زمان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لان انتشارها في زماننا قد يكون ناتجًا عن الغفلة بالحكم الشرعي ، او توهم الجواز ؛ لملابسة 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جاء بيان هذا المطلب في الجزء العاشر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مسالة حرمة التصوير ، اذ قال سماحة الشيخ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استدل به السيد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مقتضى السيرة القطعية المستمرة من زمان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التصوير لغير ذوات الأرواح، ولم نرَ ولم نسمع من أنكر جواز تصوير الأشجار والفواكه والجبال والشطوط والحدائق، بل السيرة المذكورة ثابتة في تعلم بعض الأشياء، خصوصاً في بعض العلوم الرياضية حيث يعملون الصور لتسهيل التفهيم</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واستدل بها أيضاً الشيخ المنتظري</w:t>
      </w:r>
      <w:r>
        <w:rPr>
          <w:rStyle w:val="FootnoteAnchor"/>
          <w:rtl w:val="true"/>
        </w:rPr>
        <w:footnoteReference w:id="4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ننفي وجود مثل هذه السيرة على التصوير إذ هو عمل مختص بالقلة القليلة من الناس، نعم السيرة قائمة على اقتنائها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أنكروا الملازمة بين جواز اقتناء الصور وجواز عملها</w:t>
      </w:r>
      <w:r>
        <w:rPr>
          <w:rFonts w:eastAsia="Amiri" w:cs="Amiri" w:ascii="Amiri" w:hAnsi="Amiri"/>
          <w:color w:val="111111"/>
          <w:sz w:val="28"/>
          <w:szCs w:val="28"/>
          <w:rtl w:val="true"/>
          <w:lang w:bidi="ar-SA"/>
        </w:rPr>
        <w:t xml:space="preserve">. </w:t>
      </w:r>
      <w:bookmarkStart w:id="405" w:name="pg8133_62889"/>
    </w:p>
    <w:p>
      <w:pPr>
        <w:pStyle w:val="BookText"/>
        <w:rPr/>
      </w:pPr>
      <w:bookmarkEnd w:id="405"/>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 يثبت أن هذه السيرة مقترنة بالالتفات إلى الحكم الشرعي لتكون كاشفة عن الجواز فلعل منشأها الغفلة أو التهاون بالدين، فإننا نرى أيضاً انتشار صناعة المجسمات ذوات الأرواح، وأكثر منه رسم ذوات الأرواح حيث لا يخلو بيت منها دون سؤال عن حكمه مع ذهاب عدد من الأساطين لحرمته من الأزمنة المتأخرة كالشيخ الأنصاري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والسيد صاحب العروة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والسيد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ذلك سائداً حتى فيعصر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وربما ساعد على هذه الغفلة ما اشتهر عندهم من جواز اقتناء الصور والتماثيل ووجودها في بيوت المتشرعة بضميمة ارتكاز عرفي للملازمة بين حكم الإيجاد والوجود</w:t>
      </w:r>
      <w:r>
        <w:rPr>
          <w:rFonts w:eastAsia="IRNazanin" w:cs="IRNazanin"/>
          <w:color w:val="111111"/>
          <w:sz w:val="28"/>
          <w:szCs w:val="28"/>
          <w:rtl w:val="true"/>
          <w:lang w:bidi="fa-IR"/>
        </w:rPr>
        <w:t>.</w:t>
      </w:r>
    </w:p>
    <w:p>
      <w:pPr>
        <w:pStyle w:val="Heading6"/>
        <w:numPr>
          <w:ilvl w:val="5"/>
          <w:numId w:val="1"/>
        </w:numPr>
        <w:rPr/>
      </w:pPr>
      <w:bookmarkStart w:id="406" w:name="__RefHeading___Toc8193271_1051229030"/>
      <w:bookmarkStart w:id="407" w:name="_Toc147"/>
      <w:bookmarkEnd w:id="406"/>
      <w:r>
        <w:rPr>
          <w:rtl w:val="true"/>
        </w:rPr>
        <w:t>المسألة الرابعة</w:t>
      </w:r>
      <w:r>
        <w:rPr>
          <w:rtl w:val="true"/>
        </w:rPr>
        <w:t xml:space="preserve">: </w:t>
      </w:r>
      <w:r>
        <w:rPr>
          <w:rtl w:val="true"/>
        </w:rPr>
        <w:t>دلالة فعل المعصوم</w:t>
      </w:r>
      <w:r>
        <w:rPr>
          <w:rtl w:val="true"/>
        </w:rPr>
        <w:t>.</w:t>
      </w:r>
      <w:bookmarkEnd w:id="407"/>
    </w:p>
    <w:p>
      <w:pPr>
        <w:pStyle w:val="BookText"/>
        <w:rPr/>
      </w:pPr>
      <w:r>
        <w:rPr>
          <w:rFonts w:ascii="IRNazanin" w:hAnsi="IRNazanin" w:eastAsia="IRNazanin"/>
          <w:color w:val="111111"/>
          <w:sz w:val="28"/>
          <w:sz w:val="28"/>
          <w:szCs w:val="28"/>
          <w:rtl w:val="true"/>
          <w:lang w:bidi="fa-IR"/>
        </w:rPr>
        <w:t xml:space="preserve">اتفق علماء الأصول على دلالة فعل المعصوم على عدم الحرمة ؛ لان المعصوم لا يرتكب الحرام ، واذا ثبت ان الفعل الذي صدر من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تعبدي فكون هذا الفعل واجبا او مستحبا مما يصعب استظهاره ، ولذا فان دلالة فعل المعصوم تكون مجملة من هذه الجهة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ذكر سماحة الشيخ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تطبيقا لهذه المسالة في الجزء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مسالة احكام صوم المسافر ، جاء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الرواية </w:t>
      </w:r>
      <w:r>
        <w:rPr>
          <w:rStyle w:val="FootnoteAnchor"/>
          <w:rtl w:val="true"/>
        </w:rPr>
        <w:footnoteReference w:id="427"/>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تحكي فعل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مجمل، ولا دليل على أن صوم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ندباً فلعله فرض عليه بالنذر المشترط بالسفر ونحوه، وليعلم الآخرين أن الصوم يوم عرفة ليس مرجوحاً إذا لم يضعف </w:t>
      </w:r>
    </w:p>
    <w:p>
      <w:pPr>
        <w:pStyle w:val="BookText"/>
        <w:rPr/>
      </w:pPr>
      <w:r>
        <w:rPr>
          <w:rFonts w:ascii="Amiri" w:hAnsi="Amiri" w:eastAsia="Amiri" w:cs="Amiri"/>
          <w:color w:val="111111"/>
          <w:sz w:val="28"/>
          <w:sz w:val="28"/>
          <w:szCs w:val="28"/>
          <w:rtl w:val="true"/>
          <w:lang w:bidi="ar-SA"/>
        </w:rPr>
        <w:t>عن الدعاء يوم عرفة</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إنه كان ثالث ثلاثة بدل الهدي لأنه كان محل إشكال عند البعض كما يظهر من صحيحة رفاعة بن موسى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المتمتع لا يجد الهدي،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يصوم قبل يوم التروية ويوم التروية ويوم 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يصوم وهو مسافر؟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أليس هو يوم عرفة مسافراً؟ إنا أهل بيت نقول ذلك لقول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فَصِيَامُ ثَلاثَةِ أيَّامٍ في الحَجِّ</w:t>
      </w:r>
      <w:r>
        <w:rPr>
          <w:rFonts w:eastAsia="IRNazanin" w:cs="IRNazanin"/>
          <w:color w:val="111111"/>
          <w:sz w:val="28"/>
          <w:szCs w:val="28"/>
          <w:rtl w:val="true"/>
          <w:lang w:bidi="fa-IR"/>
        </w:rPr>
        <w:t>»)</w:t>
      </w:r>
      <w:r>
        <w:rPr>
          <w:rStyle w:val="FootnoteAnchor"/>
          <w:rtl w:val="true"/>
        </w:rPr>
        <w:footnoteReference w:id="4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يضرّ في هذه الاحتمالات التعبير في الرواية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أبي يصوم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الاستمرار لإمكان تكرار الفعل لتأكيد الأغراض المذكورة</w:t>
      </w:r>
      <w:r>
        <w:rPr>
          <w:rFonts w:eastAsia="Amiri" w:cs="Amiri" w:ascii="Amiri" w:hAnsi="Amiri"/>
          <w:color w:val="111111"/>
          <w:sz w:val="28"/>
          <w:szCs w:val="28"/>
          <w:rtl w:val="true"/>
          <w:lang w:bidi="ar-SA"/>
        </w:rPr>
        <w:t xml:space="preserve">. </w:t>
      </w:r>
      <w:bookmarkStart w:id="408" w:name="pg8133_62891"/>
    </w:p>
    <w:p>
      <w:pPr>
        <w:pStyle w:val="Heading5"/>
        <w:numPr>
          <w:ilvl w:val="4"/>
          <w:numId w:val="1"/>
        </w:numPr>
        <w:rPr/>
      </w:pPr>
      <w:bookmarkStart w:id="409" w:name="__RefHeading___Toc8193273_1051229030"/>
      <w:bookmarkStart w:id="410" w:name="_Toc148"/>
      <w:bookmarkEnd w:id="408"/>
      <w:bookmarkEnd w:id="409"/>
      <w:r>
        <w:rPr>
          <w:rtl w:val="true"/>
        </w:rPr>
        <w:t>إثبات صدور الدليل الشرعي</w:t>
      </w:r>
      <w:bookmarkEnd w:id="410"/>
    </w:p>
    <w:p>
      <w:pPr>
        <w:pStyle w:val="Heading6"/>
        <w:numPr>
          <w:ilvl w:val="5"/>
          <w:numId w:val="1"/>
        </w:numPr>
        <w:rPr/>
      </w:pPr>
      <w:bookmarkStart w:id="411" w:name="__RefHeading___Toc8193275_1051229030"/>
      <w:bookmarkStart w:id="412" w:name="_Toc149"/>
      <w:bookmarkEnd w:id="411"/>
      <w:r>
        <w:rPr>
          <w:rtl w:val="true"/>
        </w:rPr>
        <w:t>اشارة</w:t>
      </w:r>
      <w:bookmarkEnd w:id="412"/>
    </w:p>
    <w:p>
      <w:pPr>
        <w:pStyle w:val="BookText"/>
        <w:rPr/>
      </w:pPr>
      <w:r>
        <w:rPr>
          <w:rFonts w:ascii="Amiri" w:hAnsi="Amiri" w:eastAsia="Amiri" w:cs="Amiri"/>
          <w:color w:val="111111"/>
          <w:sz w:val="28"/>
          <w:sz w:val="28"/>
          <w:szCs w:val="28"/>
          <w:rtl w:val="true"/>
          <w:lang w:bidi="ar-SA"/>
        </w:rPr>
        <w:t>بعد ان نقلنا اهم ما جاء من مباحث دلالة الدليل الشرعي ، نتكلم الان عن طرق اثبات صدور الدليل الشرعي ، ومن اهم هذه الطرق اخبار الآحاد ، فان معظم الروايات التي نستند اليها في استنباط الاحكام الشرعية وصلتنا عن طريق اخبار الآحاد ؛ ولذا بحث العلماء في حجية هذا الطريق لإثبات صدور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وسننقل اهم ما جاء في موسوعة فقه الخلاف عن هذا الموضوع في مسائل 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خبر الواحد بدلالة السيرة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خبر الثقة في الاحكام والموضوعات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الاطمئنان بالصدور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الاستفاضة في اثبات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تاثير إعراض الاصحاب على حجية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التفريق بين الإعراض وعدم العمل بالظاهر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الشهرة لا تجبر ضعف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الشهرة الجابرة لضعف السند</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وتفصيل هذه المسائل</w:t>
      </w:r>
      <w:r>
        <w:rPr>
          <w:rFonts w:eastAsia="Amiri" w:cs="Amiri" w:ascii="Amiri" w:hAnsi="Amiri"/>
          <w:color w:val="111111"/>
          <w:sz w:val="28"/>
          <w:szCs w:val="28"/>
          <w:rtl w:val="true"/>
          <w:lang w:bidi="ar-SA"/>
        </w:rPr>
        <w:t xml:space="preserve">: </w:t>
      </w:r>
      <w:bookmarkStart w:id="413" w:name="pg8133_62892"/>
    </w:p>
    <w:p>
      <w:pPr>
        <w:pStyle w:val="Heading6"/>
        <w:numPr>
          <w:ilvl w:val="5"/>
          <w:numId w:val="1"/>
        </w:numPr>
        <w:rPr/>
      </w:pPr>
      <w:bookmarkStart w:id="414" w:name="__RefHeading___Toc8193277_1051229030"/>
      <w:bookmarkStart w:id="415" w:name="_Toc150"/>
      <w:bookmarkEnd w:id="413"/>
      <w:bookmarkEnd w:id="414"/>
      <w:r>
        <w:rPr>
          <w:rtl w:val="true"/>
        </w:rPr>
        <w:t>المسألة الأولى</w:t>
      </w:r>
      <w:r>
        <w:rPr>
          <w:rtl w:val="true"/>
        </w:rPr>
        <w:t xml:space="preserve">: </w:t>
      </w:r>
      <w:r>
        <w:rPr>
          <w:rtl w:val="true"/>
        </w:rPr>
        <w:t>حجية خبر الواحد بدلالة السيرة</w:t>
      </w:r>
      <w:r>
        <w:rPr>
          <w:rtl w:val="true"/>
        </w:rPr>
        <w:t>.</w:t>
      </w:r>
      <w:bookmarkEnd w:id="415"/>
    </w:p>
    <w:p>
      <w:pPr>
        <w:pStyle w:val="BookText"/>
        <w:rPr/>
      </w:pPr>
      <w:r>
        <w:rPr>
          <w:rFonts w:ascii="Amiri" w:hAnsi="Amiri" w:eastAsia="Amiri" w:cs="Amiri"/>
          <w:color w:val="111111"/>
          <w:sz w:val="28"/>
          <w:sz w:val="28"/>
          <w:szCs w:val="28"/>
          <w:rtl w:val="true"/>
          <w:lang w:bidi="ar-SA"/>
        </w:rPr>
        <w:t>اختلفت الاقوال في مستند حجية خبر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البعض بان الكتاب الكريم كما في آية النبأ او النفر هو الذي يثبت حجيته، وقال اخرون ان الروايات هي التي تثبت حجية خبر الواحد ، بينما تبنى اكثر المتأخرين دلالة السيرة على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وصريح كلمات الشيخ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بناؤه على حجية خبر الواحد بدلالة السيرة العقلائية ، اذ قال في الجزء 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المناقشة في سند مقبولة عمر بن حنظلة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أشكلوا على الرواية أولاً من جهة السند لعدم ورود توثيق في عمر بن حنظلة وإن سميت روايته بالمقبولة لتلقي الأصحاب لها بالقبول ورواها المشايخ 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أرواحهم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ورغم ما ورد عن يزيد بن خليفة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عمر بن حنظلة أتانا عنك بوقت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لا يكذب علينا</w:t>
      </w:r>
      <w:r>
        <w:rPr>
          <w:rFonts w:eastAsia="IRNazanin" w:cs="IRNazanin"/>
          <w:color w:val="111111"/>
          <w:sz w:val="28"/>
          <w:szCs w:val="28"/>
          <w:rtl w:val="true"/>
          <w:lang w:bidi="fa-IR"/>
        </w:rPr>
        <w:t>)</w:t>
      </w:r>
      <w:r>
        <w:rPr>
          <w:rStyle w:val="FootnoteAnchor"/>
          <w:rtl w:val="true"/>
        </w:rPr>
        <w:footnoteReference w:id="429"/>
      </w:r>
      <w:r>
        <w:rPr>
          <w:rFonts w:ascii="IRNazanin" w:hAnsi="IRNazanin" w:eastAsia="IRNazanin"/>
          <w:color w:val="111111"/>
          <w:sz w:val="28"/>
          <w:sz w:val="28"/>
          <w:szCs w:val="28"/>
          <w:rtl w:val="true"/>
          <w:lang w:bidi="fa-IR"/>
        </w:rPr>
        <w:t xml:space="preserve">وهي تدل على أعلى درجات التوثيق لصدوره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يزيد هو الآخر لم يرد فيه توثيق، نعم على مبنى أن صفوان بن يحيى ونظيريه لا يرسلون ولا يروون إلا عن ثقة يكون عمر ويزيد ثقتين لرواية صفوان عنهما</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يمكن الاستدلال به على وثاقتهما أن هذه الرواية نقلها الكليني بسند صحيح عن يونس عن يزيد وهي متضمنة لأعلى درجات التوثيق ولم يكن حال عمر خافياً على يونس فلو كان مجهولاً أو ضعيفاً لأسقط يونس النقل المتضمن توثيق عمر لأن يونس سيكون شاهداً على أمر لا يعرفه، وهو لا يرضى أن يكون شاهد زور، كما أن وظيفة الراوي لا تقتضي </w:t>
      </w:r>
      <w:bookmarkStart w:id="416" w:name="pg8133_62893"/>
    </w:p>
    <w:p>
      <w:pPr>
        <w:pStyle w:val="BookText"/>
        <w:rPr/>
      </w:pPr>
      <w:bookmarkEnd w:id="416"/>
      <w:r>
        <w:rPr>
          <w:rFonts w:ascii="IRNazanin" w:hAnsi="IRNazanin" w:eastAsia="IRNazanin"/>
          <w:color w:val="111111"/>
          <w:sz w:val="28"/>
          <w:sz w:val="28"/>
          <w:szCs w:val="28"/>
          <w:rtl w:val="true"/>
          <w:lang w:bidi="fa-IR"/>
        </w:rPr>
        <w:t>نقل كل التفاصيل غير المرتبطة بالحكم الشرعي، فعدم نقل يونس لتوثيق عمر لا يضر لعدم ارتباطه بأصل الحكم في الرواية حيثيستمر يزيد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أنك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نهايتها 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التقريب للتوثيق عرفي وعقلائي ونحن نستدل بسيرة العقلاء على حجية خبر الثقة ونحوها</w:t>
      </w:r>
      <w:r>
        <w:rPr>
          <w:rFonts w:eastAsia="Amiri" w:cs="Amiri" w:ascii="Amiri" w:hAnsi="Amiri"/>
          <w:color w:val="111111"/>
          <w:sz w:val="28"/>
          <w:szCs w:val="28"/>
          <w:rtl w:val="true"/>
          <w:lang w:bidi="ar-SA"/>
        </w:rPr>
        <w:t>.</w:t>
      </w:r>
    </w:p>
    <w:p>
      <w:pPr>
        <w:pStyle w:val="Heading6"/>
        <w:numPr>
          <w:ilvl w:val="5"/>
          <w:numId w:val="1"/>
        </w:numPr>
        <w:rPr/>
      </w:pPr>
      <w:bookmarkStart w:id="417" w:name="__RefHeading___Toc8193279_1051229030"/>
      <w:bookmarkStart w:id="418" w:name="_Toc151"/>
      <w:bookmarkEnd w:id="417"/>
      <w:r>
        <w:rPr>
          <w:rtl w:val="true"/>
        </w:rPr>
        <w:t>المسألة الثانية</w:t>
      </w:r>
      <w:r>
        <w:rPr>
          <w:rtl w:val="true"/>
        </w:rPr>
        <w:t xml:space="preserve">: </w:t>
      </w:r>
      <w:r>
        <w:rPr>
          <w:rtl w:val="true"/>
        </w:rPr>
        <w:t>حجية خبر الثقة في الاحكام والموضوعات</w:t>
      </w:r>
      <w:r>
        <w:rPr>
          <w:rtl w:val="true"/>
        </w:rPr>
        <w:t>.</w:t>
      </w:r>
      <w:bookmarkEnd w:id="418"/>
    </w:p>
    <w:p>
      <w:pPr>
        <w:pStyle w:val="BookText"/>
        <w:rPr/>
      </w:pPr>
      <w:r>
        <w:rPr>
          <w:rFonts w:ascii="Amiri" w:hAnsi="Amiri" w:eastAsia="Amiri" w:cs="Amiri"/>
          <w:color w:val="111111"/>
          <w:sz w:val="28"/>
          <w:sz w:val="28"/>
          <w:szCs w:val="28"/>
          <w:rtl w:val="true"/>
          <w:lang w:bidi="ar-SA"/>
        </w:rPr>
        <w:t>بعد التسليم بحجية خبر الثقة ، ناقش علماء الأصول دائرة هذه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هي مقتصرة على الاحكام او انها تشمل الموضوعات أيضا ؟</w:t>
      </w:r>
    </w:p>
    <w:p>
      <w:pPr>
        <w:pStyle w:val="BookText"/>
        <w:rPr/>
      </w:pPr>
      <w:r>
        <w:rPr>
          <w:rFonts w:ascii="Amiri" w:hAnsi="Amiri" w:eastAsia="Amiri" w:cs="Amiri"/>
          <w:color w:val="111111"/>
          <w:sz w:val="28"/>
          <w:sz w:val="28"/>
          <w:szCs w:val="28"/>
          <w:rtl w:val="true"/>
          <w:lang w:bidi="ar-SA"/>
        </w:rPr>
        <w:t xml:space="preserve">والذي يذهب اليه سماحة الشيخ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خبر الثقة حجة في الاحكام والموضوعات على حد سواء ؛ لان دليل حجيته السيرة العقلائية ، وهي قائمة على العمل بالأخبار في هذين الموردين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الجزء 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مسالة حجية البينة في ثبوت الهلال</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ثبت في الأصول والفقه حجية خبر الثقة في الأحكام وكذا في الموضوعات كالوقت والقبلة والزوجية والطهارة وغيرها لعدم الفرق بينهما في دليل الحجية وهو بناء العقلاء، وعليه دلّت الروايات</w:t>
      </w:r>
      <w:r>
        <w:rPr>
          <w:rStyle w:val="FootnoteAnchor"/>
          <w:rtl w:val="true"/>
        </w:rPr>
        <w:footnoteReference w:id="430"/>
      </w:r>
      <w:bookmarkStart w:id="419" w:name="pg8133_62894"/>
    </w:p>
    <w:p>
      <w:pPr>
        <w:pStyle w:val="Heading6"/>
        <w:numPr>
          <w:ilvl w:val="5"/>
          <w:numId w:val="1"/>
        </w:numPr>
        <w:rPr/>
      </w:pPr>
      <w:bookmarkStart w:id="420" w:name="__RefHeading___Toc8193281_1051229030"/>
      <w:bookmarkStart w:id="421" w:name="_Toc152"/>
      <w:bookmarkEnd w:id="419"/>
      <w:bookmarkEnd w:id="420"/>
      <w:r>
        <w:rPr>
          <w:rtl w:val="true"/>
        </w:rPr>
        <w:t>المسألة الثالثة</w:t>
      </w:r>
      <w:r>
        <w:rPr>
          <w:rtl w:val="true"/>
        </w:rPr>
        <w:t xml:space="preserve">: </w:t>
      </w:r>
      <w:r>
        <w:rPr>
          <w:rtl w:val="true"/>
        </w:rPr>
        <w:t>الاطمئنان بالصدور</w:t>
      </w:r>
      <w:r>
        <w:rPr>
          <w:rtl w:val="true"/>
        </w:rPr>
        <w:t>.</w:t>
      </w:r>
      <w:bookmarkEnd w:id="421"/>
    </w:p>
    <w:p>
      <w:pPr>
        <w:pStyle w:val="BookText"/>
        <w:rPr/>
      </w:pPr>
      <w:r>
        <w:rPr>
          <w:rFonts w:ascii="Amiri" w:hAnsi="Amiri" w:eastAsia="Amiri" w:cs="Amiri"/>
          <w:color w:val="111111"/>
          <w:sz w:val="28"/>
          <w:sz w:val="28"/>
          <w:szCs w:val="28"/>
          <w:rtl w:val="true"/>
          <w:lang w:bidi="ar-SA"/>
        </w:rPr>
        <w:t>تباينت الاقوال في تحديد دائرة حجية خبر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البعض الى حجية خصوصخبر الثقة ، وذهب البعض الاخر الى حجية الخبر الموثوق بصدوره وان لم يكن كل رواته من الثقات ، وبطبيعة الحال فان هذه الاقوال تستند الى دليل حجية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ان الشيخ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يبني على ان السيرة العقلائية هي الدليل على حجية اخبار الآحاد ؛ فانه يقول بأن الخبر الذي نطمئن بصدوره هو الحجة ؛ باعتبار ان هذا هو الذي قامت عليه السيرة ، وهذا الاطمئنان يحصل من خلال القرائن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صرح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الجزء السادس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مسالة من لاط بغلام فأوقب حرمت عليه امه وبنته وأخته ، اذ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لابن أبي عمير ثلاث مراسيل تقدم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 صحة أحداها لإثبات المطلوب وهو أصل الحكم فالروايات الثلاث تدل عليه فإذا كان احتمال الضعف في كل واحدة كما قدمنا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الاعتبار  فإن وجود مرسلة واحدة يعطي احتمالاً للاعتماد</w:t>
      </w:r>
    </w:p>
    <w:p>
      <w:pPr>
        <w:pStyle w:val="BookText"/>
        <w:rPr/>
      </w:pPr>
      <w:r>
        <w:rPr>
          <w:rFonts w:ascii="IRNazanin" w:hAnsi="IRNazanin" w:eastAsia="IRNazanin"/>
          <w:color w:val="111111"/>
          <w:sz w:val="28"/>
          <w:sz w:val="28"/>
          <w:szCs w:val="28"/>
          <w:rtl w:val="true"/>
          <w:lang w:bidi="fa-IR"/>
        </w:rPr>
        <w:t xml:space="preserve">عليها مقداره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93.75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انضمت إليها ثانية أضيف إليه احتمال مقداره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 = </w:t>
      </w:r>
      <w:r>
        <w:rPr>
          <w:rFonts w:eastAsia="IRNazanin" w:cs="IRNazanin"/>
          <w:color w:val="111111"/>
          <w:sz w:val="28"/>
          <w:szCs w:val="28"/>
          <w:lang w:bidi="fa-IR"/>
        </w:rPr>
        <w:t>0.0586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ومجموعهما </w:t>
      </w:r>
      <w:r>
        <w:rPr>
          <w:rFonts w:eastAsia="IRNazanin" w:cs="IRNazanin"/>
          <w:color w:val="111111"/>
          <w:sz w:val="28"/>
          <w:szCs w:val="28"/>
          <w:lang w:bidi="fa-IR"/>
        </w:rPr>
        <w:t>99.61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انضمت إليها ثالثة أضيف إليه احتمال مقداره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0.9961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0.37</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فالمجموع </w:t>
      </w:r>
      <w:r>
        <w:rPr>
          <w:rFonts w:eastAsia="Amiri" w:cs="Amiri" w:ascii="Amiri" w:hAnsi="Amiri"/>
          <w:color w:val="111111"/>
          <w:sz w:val="28"/>
          <w:szCs w:val="28"/>
          <w:lang w:bidi="ar-SA"/>
        </w:rPr>
        <w:t>99.98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احتمال كبير لا يعتد بخلافه ويحصل منه ومن </w:t>
      </w:r>
      <w:bookmarkStart w:id="422" w:name="pg8133_62895"/>
    </w:p>
    <w:p>
      <w:pPr>
        <w:pStyle w:val="BookText"/>
        <w:rPr/>
      </w:pPr>
      <w:bookmarkEnd w:id="422"/>
      <w:r>
        <w:rPr>
          <w:rFonts w:ascii="Amiri" w:hAnsi="Amiri" w:eastAsia="Amiri" w:cs="Amiri"/>
          <w:color w:val="111111"/>
          <w:sz w:val="28"/>
          <w:sz w:val="28"/>
          <w:szCs w:val="28"/>
          <w:rtl w:val="true"/>
          <w:lang w:bidi="ar-SA"/>
        </w:rPr>
        <w:t>القرائن المتقدمة اطمئنان بالصدور وهو الحجة</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23" w:name="__RefHeading___Toc8193283_1051229030"/>
      <w:bookmarkStart w:id="424" w:name="_Toc153"/>
      <w:bookmarkEnd w:id="423"/>
      <w:r>
        <w:rPr>
          <w:rtl w:val="true"/>
        </w:rPr>
        <w:t>المسألة الرابعة</w:t>
      </w:r>
      <w:r>
        <w:rPr>
          <w:rtl w:val="true"/>
        </w:rPr>
        <w:t xml:space="preserve">: </w:t>
      </w:r>
      <w:r>
        <w:rPr>
          <w:rtl w:val="true"/>
        </w:rPr>
        <w:t>دور الاستفاضة في اثبات الصدور</w:t>
      </w:r>
      <w:r>
        <w:rPr>
          <w:rtl w:val="true"/>
        </w:rPr>
        <w:t>.</w:t>
      </w:r>
      <w:bookmarkEnd w:id="424"/>
    </w:p>
    <w:p>
      <w:pPr>
        <w:pStyle w:val="BookText"/>
        <w:rPr/>
      </w:pPr>
      <w:r>
        <w:rPr>
          <w:rFonts w:ascii="Amiri" w:hAnsi="Amiri" w:eastAsia="Amiri" w:cs="Amiri"/>
          <w:color w:val="111111"/>
          <w:sz w:val="28"/>
          <w:sz w:val="28"/>
          <w:szCs w:val="28"/>
          <w:rtl w:val="true"/>
          <w:lang w:bidi="ar-SA"/>
        </w:rPr>
        <w:t>عرفنا ان خبر الواحد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الخبر الذي يُطمأَن بصدوره بمعونة القرائن ، و واحدة من القرائن التي تحقق الاطمئنان بصدور الخبر استفاضته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جاء في الجزء العاشر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مسالة حرمة التصوير ، اذ قال سماحة الشيخ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بد من مناقشة هذه الروايات وقد اختصرها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بسطر واحد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ولكنها مع كثرتها ضعيفة السند وغير منجبرة بشيء فلا تكون صالحة للاستناد إليها في الحكم الشرعي</w:t>
      </w:r>
      <w:r>
        <w:rPr>
          <w:rFonts w:eastAsia="Amiri" w:cs="Amiri" w:ascii="Amiri" w:hAnsi="Amiri"/>
          <w:color w:val="111111"/>
          <w:sz w:val="28"/>
          <w:szCs w:val="28"/>
          <w:rtl w:val="true"/>
          <w:lang w:bidi="ar-SA"/>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جواب غير كافٍ لأكثر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روايات معتبرة غير ما ذكره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كموثقة أبي بصير ومصححة ابن أبي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 والسادسة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صحيحة العباس بعد التجريد عن الخصوصية وصحيحة محمد بن مسلم بالتقريب الذي ذكرناه</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تنزلنا فإن استفاضة الروايات يجبر ضعفها ويحصل الاطمئنان بصدور مضمونها</w:t>
      </w:r>
      <w:r>
        <w:rPr>
          <w:rFonts w:eastAsia="Amiri" w:cs="Amiri" w:ascii="Amiri" w:hAnsi="Amiri"/>
          <w:color w:val="111111"/>
          <w:sz w:val="28"/>
          <w:szCs w:val="28"/>
          <w:rtl w:val="true"/>
          <w:lang w:bidi="ar-SA"/>
        </w:rPr>
        <w:t xml:space="preserve">. </w:t>
      </w:r>
      <w:bookmarkStart w:id="425" w:name="pg8133_62896"/>
    </w:p>
    <w:p>
      <w:pPr>
        <w:pStyle w:val="Heading6"/>
        <w:numPr>
          <w:ilvl w:val="5"/>
          <w:numId w:val="1"/>
        </w:numPr>
        <w:rPr/>
      </w:pPr>
      <w:bookmarkStart w:id="426" w:name="__RefHeading___Toc8193285_1051229030"/>
      <w:bookmarkStart w:id="427" w:name="_Toc154"/>
      <w:bookmarkEnd w:id="425"/>
      <w:bookmarkEnd w:id="426"/>
      <w:r>
        <w:rPr>
          <w:rtl w:val="true"/>
        </w:rPr>
        <w:t>المسألة الخامسة</w:t>
      </w:r>
      <w:r>
        <w:rPr>
          <w:rtl w:val="true"/>
        </w:rPr>
        <w:t xml:space="preserve">: </w:t>
      </w:r>
      <w:r>
        <w:rPr>
          <w:rtl w:val="true"/>
        </w:rPr>
        <w:t>تاثير إعراض الاصحاب على حجية الخبر</w:t>
      </w:r>
      <w:r>
        <w:rPr>
          <w:rtl w:val="true"/>
        </w:rPr>
        <w:t>.</w:t>
      </w:r>
      <w:bookmarkEnd w:id="427"/>
    </w:p>
    <w:p>
      <w:pPr>
        <w:pStyle w:val="BookText"/>
        <w:rPr/>
      </w:pPr>
      <w:r>
        <w:rPr>
          <w:rFonts w:ascii="Amiri" w:hAnsi="Amiri" w:eastAsia="Amiri" w:cs="Amiri"/>
          <w:color w:val="111111"/>
          <w:sz w:val="28"/>
          <w:sz w:val="28"/>
          <w:szCs w:val="28"/>
          <w:rtl w:val="true"/>
          <w:lang w:bidi="ar-SA"/>
        </w:rPr>
        <w:t>من الأبحاث التي تناولها علم الأصول مدى تاثير إعراض الاصحاب على حجية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يبنى على ان المدار في حجية الخبر كونه خبر ثقة لا يرى ان إعراض الصحاب يؤثر على الحجية ، ولكن من يرى ان الاطمئنان بالصدور هو المدار في حجية الخبر يفترض به ان يبني على ان إعراض المشهور يؤثر على الحجية ؛ باعتباره مزلزلاً للاطمئنان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 ان سماحة الشيخ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اثار نقطة مهمة في هذا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انه حتىعلى مبنى الوثوق او الاطمئنان بالصدور لا يكون إعراض الاصحاب ناقضا لحجية الخبر الا اذا كان إعراضا تعبديا كاشفا عن اعراض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حيث قال سماحته في الجزء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مسالة تحقق الغروب بسقوط القرص ام بذهاب الحمرة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هذا الإعراض إنما يكون مانعاً من الأخذ بالروايات إذا كان تعبدياً كاشفاً عن توجه عام لدى فقهاء ورواة أحاديث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غير متحقق في المقام لاحتمال ذهاب المشهور إلى هذا القول لما دلّ على استحباب التأخير أو للاحتياط أو لأنه علامة على تيقن الغروب ونحوها فلا يكون مانعاً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جاء هذا المعنى في الجزء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مسالة نجاسة الخمر ، اذ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هذا الإعراض إنما يكون مانعاً لو كان تعبدياً كاشفاً عن إعراض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المقام منه للاطمئنان بأن إعراضهم ناشئ من ترجيح القول بالنجاسة لسبب أو لآخر كالاحتياط الذي ذكره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ذيل كلامه، أو الموافقة للكتاب كما ذكر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التهذيب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والذي يدل على أن هذه الأخبار محمولة على التقية ما تقدّم ذكره من الآية </w:t>
      </w:r>
    </w:p>
    <w:p>
      <w:pPr>
        <w:pStyle w:val="BookText"/>
        <w:rPr/>
      </w:pPr>
      <w:r>
        <w:rPr>
          <w:rFonts w:ascii="IRNazanin" w:hAnsi="IRNazanin" w:eastAsia="IRNazanin"/>
          <w:color w:val="111111"/>
          <w:sz w:val="28"/>
          <w:sz w:val="28"/>
          <w:szCs w:val="28"/>
          <w:rtl w:val="true"/>
          <w:lang w:bidi="fa-IR"/>
        </w:rPr>
        <w:t xml:space="preserve">وأن الله تعالى أطلق اسم الرجاسة على الخمر ولا يجوز أن يرِد من جهتهم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يضادُّ القرآن وينافيه، وأيضاً قد أوردنا من الأخبار ما يعارض هذه، ولا يمكن الجمع بينهما إلا بأن نحمل هذه على التقية لأنّا لو عملنا بهذه الأخبار كنا دافعين لأحكام تلك جملة ولم نكن آخذين بها على وجه، وإذا عملنا على تلك الأخبار كنّا عاملين بما يلائم ظاهر القرآن فحملنا هذه على التقية لأن التقية أحد الوجوه التي يصحّ ورود الأخبار لأجلها من جهتهم فنكون عاملين بجميعها على وجه لا تناقض فيه</w:t>
      </w:r>
      <w:r>
        <w:rPr>
          <w:rFonts w:eastAsia="IRNazanin" w:cs="IRNazanin"/>
          <w:color w:val="111111"/>
          <w:sz w:val="28"/>
          <w:szCs w:val="28"/>
          <w:rtl w:val="true"/>
          <w:lang w:bidi="fa-IR"/>
        </w:rPr>
        <w:t>»</w:t>
      </w:r>
      <w:r>
        <w:rPr>
          <w:rStyle w:val="FootnoteAnchor"/>
          <w:rtl w:val="true"/>
        </w:rPr>
        <w:footnoteReference w:id="4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واكد سماحته هذا المعنى في الجزء الحادي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مسالة ارث الزوج والزوجة عند عدم وارث سواهما ، اذ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قيل من أن إعراض المشهور يوهن الرواية خصوصاً إذا كانت معتبرة فهذا مما لا نعتد به إلا إذا ثبت المناط الذي قالوه وهو وقوفهم على ما يوجب الإعراض عن النص أو تأويله على غير المعنى الظاهر منه، أي بأن يكون الإعراض تعبدياً وأنى لنا أن نثبت ذلك وإنما هو مجرد دعوى وظن وتخمين، ولعل إعراضهم لترجيح القول المشهور بكثرة عدد الروايات أو لموافقته لظاهر الكتاب، أو أن اختيارهم لهذا القول جاء انسياقاً مع ارتكاز فقهي بأن للرجل فضلاً على الأنثى في الميراث مطلقاً إلا ما خرج بدليل، فهذا كله مما يقلل الاطمئنان بكون اختيار المشهور تعبدياً، ولا يجعل إعراضه موهناً للرواية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جاء في الجزء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مسالة احكام صلاة من عمله السفر ،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لا نلتزم بأن إعراض الأصحاب عن العمل بالرواية الصحيحة </w:t>
      </w:r>
      <w:bookmarkStart w:id="428" w:name="pg8133_62898"/>
    </w:p>
    <w:p>
      <w:pPr>
        <w:pStyle w:val="BookText"/>
        <w:rPr/>
      </w:pPr>
      <w:bookmarkEnd w:id="428"/>
      <w:r>
        <w:rPr>
          <w:rFonts w:ascii="IRNazanin" w:hAnsi="IRNazanin" w:eastAsia="IRNazanin"/>
          <w:color w:val="111111"/>
          <w:sz w:val="28"/>
          <w:sz w:val="28"/>
          <w:szCs w:val="28"/>
          <w:rtl w:val="true"/>
          <w:lang w:bidi="fa-IR"/>
        </w:rPr>
        <w:t xml:space="preserve">يسقطها عن الاعتبار والحجية ألا ان يكون هذا الإعراض مستمراً عبر الأجيال ومتصلاً بزمان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يكون إعراضاً تعبدياً غير مستند إلى أسباب ودواعٍ فيكون كاشفاً عن إعراض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أمكن ذلك فلا بد من دراسة دوافع الإعراض وظروفه فقد تكون كافية لإسقاط الحجية وقد تكون غير ذلك كما لو كان مدرك الإعراض عدم وضوح المقصود أو عدم انسجامه مع الرأي المشهور يومئذٍ أو هيبة لرأي السلف الصالح بدرجة يصعب الخروج عليه حتى برواية صحيحة ونحوها وهذا كله غير كافٍ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سماحته قد قال في الجزء الثاني أيضا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مسالة الاكتفاء ببعض السورة بعد الفاتحة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المناقشة من جهة إعراض المشهور عنها، فهي مردودة كبروياً وصغروياً، أما كبروياً فلوضوح أن إعراض المشهور لا يسقط الرواية المعتبرة عن الحجية وأن هذه الكبرى لو سلمناها فإن مناط السقوط عدم الوثوق بصدورها عن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 نقطع بصدور هذا المعنى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لكثرتها ووضوحها ورواية الأجلاء لها</w:t>
      </w:r>
      <w:r>
        <w:rPr>
          <w:rFonts w:eastAsia="IRNazanin" w:cs="IRNazanin"/>
          <w:color w:val="111111"/>
          <w:sz w:val="28"/>
          <w:szCs w:val="28"/>
          <w:rtl w:val="true"/>
          <w:lang w:bidi="fa-IR"/>
        </w:rPr>
        <w:t>.</w:t>
      </w:r>
    </w:p>
    <w:p>
      <w:pPr>
        <w:pStyle w:val="Heading6"/>
        <w:numPr>
          <w:ilvl w:val="5"/>
          <w:numId w:val="1"/>
        </w:numPr>
        <w:rPr/>
      </w:pPr>
      <w:bookmarkStart w:id="429" w:name="__RefHeading___Toc8193287_1051229030"/>
      <w:bookmarkStart w:id="430" w:name="_Toc155"/>
      <w:bookmarkEnd w:id="429"/>
      <w:r>
        <w:rPr>
          <w:rtl w:val="true"/>
        </w:rPr>
        <w:t>المسألة السادسة</w:t>
      </w:r>
      <w:r>
        <w:rPr>
          <w:rtl w:val="true"/>
        </w:rPr>
        <w:t xml:space="preserve">: </w:t>
      </w:r>
      <w:r>
        <w:rPr>
          <w:rtl w:val="true"/>
        </w:rPr>
        <w:t>التفريق بين الإعراض وعدم العمل بالظاهر</w:t>
      </w:r>
      <w:r>
        <w:rPr>
          <w:rtl w:val="true"/>
        </w:rPr>
        <w:t>.</w:t>
      </w:r>
      <w:bookmarkEnd w:id="430"/>
    </w:p>
    <w:p>
      <w:pPr>
        <w:pStyle w:val="BookText"/>
        <w:rPr/>
      </w:pPr>
      <w:r>
        <w:rPr>
          <w:rFonts w:ascii="Amiri" w:hAnsi="Amiri" w:eastAsia="Amiri" w:cs="Amiri"/>
          <w:color w:val="111111"/>
          <w:sz w:val="28"/>
          <w:sz w:val="28"/>
          <w:szCs w:val="28"/>
          <w:rtl w:val="true"/>
          <w:lang w:bidi="ar-SA"/>
        </w:rPr>
        <w:t>قد يتوهم البعض ان مجرد عدم فتوى الاصحاب وفق ظاهر الخبر يعني اعراضهم عن الخبر ، ولكن هذا ليس بصحيح فان الاصحاب قد يفتون بخلاف ظاهر الخبر نتيجة المعارضة مع خبر اخر او لأسباب أخرى لا تعني انهم اعرضوا عن الخبر</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فالصحيح ان ادخال الخبر في المعارضة او تأويل ظاهره يدل على عملهم به لا اعراضهم عنه</w:t>
      </w:r>
      <w:r>
        <w:rPr>
          <w:rFonts w:eastAsia="Amiri" w:cs="Amiri" w:ascii="Amiri" w:hAnsi="Amiri"/>
          <w:color w:val="111111"/>
          <w:sz w:val="28"/>
          <w:szCs w:val="28"/>
          <w:rtl w:val="true"/>
          <w:lang w:bidi="ar-SA"/>
        </w:rPr>
        <w:t xml:space="preserve">. </w:t>
      </w:r>
      <w:bookmarkStart w:id="431" w:name="pg8133_62899"/>
    </w:p>
    <w:p>
      <w:pPr>
        <w:pStyle w:val="BookText"/>
        <w:rPr/>
      </w:pPr>
      <w:bookmarkEnd w:id="431"/>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عدم الفتوى وفق ظاهر الخبر لازم اعم من الإعراض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قال سماحة الشيخ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الجزء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مسالة احكام صلاة من عمله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انه يجب التفريق بين الإعراض وعدم العمل بالظاهر من اجل شيء من الدوافع التي ذكرناها ومجرد الفتوى على خلاف الظاهر من تلك الروايات لا يدل على إعراضهم عنها بل انه لازم أعم كما لو تركوها لمعارضتها لروايات أخرى أو أنهم تمسكوا بإطلاق الروايات الدالة على التمام فيمن عمله السفر بل تأوّل الأصحاب وتوجيههم للظاهر دليل على أخذهم بالروايات وليس إعراضهم</w:t>
      </w:r>
      <w:r>
        <w:rPr>
          <w:rFonts w:eastAsia="Amiri" w:cs="Amiri" w:ascii="Amiri" w:hAnsi="Amiri"/>
          <w:color w:val="111111"/>
          <w:sz w:val="28"/>
          <w:szCs w:val="28"/>
          <w:rtl w:val="true"/>
          <w:lang w:bidi="ar-SA"/>
        </w:rPr>
        <w:t>.</w:t>
      </w:r>
    </w:p>
    <w:p>
      <w:pPr>
        <w:pStyle w:val="Heading6"/>
        <w:numPr>
          <w:ilvl w:val="5"/>
          <w:numId w:val="1"/>
        </w:numPr>
        <w:rPr/>
      </w:pPr>
      <w:bookmarkStart w:id="432" w:name="__RefHeading___Toc8193289_1051229030"/>
      <w:bookmarkStart w:id="433" w:name="_Toc156"/>
      <w:bookmarkEnd w:id="432"/>
      <w:r>
        <w:rPr>
          <w:rtl w:val="true"/>
        </w:rPr>
        <w:t>المسألة السابعة</w:t>
      </w:r>
      <w:r>
        <w:rPr>
          <w:rtl w:val="true"/>
        </w:rPr>
        <w:t xml:space="preserve">: </w:t>
      </w:r>
      <w:r>
        <w:rPr>
          <w:rtl w:val="true"/>
        </w:rPr>
        <w:t>الشهرة لا تجبر ضعف السند</w:t>
      </w:r>
      <w:r>
        <w:rPr>
          <w:rtl w:val="true"/>
        </w:rPr>
        <w:t>.</w:t>
      </w:r>
      <w:bookmarkEnd w:id="433"/>
    </w:p>
    <w:p>
      <w:pPr>
        <w:pStyle w:val="BookText"/>
        <w:rPr/>
      </w:pPr>
      <w:r>
        <w:rPr>
          <w:rFonts w:ascii="Amiri" w:hAnsi="Amiri" w:eastAsia="Amiri" w:cs="Amiri"/>
          <w:color w:val="111111"/>
          <w:sz w:val="28"/>
          <w:sz w:val="28"/>
          <w:szCs w:val="28"/>
          <w:rtl w:val="true"/>
          <w:lang w:bidi="ar-SA"/>
        </w:rPr>
        <w:t>من الواضح ان من يستند في حجية الخبر على وثاقة الراوي ، ويعتبر الوثاقة هي موضوع الحجية فانه سيبني على عدم جابرية الشهرة للسند ؛ لان الشهرة لا تجعل من غير الثقة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من يبني على ان حجية الخبر تدور مدار الاطمئنان بالصدور قد يقول بان الشهرة تحقق ذلك الاطمئنان ، وبالتالي تجبر ضعف السند وتجعل الخبر الضعيف السند حجة</w:t>
      </w:r>
    </w:p>
    <w:p>
      <w:pPr>
        <w:pStyle w:val="BookText"/>
        <w:rPr/>
      </w:pPr>
      <w:r>
        <w:rPr>
          <w:rFonts w:ascii="Amiri" w:hAnsi="Amiri" w:eastAsia="Amiri" w:cs="Amiri"/>
          <w:color w:val="111111"/>
          <w:sz w:val="28"/>
          <w:sz w:val="28"/>
          <w:szCs w:val="28"/>
          <w:rtl w:val="true"/>
          <w:lang w:bidi="ar-SA"/>
        </w:rPr>
        <w:t>الا انه ينبغي ان نعلم ان الشهرة قد تكون روائية اَي ان الرواية وصلت بأسانيد متعددة ولكنها دون التواتر والاستفاضة ، او تكون شهرة على العمل بالرواية اَي ان الرواية واحدة الا ان مشهور الاصحاب عملوا بها رغم ضعف سندها</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والشهرة الروائية قد لا تحقق الاطمئنان بالصدور فلا يمكننا اعتبار الشهرة جابرة ، كما ان عمل المشهور بالرواية لا يكون جابرا لها الا اذا كان تعبديا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ولذا فان سماحة الشيخ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يبني على ان حجية الخبر تدور مدار الاطمئنان بالصدور الا انه لا يرى الشهرة جابرة لضعف السند ؛ لان الشهرة التي يمكن ان تحقق ذلك خصوص الشهرة العملية لا الروائية ، والشهرة العملية لا تخلق الاطمئنان بالصدور في كل حالاتها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بيّن سماحة الشيخ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المبنى في عدة مواضع من فقه الخلاف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الجزء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مسالة احكام صلاة من عمله السفر اذ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الحقيقة فان افتراض ان العشرة لم تذكر للحد إذا أمكن قبوله في صحيحة عبد الله بن سنان فانه لا يمكن قبوله في مرسلة يونس التي يظهر فيها موضوعية العشرة حيث أخذت كحدٍ فاصلٍ بين ما قبلها وما بعدها لكننا لم نفلح في تصحيح سندها ولو تمَّ ولو بالانجبار بالشهرة عند من يقول به مع تمامية دلالتها فتصلح حينئذٍ للدلالة على قاطعية إقامة العشرة أيام للحكم بوجوب التمام ولا ينبغي ترك الاحتياط بالجمع بين القصروالتمام في أول سفرة بعد الإقامة تعبداً بالنص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الجزء الحادي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مسالة توريث من يموتون بحادث جماعي ، حيث بيّن سماحته ان الشهرة الروائية لا تجبر السند ، وما يمكن ان يكون جابرا هو خصوص الشهرة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يكفي لنا في الاحتجاج بها انجبارها بالشهرة ولو لم تكن بحسب السند صحيحة</w:t>
      </w:r>
      <w:r>
        <w:rPr>
          <w:rFonts w:eastAsia="Amiri" w:cs="Amiri" w:ascii="Amiri" w:hAnsi="Amiri"/>
          <w:color w:val="111111"/>
          <w:sz w:val="28"/>
          <w:szCs w:val="28"/>
          <w:rtl w:val="true"/>
          <w:lang w:bidi="ar-SA"/>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المناقشة في الكبرى، فإنها لو تمّت فموردها ما لو استند مشهور القدماء إلى الرواية في مقام العمل</w:t>
      </w:r>
      <w:r>
        <w:rPr>
          <w:rFonts w:eastAsia="Amiri" w:cs="Amiri" w:ascii="Amiri" w:hAnsi="Amiri"/>
          <w:color w:val="111111"/>
          <w:sz w:val="28"/>
          <w:szCs w:val="28"/>
          <w:rtl w:val="true"/>
          <w:lang w:bidi="ar-SA"/>
        </w:rPr>
        <w:t xml:space="preserve">. </w:t>
      </w:r>
      <w:bookmarkStart w:id="434" w:name="pg8133_62901"/>
    </w:p>
    <w:p>
      <w:pPr>
        <w:pStyle w:val="BookText"/>
        <w:rPr/>
      </w:pPr>
      <w:bookmarkEnd w:id="434"/>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الجزء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مسالة وجوب الغسل بمس القطعة المبانة من جسد الانسان ، حيث بيّن سماحته ان الشهرة العملية التي من شانها جبر السند هي خصوص شهرة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ونوقشت الرواية من جهة ضعفها بالإرسال، إلا أن المشهور جبر الضعف بما ذكر من عمل المشهور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ونوقش هذا التوجيه كبروياً بعدم انجبار الخبر الضعيف بعمل المشهور، وصغروياً لما قاله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العامل بها قليل، والجابر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عمل مشهور المتقدمين</w:t>
      </w:r>
      <w:r>
        <w:rPr>
          <w:rFonts w:eastAsia="Amiri" w:cs="Amiri" w:ascii="Amiri" w:hAnsi="Amiri"/>
          <w:color w:val="111111"/>
          <w:sz w:val="28"/>
          <w:szCs w:val="28"/>
          <w:rtl w:val="true"/>
          <w:lang w:bidi="ar-SA"/>
        </w:rPr>
        <w:t>.</w:t>
      </w:r>
    </w:p>
    <w:p>
      <w:pPr>
        <w:pStyle w:val="Heading6"/>
        <w:numPr>
          <w:ilvl w:val="5"/>
          <w:numId w:val="1"/>
        </w:numPr>
        <w:rPr/>
      </w:pPr>
      <w:bookmarkStart w:id="435" w:name="__RefHeading___Toc8193291_1051229030"/>
      <w:bookmarkStart w:id="436" w:name="_Toc157"/>
      <w:bookmarkEnd w:id="435"/>
      <w:r>
        <w:rPr>
          <w:rtl w:val="true"/>
        </w:rPr>
        <w:t>المسألة الثامنة</w:t>
      </w:r>
      <w:r>
        <w:rPr>
          <w:rtl w:val="true"/>
        </w:rPr>
        <w:t xml:space="preserve">: </w:t>
      </w:r>
      <w:r>
        <w:rPr>
          <w:rtl w:val="true"/>
        </w:rPr>
        <w:t>الشهرة الجابرة لضعف السند</w:t>
      </w:r>
      <w:r>
        <w:rPr>
          <w:rtl w:val="true"/>
        </w:rPr>
        <w:t>.</w:t>
      </w:r>
      <w:bookmarkEnd w:id="436"/>
    </w:p>
    <w:p>
      <w:pPr>
        <w:pStyle w:val="BookText"/>
        <w:rPr/>
      </w:pPr>
      <w:r>
        <w:rPr>
          <w:rFonts w:ascii="Amiri" w:hAnsi="Amiri" w:eastAsia="Amiri" w:cs="Amiri"/>
          <w:color w:val="111111"/>
          <w:sz w:val="28"/>
          <w:sz w:val="28"/>
          <w:szCs w:val="28"/>
          <w:rtl w:val="true"/>
          <w:lang w:bidi="ar-SA"/>
        </w:rPr>
        <w:t xml:space="preserve">بما ان مبنى سماحة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حجية خبر الواحد هو الاطمئنان بالصدور فاذا كان عمل المشهور بالرواية يخلق ذلك الاطمئنان كان جابرا لسندها</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جاء في الجزء الخامس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مسالة معادلة المد بثلاثة ارباع الكيلو غرام تقريبًا او تحقيقًا ، بيان من سماحته عن حالة يمكن ان تكون فيها الشهرة جابرة للسند وهي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شهرة العمل بالرواية جابرة لضعفها في المقام وليس مطلقاً إذ لا نقول بها بتقريب أن يقال إن الإشكال في الرواية ليس من جهة العلم بكذب الراوي أو القطع بعدم الصدور من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من جهة جهالته وعدم معرفة حاله ونحن بعيدو العهد عن زمان الصدور فربما اطلع القدماء على ما لا نعلمه من حال الراوي أو الرواية فاطمأنوا بصدورها فتكون من تقديم بيّنة من يعلم على بيّنة من لا يعلم ونحن لا نعلم كذب الراوي أما القدماء فقد حصل عندهم الاطمئنان بالاستناد إلى الرواية</w:t>
      </w:r>
      <w:r>
        <w:rPr>
          <w:rFonts w:eastAsia="IRNazanin" w:cs="IRNazanin"/>
          <w:color w:val="111111"/>
          <w:sz w:val="28"/>
          <w:szCs w:val="28"/>
          <w:rtl w:val="true"/>
          <w:lang w:bidi="fa-IR"/>
        </w:rPr>
        <w:t xml:space="preserve">. </w:t>
      </w:r>
      <w:bookmarkStart w:id="437" w:name="pg8133_62902"/>
    </w:p>
    <w:p>
      <w:pPr>
        <w:pStyle w:val="Heading5"/>
        <w:numPr>
          <w:ilvl w:val="4"/>
          <w:numId w:val="1"/>
        </w:numPr>
        <w:rPr/>
      </w:pPr>
      <w:bookmarkStart w:id="438" w:name="__RefHeading___Toc8193293_1051229030"/>
      <w:bookmarkStart w:id="439" w:name="_Toc158"/>
      <w:bookmarkEnd w:id="437"/>
      <w:bookmarkEnd w:id="438"/>
      <w:r>
        <w:rPr>
          <w:rtl w:val="true"/>
        </w:rPr>
        <w:t>الظهور</w:t>
      </w:r>
      <w:bookmarkEnd w:id="439"/>
    </w:p>
    <w:p>
      <w:pPr>
        <w:pStyle w:val="Heading6"/>
        <w:numPr>
          <w:ilvl w:val="5"/>
          <w:numId w:val="1"/>
        </w:numPr>
        <w:rPr/>
      </w:pPr>
      <w:bookmarkStart w:id="440" w:name="__RefHeading___Toc8193295_1051229030"/>
      <w:bookmarkStart w:id="441" w:name="_Toc159"/>
      <w:bookmarkEnd w:id="440"/>
      <w:r>
        <w:rPr>
          <w:rtl w:val="true"/>
        </w:rPr>
        <w:t>اشارة</w:t>
      </w:r>
      <w:bookmarkEnd w:id="441"/>
    </w:p>
    <w:p>
      <w:pPr>
        <w:pStyle w:val="BookText"/>
        <w:rPr/>
      </w:pPr>
      <w:r>
        <w:rPr>
          <w:rFonts w:ascii="Amiri" w:hAnsi="Amiri" w:eastAsia="Amiri" w:cs="Amiri"/>
          <w:color w:val="111111"/>
          <w:sz w:val="28"/>
          <w:sz w:val="28"/>
          <w:szCs w:val="28"/>
          <w:rtl w:val="true"/>
          <w:lang w:bidi="ar-SA"/>
        </w:rPr>
        <w:t>بعد ان تكلمنا في دلالة الدليل الشرعي ، وصدوره ، يأتي الكلام الان عن الظهور ، والمفروض ان يكون الكلام هنا عن حجية الظهور خاصة باعتبارها كبرى قياس الاستنباط ، ولكننا سنتكلم إضافة الى ذلك في بعض صغريات الظهور ، فسنتناول هنا احدى عشرة مسالة مهمة أثيرت في موسوعة فقه الخلاف ،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عصر النص هو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ظروف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علاقة الظهور بالمعاني الاصطلاحية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تاثير وحدة السياق في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الاستشهاد بالكبرى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الاحتمال والاجمال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أصالة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الألفاظ في مفاهيمها لا في مصاديقها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مرجعية العرف في ظهور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الظهور لمانع ثبوتي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 والنقيصة</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وتفصيل هذه المسائل</w:t>
      </w:r>
      <w:r>
        <w:rPr>
          <w:rFonts w:eastAsia="Amiri" w:cs="Amiri" w:ascii="Amiri" w:hAnsi="Amiri"/>
          <w:color w:val="111111"/>
          <w:sz w:val="28"/>
          <w:szCs w:val="28"/>
          <w:rtl w:val="true"/>
          <w:lang w:bidi="ar-SA"/>
        </w:rPr>
        <w:t xml:space="preserve">: </w:t>
      </w:r>
      <w:bookmarkStart w:id="442" w:name="pg8133_62903"/>
    </w:p>
    <w:p>
      <w:pPr>
        <w:pStyle w:val="Heading6"/>
        <w:numPr>
          <w:ilvl w:val="5"/>
          <w:numId w:val="1"/>
        </w:numPr>
        <w:rPr/>
      </w:pPr>
      <w:bookmarkStart w:id="443" w:name="__RefHeading___Toc8193297_1051229030"/>
      <w:bookmarkStart w:id="444" w:name="_Toc160"/>
      <w:bookmarkEnd w:id="442"/>
      <w:bookmarkEnd w:id="443"/>
      <w:r>
        <w:rPr>
          <w:rtl w:val="true"/>
        </w:rPr>
        <w:t>المسألة الأولى</w:t>
      </w:r>
      <w:r>
        <w:rPr>
          <w:rtl w:val="true"/>
        </w:rPr>
        <w:t xml:space="preserve">: </w:t>
      </w:r>
      <w:r>
        <w:rPr>
          <w:rtl w:val="true"/>
        </w:rPr>
        <w:t>ظهور عصر النص هو الحجة</w:t>
      </w:r>
      <w:r>
        <w:rPr>
          <w:rtl w:val="true"/>
        </w:rPr>
        <w:t>.</w:t>
      </w:r>
      <w:bookmarkEnd w:id="444"/>
    </w:p>
    <w:p>
      <w:pPr>
        <w:pStyle w:val="BookText"/>
        <w:rPr/>
      </w:pPr>
      <w:r>
        <w:rPr>
          <w:rFonts w:ascii="Amiri" w:hAnsi="Amiri" w:eastAsia="Amiri" w:cs="Amiri"/>
          <w:color w:val="111111"/>
          <w:sz w:val="28"/>
          <w:sz w:val="28"/>
          <w:szCs w:val="28"/>
          <w:rtl w:val="true"/>
          <w:lang w:bidi="ar-SA"/>
        </w:rPr>
        <w:t>قد نستظهر من اللفظ معنى معيناً ، ولا نشك في ظهوره في هذا المعنى ، ولكن المهم ان نحرز ان هذا الظهور هو نفس الظهور الذي كان موجودا في زمان صدور النص ؛ لان الظهور الحجة هو ظهور عصر النص ، وليس ظهور عصر السماع ، فاذا وجدت أسباب حقيقية تجعلنا نشك في كون الظهور الحاصل الان هو نفس الظهور الذي كان موجودًا في عصر النص لم يمكننا البناء على 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تطبيقات هذه المسالة ما جاء في الجزء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مسالة احكام صلاة من عمله السفر ، اذ قال سماحة الشيخ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الروايات لا تأبى ذلك ولا تشير ولا واحدة إلى نفي حالة التعدد وغاية ما أفادت وضع ضابطة لصدق الوطن وهي يمكن ان تنطبق على بلد أو أكثر وقد دلّ بعضها بالمنطوق وبعضها بالمفهوم كصحيحة علي بن يقطين عن أبي الحسن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منزل من منازلك لا تستوطنه فعليك فيه التقصير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وصحيحه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منزل لا تستوطنه فليس لك بمنزل، وليس لك ان تتم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وصحيح سعد بن أبي خلف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سألعلي بن يقطين أبا الحسن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الدار تكون للرجل بمصر والضيعة فيمر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مما قد سكنه أتمَّ فيه الصلاة وان كان مما لم يسكنه فليقصر</w:t>
      </w:r>
      <w:r>
        <w:rPr>
          <w:rFonts w:eastAsia="IRNazanin" w:cs="IRNazanin"/>
          <w:color w:val="111111"/>
          <w:sz w:val="28"/>
          <w:szCs w:val="28"/>
          <w:rtl w:val="true"/>
          <w:lang w:bidi="fa-IR"/>
        </w:rPr>
        <w:t>)</w:t>
      </w:r>
      <w:r>
        <w:rPr>
          <w:rStyle w:val="FootnoteAnchor"/>
          <w:rtl w:val="true"/>
        </w:rPr>
        <w:footnoteReference w:id="435"/>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يضعّف في النفس هذا الفهم ان هذه الحالات المذكورة إنما أفرزتها طبيعة الحياة اليوم ولا يمكن تطبيق الرواية إلا على زمانها المختلف عن </w:t>
      </w:r>
      <w:bookmarkStart w:id="445" w:name="pg8133_62904"/>
    </w:p>
    <w:p>
      <w:pPr>
        <w:pStyle w:val="BookText"/>
        <w:rPr/>
      </w:pPr>
      <w:bookmarkEnd w:id="445"/>
      <w:r>
        <w:rPr>
          <w:rFonts w:ascii="Amiri" w:hAnsi="Amiri" w:eastAsia="Amiri" w:cs="Amiri"/>
          <w:color w:val="111111"/>
          <w:sz w:val="28"/>
          <w:sz w:val="28"/>
          <w:szCs w:val="28"/>
          <w:rtl w:val="true"/>
          <w:lang w:bidi="ar-SA"/>
        </w:rPr>
        <w:t>نمط الحياة المعاصرة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ولكننا نجد إمكان التطبيق لان بغداد عاصمة الدولة الإسلامية يومئذٍ وحواضر الإسلام الأخرى كانت تشهد نشاطاً صناعياً وتجارياً وعلمياً واسعاً وتستقطب أبناء مدن مختلفة بنفس الحال الذي نشهده اليوم وان الراوي عبد الله بن سنان هو كوفي كان خازناً للمنصور والمهدي والهادي والرشيد، قاله النجاشي</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اجبنا بفضل الله تبارك وتعالى من خلال عرض معطيات هذه الفكرة على الإشكالات المتقدمة على الأخذ بظاهر الرواية</w:t>
      </w:r>
      <w:r>
        <w:rPr>
          <w:rFonts w:eastAsia="Amiri" w:cs="Amiri" w:ascii="Amiri" w:hAnsi="Amiri"/>
          <w:color w:val="111111"/>
          <w:sz w:val="28"/>
          <w:szCs w:val="28"/>
          <w:rtl w:val="true"/>
          <w:lang w:bidi="ar-SA"/>
        </w:rPr>
        <w:t>.</w:t>
      </w:r>
    </w:p>
    <w:p>
      <w:pPr>
        <w:pStyle w:val="Heading6"/>
        <w:numPr>
          <w:ilvl w:val="5"/>
          <w:numId w:val="1"/>
        </w:numPr>
        <w:rPr/>
      </w:pPr>
      <w:bookmarkStart w:id="446" w:name="__RefHeading___Toc8193299_1051229030"/>
      <w:bookmarkStart w:id="447" w:name="_Toc161"/>
      <w:bookmarkEnd w:id="446"/>
      <w:r>
        <w:rPr>
          <w:rtl w:val="true"/>
        </w:rPr>
        <w:t>المسألة الثانية</w:t>
      </w:r>
      <w:r>
        <w:rPr>
          <w:rtl w:val="true"/>
        </w:rPr>
        <w:t xml:space="preserve">: </w:t>
      </w:r>
      <w:r>
        <w:rPr>
          <w:rtl w:val="true"/>
        </w:rPr>
        <w:t>دراسة ظروف النص</w:t>
      </w:r>
      <w:r>
        <w:rPr>
          <w:rtl w:val="true"/>
        </w:rPr>
        <w:t>.</w:t>
      </w:r>
      <w:bookmarkEnd w:id="447"/>
    </w:p>
    <w:p>
      <w:pPr>
        <w:pStyle w:val="BookText"/>
        <w:rPr/>
      </w:pPr>
      <w:r>
        <w:rPr>
          <w:rFonts w:ascii="Amiri" w:hAnsi="Amiri" w:eastAsia="Amiri" w:cs="Amiri"/>
          <w:color w:val="111111"/>
          <w:sz w:val="28"/>
          <w:sz w:val="28"/>
          <w:szCs w:val="28"/>
          <w:rtl w:val="true"/>
          <w:lang w:bidi="ar-SA"/>
        </w:rPr>
        <w:t>ان القرائن الحافة بالنص لها اثر كبير في تحديد المعنى المراد منه ؛ ولذلك وجب دراسة ظروف النص ؛ لمعرفة الظهور الكاشف عن مراد المتكلم ، وعدم الاكتفاء بما تدل عليه الألفاظ بمدلولها المطابقي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تطبيقات هذه المسالة ما جاء في الجزء 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مسالة ان شهر رمضان لا ينقص ، اذ قال الشيخ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ألّف عدد من أعلام الطائفة رسائل في الرد على هذا القولكالشيخ المفيد والكراجكي بعد عدولهما والسيد المرتضى والشيخ الطوسي، بل يظهر من بعض كلمات الصدوق نفسه رجوعه عن هذا القول أو أنه لا يريد منه الاعتماد عليه مطلقاً، قال في كتابه 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والمظنون أنه متأخر عن الخصال والفقيه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وصيام شهر رمضان فريضة وهو بالرؤية وليس </w:t>
      </w:r>
    </w:p>
    <w:p>
      <w:pPr>
        <w:pStyle w:val="BookText"/>
        <w:rPr/>
      </w:pPr>
      <w:r>
        <w:rPr>
          <w:rFonts w:ascii="Amiri" w:hAnsi="Amiri" w:eastAsia="Amiri" w:cs="Amiri"/>
          <w:color w:val="111111"/>
          <w:sz w:val="28"/>
          <w:sz w:val="28"/>
          <w:szCs w:val="28"/>
          <w:rtl w:val="true"/>
          <w:lang w:bidi="ar-SA"/>
        </w:rPr>
        <w:t>بالرأي ولا بالتظني، ومن صام قبل الرؤية فهو مخالف لدين الإمامية</w:t>
      </w:r>
      <w:r>
        <w:rPr>
          <w:rFonts w:eastAsia="Amiri" w:cs="Amiri" w:ascii="Amiri" w:hAnsi="Amiri"/>
          <w:color w:val="111111"/>
          <w:sz w:val="28"/>
          <w:szCs w:val="28"/>
          <w:rtl w:val="true"/>
          <w:lang w:bidi="ar-SA"/>
        </w:rPr>
        <w:t>»</w:t>
      </w:r>
      <w:r>
        <w:rPr>
          <w:rStyle w:val="FootnoteAnchor"/>
          <w:rtl w:val="true"/>
        </w:rPr>
        <w:footnoteReference w:id="43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وصرح في المقنع أن شهر رمضان ينقص كغيره من الشهور،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يكون شهر رمضان تسعة وعشرين ويكون ثلاثين، ويصيبه ما يصيب الشهور من النقصان والتمام</w:t>
      </w:r>
      <w:r>
        <w:rPr>
          <w:rFonts w:eastAsia="Amiri" w:cs="Amiri" w:ascii="Amiri" w:hAnsi="Amiri"/>
          <w:color w:val="111111"/>
          <w:sz w:val="28"/>
          <w:szCs w:val="28"/>
          <w:rtl w:val="true"/>
          <w:lang w:bidi="ar-SA"/>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أدّت هذه الجهود المكثفة إلى إنهاء هذا القول فذكر السيد ابن طاووس في كتابه الإقبال أن علماء الشيعة مجمعة في زمانه على أن شهر رمضان قد يكون ثلاثين يوماً وقد يكون تسعة وعشرين وأنهم كانوا مختلفين من قبل</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واحتمل بعض من حضرنا بحثه الشريف أن هذه النهضة لرد القول بالعدد ترجع في بعض أسبابها إلى الانتقاد الذي وجهه العالم الفلكي المشهور يومئذٍ أبو الريحان البيروني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وببالي أن أبا الريحان البيروني</w:t>
      </w:r>
      <w:r>
        <w:rPr>
          <w:rStyle w:val="FootnoteAnchor"/>
          <w:rtl w:val="true"/>
        </w:rPr>
        <w:footnoteReference w:id="440"/>
      </w:r>
      <w:r>
        <w:rPr>
          <w:rFonts w:ascii="IRNazanin" w:hAnsi="IRNazanin" w:eastAsia="IRNazanin"/>
          <w:color w:val="111111"/>
          <w:sz w:val="28"/>
          <w:sz w:val="28"/>
          <w:szCs w:val="28"/>
          <w:rtl w:val="true"/>
          <w:lang w:bidi="fa-IR"/>
        </w:rPr>
        <w:t>المعاصر لهم ذكر في الآثار الباقية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العجب من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ينقل عنهم أنهم قائلون بالعدد مع أنه مخالف لعلم الهيئة، والبيروني من أكابر علماء الهيئة وهو في بغداد ومعاصر لهم ويمكن أن يكون له تأثير في تبدل رأي علماء الشيعة</w:t>
      </w:r>
      <w:r>
        <w:rPr>
          <w:rFonts w:eastAsia="IRNazanin" w:cs="IRNazanin"/>
          <w:color w:val="111111"/>
          <w:sz w:val="28"/>
          <w:szCs w:val="28"/>
          <w:rtl w:val="true"/>
          <w:lang w:bidi="fa-IR"/>
        </w:rPr>
        <w:t>»</w:t>
      </w:r>
      <w:r>
        <w:rPr>
          <w:rStyle w:val="FootnoteAnchor"/>
          <w:rtl w:val="true"/>
        </w:rPr>
        <w:footnoteReference w:id="4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يظهر من كلمات المفنّدين لهذا القول أنهم تأثروا بمثل هذا، إلا </w:t>
      </w:r>
      <w:bookmarkStart w:id="448" w:name="pg8133_62906"/>
    </w:p>
    <w:p>
      <w:pPr>
        <w:pStyle w:val="BookText"/>
        <w:rPr/>
      </w:pPr>
      <w:bookmarkEnd w:id="448"/>
      <w:r>
        <w:rPr>
          <w:rFonts w:ascii="Amiri" w:hAnsi="Amiri" w:eastAsia="Amiri" w:cs="Amiri"/>
          <w:color w:val="111111"/>
          <w:sz w:val="28"/>
          <w:sz w:val="28"/>
          <w:szCs w:val="28"/>
          <w:rtl w:val="true"/>
          <w:lang w:bidi="ar-SA"/>
        </w:rPr>
        <w:t>أنه من المفيد فعلاً في التحقيقات دراسة بيئة النصوص والآراء الفقهية من النواحي العلمية والاجتماعية والسياسية وغيرها لمحاولة فهم وجه صدورها وتبنيها</w:t>
      </w:r>
      <w:r>
        <w:rPr>
          <w:rFonts w:eastAsia="Amiri" w:cs="Amiri" w:ascii="Amiri" w:hAnsi="Amiri"/>
          <w:color w:val="111111"/>
          <w:sz w:val="28"/>
          <w:szCs w:val="28"/>
          <w:rtl w:val="true"/>
          <w:lang w:bidi="ar-SA"/>
        </w:rPr>
        <w:t>.</w:t>
      </w:r>
    </w:p>
    <w:p>
      <w:pPr>
        <w:pStyle w:val="Heading6"/>
        <w:numPr>
          <w:ilvl w:val="5"/>
          <w:numId w:val="1"/>
        </w:numPr>
        <w:rPr/>
      </w:pPr>
      <w:bookmarkStart w:id="449" w:name="__RefHeading___Toc8193301_1051229030"/>
      <w:bookmarkStart w:id="450" w:name="_Toc162"/>
      <w:bookmarkEnd w:id="449"/>
      <w:r>
        <w:rPr>
          <w:rtl w:val="true"/>
        </w:rPr>
        <w:t>المسألة الثالثة</w:t>
      </w:r>
      <w:r>
        <w:rPr>
          <w:rtl w:val="true"/>
        </w:rPr>
        <w:t xml:space="preserve">: </w:t>
      </w:r>
      <w:r>
        <w:rPr>
          <w:rtl w:val="true"/>
        </w:rPr>
        <w:t>علاقة الظهور بالمعاني الاصطلاحية</w:t>
      </w:r>
      <w:r>
        <w:rPr>
          <w:rtl w:val="true"/>
        </w:rPr>
        <w:t>.</w:t>
      </w:r>
      <w:bookmarkEnd w:id="450"/>
    </w:p>
    <w:p>
      <w:pPr>
        <w:pStyle w:val="BookText"/>
        <w:rPr/>
      </w:pPr>
      <w:r>
        <w:rPr>
          <w:rFonts w:ascii="Amiri" w:hAnsi="Amiri" w:eastAsia="Amiri" w:cs="Amiri"/>
          <w:color w:val="111111"/>
          <w:sz w:val="28"/>
          <w:sz w:val="28"/>
          <w:szCs w:val="28"/>
          <w:rtl w:val="true"/>
          <w:lang w:bidi="ar-SA"/>
        </w:rPr>
        <w:t>الظهور الحجة هو الظهور الكاشف عن مراد المتكلم اَي انه الظهور اللغوي ، او الظهور في معنى كان مصطلحًا عليه في زمان النص ، اما المعاني الإصلاحية لعلومنا الحالية فهي معان منقولة ، ولا تطابق المعنى الذي كان سائدًا في عصر النص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هنا لا يصح فهم مدلولات الألفاظ وفق المعاني المتداولة في علومنا التي ندرسها اليوم ، فما نفهمه من ألفاظ الطهارة والكراهة والضد وغيرها في كتب الفقه والمنطق لا يمثل المعنى الذي كانت تستعمل فيه أمثال هذه الألفاظ في عصر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أشار سماحة الشيخ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لذلك في الجزء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مسالة مطهرية الشمس ، في سياق نقل كلام للسيد الشهيد الصدر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وتعليقه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إمكان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كلام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المعنى الاصطلاحي الفقهي لأنه اصطلاح متأخر لا تفهم في ضوئه الروايات فيحمل على الطهارة اللغوية والعرفية السائدة آنذاك وهو يعني النظافة من الوسخ أي ان قذارته غير موجودة ولا تحمل على الطهارة الحكمية</w:t>
      </w:r>
      <w:r>
        <w:rPr>
          <w:rFonts w:eastAsia="IRNazanin" w:cs="IRNazanin"/>
          <w:color w:val="111111"/>
          <w:sz w:val="28"/>
          <w:szCs w:val="28"/>
          <w:rtl w:val="true"/>
          <w:lang w:bidi="fa-IR"/>
        </w:rPr>
        <w:t xml:space="preserve">»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يكتف بهذا المقدار من البيان فأضاف في اليوم التالي</w:t>
      </w:r>
      <w:r>
        <w:rPr>
          <w:rFonts w:eastAsia="Amiri" w:cs="Amiri" w:ascii="Amiri" w:hAnsi="Amiri"/>
          <w:color w:val="111111"/>
          <w:sz w:val="28"/>
          <w:szCs w:val="28"/>
          <w:rtl w:val="true"/>
          <w:lang w:bidi="ar-SA"/>
        </w:rPr>
        <w:t xml:space="preserve">: </w:t>
      </w:r>
      <w:bookmarkStart w:id="451" w:name="pg8133_62907"/>
    </w:p>
    <w:p>
      <w:pPr>
        <w:pStyle w:val="BookText"/>
        <w:rPr/>
      </w:pPr>
      <w:bookmarkEnd w:id="45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يجب ان نلتفت إلى ان النجاسة بالمعنى الفقهي تستفاد من لسان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ارق عليه الماء أو اغسله ولا يستفاد من الأعم من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لاتصلِّ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يستفاد الخاص من العام لاحتمال وجود مانع آخر كعرق الجنب من حرام الذي ورد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اعم من النجاسة كما ان نقيضه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يدل على الطهارة وان حمل ألفاظ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المصطلح الفقهي يحتاج إلى إثبات، وبالاستقراء يثبت ذلك لو تم حسياً اما بالغفلة والاستصحاب القهقرائي فعهدته على مدعيه، 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الجاف على الجاف ذكي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يعني طاهر بل لا تسري النجاسة وهو احد المحتملات هنا ويحتمل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صلاته صحيحة، ومن اطمأن فاطمئنانه بسبب التربية الحوزوية ويستصحبه قهقرائياً إلى زمن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كبروياً أي ان المعنى الذي تحمل عليه الألفاظ الواردة في كلام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ان يكون مما تعارف عليه أهل اللغة في ذلك الزمان ولا يصح حملها على معانٍ ومصطلحات مستحدثة ومع الشك لا يمكن التمسك بالاستصحاب القهقرائي الا ان ينضمّ إليه ما يثبت ذلك كالاستقراء ونحوه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الصحيح ايضاً ما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 لا يمكن التمسك بمدلول عام لإفادة معنى مخصوص كاستفادة طهارة المكان من الإذن بالصلاة فيه لان الصلاة تجوز في المكان النجس مع أمن السراية</w:t>
      </w:r>
      <w:r>
        <w:rPr>
          <w:rFonts w:eastAsia="Amiri" w:cs="Amiri" w:ascii="Amiri" w:hAnsi="Amiri"/>
          <w:color w:val="111111"/>
          <w:sz w:val="28"/>
          <w:szCs w:val="28"/>
          <w:rtl w:val="true"/>
          <w:lang w:bidi="ar-SA"/>
        </w:rPr>
        <w:t>.</w:t>
      </w:r>
    </w:p>
    <w:p>
      <w:pPr>
        <w:pStyle w:val="Heading6"/>
        <w:numPr>
          <w:ilvl w:val="5"/>
          <w:numId w:val="1"/>
        </w:numPr>
        <w:rPr/>
      </w:pPr>
      <w:bookmarkStart w:id="452" w:name="__RefHeading___Toc8193303_1051229030"/>
      <w:bookmarkStart w:id="453" w:name="_Toc163"/>
      <w:bookmarkEnd w:id="452"/>
      <w:r>
        <w:rPr>
          <w:rtl w:val="true"/>
        </w:rPr>
        <w:t>المسألة الرابعة</w:t>
      </w:r>
      <w:r>
        <w:rPr>
          <w:rtl w:val="true"/>
        </w:rPr>
        <w:t xml:space="preserve">: </w:t>
      </w:r>
      <w:r>
        <w:rPr>
          <w:rtl w:val="true"/>
        </w:rPr>
        <w:t>تاثير وحدة السياق في الظهور</w:t>
      </w:r>
      <w:r>
        <w:rPr>
          <w:rtl w:val="true"/>
        </w:rPr>
        <w:t>.</w:t>
      </w:r>
      <w:bookmarkEnd w:id="453"/>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كثيرا ما يُستعان بوحدة السياق لتحديد المعنى المراد من اللفظ ، ولكن في كثير من الأحيان يحصل اشتباه في هذه المسالة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وحدة السياق لا تعني اكثر من كون الأشياء المذكورة مصداقا لشيء واحد ، وهذا لا يلزم منه اتحادها </w:t>
      </w:r>
      <w:bookmarkStart w:id="454" w:name="pg8133_62908"/>
    </w:p>
    <w:p>
      <w:pPr>
        <w:pStyle w:val="BookText"/>
        <w:rPr/>
      </w:pPr>
      <w:bookmarkEnd w:id="454"/>
      <w:r>
        <w:rPr>
          <w:rFonts w:ascii="Amiri" w:hAnsi="Amiri" w:eastAsia="Amiri" w:cs="Amiri"/>
          <w:color w:val="111111"/>
          <w:sz w:val="28"/>
          <w:sz w:val="28"/>
          <w:szCs w:val="28"/>
          <w:rtl w:val="true"/>
          <w:lang w:bidi="ar-SA"/>
        </w:rPr>
        <w:t>في الحكم ، فقد يكون الجامع للاشياء المذكورة في سياق واحد انها مطلوبة ، غير ان المطلوب قد يكون واجبا وقد يكون مستحبا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عمد سماحة الشيخ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بيان ذلك ، حيث قال في الجزءالثالث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مسالة مفطرية رمس الرأس في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وحدة السياق ليست حجة فكثيراً ما جُمعَ الواجب والمستحب في سياق واحد</w:t>
      </w:r>
    </w:p>
    <w:p>
      <w:pPr>
        <w:pStyle w:val="BookText"/>
        <w:rPr/>
      </w:pPr>
      <w:r>
        <w:rPr>
          <w:rFonts w:ascii="Amiri" w:hAnsi="Amiri" w:eastAsia="Amiri" w:cs="Amiri"/>
          <w:color w:val="111111"/>
          <w:sz w:val="28"/>
          <w:sz w:val="28"/>
          <w:szCs w:val="28"/>
          <w:rtl w:val="true"/>
          <w:lang w:bidi="ar-SA"/>
        </w:rPr>
        <w:t xml:space="preserve">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الجزء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مسالة هل قراءة القران لمن لا يحسنها في شهر رمضان من المفطرات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انتظام أشياء متعددة في سياق واحد لا يعني اشتراكها في الحكم كورود غسل الجمعة والجنابة في خطاب واحد، فإذا دلّ دليل خارجي على عدم وجوب غسل الجمعة فلا يسري ذلك إلى شريكه وهو غسل الجنابة خصوصاً مع تنوع مادتيهما في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تنقض، تفطر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فحمل ناقضية الكذب للوضوء على نقص الكمال لا يلزم منه حمل مفطرية الكذب على مثله</w:t>
      </w:r>
      <w:r>
        <w:rPr>
          <w:rFonts w:eastAsia="Amiri" w:cs="Amiri" w:ascii="Amiri" w:hAnsi="Amiri"/>
          <w:color w:val="111111"/>
          <w:sz w:val="28"/>
          <w:szCs w:val="28"/>
          <w:rtl w:val="true"/>
          <w:lang w:bidi="ar-SA"/>
        </w:rPr>
        <w:t>.</w:t>
      </w:r>
    </w:p>
    <w:p>
      <w:pPr>
        <w:pStyle w:val="Heading6"/>
        <w:numPr>
          <w:ilvl w:val="5"/>
          <w:numId w:val="1"/>
        </w:numPr>
        <w:rPr/>
      </w:pPr>
      <w:bookmarkStart w:id="455" w:name="__RefHeading___Toc8193305_1051229030"/>
      <w:bookmarkStart w:id="456" w:name="_Toc164"/>
      <w:bookmarkEnd w:id="455"/>
      <w:r>
        <w:rPr>
          <w:rtl w:val="true"/>
        </w:rPr>
        <w:t>المسألة الخامسة</w:t>
      </w:r>
      <w:r>
        <w:rPr>
          <w:rtl w:val="true"/>
        </w:rPr>
        <w:t xml:space="preserve">: </w:t>
      </w:r>
      <w:r>
        <w:rPr>
          <w:rtl w:val="true"/>
        </w:rPr>
        <w:t>ظهور الاستشهاد بالكبرى</w:t>
      </w:r>
      <w:r>
        <w:rPr>
          <w:rtl w:val="true"/>
        </w:rPr>
        <w:t>.</w:t>
      </w:r>
      <w:bookmarkEnd w:id="456"/>
    </w:p>
    <w:p>
      <w:pPr>
        <w:pStyle w:val="BookText"/>
        <w:rPr/>
      </w:pPr>
      <w:r>
        <w:rPr>
          <w:rFonts w:ascii="Amiri" w:hAnsi="Amiri" w:eastAsia="Amiri" w:cs="Amiri"/>
          <w:color w:val="111111"/>
          <w:sz w:val="28"/>
          <w:sz w:val="28"/>
          <w:szCs w:val="28"/>
          <w:rtl w:val="true"/>
          <w:lang w:bidi="ar-SA"/>
        </w:rPr>
        <w:t>كثيرا ما تستعمل الألفاظ في معنى خاص واخر اعم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جرى عليه الاصطلاح الفقهي والأصولي كالاستحباب بالمعنى الأخص والأعم ، والكراهة بالمعنى الأخص والأعم ،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نريد الإشارة اليه هنا ان الاستشهاد بالكبرى لا يلزم منه ان يكون الأخص هو المراد ، ومن تطبيقات هذه المسالة ما جاء في الجزء السابع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مسالة حرمة التظليل ،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الاستشهاد بالكبرى في أمر مكروه لا يعني أنها مختصة بالمكروه </w:t>
      </w:r>
      <w:bookmarkStart w:id="457" w:name="pg8133_62909"/>
    </w:p>
    <w:p>
      <w:pPr>
        <w:pStyle w:val="BookText"/>
        <w:rPr/>
      </w:pPr>
      <w:bookmarkEnd w:id="457"/>
      <w:r>
        <w:rPr>
          <w:rFonts w:ascii="Amiri" w:hAnsi="Amiri" w:eastAsia="Amiri" w:cs="Amiri"/>
          <w:color w:val="111111"/>
          <w:sz w:val="28"/>
          <w:sz w:val="28"/>
          <w:szCs w:val="28"/>
          <w:rtl w:val="true"/>
          <w:lang w:bidi="ar-SA"/>
        </w:rPr>
        <w:t xml:space="preserve">بالمعنى الأخص فيمكن ان تكون بالمعنى الأعم الشامل للحرمة كما لو استشهد بذيل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التَّوَّابِينَ وَيُحِبُّ الْمُتَطَهِّرِينَ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موضعين، تارة وجوب الوضوء كمقدمة للصلاة وأخرى لاستحبابالوضوء على الوضوء أو للكون دائماً على الطهارة باعتبار ان الذيل يتضمن المحبوبية المطلقة</w:t>
      </w:r>
      <w:r>
        <w:rPr>
          <w:rFonts w:eastAsia="Amiri" w:cs="Amiri" w:ascii="Amiri" w:hAnsi="Amiri"/>
          <w:color w:val="111111"/>
          <w:sz w:val="28"/>
          <w:szCs w:val="28"/>
          <w:rtl w:val="true"/>
          <w:lang w:bidi="ar-SA"/>
        </w:rPr>
        <w:t>.</w:t>
      </w:r>
    </w:p>
    <w:p>
      <w:pPr>
        <w:pStyle w:val="Heading6"/>
        <w:numPr>
          <w:ilvl w:val="5"/>
          <w:numId w:val="1"/>
        </w:numPr>
        <w:rPr/>
      </w:pPr>
      <w:bookmarkStart w:id="458" w:name="__RefHeading___Toc8193307_1051229030"/>
      <w:bookmarkStart w:id="459" w:name="_Toc165"/>
      <w:bookmarkEnd w:id="458"/>
      <w:r>
        <w:rPr>
          <w:rtl w:val="true"/>
        </w:rPr>
        <w:t>المسألة السادسة</w:t>
      </w:r>
      <w:r>
        <w:rPr>
          <w:rtl w:val="true"/>
        </w:rPr>
        <w:t xml:space="preserve">: </w:t>
      </w:r>
      <w:r>
        <w:rPr>
          <w:rtl w:val="true"/>
        </w:rPr>
        <w:t>الاحتمال والاجمال</w:t>
      </w:r>
      <w:r>
        <w:rPr>
          <w:rtl w:val="true"/>
        </w:rPr>
        <w:t>.</w:t>
      </w:r>
      <w:bookmarkEnd w:id="459"/>
    </w:p>
    <w:p>
      <w:pPr>
        <w:pStyle w:val="BookText"/>
        <w:rPr/>
      </w:pPr>
      <w:r>
        <w:rPr>
          <w:rFonts w:ascii="Amiri" w:hAnsi="Amiri" w:eastAsia="Amiri" w:cs="Amiri"/>
          <w:color w:val="111111"/>
          <w:sz w:val="28"/>
          <w:sz w:val="28"/>
          <w:szCs w:val="28"/>
          <w:rtl w:val="true"/>
          <w:lang w:bidi="ar-SA"/>
        </w:rPr>
        <w:t xml:space="preserve">من العبارات المشهورة في الاستدلالات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ورد الاحتمال بطل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الاحتمال يوجب 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ليس كل احتمال يكون نافيا للظهور وموجبا للاجمال ، فالظهور لا بد ان يكون في قباله احتمال مخالف له والا لكان صريحا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فالاحتمال الموجب للاجمال هو خصوص الاحتمال المعتد به والذي يجرد اللفظ من ظهوره فلا يكون ظاهرا في معنى من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وضحه سماحة الشيخ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الجزء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مسالة طهارة غير المسلمين ، اذ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فإننا نذكر المناقشات بنفس ترتيب الروايات بإذن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فأوردوا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وحكي عن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مصباح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دلالتها على طهارة أهل الكتاب أظهر من دلالتها على نجاستهم وذلك لأن الحكم بنجاستهم يستلزم الحكم بالتجنب عن جميع الأواني </w:t>
      </w:r>
    </w:p>
    <w:p>
      <w:pPr>
        <w:pStyle w:val="BookText"/>
        <w:rPr/>
      </w:pPr>
      <w:r>
        <w:rPr>
          <w:rFonts w:ascii="IRNazanin" w:hAnsi="IRNazanin" w:eastAsia="IRNazanin"/>
          <w:color w:val="111111"/>
          <w:sz w:val="28"/>
          <w:sz w:val="28"/>
          <w:szCs w:val="28"/>
          <w:rtl w:val="true"/>
          <w:lang w:bidi="fa-IR"/>
        </w:rPr>
        <w:t>المضافة إليهم حتى الآنية التي يشربون فيها الماء ولا وجه معه لتقييد الآنية بما يشربون فيه الخمر ولا لتقييد طعامهم بما يطبخونه فمن تقييد الآنية والطعام بما عرفت يظهر عدم نجاسة أهل الكتاب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والنهي عن الأكل في آنيتهم التي يشربون فيها الخمر مستند إلى نجاسة الآنية بملاقاتها الخمر وأما النهي عن أكل طعامهم المطبوخ فيحتمل فيه وجهان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أهل الكتاب يأكلون لحم الخنزير وشحمه والمطبوخ من الطعام لا يخلو عن اللحم والشحم عادة فطعامهم المطبوخ لا يعرى عن لحم الخنزير وشحمه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آنيتهم من قدر وغيره يتنجس بمثل طبخ لحم الخنزير أو وضع شيء آخر من النجاسات فيها لعدم اجتنابهم عن النجاسات ومن الظاهر أنها بعدما تنجست لا يرد عليها غسل مطهر على الوجه الشرعي لأنهم في تنظيفها يكتفون بمجرد إزالة قذارتها وهي لا يكفي في طهارتها شرعاً وعليه يتنجس ما طبخ فيها بملاقاتها ومن هنا نهى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أكل طعامهم الذي يطبخونه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ويمكن أن يكون هناك وجه آخر لنهيه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لا ندركه</w:t>
      </w:r>
      <w:r>
        <w:rPr>
          <w:rFonts w:eastAsia="IRNazanin" w:cs="IRNazanin"/>
          <w:color w:val="111111"/>
          <w:sz w:val="28"/>
          <w:szCs w:val="28"/>
          <w:rtl w:val="true"/>
          <w:lang w:bidi="fa-IR"/>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النهي في الفقرة الأولى مطلق مع أن 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مبني على 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التي يشربون فيها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قيد للفقرة الأولى أيضاً وهو خلاف الظاهر لوضوح الفصل بفقرة الطعام، وكأن الشهيد الصدر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التفت إلى هذا الإشكال فقرّب رد الاستدلال ببيان آخر تقدم به خطوة وهو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يكفي لسقوط الاستدلال إجمال الفقرة الأخيرة من هذه الناحية –أي كون القيد راجعاً إلى الفقرة الأولى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يكون من اتصال ما يحتمل </w:t>
      </w:r>
      <w:bookmarkStart w:id="460" w:name="pg8133_62911"/>
    </w:p>
    <w:p>
      <w:pPr>
        <w:pStyle w:val="BookText"/>
        <w:rPr/>
      </w:pPr>
      <w:bookmarkEnd w:id="460"/>
      <w:r>
        <w:rPr>
          <w:rFonts w:ascii="Amiri" w:hAnsi="Amiri" w:eastAsia="Amiri" w:cs="Amiri"/>
          <w:color w:val="111111"/>
          <w:sz w:val="28"/>
          <w:sz w:val="28"/>
          <w:szCs w:val="28"/>
          <w:rtl w:val="true"/>
          <w:lang w:bidi="ar-SA"/>
        </w:rPr>
        <w:t>قرينيته، وهو يوجب الإجمال</w:t>
      </w:r>
      <w:r>
        <w:rPr>
          <w:rFonts w:eastAsia="Amiri" w:cs="Amiri" w:ascii="Amiri" w:hAnsi="Amiri"/>
          <w:color w:val="111111"/>
          <w:sz w:val="28"/>
          <w:szCs w:val="28"/>
          <w:rtl w:val="true"/>
          <w:lang w:bidi="ar-SA"/>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كل احتمال يوجب الإجمال وإنما لابد أن يكون بدرجة تزلزل الظهور وهو ليس كذلك في المقام كما قدمنا خصوصاً على النص الذي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في الفقرة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آنيتهم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الفقرة الأخيرة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في آنيتهم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ينفع في إيجاد الفرق بين الفقرتين ولكننا لانعلم مستنده في ذلك بعد تطابق المصادر على ما ذكرنا، مضافاً إلى أن الإجمال الأقرب عكس ما قرّبه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سنذكر أدناه</w:t>
      </w:r>
      <w:r>
        <w:rPr>
          <w:rFonts w:eastAsia="Amiri" w:cs="Amiri" w:ascii="Amiri" w:hAnsi="Amiri"/>
          <w:color w:val="111111"/>
          <w:sz w:val="28"/>
          <w:szCs w:val="28"/>
          <w:rtl w:val="true"/>
          <w:lang w:bidi="ar-SA"/>
        </w:rPr>
        <w:t>.</w:t>
      </w:r>
    </w:p>
    <w:p>
      <w:pPr>
        <w:pStyle w:val="Heading6"/>
        <w:numPr>
          <w:ilvl w:val="5"/>
          <w:numId w:val="1"/>
        </w:numPr>
        <w:rPr/>
      </w:pPr>
      <w:bookmarkStart w:id="461" w:name="__RefHeading___Toc8193309_1051229030"/>
      <w:bookmarkStart w:id="462" w:name="_Toc166"/>
      <w:bookmarkEnd w:id="461"/>
      <w:r>
        <w:rPr>
          <w:rtl w:val="true"/>
        </w:rPr>
        <w:t>المسألة السابعة</w:t>
      </w:r>
      <w:r>
        <w:rPr>
          <w:rtl w:val="true"/>
        </w:rPr>
        <w:t xml:space="preserve">: </w:t>
      </w:r>
      <w:r>
        <w:rPr>
          <w:rtl w:val="true"/>
        </w:rPr>
        <w:t>مورد أصالة الحقيقة</w:t>
      </w:r>
      <w:r>
        <w:rPr>
          <w:rtl w:val="true"/>
        </w:rPr>
        <w:t>.</w:t>
      </w:r>
      <w:bookmarkEnd w:id="462"/>
    </w:p>
    <w:p>
      <w:pPr>
        <w:pStyle w:val="BookText"/>
        <w:rPr/>
      </w:pPr>
      <w:r>
        <w:rPr>
          <w:rFonts w:ascii="Amiri" w:hAnsi="Amiri" w:eastAsia="Amiri" w:cs="Amiri"/>
          <w:color w:val="111111"/>
          <w:sz w:val="28"/>
          <w:sz w:val="28"/>
          <w:szCs w:val="28"/>
          <w:rtl w:val="true"/>
          <w:lang w:bidi="ar-SA"/>
        </w:rPr>
        <w:t>قد يطلق المتكلم لفظًا ولا نعلم ما هو المعنى المراد من ذلك اللفظ ، اَي اننا نشك في مراد المتكلم ، وقد يطلق المتكلم لفظًا ونفهم المعنى الذي أراده من ذلك اللفظ ، ولكن لا نعلم انه استعمل اللفظ على نحو الحقيقة او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الحالة الأولى نتمسك بأصالة الحقيقة لنقول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المعنى الذي أراده هو المعنى الحقيقي الذي وضع له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في 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فنرجع الى علامات الحقيقة والمجاز لنحدد ان المتكلم استعمل اللفظ في معناه الحقيقي او المجازي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تطبيقات هذه المسالة ما جاء في الجزء الحادي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مسالة ميراث أولاد الأولاد مع وجود الولد المباشر ، اذ قال سماحة الشيخ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لفظ الولد استعمل في ولد الولد، والأصل في الاستعمال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أصالته في مثل ذلك ممنوعة، وإنما هي مسلّمة في ما </w:t>
      </w:r>
      <w:bookmarkStart w:id="463" w:name="pg8133_62912"/>
    </w:p>
    <w:p>
      <w:pPr>
        <w:pStyle w:val="BookText"/>
        <w:rPr/>
      </w:pPr>
      <w:bookmarkEnd w:id="463"/>
      <w:r>
        <w:rPr>
          <w:rFonts w:ascii="Amiri" w:hAnsi="Amiri" w:eastAsia="Amiri" w:cs="Amiri"/>
          <w:color w:val="111111"/>
          <w:sz w:val="28"/>
          <w:sz w:val="28"/>
          <w:szCs w:val="28"/>
          <w:rtl w:val="true"/>
          <w:lang w:bidi="ar-SA"/>
        </w:rPr>
        <w:t>لم يُعلم له معنى حقيقي آخر</w:t>
      </w:r>
      <w:r>
        <w:rPr>
          <w:rFonts w:eastAsia="Amiri" w:cs="Amiri" w:ascii="Amiri" w:hAnsi="Amiri"/>
          <w:color w:val="111111"/>
          <w:sz w:val="28"/>
          <w:szCs w:val="28"/>
          <w:rtl w:val="true"/>
          <w:lang w:bidi="ar-SA"/>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بأصالة الحقيقة لا موضوع له لأن الشك هنا ليس في مراد المتكلم الدائر بين معنى حقيقي كالحيوان المفترس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أسداً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مجازي هو الرجل الشجاع حتى يتمسك بهذا الأصل للاتفاق على أن المراد هنا هو ما يعم ولد الولد، وإنما الشك هنا في كون هذا المعنى على نحو الحقيقة أو المجاز فتجري فيه علامات اختبارهما</w:t>
      </w:r>
      <w:r>
        <w:rPr>
          <w:rFonts w:eastAsia="Amiri" w:cs="Amiri" w:ascii="Amiri" w:hAnsi="Amiri"/>
          <w:color w:val="111111"/>
          <w:sz w:val="28"/>
          <w:szCs w:val="28"/>
          <w:rtl w:val="true"/>
          <w:lang w:bidi="ar-SA"/>
        </w:rPr>
        <w:t>.</w:t>
      </w:r>
    </w:p>
    <w:p>
      <w:pPr>
        <w:pStyle w:val="Heading6"/>
        <w:numPr>
          <w:ilvl w:val="5"/>
          <w:numId w:val="1"/>
        </w:numPr>
        <w:rPr/>
      </w:pPr>
      <w:bookmarkStart w:id="464" w:name="__RefHeading___Toc8193311_1051229030"/>
      <w:bookmarkStart w:id="465" w:name="_Toc167"/>
      <w:bookmarkEnd w:id="464"/>
      <w:r>
        <w:rPr>
          <w:rtl w:val="true"/>
        </w:rPr>
        <w:t>المسألة الثامنة</w:t>
      </w:r>
      <w:r>
        <w:rPr>
          <w:rtl w:val="true"/>
        </w:rPr>
        <w:t xml:space="preserve">: </w:t>
      </w:r>
      <w:r>
        <w:rPr>
          <w:rtl w:val="true"/>
        </w:rPr>
        <w:t>ظهور الألفاظ في مفاهيمها لا في مصاديقها</w:t>
      </w:r>
      <w:r>
        <w:rPr>
          <w:rtl w:val="true"/>
        </w:rPr>
        <w:t>.</w:t>
      </w:r>
      <w:bookmarkEnd w:id="465"/>
    </w:p>
    <w:p>
      <w:pPr>
        <w:pStyle w:val="BookText"/>
        <w:rPr/>
      </w:pPr>
      <w:r>
        <w:rPr>
          <w:rFonts w:ascii="Amiri" w:hAnsi="Amiri" w:eastAsia="Amiri" w:cs="Amiri"/>
          <w:color w:val="111111"/>
          <w:sz w:val="28"/>
          <w:sz w:val="28"/>
          <w:szCs w:val="28"/>
          <w:rtl w:val="true"/>
          <w:lang w:bidi="ar-SA"/>
        </w:rPr>
        <w:t>عندما نقول ان هذا اللفظ ظاهر في معناه فهذا يعني ان المفهوم من اللفظ هو الظاهر بغض النظر عن سعة وضيق مصاديق ذلك المفهوم في عصر النص ، فلفظ القلم مثلا ظاهر في مفهوم القلم وان اتسعت مصاديقه كثيرا عما كانت عليه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اقتصار مصاديق المفهوم في عصر النص على أشياء معينة لا يعني عدم ظهور اللفظ في المصاديق المستجدة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تطبيقات هذا المعنى ما جاء في الجزء 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مسالة طرق اثبات الهلال ، اذ قال سماحة الشيخ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انطباق عنوان يدخلان ويخرجان من مصر على البلدان القريبة يومئذٍ لا يقيدها بها؛ لأنها من ضيق تصوّر المتلقي، وتطبيقه على المصاديق الخارجية المتعارفة، وليس من ظهور اللفظ في عدم السعة </w:t>
      </w:r>
      <w:bookmarkStart w:id="466" w:name="pg8133_62913"/>
    </w:p>
    <w:p>
      <w:pPr>
        <w:pStyle w:val="Heading6"/>
        <w:numPr>
          <w:ilvl w:val="5"/>
          <w:numId w:val="1"/>
        </w:numPr>
        <w:rPr/>
      </w:pPr>
      <w:bookmarkStart w:id="467" w:name="__RefHeading___Toc8193313_1051229030"/>
      <w:bookmarkStart w:id="468" w:name="_Toc168"/>
      <w:bookmarkEnd w:id="466"/>
      <w:bookmarkEnd w:id="467"/>
      <w:r>
        <w:rPr>
          <w:rtl w:val="true"/>
        </w:rPr>
        <w:t>المسألة التاسعة</w:t>
      </w:r>
      <w:r>
        <w:rPr>
          <w:rtl w:val="true"/>
        </w:rPr>
        <w:t xml:space="preserve">: </w:t>
      </w:r>
      <w:r>
        <w:rPr>
          <w:rtl w:val="true"/>
        </w:rPr>
        <w:t>مرجعية العرف في ظهور الألفاظ</w:t>
      </w:r>
      <w:r>
        <w:rPr>
          <w:rtl w:val="true"/>
        </w:rPr>
        <w:t>.</w:t>
      </w:r>
      <w:bookmarkEnd w:id="468"/>
    </w:p>
    <w:p>
      <w:pPr>
        <w:pStyle w:val="BookText"/>
        <w:rPr/>
      </w:pPr>
      <w:r>
        <w:rPr>
          <w:rFonts w:ascii="Amiri" w:hAnsi="Amiri" w:eastAsia="Amiri" w:cs="Amiri"/>
          <w:color w:val="111111"/>
          <w:sz w:val="28"/>
          <w:sz w:val="28"/>
          <w:szCs w:val="28"/>
          <w:rtl w:val="true"/>
          <w:lang w:bidi="ar-SA"/>
        </w:rPr>
        <w:t>مما لاشك فيه ان المرجع في تحديد مداليل الألفاظ هو العرف ، فيما اذا لم يكن للشارع معنى خاص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فأهل اللغة هم الذين يعرفون المعنى الذي يظهر من اللفظ ، اما المعاني التي نقلها الشارع ، او اهل الفنون والعلوم فاننا ينبغي ان نرجع فيها الى ناقلها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عندما نقول ان العرف هو المرجع في تحديد معاني الألفاظ فهذا لا يعني ان مرجعيتهم مطلقة ، وانما هي مقيدة بالتفاتهم الى القرائن والخصوصيات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أوضحه سماحة الشيخ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الجزء السادس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مسالة من يتزوج امرأة قد طلقت طلاقا غير صحيح ، اذ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فالمختار حرمة التزوج بالمرأة التي عقد عليها ودخل بها ولو جهلاً وكانت ذات بعل ومنها المطلقة طلاقاً غير صحيح في المحاكم الرسمية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أدلة الحرمة منصرفة عن المقام وهي المرأة المطلقة طلاقاًغير جامع للشروط فإنها ليست ذات بعل في نظر العرف فلا تكون مشمولة بالحرمة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العرف وان كان محكماً في فهم مداليل الألفاظ إلا انه مقيد بالالتفات، أما مع الغفلة فلا يُعبأ بقوله وحكم العرف بان هذه المرأة ليست ذات بعل ناشئ من الغفلة بدليل عدوله عند الالتفات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المرأة ذات بعل واقعاً لبقاء الزوجية وعدم حصول ما ينقضها فمناقشة العرف وغيره في صدق العنوان يكون بمثابة الشبهة مقابل البديهة وما دام العنوان صادقاً فالحكم جار</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النصوص سمّت المطلقة لغير السنة بذوات الأزواج فتكون </w:t>
      </w:r>
      <w:bookmarkStart w:id="469" w:name="pg8133_62914"/>
    </w:p>
    <w:p>
      <w:pPr>
        <w:pStyle w:val="BookText"/>
        <w:rPr/>
      </w:pPr>
      <w:bookmarkEnd w:id="469"/>
      <w:r>
        <w:rPr>
          <w:rFonts w:ascii="IRNazanin" w:hAnsi="IRNazanin" w:eastAsia="IRNazanin"/>
          <w:color w:val="111111"/>
          <w:sz w:val="28"/>
          <w:sz w:val="28"/>
          <w:szCs w:val="28"/>
          <w:rtl w:val="true"/>
          <w:lang w:bidi="fa-IR"/>
        </w:rPr>
        <w:t>شارحة للعنوان فعن محمد بن الفيض في حديث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المتعة قال نعم وإياكم وذوات الأزواج، قلت وما ذوات الأزواج،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المطلقات على غير السنة</w:t>
      </w:r>
      <w:r>
        <w:rPr>
          <w:rFonts w:eastAsia="IRNazanin" w:cs="IRNazanin"/>
          <w:color w:val="111111"/>
          <w:sz w:val="28"/>
          <w:szCs w:val="28"/>
          <w:rtl w:val="true"/>
          <w:lang w:bidi="fa-IR"/>
        </w:rPr>
        <w:t>)</w:t>
      </w:r>
      <w:r>
        <w:rPr>
          <w:rStyle w:val="FootnoteAnchor"/>
          <w:rtl w:val="true"/>
        </w:rPr>
        <w:footnoteReference w:id="447"/>
      </w: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إياكم وذوات الأزواج المطلقات على غير السنة</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 والمطلقات ثلاثاً في مجلس واحد فإنهن ذوات أزواج</w:t>
      </w:r>
      <w:r>
        <w:rPr>
          <w:rFonts w:eastAsia="IRNazanin" w:cs="IRNazanin"/>
          <w:color w:val="111111"/>
          <w:sz w:val="28"/>
          <w:szCs w:val="28"/>
          <w:rtl w:val="true"/>
          <w:lang w:bidi="fa-IR"/>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70" w:name="__RefHeading___Toc8193315_1051229030"/>
      <w:bookmarkStart w:id="471" w:name="_Toc169"/>
      <w:bookmarkEnd w:id="470"/>
      <w:r>
        <w:rPr>
          <w:rtl w:val="true"/>
        </w:rPr>
        <w:t>المسألة العاشرة</w:t>
      </w:r>
      <w:r>
        <w:rPr>
          <w:rtl w:val="true"/>
        </w:rPr>
        <w:t xml:space="preserve">: </w:t>
      </w:r>
      <w:r>
        <w:rPr>
          <w:rtl w:val="true"/>
        </w:rPr>
        <w:t>تأويل الظهور لمانع ثبوتي</w:t>
      </w:r>
      <w:r>
        <w:rPr>
          <w:rtl w:val="true"/>
        </w:rPr>
        <w:t>.</w:t>
      </w:r>
      <w:bookmarkEnd w:id="471"/>
    </w:p>
    <w:p>
      <w:pPr>
        <w:pStyle w:val="BookText"/>
        <w:rPr/>
      </w:pPr>
      <w:r>
        <w:rPr>
          <w:rFonts w:ascii="Amiri" w:hAnsi="Amiri" w:eastAsia="Amiri" w:cs="Amiri"/>
          <w:color w:val="111111"/>
          <w:sz w:val="28"/>
          <w:sz w:val="28"/>
          <w:szCs w:val="28"/>
          <w:rtl w:val="true"/>
          <w:lang w:bidi="ar-SA"/>
        </w:rPr>
        <w:t>قد تكون الرواية معتبرة سندًا ، وظاهرة في المعنى ومع ذلك لا نستطيع العمل بظهورها ؛ لوجود مانع ثبوتي كمخالفتها للظهور القراني ، او لحكم عقلي يقيني ، او لقاعدة شرعية متفق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واعتبر بعض الفقهاء ان من تطبيقات هذه المسألة الروايات التي اجازت نذر الصوم في السفر مع ان القاعدة المتفق عليها كون متعلق النذر راجحا بينما الثابت في الشريعة ان الصوم في السفر 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ناقش سماحة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المسالة في الجزء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مسالة الصوم المنذور في السفر ، اذ قال</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وقبل قراءة الروايات ومناقشة الدليل الإثباتي، نشير إلى إشكال ثبوتي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الصوم في السفر معصية كما نطقت به الروايات، وقد أجمعوا على أنه يشترط في صحة النذر ولزومه أن يكون متعلقه راجحاً أو متساوياً على أقل التقادير، فكيف يمكن تصور صحة هذا النذر؟ وإذا لم يصح النذر فالحديث عن صحة الصوم سالبة بانتفاء الموضوع، ونتيجته </w:t>
      </w:r>
    </w:p>
    <w:p>
      <w:pPr>
        <w:pStyle w:val="BookText"/>
        <w:rPr/>
      </w:pPr>
      <w:r>
        <w:rPr>
          <w:rFonts w:ascii="Amiri" w:hAnsi="Amiri" w:eastAsia="Amiri" w:cs="Amiri"/>
          <w:color w:val="111111"/>
          <w:sz w:val="28"/>
          <w:sz w:val="28"/>
          <w:szCs w:val="28"/>
          <w:rtl w:val="true"/>
          <w:lang w:bidi="ar-SA"/>
        </w:rPr>
        <w:t>أنه إذا وجدت رواية على صحته في الجملة فلا بد من تأويلها بناءً على هذا الإشكال العقلي، وقد يتحصل لدينا من تحرير هذا البحث أن منعهم من الوجوب هنا مع وجود الروايات المعتبرة في بعض موارد النذر هو لهذا الإشكال الثبوتي الذي ولَّد قناعة بعدم قبول الروايات لأمر أو لآخر، باعتبار أن الحكم بكون متعلق النذر أمراً راجحاً عقلي غير قابل للتخصيص وإن كان صريح كلماتهم أن منشأ الإشكال هو عدم تمامية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والملاحظ أن كثيراً من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يتعرضوا لهذا الإشكال هنا</w:t>
      </w:r>
      <w:r>
        <w:rPr>
          <w:rStyle w:val="FootnoteAnchor"/>
          <w:rtl w:val="true"/>
        </w:rPr>
        <w:footnoteReference w:id="450"/>
      </w:r>
      <w:r>
        <w:rPr>
          <w:rFonts w:ascii="Amiri" w:hAnsi="Amiri" w:eastAsia="Amiri" w:cs="Amiri"/>
          <w:color w:val="111111"/>
          <w:sz w:val="28"/>
          <w:sz w:val="28"/>
          <w:szCs w:val="28"/>
          <w:rtl w:val="true"/>
          <w:lang w:bidi="ar-SA"/>
        </w:rPr>
        <w:t>وانشغلوا بمناقشة الدليل الإثباتي كما سيأتي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بعضهم تعرّض له في كتاب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 الإحرام قبل الميقاتبالنذر</w:t>
      </w:r>
      <w:r>
        <w:rPr>
          <w:rFonts w:eastAsia="Amiri" w:cs="Amiri" w:ascii="Amiri" w:hAnsi="Amiri"/>
          <w:color w:val="111111"/>
          <w:sz w:val="28"/>
          <w:szCs w:val="28"/>
          <w:rtl w:val="true"/>
          <w:lang w:bidi="ar-SA"/>
        </w:rPr>
        <w:t>)</w:t>
      </w:r>
      <w:r>
        <w:rPr>
          <w:rStyle w:val="FootnoteAnchor"/>
          <w:rtl w:val="true"/>
        </w:rPr>
        <w:footnoteReference w:id="451"/>
      </w:r>
      <w:r>
        <w:rPr>
          <w:rFonts w:ascii="Amiri" w:hAnsi="Amiri" w:eastAsia="Amiri" w:cs="Amiri"/>
          <w:color w:val="111111"/>
          <w:sz w:val="28"/>
          <w:sz w:val="28"/>
          <w:szCs w:val="28"/>
          <w:rtl w:val="true"/>
          <w:lang w:bidi="ar-SA"/>
        </w:rPr>
        <w:t xml:space="preserve">فمنع منه البعض انطلاقاً من هذا الإشكال –كما سيأتي في كلام 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أن يكون الإشكال هو نفسه في مسألة الصوم المنذور في السفر، خصوصاً إذا اتفق القول في المسألتين على المنع</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منعت الأحاديث الشريفة من الإحرام قبل الميقات وشبّهته بالصلاة قبل الوقت</w:t>
      </w:r>
      <w:r>
        <w:rPr>
          <w:rStyle w:val="FootnoteAnchor"/>
          <w:rtl w:val="true"/>
        </w:rPr>
        <w:footnoteReference w:id="452"/>
      </w:r>
      <w:r>
        <w:rPr>
          <w:rFonts w:ascii="IRNazanin" w:hAnsi="IRNazanin" w:eastAsia="IRNazanin"/>
          <w:color w:val="111111"/>
          <w:sz w:val="28"/>
          <w:sz w:val="28"/>
          <w:szCs w:val="28"/>
          <w:rtl w:val="true"/>
          <w:lang w:bidi="fa-IR"/>
        </w:rPr>
        <w:t>إلا أن روايات معتبرة صححته بالنذر، ومما ورد في ذلك صحيحة الحلبي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جعل لله عليه شكراً </w:t>
      </w:r>
    </w:p>
    <w:p>
      <w:pPr>
        <w:pStyle w:val="BookText"/>
        <w:rPr/>
      </w:pPr>
      <w:r>
        <w:rPr>
          <w:rFonts w:ascii="Amiri" w:hAnsi="Amiri" w:eastAsia="Amiri" w:cs="Amiri"/>
          <w:color w:val="111111"/>
          <w:sz w:val="28"/>
          <w:sz w:val="28"/>
          <w:szCs w:val="28"/>
          <w:rtl w:val="true"/>
          <w:lang w:bidi="ar-SA"/>
        </w:rPr>
        <w:t>أن يحرم من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فليحرم من الكوفة وليفِ لله بما قال</w:t>
      </w:r>
      <w:r>
        <w:rPr>
          <w:rFonts w:eastAsia="Amiri" w:cs="Amiri" w:ascii="Amiri" w:hAnsi="Amiri"/>
          <w:color w:val="111111"/>
          <w:sz w:val="28"/>
          <w:szCs w:val="28"/>
          <w:rtl w:val="true"/>
          <w:lang w:bidi="ar-SA"/>
        </w:rPr>
        <w:t>)</w:t>
      </w:r>
      <w:r>
        <w:rPr>
          <w:rStyle w:val="FootnoteAnchor"/>
          <w:rtl w:val="true"/>
        </w:rPr>
        <w:footnoteReference w:id="45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والأولى التعرّض للإشكال هنا في كتاب الصوم لأنه أسبق بحسب المنهج الفقهي المتعارف، وقد ذكروه شاهداً في كتاب الحج وكأنه مسلَّمٌ مع أنه لم تسبق مناقشته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 الإحرام قبل الميقات بالنذر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يضر عدم رجحان ذلك بل مرجوحيته قبل النذر مع أن اللاّزم كون متعلق النذر راجحاً، وذلك لاستكشاف رجحانه بشرط النذر من الأخبار، واللاّزم رجحانه حين العمل ولو كان ذلك للنذر، ونظيره مسألة الصوم في السفر المرجوح أو المحرّم من حيث هو مع صحّته ورجحانه بالنذر، ولا بدّ من دليل يدل على كونه راجحاً بشرط النذر، فلا يرد أن لازم ذلك صحّة نذر كل مكروه أو محرّم، وفي المقامين المذكورين الكاشف هو الأخبار، فالقول بعدم الانعقاد –كما عن جماعة لما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 لوجود النصوص وإمكان تطبيقها على القاعدة</w:t>
      </w:r>
      <w:r>
        <w:rPr>
          <w:rFonts w:eastAsia="Amiri" w:cs="Amiri" w:ascii="Amiri" w:hAnsi="Amiri"/>
          <w:color w:val="111111"/>
          <w:sz w:val="28"/>
          <w:szCs w:val="28"/>
          <w:rtl w:val="true"/>
          <w:lang w:bidi="ar-SA"/>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تطبيق الحكم على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المنذوروإن كان مرجوحاً في نفسه إلا أنه أصبح راجحاً في ظرف العمل بالنذر وهذا كافٍ للزومه ووجوب الوفاء به، ولا ينقض عليه بإمكان تعلّق النذر بكل حرام أو مكروه إذا كان يصححه النذر؛ لأن القول بالصحة عند تعلق النذر ليس مطلقاً وإنما إذا دلّ الدليل عليه</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ما دام قد اعترف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اللازم كون متعلق النذر راجحاً، فإن صحة النذر لا يمكن تفسيرها بالدليل الخاص لأن الأحكام </w:t>
      </w:r>
    </w:p>
    <w:p>
      <w:pPr>
        <w:pStyle w:val="BookText"/>
        <w:rPr/>
      </w:pPr>
      <w:r>
        <w:rPr>
          <w:rFonts w:ascii="Amiri" w:hAnsi="Amiri" w:eastAsia="Amiri" w:cs="Amiri"/>
          <w:color w:val="111111"/>
          <w:sz w:val="28"/>
          <w:sz w:val="28"/>
          <w:szCs w:val="28"/>
          <w:rtl w:val="true"/>
          <w:lang w:bidi="ar-SA"/>
        </w:rPr>
        <w:t>العقلية غير قابلة للتخصيص، والنذر لا يقلب الواقع عما هو عليه أو قُل إنه من قبيل إثبات الموضوع بالحكم مع أن الثاني متأخر عن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بد من وجه آخر لتفسير صحة النذر إذا دلّ الدليل على صحته، بغير النذر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على ظاهره غير معقول، لأن صحة النذر مشروطة بمشروعية المنذور، فلو كانت مشروعيته مشروطة بالنذر لزم الدور، ولا يمكن العمل بالأخبار إذا دلت على أمر غير معقول</w:t>
      </w:r>
      <w:r>
        <w:rPr>
          <w:rFonts w:eastAsia="Amiri" w:cs="Amiri" w:ascii="Amiri" w:hAnsi="Amiri"/>
          <w:color w:val="111111"/>
          <w:sz w:val="28"/>
          <w:szCs w:val="28"/>
          <w:rtl w:val="true"/>
          <w:lang w:bidi="ar-SA"/>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وأجاب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إشكال الدور بأن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المتوقَف عليه يغاير المتوقِف عليه فلا دور، لأنّ صحّة النذر وإن كانت متوقفة على رجحان متعلقه ولكن رجحان المنذور غير متوقف على صحّة النذر، بل إنما يتوقف على نفس النذر</w:t>
      </w:r>
      <w:r>
        <w:rPr>
          <w:rFonts w:eastAsia="Amiri" w:cs="Amiri" w:ascii="Amiri" w:hAnsi="Amiri"/>
          <w:color w:val="111111"/>
          <w:sz w:val="28"/>
          <w:szCs w:val="28"/>
          <w:rtl w:val="true"/>
          <w:lang w:bidi="ar-SA"/>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الجواب قد لا يحل الإشكال لأن رجحان المنذور لا يتوقف على النذر بما هو هو بل بما هو صحيح فيرجع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على إشكال الدور يمكن أن يكون بأكثر من 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 في المقدمة الأولى أن صحة النذر متوقفة على رجحان متعلقه أو قيام الدليل على صحته كما في المقام فينحلّ الإشكال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ونتيجته القول بالتخصيص الذي لم نرضه</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هاتين المقدمتين لا تجتمعان لأن من يقول في المقدمة الثانية بأن الرجحان متوقف على صحة النذر، لا يقول بالمقدمة الأولى أي توقف صحة النذر على رجحان متعلقه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على أن أصل هذا الإشكال الثبوتي غير وارد لأنه ليس كل صوم في السفر معصية بدليل الاستثناءات الموجودة كالعاصي بسفره ومن عمله السفر والموارد المتقدمة، وإنما المعصية ما تعلق به نهي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ونطقت بذلك روايات عديدة، فإذا دلّ الدليل على صحة الصوم المنذور في السفر فإنه غير منهي عنه وليس مرجوحاً فيزول الإشكال من أصله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اشتراط عدم كون متعلق النذر مرجوحاً حكم عقلي، لقبح التقرب بعمل مبغوض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والأحكام العقلية غير قابلة للتخصيص، إلا أنه إذا ورد دليل معتبر على صحة فرد من أفراد الصوم في السفر فإنه يكشف عن خروج هذا الفرد من عموم المنع، وإن عمومات حرمة الصوم في السفر لا تشمل هذا الفرد فلا يكون قبيحاً ويصح تعلق النذر به؛ لأن الصوم المحرم في السفر ما نهى عنه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دل الدليل المعتبر على صحة تعلق النذر به فإنه يكشف عن عدم دخوله في المنهي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وإنما خرج بعض الأفراد عن عموم النهي لملاك في كل منها، كحرمان العاصي بسفره من هدية الله تعالى، أو من عمله السفر يعتاد عليه فلا توجد مشقة حتى يكون حكمه الإفطار ونحوها، فناذر الصوم في السفر له ملاك أيضاً</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والملاحظ أن كلا التشريعين –لزوم الإفطار في السفر، والإحرام من المواقيت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جعل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دلّت عليه الروايات الشريفة، فيمكن أن يكون مجعولاً في مورد دون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ويمكن لمعصومٍ آخر أن يتحرك خارج هذا التشريع، كالزكاة التي فرضها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علىالأصناف التسعة، وأضاف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إليها الخيل وقد تقدّم البحث فيها</w:t>
      </w:r>
      <w:r>
        <w:rPr>
          <w:rFonts w:eastAsia="IRNazanin" w:cs="IRNazanin"/>
          <w:color w:val="111111"/>
          <w:sz w:val="28"/>
          <w:szCs w:val="28"/>
          <w:rtl w:val="true"/>
          <w:lang w:bidi="fa-IR"/>
        </w:rPr>
        <w:t xml:space="preserve">. </w:t>
      </w:r>
      <w:bookmarkStart w:id="472" w:name="pg8133_62919"/>
    </w:p>
    <w:p>
      <w:pPr>
        <w:pStyle w:val="BookText"/>
        <w:rPr/>
      </w:pPr>
      <w:bookmarkEnd w:id="472"/>
      <w:r>
        <w:rPr>
          <w:rFonts w:ascii="Amiri" w:hAnsi="Amiri" w:eastAsia="Amiri" w:cs="Amiri"/>
          <w:color w:val="111111"/>
          <w:sz w:val="28"/>
          <w:sz w:val="28"/>
          <w:szCs w:val="28"/>
          <w:rtl w:val="true"/>
          <w:lang w:bidi="ar-SA"/>
        </w:rPr>
        <w:t>ومما تقدم اتضح أن خروج صوم المنذور في السفر بالتخصص لا التخصيص، فليس هو استثناءً من الحكم بلزوم رجحان متعلق النذر حتى يقال بأن الأحكام العقلية غير قابلة للتخصيص</w:t>
      </w:r>
      <w:r>
        <w:rPr>
          <w:rFonts w:eastAsia="Amiri" w:cs="Amiri" w:ascii="Amiri" w:hAnsi="Amiri"/>
          <w:color w:val="111111"/>
          <w:sz w:val="28"/>
          <w:szCs w:val="28"/>
          <w:rtl w:val="true"/>
          <w:lang w:bidi="ar-SA"/>
        </w:rPr>
        <w:t>.</w:t>
      </w:r>
    </w:p>
    <w:p>
      <w:pPr>
        <w:pStyle w:val="Heading6"/>
        <w:numPr>
          <w:ilvl w:val="5"/>
          <w:numId w:val="1"/>
        </w:numPr>
        <w:rPr/>
      </w:pPr>
      <w:bookmarkStart w:id="473" w:name="__RefHeading___Toc8193317_1051229030"/>
      <w:bookmarkStart w:id="474" w:name="_Toc170"/>
      <w:bookmarkEnd w:id="473"/>
      <w:r>
        <w:rPr>
          <w:rtl w:val="true"/>
        </w:rPr>
        <w:t>المسألة الحادية عشرة</w:t>
      </w:r>
      <w:r>
        <w:rPr>
          <w:rtl w:val="true"/>
        </w:rPr>
        <w:t xml:space="preserve">: </w:t>
      </w:r>
      <w:r>
        <w:rPr>
          <w:rtl w:val="true"/>
        </w:rPr>
        <w:t>الزيادة والنقيصة</w:t>
      </w:r>
      <w:r>
        <w:rPr>
          <w:rtl w:val="true"/>
        </w:rPr>
        <w:t>.</w:t>
      </w:r>
      <w:bookmarkEnd w:id="474"/>
    </w:p>
    <w:p>
      <w:pPr>
        <w:pStyle w:val="BookText"/>
        <w:rPr/>
      </w:pPr>
      <w:r>
        <w:rPr>
          <w:rFonts w:ascii="Amiri" w:hAnsi="Amiri" w:eastAsia="Amiri" w:cs="Amiri"/>
          <w:color w:val="111111"/>
          <w:sz w:val="28"/>
          <w:sz w:val="28"/>
          <w:szCs w:val="28"/>
          <w:rtl w:val="true"/>
          <w:lang w:bidi="ar-SA"/>
        </w:rPr>
        <w:t xml:space="preserve">قد تكون الرواية ظاهرة في نفسها ، ولكنها تبتلى بالإجمال بسبب رواية أخرى فيها زيادة عما جاء في الأولى ، او نقيصة عنها فلا نعلم ما هو الصادر من الامام بالتحديد ، ولكن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بين تعدد الروايات ووحدتها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كانت الروايات متعددة لم يكن للاجمال مجال ، وانما يؤخذ بمجموع مضمونها ، اما ان كانت واحدة بالأصل لكنها ذكرت بصيغ مختلفة في نسخ الكتب فستكون مجملة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هذا الكلام في الجزء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مسالة هل قراءة القران لمن لا يحسنها في نهار شهر رمضان من المفطرات ، اذ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كرر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مرة </w:t>
      </w:r>
      <w:r>
        <w:rPr>
          <w:rFonts w:eastAsia="Amiri" w:cs="Amiri" w:ascii="Amiri" w:hAnsi="Amiri"/>
          <w:color w:val="111111"/>
          <w:sz w:val="28"/>
          <w:szCs w:val="28"/>
          <w:rtl w:val="true"/>
          <w:lang w:bidi="ar-SA"/>
        </w:rPr>
        <w:t>(</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أن هذا التعدد يوجب الإجمال، وقال أيضاً إن خلوّ إحدى الروايتين من تلك الزيادة يوجب عدم الوثوق بتحققها ومعه فلا يناقش في قدحها في الظهور كما لا يخفى</w:t>
      </w:r>
      <w:r>
        <w:rPr>
          <w:rFonts w:eastAsia="Amiri" w:cs="Amiri" w:ascii="Amiri" w:hAnsi="Amiri"/>
          <w:color w:val="111111"/>
          <w:sz w:val="28"/>
          <w:szCs w:val="28"/>
          <w:rtl w:val="true"/>
          <w:lang w:bidi="ar-SA"/>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غير صحيح، فما دامت الروايتان معتبرتين فيؤخذ بمجموع مضمونيهما سواء وجد جزء في الأخرى أو لم يوجد حتى وإن ظُنَّ أنهما رواية واحدة صدرت من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من الممكن أن يُقطِّع الراويالرواية ويذكر محل الحاجة لواحد ويذكرها كاملة لآخر مع عدم وجود التنافي بينهما كما لو أن شخصاً نقل لآخر أن زيداً اشترى داراً ونقل لثالث </w:t>
      </w:r>
    </w:p>
    <w:p>
      <w:pPr>
        <w:pStyle w:val="BookText"/>
        <w:rPr/>
      </w:pPr>
      <w:r>
        <w:rPr>
          <w:rFonts w:ascii="Amiri" w:hAnsi="Amiri" w:eastAsia="Amiri" w:cs="Amiri"/>
          <w:color w:val="111111"/>
          <w:sz w:val="28"/>
          <w:sz w:val="28"/>
          <w:szCs w:val="28"/>
          <w:rtl w:val="true"/>
          <w:lang w:bidi="ar-SA"/>
        </w:rPr>
        <w:t>أنه اشترى الدار بكذا مبلغ ونقل للرابع أن فيها كذا غرفة فيؤخذ بالتفاصيل جميعاً</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يحصل الإجمال فيما لو كانت الرواية واحدة بالأصل ولكنها ذُكِرت بصور مختلفة في نُسَخ الكتب فتكون مجملة لعدم معرفة الصياغة الصحيحة منها، وهذا تفريق دقيق</w:t>
      </w:r>
      <w:r>
        <w:rPr>
          <w:rFonts w:eastAsia="Amiri" w:cs="Amiri" w:ascii="Amiri" w:hAnsi="Amiri"/>
          <w:color w:val="111111"/>
          <w:sz w:val="28"/>
          <w:szCs w:val="28"/>
          <w:rtl w:val="true"/>
          <w:lang w:bidi="ar-SA"/>
        </w:rPr>
        <w:t xml:space="preserve">. </w:t>
      </w:r>
      <w:bookmarkStart w:id="475" w:name="pg8133_62921"/>
    </w:p>
    <w:p>
      <w:pPr>
        <w:pStyle w:val="Heading5"/>
        <w:numPr>
          <w:ilvl w:val="4"/>
          <w:numId w:val="1"/>
        </w:numPr>
        <w:rPr/>
      </w:pPr>
      <w:bookmarkStart w:id="476" w:name="__RefHeading___Toc8193319_1051229030"/>
      <w:bookmarkStart w:id="477" w:name="_Toc171"/>
      <w:bookmarkEnd w:id="475"/>
      <w:bookmarkEnd w:id="476"/>
      <w:r>
        <w:rPr>
          <w:rtl w:val="true"/>
        </w:rPr>
        <w:t>الدليل المحرز غير الشرعي</w:t>
      </w:r>
      <w:bookmarkEnd w:id="477"/>
    </w:p>
    <w:p>
      <w:pPr>
        <w:pStyle w:val="BookText"/>
        <w:rPr/>
      </w:pPr>
      <w:r>
        <w:rPr>
          <w:rFonts w:ascii="Amiri" w:hAnsi="Amiri" w:eastAsia="Amiri" w:cs="Amiri"/>
          <w:color w:val="111111"/>
          <w:sz w:val="28"/>
          <w:sz w:val="28"/>
          <w:szCs w:val="28"/>
          <w:rtl w:val="true"/>
          <w:lang w:bidi="ar-SA"/>
        </w:rPr>
        <w:t>كان الكلام فيما سبق عن الأدلة الصادرة من الشارع المقدس والتي يستنبط منها حكم شرعي ، اما الان فسيكون الكلام عن الأدلة غير الشرعية ، وسنتكلم فيها عن الاجماع ، والشهرة ، والدليل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مشهور العلماء يقول ان الأدلة على الحكم الشرعي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الكتاب ، والسنة ، والإجماع ، والعقل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المعروف ان الكتاب والسنة دليلان شرعيان اَي انهما صادران من الشارع ، اما الاجماع والعقل فليسا كذلك</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والبحث عن موضوع الشهرة في هذا المقام تاتى من استدلال الفقهاء على كثير من الاحكام الشرعية بالشهرة مع انهم لم يذكروها الى جانب الأدلة الأربعة ، ولذا فاننا سنذكر ما جاء في الشهرة والإجماع معا ؛ لان البحث فيهما واحد تقريبا من هذه الجهة</w:t>
      </w:r>
      <w:r>
        <w:rPr>
          <w:rFonts w:eastAsia="Amiri" w:cs="Amiri" w:ascii="Amiri" w:hAnsi="Amiri"/>
          <w:color w:val="111111"/>
          <w:sz w:val="28"/>
          <w:szCs w:val="28"/>
          <w:rtl w:val="true"/>
          <w:lang w:bidi="ar-SA"/>
        </w:rPr>
        <w:t xml:space="preserve">. </w:t>
      </w:r>
      <w:bookmarkStart w:id="478" w:name="pg8133_62922"/>
    </w:p>
    <w:p>
      <w:pPr>
        <w:pStyle w:val="Heading5"/>
        <w:numPr>
          <w:ilvl w:val="4"/>
          <w:numId w:val="1"/>
        </w:numPr>
        <w:rPr/>
      </w:pPr>
      <w:bookmarkStart w:id="479" w:name="__RefHeading___Toc8193321_1051229030"/>
      <w:bookmarkStart w:id="480" w:name="_Toc172"/>
      <w:bookmarkEnd w:id="478"/>
      <w:bookmarkEnd w:id="479"/>
      <w:r>
        <w:rPr>
          <w:rtl w:val="true"/>
        </w:rPr>
        <w:t>الإجماع والشهرة</w:t>
      </w:r>
      <w:bookmarkEnd w:id="480"/>
    </w:p>
    <w:p>
      <w:pPr>
        <w:pStyle w:val="Heading6"/>
        <w:numPr>
          <w:ilvl w:val="5"/>
          <w:numId w:val="1"/>
        </w:numPr>
        <w:rPr/>
      </w:pPr>
      <w:bookmarkStart w:id="481" w:name="__RefHeading___Toc8193323_1051229030"/>
      <w:bookmarkStart w:id="482" w:name="_Toc173"/>
      <w:bookmarkEnd w:id="481"/>
      <w:r>
        <w:rPr>
          <w:rtl w:val="true"/>
        </w:rPr>
        <w:t>اشارة</w:t>
      </w:r>
      <w:bookmarkEnd w:id="482"/>
    </w:p>
    <w:p>
      <w:pPr>
        <w:pStyle w:val="BookText"/>
        <w:rPr/>
      </w:pPr>
      <w:r>
        <w:rPr>
          <w:rFonts w:ascii="Amiri" w:hAnsi="Amiri" w:eastAsia="Amiri" w:cs="Amiri"/>
          <w:color w:val="111111"/>
          <w:sz w:val="28"/>
          <w:sz w:val="28"/>
          <w:szCs w:val="28"/>
          <w:rtl w:val="true"/>
          <w:lang w:bidi="ar-SA"/>
        </w:rPr>
        <w:t>بحث علماء الأصول موضوعي الإجماع والشهرة في اكثر من موضع ، حيث بحثهما البعض باعتبارهما دليلين على الحكم الشرعي بينما بحثهما البعض الاخر باعتبارهما كاشفين عن صدور الدليل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فضلا عن بحث الشهرة باعتبارها مرجحا بين الأدلة في حالة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وسننقل هنا آراء ومناقشات سماحة الشيخ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الاجماع والشهرة تارة باعتبارهما دليلين على الحكم الشرعي ، واُخرى باعتبارهما كاشفين عن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الكلام عن الشهرة كمرجح في حالة التعارض فسيأتي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وسيكون الكلام هنا ضمن احدى عشرة مسالة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 والشهرة المدركيان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 والشهرة المدركيان لا يكون منشؤهما رواية 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 الأوسع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 المتأخر عن زمن المعصوم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أصحاب الائمة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 المنقول</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 السابق على النص</w:t>
      </w:r>
      <w:r>
        <w:rPr>
          <w:rFonts w:eastAsia="Amiri" w:cs="Amiri" w:ascii="Amiri" w:hAnsi="Amiri"/>
          <w:color w:val="111111"/>
          <w:sz w:val="28"/>
          <w:szCs w:val="28"/>
          <w:rtl w:val="true"/>
          <w:lang w:bidi="ar-SA"/>
        </w:rPr>
        <w:t xml:space="preserve">. </w:t>
      </w:r>
      <w:bookmarkStart w:id="483" w:name="pg8133_62923"/>
    </w:p>
    <w:p>
      <w:pPr>
        <w:pStyle w:val="BookText"/>
        <w:rPr/>
      </w:pPr>
      <w:bookmarkEnd w:id="483"/>
      <w:r>
        <w:rPr>
          <w:rFonts w:ascii="Amiri" w:hAnsi="Amiri" w:eastAsia="Amiri" w:cs="Amiri"/>
          <w:color w:val="111111"/>
          <w:sz w:val="28"/>
          <w:sz w:val="28"/>
          <w:szCs w:val="28"/>
          <w:rtl w:val="true"/>
          <w:lang w:bidi="ar-SA"/>
        </w:rPr>
        <w:t>المسألة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الاجماعية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 الكاشف عن الدليل</w:t>
      </w:r>
      <w:r>
        <w:rPr>
          <w:rFonts w:eastAsia="Amiri" w:cs="Amiri" w:ascii="Amiri" w:hAnsi="Amiri"/>
          <w:color w:val="111111"/>
          <w:sz w:val="28"/>
          <w:szCs w:val="28"/>
          <w:rtl w:val="true"/>
          <w:lang w:bidi="ar-SA"/>
        </w:rPr>
        <w:t>.</w:t>
      </w:r>
    </w:p>
    <w:p>
      <w:pPr>
        <w:pStyle w:val="Heading6"/>
        <w:numPr>
          <w:ilvl w:val="5"/>
          <w:numId w:val="1"/>
        </w:numPr>
        <w:rPr/>
      </w:pPr>
      <w:bookmarkStart w:id="484" w:name="__RefHeading___Toc8193325_1051229030"/>
      <w:bookmarkStart w:id="485" w:name="_Toc174"/>
      <w:bookmarkEnd w:id="484"/>
      <w:r>
        <w:rPr>
          <w:rtl w:val="true"/>
        </w:rPr>
        <w:t>المسألة الاولى</w:t>
      </w:r>
      <w:r>
        <w:rPr>
          <w:rtl w:val="true"/>
        </w:rPr>
        <w:t xml:space="preserve">: </w:t>
      </w:r>
      <w:r>
        <w:rPr>
          <w:rtl w:val="true"/>
        </w:rPr>
        <w:t>الاجماع الحجة</w:t>
      </w:r>
      <w:r>
        <w:rPr>
          <w:rtl w:val="true"/>
        </w:rPr>
        <w:t>.</w:t>
      </w:r>
      <w:bookmarkEnd w:id="485"/>
    </w:p>
    <w:p>
      <w:pPr>
        <w:pStyle w:val="BookText"/>
        <w:rPr/>
      </w:pPr>
      <w:r>
        <w:rPr>
          <w:rFonts w:ascii="IRNazanin" w:hAnsi="IRNazanin" w:eastAsia="IRNazanin"/>
          <w:color w:val="111111"/>
          <w:sz w:val="28"/>
          <w:sz w:val="28"/>
          <w:szCs w:val="28"/>
          <w:rtl w:val="true"/>
          <w:lang w:bidi="fa-IR"/>
        </w:rPr>
        <w:t>اختلف علماء الأصول في مدرك حجية الاجماع على عدة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من كلمات الشيخ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يذهب الى حجية الاجماع باعتباره كاشفًا عن راي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جاء في الجزء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مسالة طهارة غير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الإجماع إنما يكون مانعاً عن الأخذ بخلافه لو كان تعبدياً كاشفاً عن رأي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هنا اجتهادي مبني على التمسك بالآية والأخذ بالاحتياط وموافقة أخبار النجاسة للتنزه واجتناب غير المسلمين بل غير المأمونين من المسلمين أيضاً وقد صرّحوا بمبانيهم، ثم تحوّلت هذه الاحتياطات والحزازات النفسية إلى فتاوى بالنجاسة وكم من تسالم بين القدماء خالفه المتأخرون كوجوب نزح البئر حتى خالفهم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دام الدليل على خلافهم</w:t>
      </w:r>
      <w:r>
        <w:rPr>
          <w:rFonts w:eastAsia="IRNazanin" w:cs="IRNazanin"/>
          <w:color w:val="111111"/>
          <w:sz w:val="28"/>
          <w:szCs w:val="28"/>
          <w:rtl w:val="true"/>
          <w:lang w:bidi="fa-IR"/>
        </w:rPr>
        <w:t>.</w:t>
      </w:r>
    </w:p>
    <w:p>
      <w:pPr>
        <w:pStyle w:val="Heading6"/>
        <w:numPr>
          <w:ilvl w:val="5"/>
          <w:numId w:val="1"/>
        </w:numPr>
        <w:rPr/>
      </w:pPr>
      <w:bookmarkStart w:id="486" w:name="__RefHeading___Toc8193327_1051229030"/>
      <w:bookmarkStart w:id="487" w:name="_Toc175"/>
      <w:bookmarkEnd w:id="486"/>
      <w:r>
        <w:rPr>
          <w:rtl w:val="true"/>
        </w:rPr>
        <w:t>المسألة الثانية</w:t>
      </w:r>
      <w:r>
        <w:rPr>
          <w:rtl w:val="true"/>
        </w:rPr>
        <w:t xml:space="preserve">: </w:t>
      </w:r>
      <w:r>
        <w:rPr>
          <w:rtl w:val="true"/>
        </w:rPr>
        <w:t>الإجماع والشهرة المدركيان</w:t>
      </w:r>
      <w:r>
        <w:rPr>
          <w:rtl w:val="true"/>
        </w:rPr>
        <w:t>.</w:t>
      </w:r>
      <w:bookmarkEnd w:id="487"/>
    </w:p>
    <w:p>
      <w:pPr>
        <w:pStyle w:val="BookText"/>
        <w:rPr/>
      </w:pPr>
      <w:r>
        <w:rPr>
          <w:rFonts w:ascii="Amiri" w:hAnsi="Amiri" w:eastAsia="Amiri" w:cs="Amiri"/>
          <w:color w:val="111111"/>
          <w:sz w:val="28"/>
          <w:sz w:val="28"/>
          <w:szCs w:val="28"/>
          <w:rtl w:val="true"/>
          <w:lang w:bidi="ar-SA"/>
        </w:rPr>
        <w:t>قد يتفق عدد كبير من الفقهاء على فتوى معينة ، وهذا ما يعرف بالشهرة الفتوائية ، اما اذا اتفق كل الفقهاء على فتوى معينة فهذا هو الاجماع ، وكل من الشهرة الفتوائية او الاجماع قد يكون مستندا الى مدرك شرعي من رواية او قاعدة ، او مدرك غير شرعي كالدليل العقلي ، وفي كل الأحوال يصطلح عليه عندئذ بالمدركي فيقال شهرة مدركية وإجماع مدركي</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اذا لم نحتمل او نتيقن من الاستناد الى اَي مدرك مما ذكر فهي شهرة </w:t>
      </w:r>
      <w:bookmarkStart w:id="488" w:name="pg8133_62924"/>
    </w:p>
    <w:p>
      <w:pPr>
        <w:pStyle w:val="BookText"/>
        <w:rPr/>
      </w:pPr>
      <w:bookmarkEnd w:id="488"/>
      <w:r>
        <w:rPr>
          <w:rFonts w:ascii="Amiri" w:hAnsi="Amiri" w:eastAsia="Amiri" w:cs="Amiri"/>
          <w:color w:val="111111"/>
          <w:sz w:val="28"/>
          <w:sz w:val="28"/>
          <w:szCs w:val="28"/>
          <w:rtl w:val="true"/>
          <w:lang w:bidi="ar-SA"/>
        </w:rPr>
        <w:t>تعبدية او اجماع تعبدي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لا خلاف فيه بين علماء الأصول ان الشهرة والإجماع المدركيان ليسا بحجة او دليلاعلى الحكم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هذا مرارًا وتكرارًا في كل الكتب الفقهية وبطبيعة الحال تم ذكره كذلك في فقه الخلاف عند مناقشة من استدل بهما ، ومن موارد ذكره في فقه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الجزء العاشر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مسالة حلية السمك اذا مات في الماء محبوسًا، اذ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انها شهرة مدركية معلومة المستند وهي الروايات المتقدمة وليست تعبدية حتى يمكن ان تكون دليلاً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الجزء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مسالة مطهرية الشمس ، اذ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الشهرة حتى لو بلغت الإجماع إنما هي مدركية لوضوح استنادها إلى الروايات التي سنتعرض لها إن شاء الله تعالى فلا يكون الإجماع فضلاً عن الشهرة حجة في المقام</w:t>
      </w:r>
      <w:r>
        <w:rPr>
          <w:rFonts w:eastAsia="Amiri" w:cs="Amiri" w:ascii="Amiri" w:hAnsi="Amiri"/>
          <w:color w:val="111111"/>
          <w:sz w:val="28"/>
          <w:szCs w:val="28"/>
          <w:rtl w:val="true"/>
          <w:lang w:bidi="ar-SA"/>
        </w:rPr>
        <w:t>.</w:t>
      </w:r>
    </w:p>
    <w:p>
      <w:pPr>
        <w:pStyle w:val="Heading6"/>
        <w:numPr>
          <w:ilvl w:val="5"/>
          <w:numId w:val="1"/>
        </w:numPr>
        <w:rPr/>
      </w:pPr>
      <w:bookmarkStart w:id="489" w:name="__RefHeading___Toc8193329_1051229030"/>
      <w:bookmarkStart w:id="490" w:name="_Toc176"/>
      <w:bookmarkEnd w:id="489"/>
      <w:r>
        <w:rPr>
          <w:rtl w:val="true"/>
        </w:rPr>
        <w:t>المسألة الثالثة</w:t>
      </w:r>
      <w:r>
        <w:rPr>
          <w:rtl w:val="true"/>
        </w:rPr>
        <w:t xml:space="preserve">: </w:t>
      </w:r>
      <w:r>
        <w:rPr>
          <w:rtl w:val="true"/>
        </w:rPr>
        <w:t>الإجماع والشهرة المدركيان لا يكون منشؤهما رواية ضعيفة</w:t>
      </w:r>
      <w:r>
        <w:rPr>
          <w:rtl w:val="true"/>
        </w:rPr>
        <w:t>.</w:t>
      </w:r>
      <w:bookmarkEnd w:id="490"/>
    </w:p>
    <w:p>
      <w:pPr>
        <w:pStyle w:val="BookText"/>
        <w:rPr/>
      </w:pPr>
      <w:r>
        <w:rPr>
          <w:rFonts w:ascii="Amiri" w:hAnsi="Amiri" w:eastAsia="Amiri" w:cs="Amiri"/>
          <w:color w:val="111111"/>
          <w:sz w:val="28"/>
          <w:sz w:val="28"/>
          <w:szCs w:val="28"/>
          <w:rtl w:val="true"/>
          <w:lang w:bidi="ar-SA"/>
        </w:rPr>
        <w:t>عندما يتفق عدد كبير ، او كل الفقهاء على فتوى معينة فلابد ان يكون هناك مستند قوي من شانه ان يخلق مثل هذا الاتفاق ؛ ولذا فلا نتصور وجود شهرة او اجماع مدركيين من رواية او روايتين ضعيفتين</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ما بينه سماحة الشيخ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الجزء الخامس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مسالة معادلة المد بثلاثة ارباع الكيلو غرام تقريبًا او تحقيقًا ، حيث 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إن هذه الشهرة التي تكاد تكون إجماعاً لا يمكن أن يكون منشؤها روايتين ضعيفتين فإن مثلهما لا يؤسس لمثل هذه الحالة فلا بد أن يكون لهذه الشهرة مستند آخر وهو تلقي الأجيال لها يداً بيد حتى زمان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حصل تغيير في وزن الرطل أو الدرهم فإنه ينقله بأمانةإلى ما يعادله كما نقل المعاصرون الوزن بأمانة إلى الكيلو غرام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ذكرنا سابقاً كبرى أن الإجماع لكي يصح كونه مدركياً لا بد أن يكون المدرك بقوته</w:t>
      </w:r>
      <w:r>
        <w:rPr>
          <w:rStyle w:val="FootnoteAnchor"/>
          <w:rtl w:val="true"/>
        </w:rPr>
        <w:footnoteReference w:id="459"/>
      </w:r>
      <w:r>
        <w:rPr>
          <w:rFonts w:ascii="Amiri" w:hAnsi="Amiri" w:eastAsia="Amiri" w:cs="Amiri"/>
          <w:color w:val="111111"/>
          <w:sz w:val="28"/>
          <w:sz w:val="28"/>
          <w:szCs w:val="28"/>
          <w:rtl w:val="true"/>
          <w:lang w:bidi="ar-SA"/>
        </w:rPr>
        <w:t xml:space="preserve">والمقام ليس منه لأن المدرك روايتان ضعيفتان والمجمع عليه قوي ومشهور وعليه العمل في مسائل ابتلائية وفي موارد عديدة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 الزكاة، زكاة الفطرة، الفدية،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يحتمل غفلة أي جيل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عبارات الشيخ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تفيد هذا المعنى أيضا ما جاء في الجزء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مسالة وجوب الغسل بمس القطعة المبانة من جسد الانسان ،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الإجماع المدعى ليس مدركياً لعدة قرائن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يمكن أن يكون مستنده رواية مرسلة أي لا تصنع رواية مرسلة مثل هذا الإجماع فهو تعبدي ويكون معتبراً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أفاده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العامل بالرواية قليلٌ فيكون باقي الإجماع تعبدياً</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الرواية ظاهرة في المبانة من الحي مع أن الإجماع قائم على المبانة من الإنسان مطلقاً فموضوعهما مختلف</w:t>
      </w:r>
      <w:r>
        <w:rPr>
          <w:rFonts w:eastAsia="Amiri" w:cs="Amiri" w:ascii="Amiri" w:hAnsi="Amiri"/>
          <w:color w:val="111111"/>
          <w:sz w:val="28"/>
          <w:szCs w:val="28"/>
          <w:rtl w:val="true"/>
          <w:lang w:bidi="ar-SA"/>
        </w:rPr>
        <w:t xml:space="preserve">. </w:t>
      </w:r>
      <w:bookmarkStart w:id="491" w:name="pg8133_62926"/>
    </w:p>
    <w:p>
      <w:pPr>
        <w:pStyle w:val="BookText"/>
        <w:rPr/>
      </w:pPr>
      <w:bookmarkEnd w:id="491"/>
      <w:r>
        <w:rPr>
          <w:rFonts w:ascii="Amiri" w:hAnsi="Amiri" w:eastAsia="Amiri" w:cs="Amiri"/>
          <w:color w:val="111111"/>
          <w:sz w:val="28"/>
          <w:sz w:val="28"/>
          <w:szCs w:val="28"/>
          <w:rtl w:val="true"/>
          <w:lang w:bidi="ar-SA"/>
        </w:rPr>
        <w:t xml:space="preserve">كما جاء في الجزء الثالث عشر في مسالة مقدار دية القتل عند اختلاف الأصناف في القيمة كثيرا بيان لهذه الكبرى ، اذ قال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يمكن تقريب حجية الإجماع بكبرى نقلها سيدنا الأستاذ الشهيد الصدر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أستاذه الشهيد الصدر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والتزما بها حاصلها أن المدركية إنما تحتمل إذا كان مثل هذا المدرك قادراً على إنتاج مثل هذا الإجماع، أما إذا لم يكن كذلك فالمدركية غير محتملة كما في المقامإذ لا يمكن للرواية في المقام أن تنتج مثل هذا الإجماع والتسالم فنسأل حينئذٍ عن منشأ الحصة الزائدة من الإجماع عن المدرك المدعى وليس هو إلا التعبد الكاشف عن حكم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6"/>
        <w:numPr>
          <w:ilvl w:val="5"/>
          <w:numId w:val="1"/>
        </w:numPr>
        <w:rPr/>
      </w:pPr>
      <w:bookmarkStart w:id="492" w:name="__RefHeading___Toc8193331_1051229030"/>
      <w:bookmarkStart w:id="493" w:name="_Toc177"/>
      <w:bookmarkEnd w:id="492"/>
      <w:r>
        <w:rPr>
          <w:rtl w:val="true"/>
        </w:rPr>
        <w:t>المسألة الرابعة</w:t>
      </w:r>
      <w:r>
        <w:rPr>
          <w:rtl w:val="true"/>
        </w:rPr>
        <w:t xml:space="preserve">: </w:t>
      </w:r>
      <w:r>
        <w:rPr>
          <w:rtl w:val="true"/>
        </w:rPr>
        <w:t>الاجماع الأوسع من النصوص</w:t>
      </w:r>
      <w:r>
        <w:rPr>
          <w:rtl w:val="true"/>
        </w:rPr>
        <w:t>.</w:t>
      </w:r>
      <w:bookmarkEnd w:id="493"/>
    </w:p>
    <w:p>
      <w:pPr>
        <w:pStyle w:val="BookText"/>
        <w:rPr/>
      </w:pPr>
      <w:r>
        <w:rPr>
          <w:rFonts w:ascii="Amiri" w:hAnsi="Amiri" w:eastAsia="Amiri" w:cs="Amiri"/>
          <w:color w:val="111111"/>
          <w:sz w:val="28"/>
          <w:sz w:val="28"/>
          <w:szCs w:val="28"/>
          <w:rtl w:val="true"/>
          <w:lang w:bidi="ar-SA"/>
        </w:rPr>
        <w:t xml:space="preserve">اتضح مما ذكرناه في المسالتين السابقتين ان سماحة الشيخ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يفصّل في الاجماع المدركي بين ما كان مستندا الى روايات عدة او قاعدة ، وبين ما كان مستندا الى رواية ضعيفة او روايتين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مدركي وليس بحجة ، اما الثاني فلا يوصف بالمدركية ؛ لان قوة الاجماع لا تتناسب مع هذا المدرك مما يعني ان الاجماع الزائد عما يناسب الرواية هو اجماع تعبدي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نضيف هنا انه قد توجد في مورد ما روايات ونصوص كثيرة ومع ذلك يكون الاجماع حجة فيما اذا كان هذا الاجماع ثابتًا وراسخًا ؛ لانه أوسع من النصوص</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هذا الكلام في الجزء الثامن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بيان ادلة وجوب الامر بالمعروف والنهي عن المنكر ، اذ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bookmarkStart w:id="494" w:name="pg8133_62927"/>
    </w:p>
    <w:p>
      <w:pPr>
        <w:pStyle w:val="BookText"/>
        <w:rPr/>
      </w:pPr>
      <w:bookmarkEnd w:id="494"/>
      <w:r>
        <w:rPr>
          <w:rFonts w:ascii="IRNazanin" w:hAnsi="IRNazanin" w:eastAsia="IRNazanin"/>
          <w:color w:val="111111"/>
          <w:sz w:val="28"/>
          <w:sz w:val="28"/>
          <w:szCs w:val="28"/>
          <w:rtl w:val="true"/>
          <w:lang w:bidi="fa-IR"/>
        </w:rPr>
        <w:t xml:space="preserve">والإجماع على الوجوب في الجملة محصّل ومنقول، وهو ثابت في شرع المسلمين جميعاً، وقد يناقش في الإجماع بأنه مدركي، إلا أنه مردود لأن الإجماع المتحقق في المقام أوسع بكثير من النصوص وأرسخ منها مما يرجّح عدم كفاية النصوص في تفسيره، وإنما هو تعبدي متصل بزمن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Heading6"/>
        <w:numPr>
          <w:ilvl w:val="5"/>
          <w:numId w:val="1"/>
        </w:numPr>
        <w:rPr/>
      </w:pPr>
      <w:bookmarkStart w:id="495" w:name="__RefHeading___Toc8193333_1051229030"/>
      <w:bookmarkStart w:id="496" w:name="_Toc178"/>
      <w:bookmarkEnd w:id="495"/>
      <w:r>
        <w:rPr>
          <w:rtl w:val="true"/>
        </w:rPr>
        <w:t>المسألة الخامسة</w:t>
      </w:r>
      <w:r>
        <w:rPr>
          <w:rtl w:val="true"/>
        </w:rPr>
        <w:t xml:space="preserve">: </w:t>
      </w:r>
      <w:r>
        <w:rPr>
          <w:rtl w:val="true"/>
        </w:rPr>
        <w:t>الاجماع المتأخر عن زمن المعصوم</w:t>
      </w:r>
      <w:r>
        <w:rPr>
          <w:rtl w:val="true"/>
        </w:rPr>
        <w:t>.</w:t>
      </w:r>
      <w:bookmarkEnd w:id="496"/>
    </w:p>
    <w:p>
      <w:pPr>
        <w:pStyle w:val="BookText"/>
        <w:rPr/>
      </w:pPr>
      <w:r>
        <w:rPr>
          <w:rFonts w:ascii="IRNazanin" w:hAnsi="IRNazanin" w:eastAsia="IRNazanin"/>
          <w:color w:val="111111"/>
          <w:sz w:val="28"/>
          <w:sz w:val="28"/>
          <w:szCs w:val="28"/>
          <w:rtl w:val="true"/>
          <w:lang w:bidi="fa-IR"/>
        </w:rPr>
        <w:t xml:space="preserve">اختلف العلماء الذين قالوا بحجية الاجماع واعتباره دليلًا على الحكم الشرعي في ان الاجماع الحجة هو خصوص اجماع المتقدمين الذين عاصروا أصحاب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انهيشمل حتى اجماع المتأخرين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والذي يذهب اليه سماحة الشيخ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الاجماع الحجة هو خصوص اجماع المتقدمين أي الاجماع المتصل بزمان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لانه هو الذي يكشف عن راي المعصوم ، ومن هنا قال في الجزء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مسالة وجوب الغسل بمس القطعة المبانة من جسد الانسان</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الظاهر كون الإجماع متصلاً بعصر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فملاك حجية الإجماع متحقق فيه، ولا يناقش في كونه مدركياً، إذ يظهر من عدة روايات أن وجوب الغسل كان ثابتاً عند أصحاب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ومفروغاً منه فكانوا يسألون عن التفريعات والتطبيقات وكان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يقرّهم على ذلك كما في صحيحة إسماعيل بن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أليس لا ينبغي أن يمس الميت بعد ما يموت، ومن مسّه فعليه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مكاتبة الحسين بن عبيد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اغتسل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غسَّل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انتقال الإمام </w:t>
      </w:r>
      <w:bookmarkStart w:id="497" w:name="pg8133_62928"/>
    </w:p>
    <w:p>
      <w:pPr>
        <w:pStyle w:val="BookText"/>
        <w:rPr/>
      </w:pPr>
      <w:bookmarkEnd w:id="49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تعليل تشريع الوجوب في علل الفضل بن شاذان</w:t>
      </w:r>
      <w:r>
        <w:rPr>
          <w:rStyle w:val="FootnoteAnchor"/>
          <w:rtl w:val="true"/>
        </w:rPr>
        <w:footnoteReference w:id="460"/>
      </w:r>
      <w:r>
        <w:rPr>
          <w:rFonts w:ascii="Amiri" w:hAnsi="Amiri" w:eastAsia="Amiri" w:cs="Amiri"/>
          <w:color w:val="111111"/>
          <w:sz w:val="28"/>
          <w:sz w:val="28"/>
          <w:szCs w:val="28"/>
          <w:rtl w:val="true"/>
          <w:lang w:bidi="ar-SA"/>
        </w:rPr>
        <w:t>وكأن الوجوب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فاذا شككنا في اتصال الاجماع بزمان المعصوم لم يكن ذلك الاجماع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الجزء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مسالة طهارة غير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الشك في اتصال هذا الإجماع بزمان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وعدم وجود مثل هذا الارتكاز لدى أصحاب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الموجود خلافه كما قرّبنا في المرتبة الثانية فالمحتمل أن هذا الإجماع نشأ بعد زمان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w:t>
      </w:r>
    </w:p>
    <w:p>
      <w:pPr>
        <w:pStyle w:val="Heading6"/>
        <w:numPr>
          <w:ilvl w:val="5"/>
          <w:numId w:val="1"/>
        </w:numPr>
        <w:rPr/>
      </w:pPr>
      <w:bookmarkStart w:id="498" w:name="__RefHeading___Toc8193335_1051229030"/>
      <w:bookmarkStart w:id="499" w:name="_Toc179"/>
      <w:bookmarkEnd w:id="498"/>
      <w:r>
        <w:rPr>
          <w:rtl w:val="true"/>
        </w:rPr>
        <w:t>المسألة السادسة</w:t>
      </w:r>
      <w:r>
        <w:rPr>
          <w:rtl w:val="true"/>
        </w:rPr>
        <w:t xml:space="preserve">: </w:t>
      </w:r>
      <w:r>
        <w:rPr>
          <w:rtl w:val="true"/>
        </w:rPr>
        <w:t>اختلاف أصحاب الائمة</w:t>
      </w:r>
      <w:r>
        <w:rPr>
          <w:rtl w:val="true"/>
        </w:rPr>
        <w:t>.</w:t>
      </w:r>
      <w:bookmarkEnd w:id="499"/>
    </w:p>
    <w:p>
      <w:pPr>
        <w:pStyle w:val="BookText"/>
        <w:rPr/>
      </w:pPr>
      <w:r>
        <w:rPr>
          <w:rFonts w:ascii="IRNazanin" w:hAnsi="IRNazanin" w:eastAsia="IRNazanin"/>
          <w:color w:val="111111"/>
          <w:sz w:val="28"/>
          <w:sz w:val="28"/>
          <w:szCs w:val="28"/>
          <w:rtl w:val="true"/>
          <w:lang w:bidi="fa-IR"/>
        </w:rPr>
        <w:t xml:space="preserve">بعد ان اشترطنا في الاجماع الحجة كونه متصلًا بزمان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أشار سماحة الشيخ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بعض ما يبين ان الاجماع غير متصل بزمانهم كاختلاف أصحابهم في المسالة ؛ فان هذا الاختلاف يثبت انه لم يكن هناك اجماع في زمان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جاء هذا المعنى في الجزء الخامس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مسالة في ما تجب فيه الزكاة ، اذ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دعوى الإجماع غير تامة صغروياً وكبروياً والإجماع ليس متحققاً في عصر أصحاب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عند الفقهاء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أرواحهم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وبيان ذلك في النقاط التالية</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كشفت جملة من الروايات عن وجود خلاف بين أصحاب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bookmarkStart w:id="500" w:name="pg8133_62929"/>
    </w:p>
    <w:p>
      <w:pPr>
        <w:pStyle w:val="BookText"/>
        <w:rPr/>
      </w:pPr>
      <w:bookmarkEnd w:id="500"/>
      <w:r>
        <w:rPr>
          <w:rFonts w:ascii="Amiri" w:hAnsi="Amiri" w:eastAsia="Amiri" w:cs="Amiri"/>
          <w:color w:val="111111"/>
          <w:sz w:val="28"/>
          <w:sz w:val="28"/>
          <w:szCs w:val="28"/>
          <w:rtl w:val="true"/>
          <w:lang w:bidi="ar-SA"/>
        </w:rPr>
        <w:t>أو عدم وضوح في شمول الوجوب لغير التسع لذا أكثروا من السؤال عنه، كما في مرسلة القماط ومعتبرة الطيار وجميل وصحيحة زرارة</w:t>
      </w:r>
      <w:r>
        <w:rPr>
          <w:rStyle w:val="FootnoteAnchor"/>
          <w:rtl w:val="true"/>
        </w:rPr>
        <w:footnoteReference w:id="461"/>
      </w:r>
      <w:r>
        <w:rPr>
          <w:rFonts w:ascii="Amiri" w:hAnsi="Amiri" w:eastAsia="Amiri" w:cs="Amiri"/>
          <w:color w:val="111111"/>
          <w:sz w:val="28"/>
          <w:sz w:val="28"/>
          <w:szCs w:val="28"/>
          <w:rtl w:val="true"/>
          <w:lang w:bidi="ar-SA"/>
        </w:rPr>
        <w:t>وموثقة أبي بصير</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 xml:space="preserve">الآتية، بل يظهر من صحيحة ابن مهزيار الآتية أن لكل قولٍ رواة ومفتين من الأصحاب فكتبوا بذلك إلى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الكليني في الكافي الوجوب في غير التسع عن يونس بن عبد الرحمن وهو من فقهاء أصحاب الإمامين الكاظم والرضا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الاقتصار على التسع كان مؤقتاً بعفو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ابن الجنيد</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وهو من قدماء الأصحاب بالوجوب في كل ما دخل القفيز من الحبوب، وأوجببعضهم الزكاة في أموال التجارة وبعضهم في الخيل، وبعض آخر في الأحجار الثمينة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ويظهر من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 قول يونس فقد عقد للروايات أكثر من باب، عنون الأولى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وضع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الزكاة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صحيحة الفضلاء وخبر أبي بكر الحضرمي وذكر قول يونس ثم عنون الثانية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ما يزكى من الحبوب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روايات التعميم ثم عنون الثالثة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لا يجب فيه الزكاة مما تنبت الأرض من الخضر وغيرها</w:t>
      </w:r>
      <w:r>
        <w:rPr>
          <w:rFonts w:eastAsia="IRNazanin" w:cs="IRNazanin"/>
          <w:color w:val="111111"/>
          <w:sz w:val="28"/>
          <w:szCs w:val="28"/>
          <w:rtl w:val="true"/>
          <w:lang w:bidi="fa-IR"/>
        </w:rPr>
        <w:t>».</w:t>
      </w:r>
    </w:p>
    <w:p>
      <w:pPr>
        <w:pStyle w:val="Heading6"/>
        <w:numPr>
          <w:ilvl w:val="5"/>
          <w:numId w:val="1"/>
        </w:numPr>
        <w:rPr/>
      </w:pPr>
      <w:bookmarkStart w:id="501" w:name="__RefHeading___Toc8193337_1051229030"/>
      <w:bookmarkStart w:id="502" w:name="_Toc180"/>
      <w:bookmarkEnd w:id="501"/>
      <w:r>
        <w:rPr>
          <w:rtl w:val="true"/>
        </w:rPr>
        <w:t>المسألة السابعة</w:t>
      </w:r>
      <w:r>
        <w:rPr>
          <w:rtl w:val="true"/>
        </w:rPr>
        <w:t xml:space="preserve">: </w:t>
      </w:r>
      <w:r>
        <w:rPr>
          <w:rtl w:val="true"/>
        </w:rPr>
        <w:t>الاجماع المركب</w:t>
      </w:r>
      <w:r>
        <w:rPr>
          <w:rtl w:val="true"/>
        </w:rPr>
        <w:t>.</w:t>
      </w:r>
      <w:bookmarkEnd w:id="502"/>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وجدت ثلاثة احتمالات مثلا في مسألة من المسائل ، وانقسم الفقهاء في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فأفتى بعضهم وفق الاحتمال الأول ، وأفتى البعض الاخر وفق الاحتمال الثاني ، ولَم يفتِ اَي منهم وفق الاحتمال الثالث ، فعندئذ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هناك اجماعا </w:t>
      </w:r>
    </w:p>
    <w:p>
      <w:pPr>
        <w:pStyle w:val="BookText"/>
        <w:rPr/>
      </w:pPr>
      <w:r>
        <w:rPr>
          <w:rFonts w:ascii="Amiri" w:hAnsi="Amiri" w:eastAsia="Amiri" w:cs="Amiri"/>
          <w:color w:val="111111"/>
          <w:sz w:val="28"/>
          <w:sz w:val="28"/>
          <w:szCs w:val="28"/>
          <w:rtl w:val="true"/>
          <w:lang w:bidi="ar-SA"/>
        </w:rPr>
        <w:t>مركبا على نفي الاحتمال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اختلف العلماء في حجية هذا الاجماع ، والظاهر من كلمات الشيخ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يبني على عدم حجيته ، اذ قال في الجزء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مسالة مطهرية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قد وافقناه بان الصحيحة والموثقة لا يستفاد منها الا طهارة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تصدق عليه الأرضية، وبهذا العنوان حكم بطهارة الألواح وغيرها من الأشياء التي تُعدّ جزءاً من الأرض كالحصى وليس بعنوان كونها اوتاداً أو حصى حتى يقال بعدم القول بالفصل ولا يوجد فقيه نظر إلى الأوتاد والألواح بما هي أوتاد وألواح حتى ندعي الإجماع المركب بل كان نظرهم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الأرض وغير الأرض وهذه الأشياء لوحظت كأجزاء منها مضافاً إلى اننا لا نقول بحجية الإجماع المركب لعدم توفر ملاك حجية الإجماع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سماحته بيْن في الجزء الثالث عشر في مسالة حد المبيت الواجب في 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هناك حالات يكون فيها الاجماع المركب نافيًا للقول الثالث ، اذ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مناقشة الاجماع على عدم كفاية المبيت جزءًا يسيرًا من الليل</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دفع هذا المحذور – مضافًا الى مخالفته لروايات الاصباح في منى بناءً على اطلاقها من حيث البداية – بأنه اجماع مركب من وجوب مبيت احد نصفي الليل تعيينًا او تخييرًا ، والاجماع المركب لا يكون نافيًا للقول الثالث الا اذا كان هذا النفي من القدر المتيقن ؛ لانه دليل لبي يقتصر منه عليه ، او يشمله معقد الاجماع ولا نجزم بتحققهما هنا ، خصوصًا وان المشهور القائل بتعين النصف الأول سكت عن حكم من لم يبت فيه لعذر او لغير عذر ، وهل يكتفي منه بالاصباح في منى او يلزمه بالحضور عند </w:t>
      </w:r>
      <w:bookmarkStart w:id="503" w:name="pg8133_62931"/>
    </w:p>
    <w:p>
      <w:pPr>
        <w:pStyle w:val="BookText"/>
        <w:rPr/>
      </w:pPr>
      <w:bookmarkEnd w:id="503"/>
      <w:r>
        <w:rPr>
          <w:rFonts w:ascii="Amiri" w:hAnsi="Amiri" w:eastAsia="Amiri" w:cs="Amiri"/>
          <w:color w:val="111111"/>
          <w:sz w:val="28"/>
          <w:sz w:val="28"/>
          <w:szCs w:val="28"/>
          <w:rtl w:val="true"/>
          <w:lang w:bidi="ar-SA"/>
        </w:rPr>
        <w:t>منتصف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هذه النكتة غير معروضة في علم الأصول الا ان مبحثًا قريبًا منها مذكور هناك وهو عدم نفي الدليلين المتعارضين لثالث الا اذا كان فيهما دلالة التزامية على نفيه كما اختار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الإخبار عن الملزوم وان كان إخبارًا عن اللازم ، الا أنه ليس إخبارًا عن اللازم بوجوده السعي ، بل اخبار عن حصة خاصة هي لازم له ، فإن الإخبار عن وقوع البول على الثوب ليس إخبارًا عن نجاسة الثوب بأي سبب كان ، بل إخبار عن نجاسته المسببة عن وقوع البول</w:t>
      </w:r>
      <w:r>
        <w:rPr>
          <w:rFonts w:eastAsia="Amiri" w:cs="Amiri" w:ascii="Amiri" w:hAnsi="Amiri"/>
          <w:color w:val="111111"/>
          <w:sz w:val="28"/>
          <w:szCs w:val="28"/>
          <w:rtl w:val="true"/>
          <w:lang w:bidi="ar-SA"/>
        </w:rPr>
        <w:t>»</w:t>
      </w:r>
      <w:r>
        <w:rPr>
          <w:rStyle w:val="FootnoteAnchor"/>
          <w:rtl w:val="true"/>
        </w:rPr>
        <w:footnoteReference w:id="464"/>
      </w:r>
    </w:p>
    <w:p>
      <w:pPr>
        <w:pStyle w:val="Heading6"/>
        <w:numPr>
          <w:ilvl w:val="5"/>
          <w:numId w:val="1"/>
        </w:numPr>
        <w:rPr/>
      </w:pPr>
      <w:bookmarkStart w:id="504" w:name="__RefHeading___Toc8193339_1051229030"/>
      <w:bookmarkStart w:id="505" w:name="_Toc181"/>
      <w:bookmarkEnd w:id="504"/>
      <w:r>
        <w:rPr>
          <w:rtl w:val="true"/>
        </w:rPr>
        <w:t>المسألة الثامنة</w:t>
      </w:r>
      <w:r>
        <w:rPr>
          <w:rtl w:val="true"/>
        </w:rPr>
        <w:t xml:space="preserve">: </w:t>
      </w:r>
      <w:r>
        <w:rPr>
          <w:rtl w:val="true"/>
        </w:rPr>
        <w:t>الاجماع المنقول</w:t>
      </w:r>
      <w:r>
        <w:rPr>
          <w:rtl w:val="true"/>
        </w:rPr>
        <w:t>.</w:t>
      </w:r>
      <w:bookmarkEnd w:id="505"/>
    </w:p>
    <w:p>
      <w:pPr>
        <w:pStyle w:val="BookText"/>
        <w:rPr/>
      </w:pPr>
      <w:r>
        <w:rPr>
          <w:rFonts w:ascii="Amiri" w:hAnsi="Amiri" w:eastAsia="Amiri" w:cs="Amiri"/>
          <w:color w:val="111111"/>
          <w:sz w:val="28"/>
          <w:sz w:val="28"/>
          <w:szCs w:val="28"/>
          <w:rtl w:val="true"/>
          <w:lang w:bidi="ar-SA"/>
        </w:rPr>
        <w:t>عندما نتكلم عن الاجماع الحجة فاننا نتكلم عن الاجماع المحصّل المسبَب عن تتبع أقوال العلماء والوقوف على اتفاقهم في الفتوى ، اما الاجماع المنقول فانه لا يعدو كونه خبرثقة عن وجود اجماع على الحكم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ذهب الشيخ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عدم حجية الاجماع المنقول حيث قال في الجزء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مسالة طهارة الكحول</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المنقول ليس بحجة وما ادعي من عدم الخلاف لم يثبت، فقد خالف عدد من فقهائنا الأقدمين ممن يُعتدّ برأيهم لاطلاعهم الكامل على أحكام 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وقرب عهدهم بالمعصومين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إن الروايات</w:t>
      </w:r>
      <w:r>
        <w:rPr>
          <w:rStyle w:val="FootnoteAnchor"/>
          <w:rtl w:val="true"/>
        </w:rPr>
        <w:footnoteReference w:id="465"/>
      </w:r>
      <w:r>
        <w:rPr>
          <w:rFonts w:ascii="IRNazanin" w:hAnsi="IRNazanin" w:eastAsia="IRNazanin"/>
          <w:color w:val="111111"/>
          <w:sz w:val="28"/>
          <w:sz w:val="28"/>
          <w:szCs w:val="28"/>
          <w:rtl w:val="true"/>
          <w:lang w:bidi="fa-IR"/>
        </w:rPr>
        <w:t xml:space="preserve">تشير إلى وجود هذا الخلاف حتى في زمان الأئمة المتأخرين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يكن الحكم بالنجاسة مجمعاً عليه عند أصحاب الأئمة </w:t>
      </w:r>
      <w:bookmarkStart w:id="506" w:name="pg8133_62932"/>
    </w:p>
    <w:p>
      <w:pPr>
        <w:pStyle w:val="BookText"/>
        <w:rPr/>
      </w:pPr>
      <w:bookmarkEnd w:id="5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رواية خيران الخادم الآتية عن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كتب إلى الرجل يسأله عن الثوب يصيبه الخمر ولحم الخنزير يصلّى فيه أم لا؟ فإن أصحابنا اختلفوا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وصحيحة علي بن مهزيار الآتية التي تشير إلى اختلاف النقل عن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وصحيحة كليب بن معاوية التي يظهر منها أن أبا بصير وأصحابه لم يكونوا يعرفون نجاسة 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إلى كون الإجماع في المقام مدركياً لاستناد القائلين بالنجاسة إلى الروايات الدالة عليها وليس إلى الإجماع التعبدي المتلقّى جيلاً بعد جيل حتى يصل إلى عصر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لذلك فإن المجمعين مختلفون في التفاصيل فمنهم من قال بنجاسة خصوص المتخذ من العنب وقيل من الأصول الخمسة وقيل كل مسكر مائع بحسب استفادتهم من الروايات، فالاستدلال على المسألة منحصر بالروايات</w:t>
      </w:r>
      <w:r>
        <w:rPr>
          <w:rFonts w:eastAsia="IRNazanin" w:cs="IRNazanin"/>
          <w:color w:val="111111"/>
          <w:sz w:val="28"/>
          <w:szCs w:val="28"/>
          <w:rtl w:val="true"/>
          <w:lang w:bidi="fa-IR"/>
        </w:rPr>
        <w:t>.</w:t>
      </w:r>
    </w:p>
    <w:p>
      <w:pPr>
        <w:pStyle w:val="Heading6"/>
        <w:numPr>
          <w:ilvl w:val="5"/>
          <w:numId w:val="1"/>
        </w:numPr>
        <w:rPr/>
      </w:pPr>
      <w:bookmarkStart w:id="507" w:name="__RefHeading___Toc8193341_1051229030"/>
      <w:bookmarkStart w:id="508" w:name="_Toc182"/>
      <w:bookmarkEnd w:id="507"/>
      <w:r>
        <w:rPr>
          <w:rtl w:val="true"/>
        </w:rPr>
        <w:t>المسألة التاسعة</w:t>
      </w:r>
      <w:r>
        <w:rPr>
          <w:rtl w:val="true"/>
        </w:rPr>
        <w:t xml:space="preserve">: </w:t>
      </w:r>
      <w:r>
        <w:rPr>
          <w:rtl w:val="true"/>
        </w:rPr>
        <w:t>الاجماع السابق على النص</w:t>
      </w:r>
      <w:r>
        <w:rPr>
          <w:rtl w:val="true"/>
        </w:rPr>
        <w:t>.</w:t>
      </w:r>
      <w:bookmarkEnd w:id="508"/>
    </w:p>
    <w:p>
      <w:pPr>
        <w:pStyle w:val="BookText"/>
        <w:rPr/>
      </w:pPr>
      <w:r>
        <w:rPr>
          <w:rFonts w:ascii="Amiri" w:hAnsi="Amiri" w:eastAsia="Amiri" w:cs="Amiri"/>
          <w:color w:val="111111"/>
          <w:sz w:val="28"/>
          <w:sz w:val="28"/>
          <w:szCs w:val="28"/>
          <w:rtl w:val="true"/>
          <w:lang w:bidi="ar-SA"/>
        </w:rPr>
        <w:t>قد نحصّل الاجماع في مسالة ما ، ونجد روايات تدل على نفس الحكم المجمع عليه ، ولكن هذا لا يعني بالضرورة ان الاجماع مدركي ومستند الى تلك الروايات ، فقد يكون سابقا عليها وتكون تلك الروايات صادرة بعد الاجماع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استكشاف ذلك من أسئلة الرواة حينما يعتبرون هذا الحكم مفروغا عنه في أسئلتهم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وبطبيعة الحال فاننا لا نقصد بذلك اجماع الفقهاء ، وانما نقصد اجماع أصحاب الائمة ، و وجود ارتكاز عندهم في تلك المسالة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اوضحه سماحة الشيخ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الجزء السادس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بيان ادلة وجوب الخمس على كل فائدة ، حيث قال</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أجمع علماء الطائفة على وجوب الخمس في الفاضل عن المؤونة من كل ما يستفيده الإنسان، ولم تنقل المخالفة إلا عن </w:t>
      </w:r>
      <w:bookmarkStart w:id="509" w:name="pg8133_62933"/>
    </w:p>
    <w:p>
      <w:pPr>
        <w:pStyle w:val="BookText"/>
        <w:rPr/>
      </w:pPr>
      <w:bookmarkEnd w:id="509"/>
      <w:r>
        <w:rPr>
          <w:rFonts w:ascii="IRNazanin" w:hAnsi="IRNazanin" w:eastAsia="IRNazanin"/>
          <w:color w:val="111111"/>
          <w:sz w:val="28"/>
          <w:sz w:val="28"/>
          <w:szCs w:val="28"/>
          <w:rtl w:val="true"/>
          <w:lang w:bidi="fa-IR"/>
        </w:rPr>
        <w:t xml:space="preserve">ابن الجنيد وابن أبي عقيل، ومخالفتهما لا تضر، مع أن الأول احتاط بالوجوب وربما كان مرادهما إسقاط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لا نفي وجوبه أصلاً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يناقش الإجماع من جهة أنه مدركي مستند إلى الروايات المتقدمة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لكن هذه المناقشة غير صحيحة فإن الإجماع تعبدي متصل بعصر المعصومين وسابق على عصر صدور كثير من النصوص لذا رأينا في جملة من الروايات أن ثبوت الخمس وحق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ذمة المكلفين كان مفروغاً منه عند السائل، كما يظهر من جملة منها أن سيرة أصحاب الأئمة كانت جارية على نقل أخماس أرباح تجاراتهم وحاصل ضياعهم إلى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Heading6"/>
        <w:numPr>
          <w:ilvl w:val="5"/>
          <w:numId w:val="1"/>
        </w:numPr>
        <w:rPr/>
      </w:pPr>
      <w:bookmarkStart w:id="510" w:name="__RefHeading___Toc8193343_1051229030"/>
      <w:bookmarkStart w:id="511" w:name="_Toc183"/>
      <w:bookmarkEnd w:id="510"/>
      <w:r>
        <w:rPr>
          <w:rtl w:val="true"/>
        </w:rPr>
        <w:t>المسألة العاشرة</w:t>
      </w:r>
      <w:r>
        <w:rPr>
          <w:rtl w:val="true"/>
        </w:rPr>
        <w:t xml:space="preserve">: </w:t>
      </w:r>
      <w:r>
        <w:rPr>
          <w:rtl w:val="true"/>
        </w:rPr>
        <w:t>المسألة الاجماعية</w:t>
      </w:r>
      <w:r>
        <w:rPr>
          <w:rtl w:val="true"/>
        </w:rPr>
        <w:t>.</w:t>
      </w:r>
      <w:bookmarkEnd w:id="511"/>
    </w:p>
    <w:p>
      <w:pPr>
        <w:pStyle w:val="BookText"/>
        <w:rPr/>
      </w:pPr>
      <w:r>
        <w:rPr>
          <w:rFonts w:ascii="Amiri" w:hAnsi="Amiri" w:eastAsia="Amiri" w:cs="Amiri"/>
          <w:color w:val="111111"/>
          <w:sz w:val="28"/>
          <w:sz w:val="28"/>
          <w:szCs w:val="28"/>
          <w:rtl w:val="true"/>
          <w:lang w:bidi="ar-SA"/>
        </w:rPr>
        <w:t xml:space="preserve">ناقش سماحة الشيخ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الجزء الحادي عشر المسألة المعروفة بالمسألة الاجماعية ، والتي قال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مقدمتها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في المسألة السابقة تسالم الفقهاء على قاعدة الأقرب يمنع الأبعد ويحرمه من الميراث ومقتضى إطلاقها أن الأقرب إلى الميت ولو كان بسبب واحد –أي الأب أو الأم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 المراتب المتأخرة ولو كانوا يتقربون إليه بسببين –أي الأب والأم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يرث أحد من أولاد العمومة والخؤولة مع وجود واحد من العمومة أو الخؤولة إلا أنهم أجمعوا على استثناء ابن العم من الأبوين فإنه يحجب عمّه من الأب فقط، فيكون ابن العم أولى بالإرث من العم، وبه خصّصت القاعدة</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في المبسوط بعد أن بيّن مقتضى القواعد في التقديم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مسألة واحدة وهي ابن عم للأب والأم مع عم للأب فإن المال لابن العم للأب </w:t>
      </w:r>
    </w:p>
    <w:p>
      <w:pPr>
        <w:pStyle w:val="BookText"/>
        <w:rPr/>
      </w:pPr>
      <w:r>
        <w:rPr>
          <w:rFonts w:ascii="Amiri" w:hAnsi="Amiri" w:eastAsia="Amiri" w:cs="Amiri"/>
          <w:color w:val="111111"/>
          <w:sz w:val="28"/>
          <w:sz w:val="28"/>
          <w:szCs w:val="28"/>
          <w:rtl w:val="true"/>
          <w:lang w:bidi="ar-SA"/>
        </w:rPr>
        <w:t>والأم، دون العم للأب ولا يحمل عليها غيرها، لأن الطائفة أجمعت على هذه</w:t>
      </w:r>
      <w:r>
        <w:rPr>
          <w:rFonts w:eastAsia="Amiri" w:cs="Amiri" w:ascii="Amiri" w:hAnsi="Amiri"/>
          <w:color w:val="111111"/>
          <w:sz w:val="28"/>
          <w:szCs w:val="28"/>
          <w:rtl w:val="true"/>
          <w:lang w:bidi="ar-SA"/>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عدة أمور وهي الصورة المفروضة للمسألة، وأنها على خلاف القواعد فلا تتعدى إلى غيرها، وأن دليلها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ناقش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الاجماع ، وذكر فوائد سيالة يمكن تطبيقها في كثير من الاجماعات الموجودة في الفقه كإجماع المتابعة ، لذا سنذكر كلامه في هذا الخصوص كاملًا ، اذ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كبروياً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 هذا الإجماع ليس حجة إما لأنه مدركي، أو لأن المشهور هو من صنعه وقد ثبتت نظائر ذلك بالتجربة والتحصيل، وذلك بأن يتبنى أحد المشاهير في عصره –أو مجموعة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قولاً ثم يتبناه تلامذته لهيبة القائل وقدسية آرائه أو أنه أستاذ مهيمن على تلامذتهوعموم الناس فلا يجرأون على مخالفة أقواله فيوافقونه أو يعرضون عن ذكر ما يخالفه ثم يأتي الجيل اللاحق فلا يجد خلافاً في المسألة فيقول بها؛ لأن المنجّز لوجوب الفحص والتحقيق على المجتهد ليس كونه مجتهداً كما يُشعر تعليق الحكم على وصف الاجتهاد المشعر بالعلية كما يقولون، وإنما ينجّزه عدم الاطمئنان بالحكم الموجود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كالمتن الذي يريد التعليق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وأهم مناشئه وجود الخلاف في المسألة</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يتتابع الفقهاء على القول بالحكم المذكور اعتقاداً منهم أنه رأي المشهور وعدم وجود مخالف فيه، ويمكن تسمية هذا الإجماع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إجماع المتابعة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ليس بحجة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كله يجري في عصر غير متصل بزمان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أصل له وهو أصل لهم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 قلتَ –بناءً على كبرى سمعتها من سيدنا الأستاذ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يقول بها وحكى القول بها عن أستاذه السيد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الإجماع تعبدي فيكون حجة، والوجه في ذلك أن هذا التسالم القطعي لدى الفقهاء على الحكم المذكور لا يمكن أن تصنعه رواية ضعيفة غير ظاهرة في المطلوب وهذا يكشف عن تعبدية الإجماع في جزئه الزائد عما يقابل هذا المدرك الضعيف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عرفت الشك في الصغرى أي وجود هذا الإجماع، والشك في اتصاله بعصر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إننا نستطيع أن نقول أن هذا الاتفاق من الفقهاء على هذا الحكم مع ضعف مستنده الفقهي كان لموافقته لعقيدة الإمامية في تقديم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للخلافة وأفضلية أهل بيته على بني العباس في ولاية أمور الأمة وأن بني علي وفاطمة هم ورثة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غيرهم وكان الجدل محتدماً مع أعداء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وحسّادهم الذين سعوا بكل جهدهم لنفي بنوّتهم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بنو بنت وكان شاعرهم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أنى يكون وليس ذاك بكائنٍ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لبني البنات وراثة الأعمامِ</w:t>
      </w:r>
    </w:p>
    <w:p>
      <w:pPr>
        <w:pStyle w:val="BookText"/>
        <w:rPr/>
      </w:pPr>
      <w:r>
        <w:rPr>
          <w:rFonts w:ascii="IRNazanin" w:hAnsi="IRNazanin" w:eastAsia="IRNazanin"/>
          <w:color w:val="111111"/>
          <w:sz w:val="28"/>
          <w:sz w:val="28"/>
          <w:szCs w:val="28"/>
          <w:rtl w:val="true"/>
          <w:lang w:bidi="fa-IR"/>
        </w:rPr>
        <w:t>وقول عبد الله بن المعتز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قتلنا أمية في دارها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فكنّا أحقّ بأسلابها</w:t>
      </w:r>
    </w:p>
    <w:p>
      <w:pPr>
        <w:pStyle w:val="BookText"/>
        <w:rPr/>
      </w:pPr>
      <w:r>
        <w:rPr>
          <w:rFonts w:ascii="Amiri" w:hAnsi="Amiri" w:eastAsia="Amiri" w:cs="Amiri"/>
          <w:color w:val="111111"/>
          <w:sz w:val="28"/>
          <w:sz w:val="28"/>
          <w:szCs w:val="28"/>
          <w:rtl w:val="true"/>
          <w:lang w:bidi="ar-SA"/>
        </w:rPr>
        <w:t xml:space="preserve">لكم رحمٌ يا بني بنته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بنو العم أولى بها</w:t>
      </w:r>
    </w:p>
    <w:p>
      <w:pPr>
        <w:pStyle w:val="BookText"/>
        <w:rPr/>
      </w:pPr>
      <w:r>
        <w:rPr>
          <w:rFonts w:ascii="IRNazanin" w:hAnsi="IRNazanin" w:eastAsia="IRNazanin"/>
          <w:color w:val="111111"/>
          <w:sz w:val="28"/>
          <w:sz w:val="28"/>
          <w:szCs w:val="28"/>
          <w:rtl w:val="true"/>
          <w:lang w:bidi="fa-IR"/>
        </w:rPr>
        <w:t>ومنها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ولما أبى الله أن تملكوا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دعتنا إليها فقمنا بها</w:t>
      </w:r>
    </w:p>
    <w:p>
      <w:pPr>
        <w:pStyle w:val="BookText"/>
        <w:rPr/>
      </w:pPr>
      <w:r>
        <w:rPr>
          <w:rFonts w:ascii="Amiri" w:hAnsi="Amiri" w:eastAsia="Amiri" w:cs="Amiri"/>
          <w:color w:val="111111"/>
          <w:sz w:val="28"/>
          <w:sz w:val="28"/>
          <w:szCs w:val="28"/>
          <w:rtl w:val="true"/>
          <w:lang w:bidi="ar-SA"/>
        </w:rPr>
        <w:t xml:space="preserve">ونحن ورثنا ثياب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تجذبون بأهدابها</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الرواية تصلح شاهداً على صحة اعتقادات </w:t>
      </w:r>
    </w:p>
    <w:p>
      <w:pPr>
        <w:pStyle w:val="BookText"/>
        <w:rPr/>
      </w:pPr>
      <w:r>
        <w:rPr>
          <w:rFonts w:ascii="IRNazanin" w:hAnsi="IRNazanin" w:eastAsia="IRNazanin"/>
          <w:color w:val="111111"/>
          <w:sz w:val="28"/>
          <w:sz w:val="28"/>
          <w:szCs w:val="28"/>
          <w:rtl w:val="true"/>
          <w:lang w:bidi="fa-IR"/>
        </w:rPr>
        <w:t xml:space="preserve">الإمامية وحجة على المخالف، فإذا أردنا أن نأخذ بمضمون الرواية ففي الجانب الاعتقادي لا الفقهي، على أن العقيدة الحقة في أحقية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بإمامة الأمة ثابتة بالأدلة من الكتاب والسنة ولا نحتاج فيها إلى مثل هذه الرواية الضعيفة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والاستدلال بها فقهياً في موردها لا يتم إلا على القول بالتعصيب الذي هو باطل عندنا، لأن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وارثاً أقرب من الأعمام وأبناء الأعمام وهي ابنته الصديقة الطاهرة فاطمة الزهراء وفي فقه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تحوز الميراث كله بعد إخراج حصة الأزواج، أما العامة فقد أعطوا البنت المنفردة النصف وللأزواج نصيبهن الأدنى، والباقي للعصبة وحينئذٍ يكون للنزاع موضوع في أي من العصبة هو الأولى بالميراث العم للأب أم ابن العم للأبوين، فأي دليل هذا لا يجري في الواقعة التي ذُكرت فيه؟</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ويؤيد ما ذكرناه من استناد المجمعين إلى ما ظنّوه دليلاً في المقام، وكون جذور هذا القول عقائدية لإلزام الخصم بما يعتقد وإقامة الحجة عليه ما ورد في تحف العقول وما رواه الشيخ الصدوق في 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ولعله ما أراد بقوله في الفقيه الخبر الصحيح بل جزمنا بذلك فيما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رفعه إلى الإمام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أُدخلت على الرشيد سلّمت عليه فرد علي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موسى بن جعفرخليفتين يجبى إليهما الخراج؟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أعيذك بالله أن تبوء بإثمي وإثمك، وتقبل الباطل من أعدائنا علينا، فقد علمتَ أنه قد كُذب علينا منذ 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عِلمُ ذلك عندك فإن رأيت بقرابتك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تأذن لي أن أحدثك بحديث أخبرني به أبي عن آبائه عن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أذنت لك،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أبي عن آبائه عن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الرحم إذا مسّت الرحم تحركت </w:t>
      </w:r>
    </w:p>
    <w:p>
      <w:pPr>
        <w:pStyle w:val="BookText"/>
        <w:rPr/>
      </w:pPr>
      <w:r>
        <w:rPr>
          <w:rFonts w:ascii="IRNazanin" w:hAnsi="IRNazanin" w:eastAsia="IRNazanin"/>
          <w:color w:val="111111"/>
          <w:sz w:val="28"/>
          <w:sz w:val="28"/>
          <w:szCs w:val="28"/>
          <w:rtl w:val="true"/>
          <w:lang w:bidi="fa-IR"/>
        </w:rPr>
        <w:t>واضطربت، فناولني يدك –جعلني الله فداك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 فدنوتُ منه، فأخذ بيدي ثم جذبني إلى نفسه وعانقني طويلاً ثم تركني،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يا موسى فليس عليك بأس، فنظرت إليه فإذا أنه قد دمعت عيناه فرجعت إليّ نفسي،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وصدق جدك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لقد تحرك دمي واضطربت عروقي حتى غلبت عليّ الرقة وفاضت عيناي، وأنا أريد أن أسألك عن أشياء تتلجلج في صدري منذ حين لم أسأل عنها أحداً، فإن أنت أجبتني عنها خليت عنك ولم أقبل قول أحد فيك، وقد بلغني أنك لم تكذب قط، فاصدقني عمّا أسألك مما في قلبي،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علمه عندي فإني مُخبرك إن أنت أمنتني،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 الأمان إن صدقتني وتركت التقية التي تُعرفون بها معشر بني فاطمة،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ليسأل أمير المؤمنين عما شاء،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لم فُضّلتم علينا ونحن في شجرة واحدة وبنو عبد المطلب ونحن وأنتم واحد، إنا بنو العباس وأنتم ولد أبي طالب وهما عما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وقرابتهما منه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أقربُ،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ذلك؟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عبد الله وأبا طالب لأب وأم، وأبوكم العباس ليس هو من أم عبد الله ولا من أم أبي طالب</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ادعيتم أنكم ورثتم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والعم يحجب ابن العم وقُبض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توفى أبو طالب قبله والعباس عمه حيّ؟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رأى أمير المؤمنين أن يعفيني من هذه المسألة ويسألني عن كل باب سواه يريده،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أو تجيب،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فآمني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آمنتك قبل الكلام،فقلت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قول علي بن أبي طالب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ليس مع ولد الصلب ذكراً كان أو أنثى لأحد سهم إلا للأبوين والزوج والزوجة، ولم يَثبت للعم مع ولد الصلب ميراث ولم ينطق به الكتاب إلا أن تيماً وعدياً وبني أميه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 رأياً منهم بلا حقيقة ولا أثر عن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قال بقول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العلماء فقضاياهم خلاف قضايا هؤلاء، هذا نوح بن دراج يقول في هذه </w:t>
      </w:r>
    </w:p>
    <w:p>
      <w:pPr>
        <w:pStyle w:val="BookText"/>
        <w:rPr/>
      </w:pPr>
      <w:r>
        <w:rPr>
          <w:rFonts w:ascii="IRNazanin" w:hAnsi="IRNazanin" w:eastAsia="IRNazanin"/>
          <w:color w:val="111111"/>
          <w:sz w:val="28"/>
          <w:sz w:val="28"/>
          <w:szCs w:val="28"/>
          <w:rtl w:val="true"/>
          <w:lang w:bidi="fa-IR"/>
        </w:rPr>
        <w:t xml:space="preserve">المسألة بقول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حكم به وقد ولاه أمير المؤمنين المصرين الكوفة والبصرة، وقد قضى به فأُنهي إلى أمير المؤمنين فأمر بإحضاره وإحضار من يقول بخلاف قوله منهم سفيان الثوري وإبراهيم المدني والفضيل بن عياض، فشهدوا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قول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المسألة، فقال لهم فيما أبلغني بعض العلماء من أهل الحجاز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لا تفتون به وقد قضى به نوح بن دراج؟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جسر نوح وجبنا وقد أمضى أمير المؤمنين قضية يقول قدماء العامة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أقضاكم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قال عمر بن الخطاب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أقضانا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اسم جامع؛ لأن جميع ما مدح به النبي أصحابه من القراءة والفرائض والعلم داخل في القضاء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 موسى،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المجالس بالأمانات، وخاصة مجلسك،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عليك،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يورّث من لم يهاجر ولا أثبت له ولاية حتى يهاجر،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حجتك فيه؟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آمَنُوا وَلَمْ يُهَاجِرُوا مَا لَكُمْ مِنْ وَلايَتَهُم مِنْ شَيءٍ حَتّى يُهَاجِرُوا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عمّي العباس لم يهاجر</w:t>
      </w:r>
      <w:r>
        <w:rPr>
          <w:rFonts w:eastAsia="Amiri" w:cs="Amiri" w:ascii="Amiri" w:hAnsi="Amiri"/>
          <w:color w:val="111111"/>
          <w:sz w:val="28"/>
          <w:szCs w:val="28"/>
          <w:rtl w:val="true"/>
          <w:lang w:bidi="ar-SA"/>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طويل وفيه استدلال على كون بني فاطمة أبناء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وفيه نفي موضوع النزاع بين العم وابن العم لوجود البنت –وهي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افترض النزاع على القول بالتعصيب، ويظهر من الروايةأن قول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بتوريث البنت دون الأعمام وأبنائهم كان معلوماً ومشهوراً لدى جميع الفقهاء ولكنهم كانوا يخشون العمل به</w:t>
      </w:r>
      <w:r>
        <w:rPr>
          <w:rFonts w:eastAsia="IRNazanin" w:cs="IRNazanin"/>
          <w:color w:val="111111"/>
          <w:sz w:val="28"/>
          <w:szCs w:val="28"/>
          <w:rtl w:val="true"/>
          <w:lang w:bidi="fa-IR"/>
        </w:rPr>
        <w:t xml:space="preserve">. </w:t>
      </w:r>
      <w:bookmarkStart w:id="512" w:name="pg8133_62939"/>
    </w:p>
    <w:p>
      <w:pPr>
        <w:pStyle w:val="Heading6"/>
        <w:numPr>
          <w:ilvl w:val="5"/>
          <w:numId w:val="1"/>
        </w:numPr>
        <w:rPr/>
      </w:pPr>
      <w:bookmarkStart w:id="513" w:name="__RefHeading___Toc8193345_1051229030"/>
      <w:bookmarkStart w:id="514" w:name="_Toc184"/>
      <w:bookmarkEnd w:id="512"/>
      <w:bookmarkEnd w:id="513"/>
      <w:r>
        <w:rPr>
          <w:rtl w:val="true"/>
        </w:rPr>
        <w:t>المسألة الحادية عشرة</w:t>
      </w:r>
      <w:r>
        <w:rPr>
          <w:rtl w:val="true"/>
        </w:rPr>
        <w:t xml:space="preserve">: </w:t>
      </w:r>
      <w:r>
        <w:rPr>
          <w:rtl w:val="true"/>
        </w:rPr>
        <w:t>الاجماع الكاشف عن الدليل</w:t>
      </w:r>
      <w:r>
        <w:rPr>
          <w:rtl w:val="true"/>
        </w:rPr>
        <w:t>.</w:t>
      </w:r>
      <w:bookmarkEnd w:id="514"/>
    </w:p>
    <w:p>
      <w:pPr>
        <w:pStyle w:val="BookText"/>
        <w:rPr/>
      </w:pPr>
      <w:r>
        <w:rPr>
          <w:rFonts w:ascii="Amiri" w:hAnsi="Amiri" w:eastAsia="Amiri" w:cs="Amiri"/>
          <w:color w:val="111111"/>
          <w:sz w:val="28"/>
          <w:sz w:val="28"/>
          <w:szCs w:val="28"/>
          <w:rtl w:val="true"/>
          <w:lang w:bidi="ar-SA"/>
        </w:rPr>
        <w:t>ان الفقيه عندما يفتي لابد ان يستند في فتواه الى دليل شرعي ثبتت حجيته عنده ، فاذا اجمع الفقهاء على فتوى ولَم يكن بين أيدينا ما يصح ان يكون دليلًا على تلك الفتوى كشف ذلك عن استنادهم الى دليل لم يصل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التقريب يكون الاجماع كاشفا عن صدور الدليل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قرّب سماحة الشيخ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كاشفية الاجماع عن الدليل بتقريب اخر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الفقهاء اذا اجمعوا على فتوى استنادا لرواية ضعيفة دل ذلك على صدور تلك الرواية من المعصوم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اجاب عن الإشكالات التي يمكن ان ترد على هذا التقريب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جاء ذلك في الجزء السادس </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الكلام عن مرسلة ابن أبي عمير عن رجل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الرجل يعبث بالغلام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أوقب حرمت عليه أخته وابنته</w:t>
      </w:r>
      <w:r>
        <w:rPr>
          <w:rFonts w:eastAsia="IRNazanin" w:cs="IRNazanin"/>
          <w:color w:val="111111"/>
          <w:sz w:val="28"/>
          <w:szCs w:val="28"/>
          <w:rtl w:val="true"/>
          <w:lang w:bidi="fa-IR"/>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وحينئذٍ يُقَرَّب الاستدلال بعدة 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إطباق الأصحاب بمن فيهم القدماء على قبولها واستنادهم إليها مما يحصّل الاطمئنان بصدورها عن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الإجماع كاشف عن نص المعصوم وليس فقط عن رأيه الذي جعلوه مناط حجية الإجماع</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منع الأصوليون من حجية مثل هذا الإجماع باعتباره مدركياً فإنه لا تبقى للإجماع حجية لعدم إمكان تحصيل مناط الإجماع الذي ذكروه لاحتمال استناده إلى مثل هذه النصوص أو التي لم تصل كما تقدم في الحديث عن الفقه الرضوي فأنّى لهم إثبات كونه كاشفاً عن رأي المعصوم؟فلا بد من تحليل الإجماع المدركي وفهم وجوهه وتمييز الحجة من غيره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يقال ان وصف الإجماع بأنه مدركي من خلال وجود نص استند إليه المجمعون لا بد أن يلحظ فيه كون قوة الإجماع بقوة المدرك ولا تطلق دعوى المدركية جزافاً وفي المقام يبلغ الإجماع ذروته حتى انه لا يوجد مخالف كما نقلنا والمدرك المدعى عبارة عن مرسلة لم تثبت حجيتها فإما ان تكون المرسلة مطمأنة الصدور عن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الوجه الأول أو ان الحصة الزائدة من الإجماع هي من الإجماع التعبدي الكاشف عن رأي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الوجه الثاني</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الكبرى الأخيرة مما كان يأخذ بها سيدنا الأستاذ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بالي انه أخذها من أستاذه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bookmarkStart w:id="515" w:name="pg8133_62941"/>
    </w:p>
    <w:p>
      <w:pPr>
        <w:pStyle w:val="Heading5"/>
        <w:numPr>
          <w:ilvl w:val="4"/>
          <w:numId w:val="1"/>
        </w:numPr>
        <w:rPr/>
      </w:pPr>
      <w:bookmarkStart w:id="516" w:name="__RefHeading___Toc8193347_1051229030"/>
      <w:bookmarkStart w:id="517" w:name="_Toc185"/>
      <w:bookmarkEnd w:id="515"/>
      <w:bookmarkEnd w:id="516"/>
      <w:r>
        <w:rPr>
          <w:rtl w:val="true"/>
        </w:rPr>
        <w:t>الدليل العقلي</w:t>
      </w:r>
      <w:bookmarkEnd w:id="517"/>
    </w:p>
    <w:p>
      <w:pPr>
        <w:pStyle w:val="Heading6"/>
        <w:numPr>
          <w:ilvl w:val="5"/>
          <w:numId w:val="1"/>
        </w:numPr>
        <w:rPr/>
      </w:pPr>
      <w:bookmarkStart w:id="518" w:name="__RefHeading___Toc8193349_1051229030"/>
      <w:bookmarkStart w:id="519" w:name="_Toc186"/>
      <w:bookmarkEnd w:id="518"/>
      <w:r>
        <w:rPr>
          <w:rtl w:val="true"/>
        </w:rPr>
        <w:t>اشارة</w:t>
      </w:r>
      <w:bookmarkEnd w:id="519"/>
    </w:p>
    <w:p>
      <w:pPr>
        <w:pStyle w:val="BookText"/>
        <w:rPr/>
      </w:pPr>
      <w:r>
        <w:rPr>
          <w:rFonts w:ascii="Amiri" w:hAnsi="Amiri" w:eastAsia="Amiri" w:cs="Amiri"/>
          <w:color w:val="111111"/>
          <w:sz w:val="28"/>
          <w:sz w:val="28"/>
          <w:szCs w:val="28"/>
          <w:rtl w:val="true"/>
          <w:lang w:bidi="ar-SA"/>
        </w:rPr>
        <w:t xml:space="preserve">تطرق سماحة الشيخ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لعدد من مسائل الدليل العقلي في موسوعة فقه الخلاف ، وسنذكر المهم منها في اربع وعشرين مسالة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الخلط بين مقدمات الواجب والوجوب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تحصيل مقدمات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انحاء شروط الوجوب</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مناقشة كبرى التكليف بمقدمات الواجب وعدم المسؤولية عن مقدمات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الحرمة الغيرية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المستحب يقتضي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إشكالية المقدمات المفوتة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التخييري من اقسام الواجب لا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العيني والكفائي من اقسام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افضلية بعض أفراد الوجوب التخييري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قاعدة الاشتغال اليقيني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الثالثة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العقلي للنهي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الرابعة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ثمرة البحث في كون الوجوب عقليا او شرعيا</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الخامسة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التزاحم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السادسة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التزاحم والطولية الرتبية</w:t>
      </w:r>
      <w:r>
        <w:rPr>
          <w:rFonts w:eastAsia="Amiri" w:cs="Amiri" w:ascii="Amiri" w:hAnsi="Amiri"/>
          <w:color w:val="111111"/>
          <w:sz w:val="28"/>
          <w:szCs w:val="28"/>
          <w:rtl w:val="true"/>
          <w:lang w:bidi="ar-SA"/>
        </w:rPr>
        <w:t xml:space="preserve">. </w:t>
      </w:r>
      <w:bookmarkStart w:id="520" w:name="pg8133_62942"/>
    </w:p>
    <w:p>
      <w:pPr>
        <w:pStyle w:val="BookText"/>
        <w:rPr/>
      </w:pPr>
      <w:bookmarkEnd w:id="520"/>
      <w:r>
        <w:rPr>
          <w:rFonts w:ascii="Amiri" w:hAnsi="Amiri" w:eastAsia="Amiri" w:cs="Amiri"/>
          <w:color w:val="111111"/>
          <w:sz w:val="28"/>
          <w:sz w:val="28"/>
          <w:szCs w:val="28"/>
          <w:rtl w:val="true"/>
          <w:lang w:bidi="ar-SA"/>
        </w:rPr>
        <w:t>المسألة السابعة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الأهم ملاكا على المهم وان لم يكن الأهم الزاميا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الثامنة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الغاية تبرر الوسيلة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التاسعةعشرة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وجوبين على موضوع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استحالة الفرد المردد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الحادية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العلم ليست ذاتية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 التقديري للأحكام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الثالثة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الواجبات النظامية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الرابعة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الترجيح بالسبق الى العمل</w:t>
      </w:r>
      <w:r>
        <w:rPr>
          <w:rFonts w:eastAsia="Amiri" w:cs="Amiri" w:ascii="Amiri" w:hAnsi="Amiri"/>
          <w:color w:val="111111"/>
          <w:sz w:val="28"/>
          <w:szCs w:val="28"/>
          <w:rtl w:val="true"/>
          <w:lang w:bidi="ar-SA"/>
        </w:rPr>
        <w:t>.</w:t>
      </w:r>
    </w:p>
    <w:p>
      <w:pPr>
        <w:pStyle w:val="Heading6"/>
        <w:numPr>
          <w:ilvl w:val="5"/>
          <w:numId w:val="1"/>
        </w:numPr>
        <w:rPr/>
      </w:pPr>
      <w:bookmarkStart w:id="521" w:name="__RefHeading___Toc8193351_1051229030"/>
      <w:bookmarkStart w:id="522" w:name="_Toc187"/>
      <w:bookmarkEnd w:id="521"/>
      <w:r>
        <w:rPr>
          <w:rtl w:val="true"/>
        </w:rPr>
        <w:t>المسألة الأولى</w:t>
      </w:r>
      <w:r>
        <w:rPr>
          <w:rtl w:val="true"/>
        </w:rPr>
        <w:t xml:space="preserve">: </w:t>
      </w:r>
      <w:r>
        <w:rPr>
          <w:rtl w:val="true"/>
        </w:rPr>
        <w:t>الخلط بين مقدمات الواجب والوجوب</w:t>
      </w:r>
      <w:r>
        <w:rPr>
          <w:rtl w:val="true"/>
        </w:rPr>
        <w:t>.</w:t>
      </w:r>
      <w:bookmarkEnd w:id="522"/>
    </w:p>
    <w:p>
      <w:pPr>
        <w:pStyle w:val="BookText"/>
        <w:rPr/>
      </w:pPr>
      <w:r>
        <w:rPr>
          <w:rFonts w:ascii="Amiri" w:hAnsi="Amiri" w:eastAsia="Amiri" w:cs="Amiri"/>
          <w:color w:val="111111"/>
          <w:sz w:val="28"/>
          <w:sz w:val="28"/>
          <w:szCs w:val="28"/>
          <w:rtl w:val="true"/>
          <w:lang w:bidi="ar-SA"/>
        </w:rPr>
        <w:t>من اهم مباحث الدليل العقلي مبحث تحديد مقدمات الواجب والوجوب ، ومسؤولية المكلف تجاه هذه 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 في الجزء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مهم في هذا الموضوع حيث بيّن سماحة الشيخ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المشهور اعتبر بعض المقدمات مقدمات للوجوب والصحة في وقت واحد ، وهذا غير صحيح لاختلاف الاثار المترتبة على كل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هذا الكلام عندما بحث سماحته مسالة مقدمية الحضر للصوم ، ونص كلامه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الحضر وما بحكمه قيد للوجوب أم للواجب؟</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بُحثت</w:t>
      </w:r>
      <w:r>
        <w:rPr>
          <w:rStyle w:val="FootnoteAnchor"/>
          <w:rtl w:val="true"/>
        </w:rPr>
        <w:footnoteReference w:id="469"/>
      </w:r>
      <w:r>
        <w:rPr>
          <w:rFonts w:ascii="Amiri" w:hAnsi="Amiri" w:eastAsia="Amiri" w:cs="Amiri"/>
          <w:color w:val="111111"/>
          <w:sz w:val="28"/>
          <w:sz w:val="28"/>
          <w:szCs w:val="28"/>
          <w:rtl w:val="true"/>
          <w:lang w:bidi="ar-SA"/>
        </w:rPr>
        <w:t xml:space="preserve">المسألة في موضعين من كلمات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شرائط الصحة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شرائط الوجوب؛ ولذا قالوا لا يصح الصوم من المسافر </w:t>
      </w:r>
    </w:p>
    <w:p>
      <w:pPr>
        <w:pStyle w:val="BookText"/>
        <w:rPr/>
      </w:pPr>
      <w:r>
        <w:rPr>
          <w:rFonts w:ascii="Amiri" w:hAnsi="Amiri" w:eastAsia="Amiri" w:cs="Amiri"/>
          <w:color w:val="111111"/>
          <w:sz w:val="28"/>
          <w:sz w:val="28"/>
          <w:szCs w:val="28"/>
          <w:rtl w:val="true"/>
          <w:lang w:bidi="ar-SA"/>
        </w:rPr>
        <w:t>وقالوا لا يجب الصوم على المسافر، فهل هذا صحيح؟ أيكون الحضر هو من شرائط الوجوب في الصوم، ومن شرائط الصحة كما هو ظاهر كلماتهم بل صريحها</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خلف تقسيمهم الشروط في علم الأصول بأنها إما شروط وجوب أو شروط وجود أي للواجب، وبتعبير آخر إن قيدية الحضر للصوم هل تعود إلى الهيأة أم المادة؟ على نحو القضية مانعة الجمع، ورتّبوا على ذلك فرقاً، وهو أن شروط الوجوب لا يجب تحصيلها، بينما شروط الواجب يجب تحصيلها، مضافاً إلى ما يمكن أن يقال من الاختلاف في الأصول الجارية عند الشك في الشرائط بين الصحة والوجوب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نتساءل هل أن الحضر شرط للوجوب، وأن ما ذكروه من شرطيته في الصحة تبع لذلك، باعتبار أن كل شرط للوجوب هو شرط للصحة لأنَّ خلو الفعل من الأمر يجعله غير مشروع كصلاة الحائض مثلاً، إلا أن ينضمَّ له أمر آخر كعبادات الصبي التي ورد الدليل على استحبابها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فما معنى بحث الشرط من جديد في شرائط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أنه شرط للصحة أي أنه من قيود الواجب، وأن الوجوب ثابت على كل حال،</w:t>
      </w:r>
    </w:p>
    <w:p>
      <w:p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الصحة في المصطلح مطابقة المأتي به للمأمور به، فالصحة فرع هذه المطابقة، أما الأمر فمفروغ منه</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اعترف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بتداخل المعنيين للصحة في الأمور التي ذكروها،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معلقاً على عنوان العروة الوثقى في شرائط </w:t>
      </w:r>
      <w:bookmarkStart w:id="523" w:name="pg8133_62944"/>
    </w:p>
    <w:p>
      <w:pPr>
        <w:pStyle w:val="BookText"/>
        <w:rPr/>
      </w:pPr>
      <w:bookmarkEnd w:id="523"/>
      <w:r>
        <w:rPr>
          <w:rFonts w:ascii="Amiri" w:hAnsi="Amiri" w:eastAsia="Amiri" w:cs="Amiri"/>
          <w:color w:val="111111"/>
          <w:sz w:val="28"/>
          <w:sz w:val="28"/>
          <w:szCs w:val="28"/>
          <w:rtl w:val="true"/>
          <w:lang w:bidi="ar-SA"/>
        </w:rPr>
        <w:t>الصحة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بين ما يكون شرطاً في الصحة وما هو شرط في تعلق التكليف، وعلى أي حال فهي معتبرة في الصحة إما لكونها شرطاً للأمر أو للمأموربه</w:t>
      </w:r>
      <w:r>
        <w:rPr>
          <w:rFonts w:eastAsia="Amiri" w:cs="Amiri" w:ascii="Amiri" w:hAnsi="Amiri"/>
          <w:color w:val="111111"/>
          <w:sz w:val="28"/>
          <w:szCs w:val="28"/>
          <w:rtl w:val="true"/>
          <w:lang w:bidi="ar-SA"/>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التداخل غير مقبول لما عرفنا من الفرق في الآثار والأصول الجارية، وقد امتد هذا الخلط ليشمل ما هو صريح في كونه من شروط الوجوب كالخلو من الحيض والنفاس</w:t>
      </w:r>
      <w:r>
        <w:rPr>
          <w:rFonts w:eastAsia="Amiri" w:cs="Amiri" w:ascii="Amiri" w:hAnsi="Amiri"/>
          <w:color w:val="111111"/>
          <w:sz w:val="28"/>
          <w:szCs w:val="28"/>
          <w:rtl w:val="true"/>
          <w:lang w:bidi="ar-SA"/>
        </w:rPr>
        <w:t>.</w:t>
      </w:r>
    </w:p>
    <w:p>
      <w:pPr>
        <w:pStyle w:val="Heading6"/>
        <w:numPr>
          <w:ilvl w:val="5"/>
          <w:numId w:val="1"/>
        </w:numPr>
        <w:rPr/>
      </w:pPr>
      <w:bookmarkStart w:id="524" w:name="__RefHeading___Toc8193353_1051229030"/>
      <w:bookmarkStart w:id="525" w:name="_Toc188"/>
      <w:bookmarkEnd w:id="524"/>
      <w:r>
        <w:rPr>
          <w:rtl w:val="true"/>
        </w:rPr>
        <w:t>معاني صحة العمل</w:t>
      </w:r>
      <w:bookmarkEnd w:id="525"/>
    </w:p>
    <w:p>
      <w:pPr>
        <w:pStyle w:val="BookText"/>
        <w:rPr/>
      </w:pPr>
      <w:r>
        <w:rPr>
          <w:rFonts w:ascii="Amiri" w:hAnsi="Amiri" w:eastAsia="Amiri" w:cs="Amiri"/>
          <w:color w:val="111111"/>
          <w:sz w:val="28"/>
          <w:sz w:val="28"/>
          <w:szCs w:val="28"/>
          <w:rtl w:val="true"/>
          <w:lang w:bidi="ar-SA"/>
        </w:rPr>
        <w:t xml:space="preserve">يتواصل كلام سماحة الشيخ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السابقة ، ولكننا قطعناه ؛ لابراز النكات المهمة التي اثارها هنا ، ولَم نجعلها في مسالة مستقلة ؛ لانها خارجة عن الدليل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المقطع من كلامه يبين ان المشهور استعمل مصطلح الصحة في معان عدة ،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ولإتمام الفائدة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تطلق الصحة على معنى أخصّ من هذا، وهو عدم لزوم الإعادة، مقابل معنى الفساد وهو عدم الغنى عن الإعادة، وإنما كان أخصّ لأن الأداء قد يتحقق بالفعل لكنه لا يغني عن لزوم الإعادة لنقص حصل فيه يجب سدّه، ومثاله ما في صحيحة زرارة في من أفسدا حجهما بالجماع من إعادة الحج من قابل، وفيها سأل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 الحجتين لهما؟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التي أحدثا فيها ما أحدثا والأخرى عليهما عقوبة</w:t>
      </w:r>
      <w:r>
        <w:rPr>
          <w:rFonts w:eastAsia="Amiri" w:cs="Amiri" w:ascii="Amiri" w:hAnsi="Amiri"/>
          <w:color w:val="111111"/>
          <w:sz w:val="28"/>
          <w:szCs w:val="28"/>
          <w:rtl w:val="true"/>
          <w:lang w:bidi="ar-SA"/>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تَحصَّل مما تقدَّم أن للصحة ثلاثة معان</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أمر يصحّح التعبّد بالفعل وإلا فلا يصح كصلاة الحائض </w:t>
      </w:r>
      <w:bookmarkStart w:id="526" w:name="pg8133_62945"/>
    </w:p>
    <w:p>
      <w:pPr>
        <w:pStyle w:val="BookText"/>
        <w:rPr/>
      </w:pPr>
      <w:bookmarkEnd w:id="526"/>
      <w:r>
        <w:rPr>
          <w:rFonts w:ascii="IRNazanin" w:hAnsi="IRNazanin" w:eastAsia="IRNazanin"/>
          <w:color w:val="111111"/>
          <w:sz w:val="28"/>
          <w:sz w:val="28"/>
          <w:szCs w:val="28"/>
          <w:rtl w:val="true"/>
          <w:lang w:bidi="fa-IR"/>
        </w:rPr>
        <w:t>والنفساء وصومهما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مطابقة المأتيّ به للمأمور به فلا تصح الصلاة بلا وضوء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لزوم القضاء والإعادة</w:t>
      </w:r>
      <w:r>
        <w:rPr>
          <w:rFonts w:eastAsia="Amiri" w:cs="Amiri" w:ascii="Amiri" w:hAnsi="Amiri"/>
          <w:color w:val="111111"/>
          <w:sz w:val="28"/>
          <w:szCs w:val="28"/>
          <w:rtl w:val="true"/>
          <w:lang w:bidi="ar-SA"/>
        </w:rPr>
        <w:t>.</w:t>
      </w:r>
    </w:p>
    <w:p>
      <w:pPr>
        <w:pStyle w:val="Heading6"/>
        <w:numPr>
          <w:ilvl w:val="5"/>
          <w:numId w:val="1"/>
        </w:numPr>
        <w:rPr/>
      </w:pPr>
      <w:bookmarkStart w:id="527" w:name="__RefHeading___Toc8193355_1051229030"/>
      <w:bookmarkStart w:id="528" w:name="_Toc189"/>
      <w:bookmarkEnd w:id="527"/>
      <w:r>
        <w:rPr>
          <w:rtl w:val="true"/>
        </w:rPr>
        <w:t>ادلة كون الحضر من شرائط الوجوب</w:t>
      </w:r>
      <w:r>
        <w:rPr>
          <w:rtl w:val="true"/>
        </w:rPr>
        <w:t>.</w:t>
      </w:r>
      <w:bookmarkEnd w:id="528"/>
    </w:p>
    <w:p>
      <w:pPr>
        <w:pStyle w:val="BookText"/>
        <w:rPr/>
      </w:pPr>
      <w:r>
        <w:rPr>
          <w:rFonts w:ascii="Amiri" w:hAnsi="Amiri" w:eastAsia="Amiri" w:cs="Amiri"/>
          <w:color w:val="111111"/>
          <w:sz w:val="28"/>
          <w:sz w:val="28"/>
          <w:szCs w:val="28"/>
          <w:rtl w:val="true"/>
          <w:lang w:bidi="ar-SA"/>
        </w:rPr>
        <w:t xml:space="preserve">بعد ان تبين الخلط والتداخل في كلمات المشهور الذي اعتبر الحضر شرطا للوجوب واعتبره في ذات الوقت شرطا للصحة يبين سماحة الشيخ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يمكن ان يستدل به على كون الحضر شرطا للوجوب ، اذ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وبحسب علمي فإن كتب الأصحاب لم تفرد بحثاً مستقلاً لبيان الموضع المناسب لشرط الحضر وأنه من شروط الوجوب أو الصحة، رغم مدخليته في بعض الفروع الفقهية التي ذكروها مما يمكن أن تستند إليه في بعض الوجوه –بغضّ النظر عن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كجواز السفر اختياراً في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وتترتب على هذا البحث ثمرات فقهية عديدة غير الفرع المذكور كوجوب قضاء الصوم على الولي فيما إذا مات الشخص قبل أن يتمكن من القضاء، أو وجوب القضاء على المفطر لسفر إذا استمر به العذر إلى رمضان التالي بغض النظر عن الروايات، مما سنبحثه لاحقاً بإذن الله تعالى، كما أنه يساعدنا على تفسير النصوص الواردة في تلك الفروع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دعوى إجماع الأصحاب على كون الحضر من شروط الوجوب، بضم مقدمتين</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على عدم وجوب الحضر وما بحكمه للإتيان بالصوم ابتداءً ولا استدامة؛ لذا أجمعوا على جواز السفر في شهر رمضان اختياراً، إذ لا </w:t>
      </w:r>
    </w:p>
    <w:p>
      <w:pPr>
        <w:pStyle w:val="BookText"/>
        <w:rPr/>
      </w:pPr>
      <w:r>
        <w:rPr>
          <w:rFonts w:ascii="Amiri" w:hAnsi="Amiri" w:eastAsia="Amiri" w:cs="Amiri"/>
          <w:color w:val="111111"/>
          <w:sz w:val="28"/>
          <w:sz w:val="28"/>
          <w:szCs w:val="28"/>
          <w:rtl w:val="true"/>
          <w:lang w:bidi="ar-SA"/>
        </w:rPr>
        <w:t xml:space="preserve">يعرف فيه الخلاف، إلا من أبي الصلاح الحلبي فقد حكى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 الشهر على حاضر لم يحل له السفر مختاراً</w:t>
      </w:r>
      <w:r>
        <w:rPr>
          <w:rFonts w:eastAsia="Amiri" w:cs="Amiri" w:ascii="Amiri" w:hAnsi="Amiri"/>
          <w:color w:val="111111"/>
          <w:sz w:val="28"/>
          <w:szCs w:val="28"/>
          <w:rtl w:val="true"/>
          <w:lang w:bidi="ar-SA"/>
        </w:rPr>
        <w:t>»</w:t>
      </w:r>
      <w:r>
        <w:rPr>
          <w:rStyle w:val="FootnoteAnchor"/>
          <w:rtl w:val="true"/>
        </w:rPr>
        <w:footnoteReference w:id="473"/>
      </w:r>
      <w:r>
        <w:rPr>
          <w:rFonts w:ascii="Amiri" w:hAnsi="Amiri" w:eastAsia="Amiri" w:cs="Amiri"/>
          <w:color w:val="111111"/>
          <w:sz w:val="28"/>
          <w:sz w:val="28"/>
          <w:szCs w:val="28"/>
          <w:rtl w:val="true"/>
          <w:lang w:bidi="ar-SA"/>
        </w:rPr>
        <w:t>وخلافه غير قادح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التسليم بكبرى أن ما لا يجب تحصيله هي شروط الوجوب عكس شروط الواجب، بغضّ النظر عن مبنى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يمنع من عودة القيود إلى الهيأة أصلاً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وبضمّ هاتين المقدمتين تتحقق لدينا دعوى الإجماع على كون الحضر من شروط الوجوب، أما ذكره في شرائط الصحة فلأنه متفرع عنه بناءً على المعنى الأول الذي ذكرناه، قال 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الشروط، وهي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باعتباره يجب الصوم، وهو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والإقامة أو حكمها، فلا يجب على المسافر ولا يصح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يلزمه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تحصيل وجه ثانٍ من كلام المشهور للاستدلال على أن القيد للوجوب، فقد قرّب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الحضر شرطاً للوجوب من الآية الشريفة،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المستفاد منها تقسيم المكلفين إلى أقسام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 يجب عليه الصيام متعيّناً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وقسم يتعيّن في حقه القضاء، وهو المريض والمسافر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وقسم لا يجب عليه لا هذا ولا ذاك وإنما تجب عليه الفدية فقط، وهم الذين يطيقونه، أي من يكون الصوم حرجاً عليه كما هو معنى الإطاقة، كالشيخ والشيخة</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أن موضوع الحكم الثاني هو المريض والمسافر فبمقتضى المقابلة </w:t>
      </w:r>
    </w:p>
    <w:p>
      <w:pPr>
        <w:pStyle w:val="BookText"/>
        <w:rPr/>
      </w:pPr>
      <w:r>
        <w:rPr>
          <w:rFonts w:ascii="Amiri" w:hAnsi="Amiri" w:eastAsia="Amiri" w:cs="Amiri"/>
          <w:color w:val="111111"/>
          <w:sz w:val="28"/>
          <w:sz w:val="28"/>
          <w:szCs w:val="28"/>
          <w:rtl w:val="true"/>
          <w:lang w:bidi="ar-SA"/>
        </w:rPr>
        <w:t>وأن التفصيل قاطع للشركة يكون موضوع الحكم الأول هو من لم يكن مريضاً ولا مسافراً فيكون المكلّف بالصيام هو الصحيح الحاضر، فقد أُخذ في موضوع الحكم أن لا يكون المكلّف مسافراً فيكون الوجوب مشروطاً به بطبيعة الحال، لأنّ الموضوع –كما ذكرناه في الواجب</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المشروط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كان مفروض الوجود عند تعلّق الحكم، سواء أكان غير اختياري كدلوك الشمس بالإضافة إلى وجوب الصلاة، أم كان اختياريّاً كالسفر والحضر والاستطاعة ونحوها، فمعنى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المستطيع يحجّ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تقدير تحقّق الاستطاعة وعند فرض وجودهايجب الحجّ، فلا يجب التصدّي لتحصيله، لعدم وجوب تحصيل شرط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فيجوز للحاضر السفر ولا يجب على المسافر الحضر، لعدم وجوب تحصيل شرط التكليف لا حدوثاً ولا بقاءً، فلو كنّا نحن والآية المباركة لقلنا بجواز السفر في شهر رمضان ولو لغير حاجة لأنّ الواجب مشروط ولا يجب تحصيل الشرط كما عرفت</w:t>
      </w:r>
      <w:r>
        <w:rPr>
          <w:rFonts w:eastAsia="Amiri" w:cs="Amiri" w:ascii="Amiri" w:hAnsi="Amiri"/>
          <w:color w:val="111111"/>
          <w:sz w:val="28"/>
          <w:szCs w:val="28"/>
          <w:rtl w:val="true"/>
          <w:lang w:bidi="ar-SA"/>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تحصّل مما تقدم وجهان للاستدلال على كون السفر شرطاً للوجوب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الآية وأن مقتضى المقابلة عدم وجود أمر بالصوم للمسافر،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مقتضى إطلاقات الكتاب والسنة أن المسافر غير مأمور بالصيام</w:t>
      </w:r>
      <w:r>
        <w:rPr>
          <w:rFonts w:eastAsia="Amiri" w:cs="Amiri" w:ascii="Amiri" w:hAnsi="Amiri"/>
          <w:color w:val="111111"/>
          <w:sz w:val="28"/>
          <w:szCs w:val="28"/>
          <w:rtl w:val="true"/>
          <w:lang w:bidi="ar-SA"/>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نقلنا تعبير بعض أساتذتنا عن ذلك بخروج المسافر من خطاب الوجوب تخصيصاً</w:t>
      </w:r>
      <w:r>
        <w:rPr>
          <w:rFonts w:eastAsia="Amiri" w:cs="Amiri" w:ascii="Amiri" w:hAnsi="Amiri"/>
          <w:color w:val="111111"/>
          <w:sz w:val="28"/>
          <w:szCs w:val="28"/>
          <w:rtl w:val="true"/>
          <w:lang w:bidi="ar-SA"/>
        </w:rPr>
        <w:t xml:space="preserve">. </w:t>
      </w:r>
      <w:bookmarkStart w:id="529" w:name="pg8133_62948"/>
    </w:p>
    <w:p>
      <w:pPr>
        <w:pStyle w:val="BookText"/>
        <w:rPr/>
      </w:pPr>
      <w:bookmarkEnd w:id="529"/>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مفاد الآية تعيُّن القضاء على المسافر في أيام أُخر، وهو أعم من كون الشرط المتخلف –وهو الحضر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 إلى الوجوب فلا أمر، أو إلى الواجب باعتباره من شرائط الصحة، ولذا منعنا من دعوى التخصيص، وليس لسان الآية لسان تخصيص وإنما بيان حكم آخر يخصّ المريض والمسافر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 المقدمتين اللتين ذكرناهما آنفاً</w:t>
      </w:r>
    </w:p>
    <w:p>
      <w:pPr>
        <w:pStyle w:val="BookText"/>
        <w:rPr/>
      </w:pPr>
      <w:r>
        <w:rPr>
          <w:rFonts w:ascii="Amiri" w:hAnsi="Amiri" w:eastAsia="Amiri" w:cs="Amiri"/>
          <w:color w:val="111111"/>
          <w:sz w:val="28"/>
          <w:sz w:val="28"/>
          <w:szCs w:val="28"/>
          <w:rtl w:val="true"/>
          <w:lang w:bidi="ar-SA"/>
        </w:rPr>
        <w:t>أما المقدمة الأولى فسنناقشها في فرع مستقل بإذن الله تعالى، وسنجد أن الإجماع على جواز السفر اختياراً في شهر رمضان لوجود الدليل الخاص وليس لأنه مقدمة وجوب لا يجب تحصيلها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المقدمة الثانية فيرد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المناقشة في كبرى أن مقدمات الوجوب مما لا يجب تحصيلها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تنزّلنا وسلّمنا بها فإن الاستدلال وقع بعكسها أي بأن كل ما لا يجب تحصيله فهو من مقدمات الوجوب وهو ليس مسلّماً، وسنذكر جملة من القائلين بأن بعض مقدمات الواجب مما لا يجب تحصيله أيضاً</w:t>
      </w:r>
      <w:r>
        <w:rPr>
          <w:rFonts w:eastAsia="Amiri" w:cs="Amiri" w:ascii="Amiri" w:hAnsi="Amiri"/>
          <w:color w:val="111111"/>
          <w:sz w:val="28"/>
          <w:szCs w:val="28"/>
          <w:rtl w:val="true"/>
          <w:lang w:bidi="ar-SA"/>
        </w:rPr>
        <w:t>.</w:t>
      </w:r>
    </w:p>
    <w:p>
      <w:pPr>
        <w:pStyle w:val="Heading6"/>
        <w:numPr>
          <w:ilvl w:val="5"/>
          <w:numId w:val="1"/>
        </w:numPr>
        <w:rPr/>
      </w:pPr>
      <w:bookmarkStart w:id="530" w:name="__RefHeading___Toc8193357_1051229030"/>
      <w:bookmarkStart w:id="531" w:name="_Toc190"/>
      <w:bookmarkEnd w:id="530"/>
      <w:r>
        <w:rPr>
          <w:rtl w:val="true"/>
        </w:rPr>
        <w:t>المسألة الثانية</w:t>
      </w:r>
      <w:r>
        <w:rPr>
          <w:rtl w:val="true"/>
        </w:rPr>
        <w:t xml:space="preserve">: </w:t>
      </w:r>
      <w:r>
        <w:rPr>
          <w:rtl w:val="true"/>
        </w:rPr>
        <w:t>تحصيل مقدمات الوجوب</w:t>
      </w:r>
      <w:r>
        <w:rPr>
          <w:rtl w:val="true"/>
        </w:rPr>
        <w:t>.</w:t>
      </w:r>
      <w:bookmarkEnd w:id="531"/>
    </w:p>
    <w:p>
      <w:pPr>
        <w:pStyle w:val="BookText"/>
        <w:rPr/>
      </w:pPr>
      <w:r>
        <w:rPr>
          <w:rFonts w:ascii="Amiri" w:hAnsi="Amiri" w:eastAsia="Amiri" w:cs="Amiri"/>
          <w:color w:val="111111"/>
          <w:sz w:val="28"/>
          <w:sz w:val="28"/>
          <w:szCs w:val="28"/>
          <w:rtl w:val="true"/>
          <w:lang w:bidi="ar-SA"/>
        </w:rPr>
        <w:t xml:space="preserve">يبين سماحة الشيخ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المشهور وان بنى على كبرى عدم وجوب تحصيل مقدمات الوجوب ، وعدم وجوب الفحص في الشبهات الموضوعية الا انه خالف هذه الكبرى في عدة مواضع ، اذ قال في الجزء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ونريد هنا أن نتوقف عند كبرى عدم وجوب تحصيل شروط الوجوب وما يتحد معها في الملاك كعدم وجوب الفحص في الشبهات الموضوعية وهي كبرى مسلّمة عندهم إلا أنهم لم يبنوا عليها وخالفوها ولو احتياطاً في </w:t>
      </w:r>
    </w:p>
    <w:p>
      <w:pPr>
        <w:pStyle w:val="BookText"/>
        <w:rPr/>
      </w:pPr>
      <w:r>
        <w:rPr>
          <w:rFonts w:ascii="Amiri" w:hAnsi="Amiri" w:eastAsia="Amiri" w:cs="Amiri"/>
          <w:color w:val="111111"/>
          <w:sz w:val="28"/>
          <w:sz w:val="28"/>
          <w:szCs w:val="28"/>
          <w:rtl w:val="true"/>
          <w:lang w:bidi="ar-SA"/>
        </w:rPr>
        <w:t>موارد كثيرة لأن العمل بها دائماً يؤدي إلى تضييع أحكام الدين، فلا يُعمل بها إذا خيف من حصول ذلك، كالاختبار لمعرفة حصول الاستطاعة</w:t>
      </w:r>
      <w:r>
        <w:rPr>
          <w:rStyle w:val="FootnoteAnchor"/>
          <w:rtl w:val="true"/>
        </w:rPr>
        <w:footnoteReference w:id="477"/>
      </w:r>
      <w:r>
        <w:rPr>
          <w:rFonts w:ascii="Amiri" w:hAnsi="Amiri" w:eastAsia="Amiri" w:cs="Amiri"/>
          <w:color w:val="111111"/>
          <w:sz w:val="28"/>
          <w:sz w:val="28"/>
          <w:szCs w:val="28"/>
          <w:rtl w:val="true"/>
          <w:lang w:bidi="ar-SA"/>
        </w:rPr>
        <w:t>، وبلوغ نصاب الخمس في المعادن، وتصفية النقد المغشوش لمعرفة بلوغ نصاب الزكاة، والعلم بتحقق الموضوع من مقدمات الوجوب والمفروض عندهم عدم وجوب تحصيلها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ويؤيده خبر زيد الصائغ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أفتى بمقتضاه المشهور</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كنت لا أعلم ما فيها من الفضة الخالصة إلا أني أعلم أن فيها ما يجب فيه الزكاة؟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فاسبكها حتى تخلص الفضةويحترق الخبيث ثم تزكي ما خلص من الفضة لسنة واحدة</w:t>
      </w:r>
      <w:r>
        <w:rPr>
          <w:rFonts w:eastAsia="Amiri" w:cs="Amiri" w:ascii="Amiri" w:hAnsi="Amiri"/>
          <w:color w:val="111111"/>
          <w:sz w:val="28"/>
          <w:szCs w:val="28"/>
          <w:rtl w:val="true"/>
          <w:lang w:bidi="ar-SA"/>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إذا دلّ الدليل على عدم وجوب الفحص أو عُلم بناء الشارع المقدس على التسامح في موردٍ ما للتيسير على العباد –كالشك في النجاسة الخبثية أو حلّيّة ما في سوق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من الأخذ بها، فما استدلوا به في صحيحة</w:t>
      </w:r>
      <w:r>
        <w:rPr>
          <w:rStyle w:val="FootnoteAnchor"/>
          <w:rtl w:val="true"/>
        </w:rPr>
        <w:footnoteReference w:id="480"/>
      </w:r>
      <w:r>
        <w:rPr>
          <w:rFonts w:ascii="Amiri" w:hAnsi="Amiri" w:eastAsia="Amiri" w:cs="Amiri"/>
          <w:color w:val="111111"/>
          <w:sz w:val="28"/>
          <w:sz w:val="28"/>
          <w:szCs w:val="28"/>
          <w:rtl w:val="true"/>
          <w:lang w:bidi="ar-SA"/>
        </w:rPr>
        <w:t>زرارة على عدم وجوب الفحص في الشبهات الموضوعية مطلقاً غير تام ويمكن دعوى اختصاصه بمورده وأمثاله، فالتجريد عن الخصوصية في غير محله لاحتمال اختصاصها بباب النجاسة لمصلحة التيسير على العباد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يعتبر في الحكم بوجوبها –أي الزكاة في الدراهم المغشوشة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بالبلوغ نصاباً، أما لو شك فلا وجوب للأصل وغيره، بل المعروف أيضاً عدم وجوب التصفية ونحوها للاختبار، بل عن المسالك لا قائل بالوجوب، ووجه ذلك أن كل مقدمات الوجوب لا يجب تحصيلها ولا تعرفها، لكن قد يناقش بأن الأول مسلم بخلاف الثاني، ضرورة معلومية الوجوب في مثله من مذاق الشرع، وأنه ليس المراد الوجوب إذا اتفق حصول العلم بوجود الشرط، فلا يجب حينئذٍ على من احتمل في نفسه الاستطاعة مثلاً أو ظنها اختبارُ حاله، ولا على من علق نذره على شيء مثلاً تعرف حصوله ونحو ذلك، إذ هو كما ترى فيه إسقاط لكثير من الواجبات، نعم هو كذلك حيث لا يكون له طريق إلى التعرف، أو كان فيه ضرر عليه بحيث يسقط بمثله وجوب المقدمة، ولعلّه لذلك مال بعض المحققين هنا إلى وجوب التعرف بالتصفية أو غيرها، وهو قوي جداًإن لم يكن إجماع على خلافه</w:t>
      </w:r>
      <w:r>
        <w:rPr>
          <w:rFonts w:eastAsia="Amiri" w:cs="Amiri" w:ascii="Amiri" w:hAnsi="Amiri"/>
          <w:color w:val="111111"/>
          <w:sz w:val="28"/>
          <w:szCs w:val="28"/>
          <w:rtl w:val="true"/>
          <w:lang w:bidi="ar-SA"/>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تسليمه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وجوب تحصيل مقدمات الوجوب إلا أنه استثنى منها بعض موارد العلم بتحقق الموضوع وهي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فإن هذه الكبرى وإن كانت جارية على الألسنة إلا أنه لم يقم دليل عليها، والإجماع المحكي غير معتبر مضافاً إلى المناقشة فيه صغروياً كما تقدم</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ولكن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أصرّ على كلّيّة هذه الكبرى ورد النقوض عليها،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عدم وجوب الفحص في الشبهات الموضوعية مما لا إشكال فيه ولا خلاف، إلا أنه ذكر جماعة وجوب الفحص في بعض موارد </w:t>
      </w:r>
    </w:p>
    <w:p>
      <w:pPr>
        <w:pStyle w:val="BookText"/>
        <w:rPr/>
      </w:pPr>
      <w:r>
        <w:rPr>
          <w:rFonts w:ascii="Amiri" w:hAnsi="Amiri" w:eastAsia="Amiri" w:cs="Amiri"/>
          <w:color w:val="111111"/>
          <w:sz w:val="28"/>
          <w:sz w:val="28"/>
          <w:szCs w:val="28"/>
          <w:rtl w:val="true"/>
          <w:lang w:bidi="ar-SA"/>
        </w:rPr>
        <w:t>الشبهات الموضوعية مما كان العلم بالحكم فيه متوقفاً على الفحص عادة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شك في المسافة فقالوا يجب الفحص والسؤال من أهل الخبرة، مع كون المورد مجرى لاستصحاب عدم تحقق المسافة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شك في تحقق الاستطاعة إلى الحج من حيث المال أو 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شك في زيادة الربح عن مؤونة السنة، واستدلوا لوجوب الفحص في هذه الموارد بأن جعل الحكم في مورد يتوقف العلم به على الفحص يدل بالملازمة العرفية على وجوب الفحص، وإلا لزم اللغو في تشريعه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الكبرى المذكورة وإن كانت مسلّمة، إلا أنها غير منطبقة على الأمثلة المذكورة، فإن العلم بتحقق المسافة في السفر وبلوغ المال حد النصاب أو كفايته للحج أو زيادته عن مؤونة السنة قد يحصل، بلا احتياج إلى الفحص وقد يحصل العلم بعدمه، وقد يكون مشكوكاً فيه كبقية الموضوعات الخارجية نعم ربما يتفق توقف العلم بالموضوعات المذكورة على 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والتوقف أحياناً من باب الاتفاق لا يوجب وجوب الفحص،وإلا لوجب الفحص عن أكثر الموضوعات</w:t>
      </w:r>
      <w:r>
        <w:rPr>
          <w:rFonts w:eastAsia="Amiri" w:cs="Amiri" w:ascii="Amiri" w:hAnsi="Amiri"/>
          <w:color w:val="111111"/>
          <w:sz w:val="28"/>
          <w:szCs w:val="28"/>
          <w:rtl w:val="true"/>
          <w:lang w:bidi="ar-SA"/>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تقسيمه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التوقف إلى حالات ثلاث يسمى في مصطلحات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هروب إلى الأمام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الكلام في وجوب الفحص عند الشك فلا معنى لفرض تحقق العلم أو عدمه بلا فحص</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التوقف أحياناً لا يوجب وجوب 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 به الوجوب مطلقاً بحيث يكون هذا التوقف الاتفاقي كالمصلحة النوعية الموجبة للحكم فهذا مما لا يقول به الناقض ولا يقول بوجوب الفحص مطلقاً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أراد به عدم الوجوب حتى في نفس موارد التوقف الاتفاقية فهذا خلف الفرض في الموارد المذكورة وأمثالها مع ما قلناه من لزوم تضييع أحكام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التراجع عن هذه الكبرى في الجملة أيضاً من كلمات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حكى عنه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اعتبر في جريان البراءة في الشبهات الموضوعية أن لا تكون مقدمات العلم بأجمعها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فيما إذا كانت المقدمات تامة بحيث لا يحتاج حصول العلم إلا إلى مجرد النظر، فلا تجري البراءة، بل لا بد من النظر وتحصيل العلم أو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لذلك بما إذا كان المكلف بالصوم في سطح لا يتوقف علمه بطلوع الفجر إلا على مجرد النظر إلى الأفق، فلا يجوز له الرجوع إلى استصحاب بقاء الليل أو البراءة، بدون النظر، لأن مجرد النظر لا يعد من الفحص عرفاً ليحكم بعدم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 عليه حتى بهذا المقدار من الخروج عن الكبرى فردّ عليه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مجرد النظر وفتح العين من دون إعمال مقدمة أخرى وإن كان لا يعد من الفحص، إلا أن الفحص بعنوانه لم يؤخذ في لساندليل ليكون الاعتبار بصدقه عرفاً، بل المأخوذ في أدلة البراءة إنما هو الجاهل وغير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في أن المكلّف بالصوم في المثال المذكور جاهل بطلوع الفجر، ولا دليل على وجوب النظر ليكون مقيّداً لإطلاقات الأدلة الدالة على الاستصحاب أو البراءة، فالإطلاقات المذكورة محكمة لا وجه لتقييدها</w:t>
      </w:r>
      <w:r>
        <w:rPr>
          <w:rFonts w:eastAsia="Amiri" w:cs="Amiri" w:ascii="Amiri" w:hAnsi="Amiri"/>
          <w:color w:val="111111"/>
          <w:sz w:val="28"/>
          <w:szCs w:val="28"/>
          <w:rtl w:val="true"/>
          <w:lang w:bidi="ar-SA"/>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يبعد الالتزام بجريان الاستصحاب في مثل هذا الشك، وأدلة </w:t>
      </w:r>
    </w:p>
    <w:p>
      <w:pPr>
        <w:pStyle w:val="BookText"/>
        <w:rPr/>
      </w:pPr>
      <w:r>
        <w:rPr>
          <w:rFonts w:ascii="Amiri" w:hAnsi="Amiri" w:eastAsia="Amiri" w:cs="Amiri"/>
          <w:color w:val="111111"/>
          <w:sz w:val="28"/>
          <w:sz w:val="28"/>
          <w:szCs w:val="28"/>
          <w:rtl w:val="true"/>
          <w:lang w:bidi="ar-SA"/>
        </w:rPr>
        <w:t>حجيته منصرفة عن مثله، وبناء العقلاء –الذي هو دليل حجية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لزوم الفحص في بعض موارد هذه الشبهات، وكذا سيرة المتشرعة، إلا ما قام الدليل على عدم وجوب الفحص فيها بملاك التيسير على العباد ولا يستلزم تضييع أحكام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فإننا لا نريد أن نطيل النقاش لأننا لسنا في بحث أصولي، وما نريد أن نثبّته هنا هو عدم صحة الاستناد إلى هذه الكبرى في الفروع التي سنتعرض لها بإذن الله تعالى كجواز السفر في شهر رمضان اختياراً بغضّ النظر عن الروايات، أو قل إن هذه الكبرى لا تصلح للمانعية فيما لو قام دليل على خلافها؛ لأن حاصل ما تقدم عدم وجود دليل على ما التزم به المشهور من كون الحضر من شرائط الوجوب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قد يدعى ظهور بعض الروايات في كون الحضر من شرائط الوجوب، 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موثقة زرارة الآتية في مسألة النذر في السفر عن أبي جعفر،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تصوم، قد وضع الله عنها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ظاهر في عدم تكليفها به، وليس مجرد عدم صحته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وضع الحق يعني إسقاط الأداء والامتثال وهو أعم من سقوط الوجوب، أو عدم صحة المأتي به على ذلك الحال، كالقول بسقوط الصلاة عن فاقد الطهورين بمعنى عدم تمكنه من الإتيان بها، مع أنهاواجبة وعليه قضاؤها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وسنفصل الكلام هناك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ادلة كون الحضر من شروط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المقطع من كلام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الأدلة على كون الحضر شرطا للواجب لا الوجوب ، حيث قال</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التقدم أكثر في الإشكال على المشهور وادعاء وجود الدليل على </w:t>
      </w:r>
    </w:p>
    <w:p>
      <w:pPr>
        <w:pStyle w:val="BookText"/>
        <w:rPr/>
      </w:pPr>
      <w:r>
        <w:rPr>
          <w:rFonts w:ascii="Amiri" w:hAnsi="Amiri" w:eastAsia="Amiri" w:cs="Amiri"/>
          <w:color w:val="111111"/>
          <w:sz w:val="28"/>
          <w:sz w:val="28"/>
          <w:szCs w:val="28"/>
          <w:rtl w:val="true"/>
          <w:lang w:bidi="ar-SA"/>
        </w:rPr>
        <w:t>أن الحضر من شروط الواجب لا الوجوب من خلال عدة وجوه نشير إليها باختصار، وسنتناولها بعناوين مستقلة إن 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فروع فقهية دلّت عليها النصوص المعتبرة يستكشف منها ثبوت الوجوب على المسافر لكنه أُلزم بترك امتثال الواجب وهو مسافر لأن من شروط صحته الحضر وقضائه في ما بعد، ومن تلك الفروع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القضاء عنه إذا مات قبل أن يتمكن من القضاء لموته في شهر رمضان نفسه مثلاً</w:t>
      </w:r>
      <w:r>
        <w:rPr>
          <w:rStyle w:val="FootnoteAnchor"/>
          <w:rtl w:val="true"/>
        </w:rPr>
        <w:footnoteReference w:id="48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ووجوب القضاء على من أفطر لسفر وإن استمر عذره إلى رمضان المقبل، ومقتضى هذه الأحكام أن الوجوب ثابت وإن كان مسافراً ولا يتوقف على الحضر، وإنما لا يصح منه الصوم في السفر، ولذا وجب عليه القضاء وإن لم يتنجّز ظرفه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وثبوت الكفارة على من أفطر متعمداً في نهار شهر رمضان ثم سافر، بعكس الحائض والنفساء مثلاً فإنها غير مكلفة بشيء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يعني عدم السنخية بين اشتراط الخلو من الحيض والنفاس –الذي هو من شروط الوجوب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واشتراط الحضر فيكون من شروط الواجب</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قد يقرّب بما سنقوله في الوجه الرابع بإذن الله من عدم إمكان تبعيض الفعل بلحاظ الوجوب وإمكان تبعيضه بلحاظ الصحة، ونهار الصائم يمكن تبعيضه بلحاظ السفر وعدمه، فهو من الثاني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مقتضى التعليل الوارد في ذيل صحيحة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امرأة مرضت في شهر رمضان وماتت </w:t>
      </w:r>
    </w:p>
    <w:p>
      <w:pPr>
        <w:pStyle w:val="BookText"/>
        <w:rPr/>
      </w:pPr>
      <w:r>
        <w:rPr>
          <w:rFonts w:ascii="Amiri" w:hAnsi="Amiri" w:eastAsia="Amiri" w:cs="Amiri"/>
          <w:color w:val="111111"/>
          <w:sz w:val="28"/>
          <w:sz w:val="28"/>
          <w:szCs w:val="28"/>
          <w:rtl w:val="true"/>
          <w:lang w:bidi="ar-SA"/>
        </w:rPr>
        <w:t>في شوال فأوصتني أن أقضي عنها،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برأت من مرضها؟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ماتت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تقضي عنها، فإن الله لم يجعله عليها</w:t>
      </w:r>
      <w:r>
        <w:rPr>
          <w:rFonts w:eastAsia="Amiri" w:cs="Amiri" w:ascii="Amiri" w:hAnsi="Amiri"/>
          <w:color w:val="111111"/>
          <w:sz w:val="28"/>
          <w:szCs w:val="28"/>
          <w:rtl w:val="true"/>
          <w:lang w:bidi="ar-SA"/>
        </w:rPr>
        <w:t>)</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 xml:space="preserve">الحديث، بينما ورد في المسافر وجوب القضاء كما في موثقة محمد بن مسلم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امرأة مرضت في شهر رمضان أو طمثت أو سافرت فماتت قبل أن يخرج رمضان هل يُقضى عنها؟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الطمث والمرض فلا، وأما السفر فنعم</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وغيرها مما سيأتي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الجمع أن الصوم مما جعله الله تعالى على المسافر، وستأتي التفاصيل عند بحث الفرعين بإذن الله تعالى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تقدم من دلالة جملة من الروايات على أن المبطل للصوم في السفر هو اقترانه بعنوان المعصية لنهي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الصوم في السفر إذا بلغه ذلك، لذا صحَّ من الجاهل، فالصوم في السفر مأمور به وواجب، إلا أنه إذا اقترن بالعلم بالنهي كان مبغوضاً ولا يمكن التقرب إلى المولى بما يبغضه، وهذا إخلال بشرائط الواجب لا الوجوب الذي هو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وبتعبير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المقتضي لوجوب الصوم موجود باقٍ، وإنما منع من صحته في السفر نهي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وتسمية من تعمد مخالفته بالعصاة</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الوجوب أمر بسيط غير قابل للتفكيك والتبعيض، وإن الصوم يتطابق فيه وقت الوجوب مع وقت الأداء، فوجوب الصوم غير قابل للتبعيض، فإما أن يوجد في تمام الوقت أو لا يوجد كذلك؛ لذا فإن المرأة لو رأت الدم ولو لحظة قبل الغروب بطل صومها ولو ارتكبت قبل ذلك مايوجب الكفارة لا يترتب عليه أثر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السفر فإن بعض النهار يوصف فيه الصوم بأنه صحيح وبعضه ليس بصحيح بلحاظ الزوال مثلاً، والواجب هو ما يمكن أن يكون كذلك لأنه مركب من أجزاء وشرائط فيمكن أن يبدأ صحيحاً في الحضر ثم لا يكون كذلك إذا أنشأ سفراً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يأتي إشكال بأن الحضر إذا كان من شروط صحة الصوم أي من شروط الواجب فكيف جاز السفر اختياراً، مع أن المسلّم عندهم أن شروط الواجب مما يجب تحصيله فيجب الحضر لأداء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وجوابه بعدم الالتزام بكبرى أن شروط الواجب مما يجب تحصيله كالذي قلناه في شروط الوجوب فإنهما مما لا دليل عليهما، ولا مانع من أن يرخّص المولى بترك الواجب من خلال عدم توفير شرطه وقضائه في وقت آخر لمصلحةٍ ما، ففي المقام يمكن أن تكون المصلحة رفع الحرج الذي يسببه المنع من السفر طيلة شهر رمضان المبارك، أو مراعاة ذوي الإرادة الضعيفة عن امتثال الأمر بالصوم خصوصاً في الأيام الحارة فيوجِد لهم باباً شرعياً للخروج من عهدة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ويوجد من ناقش أو خالف هذه الكبرى كالشيخ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ذهب إلى استحالة رجوع القيود إلى الهيأة أصلاً، ورجوعها كلها – ما يجب تحصيله وما لا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المادة أي الواجب</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ذهب إلى التفصيل في شروط الواجب بين ما يجب تحصيله وما لا يجب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الحضر –لو سلم كونه شرطاً للوجود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يؤخذ شرطاً على نحو يجب تحصيله كسائر شرائط الوجود، بل أُخذ بنحو لا يجب تحصيله</w:t>
      </w:r>
      <w:r>
        <w:rPr>
          <w:rFonts w:eastAsia="Amiri" w:cs="Amiri" w:ascii="Amiri" w:hAnsi="Amiri"/>
          <w:color w:val="111111"/>
          <w:sz w:val="28"/>
          <w:szCs w:val="28"/>
          <w:rtl w:val="true"/>
          <w:lang w:bidi="ar-SA"/>
        </w:rPr>
        <w:t>»</w:t>
      </w:r>
      <w:r>
        <w:rPr>
          <w:rStyle w:val="FootnoteAnchor"/>
          <w:rtl w:val="true"/>
        </w:rPr>
        <w:footnoteReference w:id="487"/>
      </w:r>
      <w:r>
        <w:rPr>
          <w:rFonts w:ascii="Amiri" w:hAnsi="Amiri" w:eastAsia="Amiri" w:cs="Amiri"/>
          <w:color w:val="111111"/>
          <w:sz w:val="28"/>
          <w:sz w:val="28"/>
          <w:szCs w:val="28"/>
          <w:rtl w:val="true"/>
          <w:lang w:bidi="ar-SA"/>
        </w:rPr>
        <w:t xml:space="preserve">وسيأتي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حرمة </w:t>
      </w:r>
    </w:p>
    <w:p>
      <w:pPr>
        <w:pStyle w:val="BookText"/>
        <w:rPr/>
      </w:pPr>
      <w:r>
        <w:rPr>
          <w:rFonts w:ascii="Amiri" w:hAnsi="Amiri" w:eastAsia="Amiri" w:cs="Amiri"/>
          <w:color w:val="111111"/>
          <w:sz w:val="28"/>
          <w:sz w:val="28"/>
          <w:szCs w:val="28"/>
          <w:rtl w:val="true"/>
          <w:lang w:bidi="ar-SA"/>
        </w:rPr>
        <w:t>السفر على من بذمته واجب معين ليتمكن من أدائه، وستأتيمناقشته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المانع من القول بأن الحضر من شروط الوجوب، لثبوته على المسافر كما يستكشف من جملة من الفروع الفقهية التي دلّت عليها النصوص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من شروط الواجب الذي لا يصحّ من المسافر المقصّر في صلاته، ولا مانع من الالتزام بكونه مما يجوز تركه اختياراً للنص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الإشكال ثابت على كلا التقديرين فكما يمكن أن يقال أن الحضر من شروط الواجب وثبت جواز السفر اختياراً بالدليل الخاص، كذلك يمكن أن يقال بأن الحضر من شروط الوجوب وإنما ثبت القضاء بالدليل الخاص في الموارد المذكورة، فالأمر فيهما 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بحد ذاته ردّ على المشهور الذي سلّم بكون الحضر من شروط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أنهما ليسا سيان فإن وجوب القضاء من دون تحقق شرطه، وهو تحقق القدرة على القضاء في الزمن القابل له، مما لا يمكن تفسيره بالنص؛ لأن النص لا يخالف الواقع، والقدرة من شروط التكليف، ولا قدرة على القضاء حتى يجب، لذا لم يجب على الحائض والنفساء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اعتبار الحضر من شروط الواجب، وتفسير جواز السفر في شهر رمضان اختياراً بالنص فممكن أن يرخّص فيه الشارع لمصلحة مما ذكرنا ويأمر بالقضاء في أيام أخر</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أردنا تنظير المطلب بمورد آخر من الفقه فهي صلاة فاقد الطهورين، فإن الأقوى وهو المشهور أنها تسقط أداءً وتجب عليه قضاءً، فالطهور من شروط الواجب، لكن الوجوب سقط بفواته، وقد وقع القوم </w:t>
      </w:r>
      <w:bookmarkStart w:id="532" w:name="pg8133_62958"/>
    </w:p>
    <w:p>
      <w:pPr>
        <w:pStyle w:val="BookText"/>
        <w:rPr/>
      </w:pPr>
      <w:bookmarkEnd w:id="532"/>
      <w:r>
        <w:rPr>
          <w:rFonts w:ascii="Amiri" w:hAnsi="Amiri" w:eastAsia="Amiri" w:cs="Amiri"/>
          <w:color w:val="111111"/>
          <w:sz w:val="28"/>
          <w:sz w:val="28"/>
          <w:szCs w:val="28"/>
          <w:rtl w:val="true"/>
          <w:lang w:bidi="ar-SA"/>
        </w:rPr>
        <w:t>هناك بمثل هذا الإشكال</w:t>
      </w:r>
      <w:r>
        <w:rPr>
          <w:rFonts w:eastAsia="Amiri" w:cs="Amiri" w:ascii="Amiri" w:hAnsi="Amiri"/>
          <w:color w:val="111111"/>
          <w:sz w:val="28"/>
          <w:szCs w:val="28"/>
          <w:rtl w:val="true"/>
          <w:lang w:bidi="ar-SA"/>
        </w:rPr>
        <w:t>.</w:t>
      </w:r>
    </w:p>
    <w:p>
      <w:pPr>
        <w:pStyle w:val="Heading6"/>
        <w:numPr>
          <w:ilvl w:val="5"/>
          <w:numId w:val="1"/>
        </w:numPr>
        <w:rPr/>
      </w:pPr>
      <w:bookmarkStart w:id="533" w:name="__RefHeading___Toc8193359_1051229030"/>
      <w:bookmarkStart w:id="534" w:name="_Toc191"/>
      <w:bookmarkEnd w:id="533"/>
      <w:r>
        <w:rPr>
          <w:rtl w:val="true"/>
        </w:rPr>
        <w:t>المسألة الثالثة</w:t>
      </w:r>
      <w:r>
        <w:rPr>
          <w:rtl w:val="true"/>
        </w:rPr>
        <w:t xml:space="preserve">: </w:t>
      </w:r>
      <w:r>
        <w:rPr>
          <w:rtl w:val="true"/>
        </w:rPr>
        <w:t>انحاء شروط الوجوب</w:t>
      </w:r>
      <w:r>
        <w:rPr>
          <w:rtl w:val="true"/>
        </w:rPr>
        <w:t>.</w:t>
      </w:r>
      <w:bookmarkEnd w:id="534"/>
    </w:p>
    <w:p>
      <w:pPr>
        <w:pStyle w:val="BookText"/>
        <w:rPr/>
      </w:pPr>
      <w:r>
        <w:rPr>
          <w:rFonts w:ascii="Amiri" w:hAnsi="Amiri" w:eastAsia="Amiri" w:cs="Amiri"/>
          <w:color w:val="111111"/>
          <w:sz w:val="28"/>
          <w:sz w:val="28"/>
          <w:szCs w:val="28"/>
          <w:rtl w:val="true"/>
          <w:lang w:bidi="ar-SA"/>
        </w:rPr>
        <w:t xml:space="preserve">رغم ان سماحة الشيخ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بنى على كون الحضر شرطا للواجب ، الا انه بيّن ان من يصر على كونه شرطا للوجوب عليه ان يجعل شروط الوجوب على انحاء لكي يمكن ان يصحح بنيانه ، اذ قال في الجزء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ختام هذه الفقرة من البحث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أبى الخصم إلا اعتبار الحضر وما بحكمه من شرائط الوجوب لا الواجب، فليكن على نحو يختلف عن شرطية العقل والخلو من الحيض والنفاس، وهذا الفرق ظاهر من آثارهما فرؤية الدم ولو لحظة من النهار تسقط وجوب الصوم وتبطله، بينما السفر ليس كذلك إذ يُصحَّح في بعض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يمكن تقنينه على أحد شكلين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الوجوب على مستويات وأشكال من حيث التنجز وعدمه عند فوات شرطه، بحيث قد تسقط مرتبة من مراتبه وتبقى مرتبة أخرى منه، فوجوب الصوم يسقط من أصله بطروّ الحيض والنفاس، لكنه يبقى بمرتبة من الاقتضاء توجب القضاء دون الأداء في السفر، وبذلك يضاف تقسيم جديد إلى تقسيمات الواجب يتكفل علم الأصول بتسميته وبيان خصائصه</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فوات بعض الشروط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تسقط المقتضي للتكليف –كالحيض والنفاس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قضاء إلا بأمر جديد،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تسقط الفعلية والتنجيز ويبقى الوجوب في مرحلة الاقتضاء ومنه السفر بلحاظ الصوم على أن يتنجّز ويصبح فعلياً إذا انتفى السفر الموجب للإفطار أو انتهى وقت الأداء</w:t>
      </w:r>
      <w:r>
        <w:rPr>
          <w:rFonts w:eastAsia="Amiri" w:cs="Amiri" w:ascii="Amiri" w:hAnsi="Amiri"/>
          <w:color w:val="111111"/>
          <w:sz w:val="28"/>
          <w:szCs w:val="28"/>
          <w:rtl w:val="true"/>
          <w:lang w:bidi="ar-SA"/>
        </w:rPr>
        <w:t xml:space="preserve">. </w:t>
      </w:r>
      <w:bookmarkStart w:id="535" w:name="pg8133_62959"/>
    </w:p>
    <w:p>
      <w:pPr>
        <w:pStyle w:val="BookText"/>
        <w:rPr/>
      </w:pPr>
      <w:bookmarkEnd w:id="535"/>
      <w:r>
        <w:rPr>
          <w:rFonts w:ascii="Amiri" w:hAnsi="Amiri" w:eastAsia="Amiri" w:cs="Amiri"/>
          <w:color w:val="111111"/>
          <w:sz w:val="28"/>
          <w:sz w:val="28"/>
          <w:szCs w:val="28"/>
          <w:rtl w:val="true"/>
          <w:lang w:bidi="ar-SA"/>
        </w:rPr>
        <w:t>وهذا مطلب يقدم كأطروحة لحل بعض المشاكل الأصولية في مبحث الأوامر كالترتب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تُصنَّف شرائط ومقدمات الوجوب إلى ما يكون على نحوالشرط –كأحد أجزاء العلة بالمعنى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ما يكون على نحو عدم المانع، فالخلو من الحيض والنفاس، والعقل أخذت على نحو الشروط بالمعنى العقلي للوجوب، أما الحضر فأخذ على نحو عدم المانع للوجوب أي أن السفر مانع عن الوجوب الذي يكون ثابتاً إلا أن استقراره مراعى بالحضر، ولا بد أن يعاد النظر في كبرى أن مقدمات الوجوب لا يجب تحصيلها في ضوء هذا التصنيف</w:t>
      </w:r>
      <w:r>
        <w:rPr>
          <w:rFonts w:eastAsia="Amiri" w:cs="Amiri" w:ascii="Amiri" w:hAnsi="Amiri"/>
          <w:color w:val="111111"/>
          <w:sz w:val="28"/>
          <w:szCs w:val="28"/>
          <w:rtl w:val="true"/>
          <w:lang w:bidi="ar-SA"/>
        </w:rPr>
        <w:t>.</w:t>
      </w:r>
    </w:p>
    <w:p>
      <w:pPr>
        <w:pStyle w:val="Heading6"/>
        <w:numPr>
          <w:ilvl w:val="5"/>
          <w:numId w:val="1"/>
        </w:numPr>
        <w:rPr/>
      </w:pPr>
      <w:bookmarkStart w:id="536" w:name="__RefHeading___Toc8193361_1051229030"/>
      <w:bookmarkStart w:id="537" w:name="_Toc192"/>
      <w:bookmarkEnd w:id="536"/>
      <w:r>
        <w:rPr>
          <w:rtl w:val="true"/>
        </w:rPr>
        <w:t>المسألة الرابعة</w:t>
      </w:r>
      <w:r>
        <w:rPr>
          <w:rtl w:val="true"/>
        </w:rPr>
        <w:t xml:space="preserve">: </w:t>
      </w:r>
      <w:r>
        <w:rPr>
          <w:rtl w:val="true"/>
        </w:rPr>
        <w:t>مناقشة كبرى التكليف بمقدمات الواجب وعدم المسؤولية عن مقدمات الوجوب</w:t>
      </w:r>
      <w:r>
        <w:rPr>
          <w:rtl w:val="true"/>
        </w:rPr>
        <w:t>.</w:t>
      </w:r>
      <w:bookmarkEnd w:id="537"/>
    </w:p>
    <w:p>
      <w:pPr>
        <w:pStyle w:val="BookText"/>
        <w:rPr/>
      </w:pPr>
      <w:r>
        <w:rPr>
          <w:rFonts w:ascii="Amiri" w:hAnsi="Amiri" w:eastAsia="Amiri" w:cs="Amiri"/>
          <w:color w:val="111111"/>
          <w:sz w:val="28"/>
          <w:sz w:val="28"/>
          <w:szCs w:val="28"/>
          <w:rtl w:val="true"/>
          <w:lang w:bidi="ar-SA"/>
        </w:rPr>
        <w:t>علمنا مما تقدم ان المشهور يقول بوجوب تحصيل مقدمات الواجب ، وعدم وجوب تحصيل مقدمات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سماحة الشيخ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ناقش في كلا الامرين ، فبيّن ان بعض مقدمات الواجب لا يجب تحصيلها ، كما ان بعض مقدمات الوجوب واجبة التحصيل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كلماته في هذا المقام ما جاء في مسالة وجوب مقدمات الامر بالمعروف والنهي عن المنكر في الجزء الثامن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بعدها ،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مقدمات الأمر بالمعروف والنهي عن المنكر</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سيدنا الأستاذ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إيجاد مقدمات الأمر بالمعروف والنهي عن المنكر، وذلك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بتعلم الأحكام الشرعية الضرورية في الحياة ليعرف الفرد المعروف والمنكر من نفسه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بإيجاد المجتهد المطلق الذي يجوز تقليده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بتصدي جماعة كافية لتعلم العلوم الدينية ليحصل بعضهم على هذه الدرجة الرفيعة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لأي مجتمع إهمال ذلك بحيث يحصل في المستقبل زوالالمجتهدين كلهم وعدم تعويضهم بآخرين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بإيجاد القاضي الشرعي الجامع للشرائط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ليمكنه حل المخاصمات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بتعلم العلوم الدينية، كما قلنا ولا يجوز إهمال ذلك أيضاً، بحيث يعود الأمر كله إلى القضاء الدنيوي</w:t>
      </w:r>
      <w:r>
        <w:rPr>
          <w:rFonts w:eastAsia="Amiri" w:cs="Amiri" w:ascii="Amiri" w:hAnsi="Amiri"/>
          <w:color w:val="111111"/>
          <w:sz w:val="28"/>
          <w:szCs w:val="28"/>
          <w:rtl w:val="true"/>
          <w:lang w:bidi="ar-SA"/>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المورد الأول الذي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جعلوه من شروط الوجوب، وعندهم كبرى أن مقدمات الوجوب لا يجب تحصيلها، فالقول بوجوبها على خلاف القاعدة، أما عندنا فلا إشكال لأننا لا نسلّم بإطلاق هذه الكبرى، مضافاً إلى أننا اعتبرنا هذه الشروط للواجب وليس للوجوب الذي هو مطلق، بمعنى أن الجميع مخاطب بالوجوب، إلا أن من يتصدى له لا بد أن يكون عالماً بالمعروف والمنكر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الشروط الأخرى التي ذكروها للوجوب ومنها ما نحن فيه أعني احتمال التأثير فإنه تجب مقدمات تحقيقه، وهذا المطلب لم يتعرضوا له هنا</w:t>
      </w:r>
      <w:r>
        <w:rPr>
          <w:rStyle w:val="FootnoteAnchor"/>
          <w:rtl w:val="true"/>
        </w:rPr>
        <w:footnoteReference w:id="48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لكنهم ذكروا له مورداً في باب المكاسب المحرمة عند التعرض لولاية الجائر</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المسألة الرابعة في ذيل المكاسب </w:t>
      </w:r>
    </w:p>
    <w:p>
      <w:pPr>
        <w:pStyle w:val="BookText"/>
        <w:rPr/>
      </w:pPr>
      <w:r>
        <w:rPr>
          <w:rFonts w:ascii="Amiri" w:hAnsi="Amiri" w:eastAsia="Amiri" w:cs="Amiri"/>
          <w:color w:val="111111"/>
          <w:sz w:val="28"/>
          <w:sz w:val="28"/>
          <w:szCs w:val="28"/>
          <w:rtl w:val="true"/>
          <w:lang w:bidi="ar-SA"/>
        </w:rPr>
        <w:t>المكروهة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الولاية من قبل السلطان العادل جائزة وربما وجبت كما إذا عيّنه إمام الأصل، أو لم يمكن دفع المنكر أو الأمر بالمعروف إلا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وعلق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وصف هذا الوجوب بالعيني وأضاف إلى السلطان نائبه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فرض الانحصار في شخص مخصوص فإنه يجب عليه حينئذٍ قبولها بل تطلبها والسعي في مقدمات تحصيلها حتى لو توقفت على إظهار ما فيه من الصفات أظهرها، كل ذلك لإطلاق ما دلّ على الأمر بالمعروف والنهي عن المنكر فتجب مقدماته كماانه يجب السعي فيها إلى أن يحصل العجز من غير فرق بين ما كان من فعل الغير وعدمه</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شاهد على أن عدم احتمال التأثير لا يسقط الوجوب وإنما يوجب السعي لإزالة الموانع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إشكال أن هذه من مقدمات الوجوب التي لا يجب تحصيلها،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ودعوى أن الولاية من مقدمات القدرة التي التي هي شرط الوجوب، فلا يجب تحصيلها ولا قبولها لعدم إطلاق التكليف بالنسبة إليها، يدفعها أن إطلاق الأمر بالمعروف يقتضي وجوب سائر المقدمات، ولا يسقط إلا بالعجز فيندرج فيها الولاية وغيرها بعد فرض القدرة عليها، وبذلك يفرق بين المقام والحج المشروط وجوبه بالاستطاعة التي لا يدخل فيها غير المالك، وإن تمكن من تكسب ما يستطيع به، ولذا قلنا هناك بعدم الوجوب عليه ضرورة عدم صدق الاستطاعة عليه بذلك، بخلاف المقام الذي لم يعلق وجوبه على لفظ يرجع فيه إلى العرف، بل أطلق الوجوب ومقتضاه عقلاً الامتثال حتى يتحقق العجز، ولا ريب في انتفائه هنا بعد فرض وجود القدرة على الولاية مثلاً على وجه لا تنافيه شيء من الأدلة الشرعية التي تقتضي سقوط التكليف بتحصيلها من العسر والحرج والضرر ونحوها كما هو واضح بأدنى </w:t>
      </w:r>
    </w:p>
    <w:p>
      <w:pPr>
        <w:pStyle w:val="BookText"/>
        <w:rPr/>
      </w:pPr>
      <w:r>
        <w:rPr>
          <w:rFonts w:ascii="IRNazanin" w:hAnsi="IRNazanin" w:eastAsia="IRNazanin"/>
          <w:color w:val="111111"/>
          <w:sz w:val="28"/>
          <w:sz w:val="28"/>
          <w:szCs w:val="28"/>
          <w:rtl w:val="true"/>
          <w:lang w:bidi="fa-IR"/>
        </w:rPr>
        <w:t>تأمل</w:t>
      </w:r>
      <w:r>
        <w:rPr>
          <w:rFonts w:eastAsia="IRNazanin" w:cs="IRNazanin"/>
          <w:color w:val="111111"/>
          <w:sz w:val="28"/>
          <w:szCs w:val="28"/>
          <w:rtl w:val="true"/>
          <w:lang w:bidi="fa-IR"/>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يفرق فيما نحن فيه بين الولاية للسلطان العادل أو الجائر إذا توقف إقامة المعروف وإزالة المنكر عليها سوى التزاحم مع الحرمة الذاتية والعارضة في الثانية وهذا غير مرتبط بمحل الشاهد وتجري فيه قواعد باب التزاحم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إشكال في وجوب تحصيل الولاية إذا كان هناك معروف متروك أو منكر مركوب، يجب فعلاً الأمر بالأولوالنهي عن الثاني</w:t>
      </w:r>
      <w:r>
        <w:rPr>
          <w:rFonts w:eastAsia="Amiri" w:cs="Amiri" w:ascii="Amiri" w:hAnsi="Amiri"/>
          <w:color w:val="111111"/>
          <w:sz w:val="28"/>
          <w:szCs w:val="28"/>
          <w:rtl w:val="true"/>
          <w:lang w:bidi="ar-SA"/>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هذه المصلحة والملاك الراجح في الولاية للجائر مع ملاك المفسدة الثابتة فيها يعطي وجهاً لحل التعارض في روايات الولاية للجائر بين التغليظ بالحرمة والحث الأكيد، والأول معروف فنذكر روايتين للثاني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مصححة زيد الشحام في الأمالي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تولى أمراً من أمور الناس فعدل فيهم، وفتح بابه ورفع ستره، ونظر في أمور الناس، كان حقاً على الله أن يؤمّن روعته يوم القيامة ويدخله الجنة</w:t>
      </w:r>
      <w:r>
        <w:rPr>
          <w:rFonts w:eastAsia="IRNazanin" w:cs="IRNazanin"/>
          <w:color w:val="111111"/>
          <w:sz w:val="28"/>
          <w:szCs w:val="28"/>
          <w:rtl w:val="true"/>
          <w:lang w:bidi="fa-IR"/>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النجاشي في رجاله في ترجمة محمد بن إسماعيل بن بزيع عن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لله تعالى في أبواب الظالمين من نوَّر الله به البرهان، ومكّن له في البلاد؛ ليدفع بهم عن أوليائه ويصلح الله بهم أمور المسلمين، إليهم ملجأ المؤمنين من الضر، وإليهم مرجع ذوي الحاجة من شيعتنا، بهم يؤمن الله روعة المؤمنين في دار الظلمة، أولئك المؤمنون حقاً، أولئك أمناء الله في أرضه، أولئك نور الله في رعيته يوم </w:t>
      </w:r>
    </w:p>
    <w:p>
      <w:pPr>
        <w:pStyle w:val="BookText"/>
        <w:rPr/>
      </w:pPr>
      <w:r>
        <w:rPr>
          <w:rFonts w:ascii="Amiri" w:hAnsi="Amiri" w:eastAsia="Amiri" w:cs="Amiri"/>
          <w:color w:val="111111"/>
          <w:sz w:val="28"/>
          <w:sz w:val="28"/>
          <w:szCs w:val="28"/>
          <w:rtl w:val="true"/>
          <w:lang w:bidi="ar-SA"/>
        </w:rPr>
        <w:t>القيامة، ويزهر نورهم لأهل السماوات كما يزهر نور الكواكب الدرية لأهل الأرض، أولئك من نورهم يوم القيامة تضيء القيامة، خلقوا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للجنة وخلقت الجنة لهم فهنيئاً لهم، ما على أحدكم أن لو شاء لنال هذا كله؟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بماذا،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معهم فيسرنا بإدخال السرور على المؤمنين من شيعتنا، فكن منهم يا محمد</w:t>
      </w:r>
      <w:r>
        <w:rPr>
          <w:rFonts w:eastAsia="Amiri" w:cs="Amiri" w:ascii="Amiri" w:hAnsi="Amiri"/>
          <w:color w:val="111111"/>
          <w:sz w:val="28"/>
          <w:szCs w:val="28"/>
          <w:rtl w:val="true"/>
          <w:lang w:bidi="ar-SA"/>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جاء في الجزء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بعدها في مسالة الصلاة والصوم في المناطقالقطبية ، في سياق مناقشة كلام للشيخ الفياض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فيه الى سقوط الصلاة والصيام عمن يسكن تلك المناطق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مناقشته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المعروف عندهم عدم وجوب تحصيل المواقيت المذكورة ؛ لانها شروط للتكليف ، فيستطيع الذهاب الى بلد لا يتحقق فيه الشرط ليسقط الوجوب ، كما ان له الخروج من مكان سيحصل فيه خسوف او كسوف فيسقط عنه وجوب صلاتهما ، ولا يجب عليه التواجد في مكان فيه كسوف او خسوف لتجب عليه صلاة الآيات ، وكالذي يسافر فيسقط عنه الصوم وقد أجازوه جميعا ، ونحو ذلك</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فالذهاب الى تلك المنطقة لا يلزم منه تفويت الواجب ؛ لعدم وجود وجوب أصلا ، فالقول بحرمة الذهاب والمكث هناك لا 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فانهم في مشكلة حقيقية ؛ لانهم يعتبرون الأوقات شرط وجوب ومقتضى القاعدة سقوط الوجوب عند انتفائها ، وبنفس الوقت هم يرون ان تضييع الأوقات يلزم منه تضييع الواجب وان على المكلف تحصيل الأوقات بالذهاب الى بلد تتحقق فيه وهم لا يقولون بوجوب تحصيل المقدمات </w:t>
      </w:r>
    </w:p>
    <w:p>
      <w:pPr>
        <w:pStyle w:val="BookText"/>
        <w:rPr/>
      </w:pPr>
      <w:r>
        <w:rPr>
          <w:rFonts w:ascii="Amiri" w:hAnsi="Amiri" w:eastAsia="Amiri" w:cs="Amiri"/>
          <w:color w:val="111111"/>
          <w:sz w:val="28"/>
          <w:sz w:val="28"/>
          <w:szCs w:val="28"/>
          <w:rtl w:val="true"/>
          <w:lang w:bidi="ar-SA"/>
        </w:rPr>
        <w:t>الوجوبية ، ولتوجيه ذلك فلا بد ان يقربوا الأوقات على انها من المقدمات الوجودية اَي من شروط الواجب لذا فيجب تحصيل الأوقات بالانتقال الى بلد تتحقق فيه ، وهذا مما لا يقولون به ، نعم يمكن اعتبارها من شروط الواجب لكنها غير لازمة التحصيل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تكون الصلاة حينئذ من الواجبات المعلقة نظير الحج الذي يتحقق وجوبه بمجرد تحقق الاستطاعة في اَي وقت من السنة لكن أداء الواجب معلق على تحقق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خلاف ما أسسوه من ان مقدمات الواجب يجب تحصيلها ، والتفريق بين المقدمات التي تقع تحت قدرة المكلف واختياره والتي لا تقع ليست من خصائص مقدمات الواجب والواجب بل من لوازم وجوب التحصيل وعدمه ولا ملازمة بينها بحسب ما قربناه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ما تقدم فان مقولة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زالت الشمس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تحمل على انها واردة لبيان تحقق الموضوع فعدم الصلاة عند عدم الزوال ليس لعدم وجوبها وانما لعدم تحقق موضوعها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قدمنا وجها لحل المشكلة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وجوب اقتران الصوم والصلاة بهذه الأوقات ليس مطلقا ليشمل المناطق التي لا تتميز فيها أوقات الصلاة وانما هو مختص بما يتحقق فيها ذلك ومنصرفة عن الافراد التي لا تتحقق فيها مثل المقام او في الفضاء خارج الأرض غير المعروفة يومئذ ، فوجوب الصلاة على اهل المناطق القطبية غير مشروط بالأوقات المتعارفة ، فلا تجب عليهم الهجرة من هذا المكان الى غيره طلبا للأوقات لان مراعاتها ليست واجبة عليهم ، وان وجوب الصلاة في أوقاتها مأخوذة على نحو تعدد المطلوب</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واذا لم نسلم انصراف ادلة الأوقات عنهم وان خروجهم على نحو التخصص فيمكن تصوير الحالة على نحو التخصيص ولاسقاط شرط </w:t>
      </w:r>
      <w:bookmarkStart w:id="538" w:name="pg8133_62965"/>
    </w:p>
    <w:p>
      <w:pPr>
        <w:pStyle w:val="BookText"/>
        <w:rPr/>
      </w:pPr>
      <w:bookmarkEnd w:id="538"/>
      <w:r>
        <w:rPr>
          <w:rFonts w:ascii="Amiri" w:hAnsi="Amiri" w:eastAsia="Amiri" w:cs="Amiri"/>
          <w:color w:val="111111"/>
          <w:sz w:val="28"/>
          <w:sz w:val="28"/>
          <w:szCs w:val="28"/>
          <w:rtl w:val="true"/>
          <w:lang w:bidi="ar-SA"/>
        </w:rPr>
        <w:t>الوقت نظائر في الفقه كجواز تقديم دفع زكاة الفطرة قبل العيد او إسقاط شرط وقت غسل الجمعة لمن خاف أعواز الماء فيقدمه الى الخميس ، والامر يجري في غير الوقت من الشروط كإسقاط شرط الطهارة في بعض الفعل للمسلوس والمبطون ، وهكذا ، وهذا الإسقاط اقرب الى ذوق الشارع المقدس من الإلزام بمغادرة تلك المنطقة مع ما فيه من تفويت المصالح المتنوعة ولزوم الحرج و المشقة خصوصا على سكانها الأصليين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التقريب لا يحل مشكلة الصوم لانه إمساك بين الحدين الموقوتين فلا يمكن الغاؤهما ، الا انه مما يهون الخطب ان صوم شهر رمضان وان كان من دعائم الإسلام الا انه مما لا يترك بحال لجواز السفر مثلا فيسقط عنه الصوم ، فله الذهاب الى بلد لا يتحقق فيه شهر رمضان مثلا</w:t>
      </w:r>
      <w:r>
        <w:rPr>
          <w:rFonts w:eastAsia="Amiri" w:cs="Amiri" w:ascii="Amiri" w:hAnsi="Amiri"/>
          <w:color w:val="111111"/>
          <w:sz w:val="28"/>
          <w:szCs w:val="28"/>
          <w:rtl w:val="true"/>
          <w:lang w:bidi="ar-SA"/>
        </w:rPr>
        <w:t>.</w:t>
      </w:r>
    </w:p>
    <w:p>
      <w:pPr>
        <w:pStyle w:val="Heading6"/>
        <w:numPr>
          <w:ilvl w:val="5"/>
          <w:numId w:val="1"/>
        </w:numPr>
        <w:rPr/>
      </w:pPr>
      <w:bookmarkStart w:id="539" w:name="__RefHeading___Toc8193363_1051229030"/>
      <w:bookmarkStart w:id="540" w:name="_Toc193"/>
      <w:bookmarkEnd w:id="539"/>
      <w:r>
        <w:rPr>
          <w:rtl w:val="true"/>
        </w:rPr>
        <w:t>المسألة الخامسة</w:t>
      </w:r>
      <w:r>
        <w:rPr>
          <w:rtl w:val="true"/>
        </w:rPr>
        <w:t xml:space="preserve">: </w:t>
      </w:r>
      <w:r>
        <w:rPr>
          <w:rtl w:val="true"/>
        </w:rPr>
        <w:t>مقدمة الحرام</w:t>
      </w:r>
      <w:r>
        <w:rPr>
          <w:rtl w:val="true"/>
        </w:rPr>
        <w:t>.</w:t>
      </w:r>
      <w:bookmarkEnd w:id="540"/>
    </w:p>
    <w:p>
      <w:pPr>
        <w:pStyle w:val="BookText"/>
        <w:rPr/>
      </w:pPr>
      <w:r>
        <w:rPr>
          <w:rFonts w:ascii="Amiri" w:hAnsi="Amiri" w:eastAsia="Amiri" w:cs="Amiri"/>
          <w:color w:val="111111"/>
          <w:sz w:val="28"/>
          <w:sz w:val="28"/>
          <w:szCs w:val="28"/>
          <w:rtl w:val="true"/>
          <w:lang w:bidi="ar-SA"/>
        </w:rPr>
        <w:t>بعد ان بحث علماء الأصول في مسالة مقدمة الواجب ، بحثوا أيضا في ادراك العقل لحرمة مقدمة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تكلم سماحة الشيخ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المسالة في الجزء العاشر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مسالة حرمة التصوير ، والظاهر من كلماته ان مقدمة الحرام حرام بشرط إتمام الفعل والا كان متجريا ، اذ قال</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عليه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والمسألة مبنية على أن المحرم هو فعل التصوير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فعل مركّب تدريجي الحصول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إيجاد الصورة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أمر بسيط متحد مع وجودها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المحرم عنوان فعل مركب أو عنوان بسيط يكون الفعل الخارجي المركب محققاً ومحصلاً له وعلى الأول يكون حرمة الفعل نفسياً وعلى الثاني مقدمياً </w:t>
      </w:r>
      <w:bookmarkStart w:id="541" w:name="pg8133_62966"/>
    </w:p>
    <w:p>
      <w:pPr>
        <w:pStyle w:val="BookText"/>
        <w:rPr/>
      </w:pPr>
      <w:bookmarkEnd w:id="541"/>
      <w:r>
        <w:rPr>
          <w:rFonts w:ascii="Amiri" w:hAnsi="Amiri" w:eastAsia="Amiri" w:cs="Amiri"/>
          <w:color w:val="111111"/>
          <w:sz w:val="28"/>
          <w:sz w:val="28"/>
          <w:szCs w:val="28"/>
          <w:rtl w:val="true"/>
          <w:lang w:bidi="ar-SA"/>
        </w:rPr>
        <w:t>بالأول لا يكون الإتمام حراماً لعدم كونه تصويراً إذ إيجاد البعض لا يكون إيجاداً للصورة التي مركبة بالفرض سواء كان البعض الأول من فعله أو من فعل غيره وسواء كان إيجاده له على الوجه المحرم كما لو كان بانياً على التصوير وبعد الإتيان بالبعض بدا له في الإتمام ثم بعد ذلك أتمه أو على وجه محلل وإن قلنا بالثاني يكون الإتمام حراماً في الجميع هذا والظاهر من الأخبار هو المعنى الأول كما لا يخفى وهو الظاهر من المصنف فيما ذكره في الفرع الآتي</w:t>
      </w:r>
      <w:r>
        <w:rPr>
          <w:rFonts w:eastAsia="Amiri" w:cs="Amiri" w:ascii="Amiri" w:hAnsi="Amiri"/>
          <w:color w:val="111111"/>
          <w:sz w:val="28"/>
          <w:szCs w:val="28"/>
          <w:rtl w:val="true"/>
          <w:lang w:bidi="ar-SA"/>
        </w:rPr>
        <w:t xml:space="preserve">»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هو المعنى الثاني لما قدمناه من أن الحاكم هو العرف وهو يحكم بأن موضوع الحرمة أمر بسيط هو إيجاد الصورة وصنعها إما بالفعل المركب التدريجي فهو مقدمة لحصولها وإذا اشتغل بالفعل وابتدأ به قاصداً إتمامه ارتكب حراماً لكن الحرمة تكون مراعاةًبإتمام الفعل فلو بدا له في الإتمام لم يرتكب حراماً لكنه متجرٍ بفعل كما تقدم</w:t>
      </w:r>
      <w:r>
        <w:rPr>
          <w:rFonts w:eastAsia="Amiri" w:cs="Amiri" w:ascii="Amiri" w:hAnsi="Amiri"/>
          <w:color w:val="111111"/>
          <w:sz w:val="28"/>
          <w:szCs w:val="28"/>
          <w:rtl w:val="true"/>
          <w:lang w:bidi="ar-SA"/>
        </w:rPr>
        <w:t>.</w:t>
      </w:r>
    </w:p>
    <w:p>
      <w:pPr>
        <w:pStyle w:val="Heading6"/>
        <w:numPr>
          <w:ilvl w:val="5"/>
          <w:numId w:val="1"/>
        </w:numPr>
        <w:rPr/>
      </w:pPr>
      <w:bookmarkStart w:id="542" w:name="__RefHeading___Toc8193365_1051229030"/>
      <w:bookmarkStart w:id="543" w:name="_Toc194"/>
      <w:bookmarkEnd w:id="542"/>
      <w:r>
        <w:rPr>
          <w:rtl w:val="true"/>
        </w:rPr>
        <w:t>المسألة السادسة</w:t>
      </w:r>
      <w:r>
        <w:rPr>
          <w:rtl w:val="true"/>
        </w:rPr>
        <w:t xml:space="preserve">: </w:t>
      </w:r>
      <w:r>
        <w:rPr>
          <w:rtl w:val="true"/>
        </w:rPr>
        <w:t>الحرمة الغيرية</w:t>
      </w:r>
      <w:r>
        <w:rPr>
          <w:rtl w:val="true"/>
        </w:rPr>
        <w:t>.</w:t>
      </w:r>
      <w:bookmarkEnd w:id="543"/>
    </w:p>
    <w:p>
      <w:pPr>
        <w:pStyle w:val="BookText"/>
        <w:rPr/>
      </w:pPr>
      <w:r>
        <w:rPr>
          <w:rFonts w:ascii="Amiri" w:hAnsi="Amiri" w:eastAsia="Amiri" w:cs="Amiri"/>
          <w:color w:val="111111"/>
          <w:sz w:val="28"/>
          <w:sz w:val="28"/>
          <w:szCs w:val="28"/>
          <w:rtl w:val="true"/>
          <w:lang w:bidi="ar-SA"/>
        </w:rPr>
        <w:t>قرروا في علم الأصول ان الواجب يقسم الى واجب نفسي واخر غيري ، حيث ان الواجب الغيري ليس فيه مصلحة في متعلقه ولا يثاب او يعاقب المكلف عليه بما هو ، وانما يوجبه المولى لاجل واجب اخر تكون المصلحة فيه ، ويكون الثواب والعقاب عليه</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ولكننا لم نجد هذا التقسيم في المحرم ؛ اذ لم تسلط الأضواء على ان المحرم قد يكون نفسيًا وقد يكون غيريًا ، فبعض المحرمات قد لا تكون هناك مفسدة في متعلقاتها وانما حرمت لاجل 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ما أشار اليه سماحة الشيخ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الجزء الثالث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مسالة حد المبيت الواجب في منى ، حيث بيّن ان الحرمة قد تكون غيرية وان هذا التقسيم يجري في المحرمات كما يجري في الواجبات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هذا المعنى في سياق الكلام عن حرمة المبيت خارج منى حيث ذهب سماحته انها حرمة غيرية ومقدمة لوجوب المبيت في منى ، ونص الكلام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فالصحيح وجوب الكفارة بترك الواجب وهو المبيت المجزئ في منى ؛ لان المعهود في الشريعة ان تكون الكفارة على ترك الواجب او انتهاك المحرم ، اما جعلها على من بات تمام الليل في خارج منى فانه بعيد لان المبيت خارج منى ليس موضوعًا للحكم الشرعي ولَم يلحظ في نفسه وانما نهى عنه مقدمة لوجوب المبيت في منى ، فحرمته غيرية ولا نتوقع ان الكفارة هي لحرمة المبيت في مكة ؛ للزوم وجود تكليفين في المقام وهما وجوب المبيت في منى وحرمة المبيت في مكة ولا قائل بذلك ، ولعدم الخصوصية في المبيت بمكة ؛ لذا اوجبت بعضالروايات الكفارة عن من بات بمكة غير منشغل بالعبادة وبعضها على من بات بغير منى وذكر بعضها من بات بالطريق والجامع بينها انه مبيت بغير منى او طريقها خارجًا من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سماحته قد وضع هامشا عند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فحرمته غيرية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يقسّم الاصوليون الحرام الى نفسي وغيري كما قسموا الواجب ، وهذا المورد يثبت صحة التقسيم ، ومن ثمراته انه يوقع التصالح في مسالة اقتضاء الامر النهي عن ضده فان الضد يكون محرمًا غيريًا ، فمن قال بالاقتضاء صح كلامه بناءً على ذلك ، ومن نفاه انصرف نفيه الى الحرام النفسي وتخلّص من شعوره الوجداني بالاقتضاء</w:t>
      </w:r>
      <w:r>
        <w:rPr>
          <w:rFonts w:eastAsia="Amiri" w:cs="Amiri" w:ascii="Amiri" w:hAnsi="Amiri"/>
          <w:color w:val="111111"/>
          <w:sz w:val="28"/>
          <w:szCs w:val="28"/>
          <w:rtl w:val="true"/>
          <w:lang w:bidi="ar-SA"/>
        </w:rPr>
        <w:t xml:space="preserve">. </w:t>
      </w:r>
      <w:bookmarkStart w:id="544" w:name="pg8133_62968"/>
    </w:p>
    <w:p>
      <w:pPr>
        <w:pStyle w:val="Heading6"/>
        <w:numPr>
          <w:ilvl w:val="5"/>
          <w:numId w:val="1"/>
        </w:numPr>
        <w:rPr/>
      </w:pPr>
      <w:bookmarkStart w:id="545" w:name="__RefHeading___Toc8193367_1051229030"/>
      <w:bookmarkStart w:id="546" w:name="_Toc195"/>
      <w:bookmarkEnd w:id="544"/>
      <w:bookmarkEnd w:id="545"/>
      <w:r>
        <w:rPr>
          <w:rtl w:val="true"/>
        </w:rPr>
        <w:t>المسألة السابعة</w:t>
      </w:r>
      <w:r>
        <w:rPr>
          <w:rtl w:val="true"/>
        </w:rPr>
        <w:t xml:space="preserve">: </w:t>
      </w:r>
      <w:r>
        <w:rPr>
          <w:rtl w:val="true"/>
        </w:rPr>
        <w:t>ترك المستحب يقتضي الكراهة</w:t>
      </w:r>
      <w:r>
        <w:rPr>
          <w:rtl w:val="true"/>
        </w:rPr>
        <w:t>.</w:t>
      </w:r>
      <w:bookmarkEnd w:id="546"/>
    </w:p>
    <w:p>
      <w:pPr>
        <w:pStyle w:val="BookText"/>
        <w:rPr/>
      </w:pPr>
      <w:r>
        <w:rPr>
          <w:rFonts w:ascii="Amiri" w:hAnsi="Amiri" w:eastAsia="Amiri" w:cs="Amiri"/>
          <w:color w:val="111111"/>
          <w:sz w:val="28"/>
          <w:sz w:val="28"/>
          <w:szCs w:val="28"/>
          <w:rtl w:val="true"/>
          <w:lang w:bidi="ar-SA"/>
        </w:rPr>
        <w:t>ناقش علماء الأصول في مباحث الدليل العقلي مسالة الملازمة بين ترك الواجب والحرمة ، والملازمة بين ترك المستحب والكراهة ، فهل يحرم ترك الواجب او يكره ترك المستحب ؟</w:t>
      </w:r>
    </w:p>
    <w:p>
      <w:pPr>
        <w:pStyle w:val="BookText"/>
        <w:rPr/>
      </w:pPr>
      <w:r>
        <w:rPr>
          <w:rFonts w:ascii="Amiri" w:hAnsi="Amiri" w:eastAsia="Amiri" w:cs="Amiri"/>
          <w:color w:val="111111"/>
          <w:sz w:val="28"/>
          <w:sz w:val="28"/>
          <w:szCs w:val="28"/>
          <w:rtl w:val="true"/>
          <w:lang w:bidi="ar-SA"/>
        </w:rPr>
        <w:t xml:space="preserve">ومما ذكره سماحة الشيخ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الجزء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مسالة حكم نقل الميت بعد دفنه الى العتبات المقدسة ، في سياق تعليق له على كلام للسيد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بيّن ان الملازمة بينهما موجودة على نحو الموجبة الجزئية ، وذلك عندما يصدق على الضد العام انه فعل ، ونص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تفكيكه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ترك المستحب وفعل المكروه يمكن أن يجاب حلاً ونقضاً، أما النقض فسنفرد له النقطة التالية، وأما الحل؛ فلأن الملازمة موجودة ولو على نحو الموجبة الجزئية كما في المقام عندما يصدق على الضد العام أنه فعل، فالتعجيل بتجهيز الميت مستحب، وتركه الذي هو التأخير في تجهيز الميت فعل 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الملازمة ثابتة على مستوى الآثار والنتائج فترك المستحب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كصلاة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مكروه وترك المكروه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ككثرة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 إذ المستحب زيادة في الفضل والمكروه نقصانفيه والعلاقة بينهما كالعلاقة بين الواجب والمحرم فترك الواجب حرام وترك الحرام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والاختلاف بينهما إنما هو باللحاظ فتارةً يلحظ المولى المصلحة في الفعل فيأمر بها وتارةً يلحظ المفسدة في الترك فينهى عن الترك وقد يصدر منه اللحاظان كما وردت الأحاديث الشريفة في الأمر بالصلاة والنهي عن تركها</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الأصوليين لما حصروا الوجوب بالمصلحة في الفعل والنهي </w:t>
      </w:r>
    </w:p>
    <w:p>
      <w:pPr>
        <w:pStyle w:val="BookText"/>
        <w:rPr/>
      </w:pPr>
      <w:r>
        <w:rPr>
          <w:rFonts w:ascii="Amiri" w:hAnsi="Amiri" w:eastAsia="Amiri" w:cs="Amiri"/>
          <w:color w:val="111111"/>
          <w:sz w:val="28"/>
          <w:sz w:val="28"/>
          <w:szCs w:val="28"/>
          <w:rtl w:val="true"/>
          <w:lang w:bidi="ar-SA"/>
        </w:rPr>
        <w:t>بالمفسدة في الفعل فككوا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اشتراك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الأمر بالشيء والنهي عن ضده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ناحية المبدأ، فلأن الأمر تابع للمصلحة الإلزامية في متعلقه، والنهي تابع للمفسدة الإلزامية فيه</w:t>
      </w:r>
      <w:r>
        <w:rPr>
          <w:rFonts w:eastAsia="Amiri" w:cs="Amiri" w:ascii="Amiri" w:hAnsi="Amiri"/>
          <w:color w:val="111111"/>
          <w:sz w:val="28"/>
          <w:szCs w:val="28"/>
          <w:rtl w:val="true"/>
          <w:lang w:bidi="ar-SA"/>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وينقض عليهم مثلاً بوجوب ما يسمّونه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المقدمات المفوتة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مصلحة في فعلها وإنما المفسدة في تركها لأن في الترك تفويتاً للواجب فوجبت بملاك المفسدة في الترك لا بملاك المصلحة في الفعل، وقد يكون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 من الحرمة والكراهة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لمصلحة في الترك ككراهة صوم يوم عرفة لمن يضعفه عن الدعاء فإن النهي لمصلحة في ترك الصوم حتى يقوى على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اعترف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بوجود الملازمة في محل البحث وإن نفاها بمعنى آخر في مبحث اقتضاء الأمر بالشيء النهي عن ضده العام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أُريد من العينية في مقام الإثبات والدلالة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أن الأمر بالشيء والنهي عن تركه يدلان على معنى واحد، وإنما الاختلاف في التعبير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مما لا إشكال فيه</w:t>
      </w:r>
      <w:r>
        <w:rPr>
          <w:rFonts w:eastAsia="Amiri" w:cs="Amiri" w:ascii="Amiri" w:hAnsi="Amiri"/>
          <w:color w:val="111111"/>
          <w:sz w:val="28"/>
          <w:szCs w:val="28"/>
          <w:rtl w:val="true"/>
          <w:lang w:bidi="ar-SA"/>
        </w:rPr>
        <w:t>»</w:t>
      </w:r>
      <w:r>
        <w:rPr>
          <w:rStyle w:val="FootnoteAnchor"/>
          <w:rtl w:val="true"/>
        </w:rPr>
        <w:footnoteReference w:id="4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وتفصيل الكلام في علم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جاء في مبحث التسامح في ادلة السنن الذي ذكرناه في الفصل الأول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العرف لا يرى ترك كل مكروه مستحباً حتى يصدق على الترك معنى الفعل والعمل، ولا يرى كل ترك للمستحب مكروهاً حتى يصدق عليه </w:t>
      </w:r>
      <w:bookmarkStart w:id="547" w:name="pg8133_62970"/>
    </w:p>
    <w:p>
      <w:pPr>
        <w:pStyle w:val="BookText"/>
        <w:rPr/>
      </w:pPr>
      <w:bookmarkEnd w:id="547"/>
      <w:r>
        <w:rPr>
          <w:rFonts w:ascii="Amiri" w:hAnsi="Amiri" w:eastAsia="Amiri" w:cs="Amiri"/>
          <w:color w:val="111111"/>
          <w:sz w:val="28"/>
          <w:sz w:val="28"/>
          <w:szCs w:val="28"/>
          <w:rtl w:val="true"/>
          <w:lang w:bidi="ar-SA"/>
        </w:rPr>
        <w:t>نفس المعنى، ففي مسألتنا كان التعجيل بتجهيز الميت فعلاً مستحباً والتأخير بتجهيزه فعلاً مكروهاً فإذا ورد خبر ضعيف في كراهة أمرٍ وصدق على تركه عنوان الفعل أمكن إجراء القاعدة على مبناهم</w:t>
      </w:r>
      <w:r>
        <w:rPr>
          <w:rFonts w:eastAsia="Amiri" w:cs="Amiri" w:ascii="Amiri" w:hAnsi="Amiri"/>
          <w:color w:val="111111"/>
          <w:sz w:val="28"/>
          <w:szCs w:val="28"/>
          <w:rtl w:val="true"/>
          <w:lang w:bidi="ar-SA"/>
        </w:rPr>
        <w:t>.</w:t>
      </w:r>
    </w:p>
    <w:p>
      <w:pPr>
        <w:pStyle w:val="Heading6"/>
        <w:numPr>
          <w:ilvl w:val="5"/>
          <w:numId w:val="1"/>
        </w:numPr>
        <w:rPr/>
      </w:pPr>
      <w:bookmarkStart w:id="548" w:name="__RefHeading___Toc8193369_1051229030"/>
      <w:bookmarkStart w:id="549" w:name="_Toc196"/>
      <w:bookmarkEnd w:id="548"/>
      <w:r>
        <w:rPr>
          <w:rtl w:val="true"/>
        </w:rPr>
        <w:t>المسألة الثامنة</w:t>
      </w:r>
      <w:r>
        <w:rPr>
          <w:rtl w:val="true"/>
        </w:rPr>
        <w:t xml:space="preserve">: </w:t>
      </w:r>
      <w:r>
        <w:rPr>
          <w:rtl w:val="true"/>
        </w:rPr>
        <w:t>إشكالية المقدمات المفوتة</w:t>
      </w:r>
      <w:r>
        <w:rPr>
          <w:rtl w:val="true"/>
        </w:rPr>
        <w:t>.</w:t>
      </w:r>
      <w:bookmarkEnd w:id="549"/>
    </w:p>
    <w:p>
      <w:pPr>
        <w:pStyle w:val="BookText"/>
        <w:rPr/>
      </w:pPr>
      <w:r>
        <w:rPr>
          <w:rFonts w:ascii="Amiri" w:hAnsi="Amiri" w:eastAsia="Amiri" w:cs="Amiri"/>
          <w:color w:val="111111"/>
          <w:sz w:val="28"/>
          <w:sz w:val="28"/>
          <w:szCs w:val="28"/>
          <w:rtl w:val="true"/>
          <w:lang w:bidi="ar-SA"/>
        </w:rPr>
        <w:t xml:space="preserve">يسلم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المقدمات المفوتة ؛ ولذلك شبّه غيرها بها ، اذ قال في الجزء الثاني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عدم حرمة أكثر صور التلقيح الصناعي أو كلها فلا مانع على مستوى النتائج، وأما على مستوى الأسباب فيمكن القول أن المسوِّغ موجود وهو المساهمة في إنقاذ حياة زوجية تعاني من العقم ودفع حرج اجتماعي أو ضرر عن مؤمن أو مؤمنة ورفع اضطرارهما أو نحو ذلك، وإذا لم يمكن تحصيل الحيمن أو البويضة في وقت الحاجة فإن إيداعها في البنك يكون سائغاً؛ لأن عدم الإيداع يلزم منه الفوات عند الحاجة كالمقدمات المفوتة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يمكن الاستفادة من عيّنات المني الكثيرة التي يجلبها أصحابها إلى المختبرات لإجراء التحاليل فيمكن الاحتفاظ بها بإذن أصحابها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اتضح مما نقلناه عن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السابقة ، وهو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وينقض عليهم مثلاً بوجوب ما يسمّونه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المقدمات المفوتة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مصلحة في فعلها وإنما المفسدة في تركها لأن في الترك تفويتاً للواجبفوجبت بملاك المفسدة في الترك لا بملاك المصلحة في الفعل</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كيفية علاجه لمشكلة وجوب المقدمات المفوتة ؛ اذ ان وجوبها تابع لوجوب ذيها ، فكيف تجب مع ان ذي المقدمة لا يكون واجبا في ظرفها ؟ </w:t>
      </w:r>
      <w:bookmarkStart w:id="550" w:name="pg8133_62971"/>
    </w:p>
    <w:p>
      <w:pPr>
        <w:pStyle w:val="BookText"/>
        <w:rPr/>
      </w:pPr>
      <w:bookmarkEnd w:id="550"/>
      <w:r>
        <w:rPr>
          <w:rFonts w:ascii="Amiri" w:hAnsi="Amiri" w:eastAsia="Amiri" w:cs="Amiri"/>
          <w:color w:val="111111"/>
          <w:sz w:val="28"/>
          <w:sz w:val="28"/>
          <w:szCs w:val="28"/>
          <w:rtl w:val="true"/>
          <w:lang w:bidi="ar-SA"/>
        </w:rPr>
        <w:t xml:space="preserve">وعلاجه لتلك الإشكالية انه يذهب الى حرمة ترك المقدمات المفوتة ؛ اذ ان في تركها مفسدة ، وبالملازمة يثبت ان تلك المقدمات واجبة ، وقد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المعنى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اشكل الأصحاب على وجوب المقدمات المفوتة وهي مقدمات الواجب التي يفوت الواجب في ظرفه اذا لم يأتِ بها المكلف في ظرفها لتوقفه عليها ومن موارد تطبيقها منع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الذهاب الى المناطق القطبية التي فيها نهار مستمر او ليل مستمر لأنه يضيّع على المكلف أوقات الصلاة والصوم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الواجب عليه استيطان مكان تتميز فيه أوقات الصلاة ليتمكن من اداء الفريضة في أوقاتها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ومنشأ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وجوب المقدمة مترشح من وجوب ذيها والمفروض عدم فعليه الواجب في ظرف المقدمة فكيف تجب المقدمة وقد كان الاشكال محكماً عند استاذنا 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لم يلتزم بوجوب المقدمات المفوتة نظرياً على الأقل حتى باحثها فعرضت عليه وجهاً لوجوبها استحسنه وأقرّه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الاشكال مبني على ملاحظة وجوب الفعل في المقدمة ولنا ان ندعي ان الملحوظ فيها حرمة الترك لأن تركها في وقتها يؤدي الى تفويت الواجب في وقته كما هو مفروض التعريف، ولازم حرمة الترك الوجوب أو هو عينه وتعبير آخر عنه اثباتاً والفرق بينهما ثبوتاً في لحاظ الملاك هل هو مصلحة الفعل أم مفسدة الترك</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51" w:name="__RefHeading___Toc8193371_1051229030"/>
      <w:bookmarkStart w:id="552" w:name="_Toc197"/>
      <w:bookmarkEnd w:id="551"/>
      <w:r>
        <w:rPr>
          <w:rtl w:val="true"/>
        </w:rPr>
        <w:t>المسألة التاسعة</w:t>
      </w:r>
      <w:r>
        <w:rPr>
          <w:rtl w:val="true"/>
        </w:rPr>
        <w:t xml:space="preserve">: </w:t>
      </w:r>
      <w:r>
        <w:rPr>
          <w:rtl w:val="true"/>
        </w:rPr>
        <w:t>التخييري من اقسام الواجب لا الوجوب</w:t>
      </w:r>
      <w:r>
        <w:rPr>
          <w:rtl w:val="true"/>
        </w:rPr>
        <w:t>.</w:t>
      </w:r>
      <w:bookmarkEnd w:id="552"/>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هناك أقوال متعددة في حقيقة الوجوب التخييري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البعض الى ان </w:t>
      </w:r>
    </w:p>
    <w:p>
      <w:pPr>
        <w:pStyle w:val="BookText"/>
        <w:rPr/>
      </w:pPr>
      <w:r>
        <w:rPr>
          <w:rFonts w:ascii="Amiri" w:hAnsi="Amiri" w:eastAsia="Amiri" w:cs="Amiri"/>
          <w:color w:val="111111"/>
          <w:sz w:val="28"/>
          <w:sz w:val="28"/>
          <w:szCs w:val="28"/>
          <w:rtl w:val="true"/>
          <w:lang w:bidi="ar-SA"/>
        </w:rPr>
        <w:t>متعلق الوجوب التخييري هو الجامع اما أفراد التخيير فليست متعلقة للوجوب وانما هي مجرد مصاديق يمتثل الواجب بها ، بينما ذهب بعض اخر الى ان الافراد هي الواجبة ولكن وجوب كل منها مشروط بترك الاخر ، او انها واجبة على نحو الفرد المردد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ويبدو ان سماحة الشيخ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يبني على القول الأول ، ولذا قال ان التخييري من اقسام الواجب لا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ذلك في الجزء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مسالة حكم إقامة صلاة الجمعة في عصر الغيبة ، اذ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التخييري ليس من أقسام الوجوب حتى يحمل لفظه الوارد في الروايات عليه بل هو من أقسام الواجب والدليل صحة السلب عن فرد التخييري فلا يقال عتق الرقبة واجب على من أفطر متعمداً في شهر رمضان وإنما تعلق الوجوب بالعنوان الانتزاعي وهو عنوان الكفارة لكن عتق الرقبة وصوم شهرين متتابعين وإطعام ستين مسكيناً أفراد يقع الإجزاء والامتثال للواجب بها ويسقط التكليف بأدائها فهي من أفراد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فلا يصحّ حمل ألفاظ الوجوب الواردة في الروايات على الجمعة باعتبارها فرداً تخييرياً وإنما باعتبارها واجباً تعيينياً</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هذا في علم الأصول وفي الفقه؛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متعلق الوجوب إنما هو الجامع الانتزاعي المنطبق على كل من الطرفين أو الأطراف، وليس الطرف بنفسه متعلقاً للتكليف بوجه، وإنما هو محقق للامتثال ومسقط للأمر المتعلق بالجامع من أجل انطباقه عليه</w:t>
      </w:r>
      <w:r>
        <w:rPr>
          <w:rFonts w:eastAsia="Amiri" w:cs="Amiri" w:ascii="Amiri" w:hAnsi="Amiri"/>
          <w:color w:val="111111"/>
          <w:sz w:val="28"/>
          <w:szCs w:val="28"/>
          <w:rtl w:val="true"/>
          <w:lang w:bidi="ar-SA"/>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 xml:space="preserve">. </w:t>
      </w:r>
      <w:bookmarkStart w:id="553" w:name="pg8133_62973"/>
    </w:p>
    <w:p>
      <w:pPr>
        <w:pStyle w:val="Heading6"/>
        <w:numPr>
          <w:ilvl w:val="5"/>
          <w:numId w:val="1"/>
        </w:numPr>
        <w:rPr/>
      </w:pPr>
      <w:bookmarkStart w:id="554" w:name="__RefHeading___Toc8193373_1051229030"/>
      <w:bookmarkStart w:id="555" w:name="_Toc198"/>
      <w:bookmarkEnd w:id="553"/>
      <w:bookmarkEnd w:id="554"/>
      <w:r>
        <w:rPr>
          <w:rtl w:val="true"/>
        </w:rPr>
        <w:t>المسألة العاشرة</w:t>
      </w:r>
      <w:r>
        <w:rPr>
          <w:rtl w:val="true"/>
        </w:rPr>
        <w:t xml:space="preserve">: </w:t>
      </w:r>
      <w:r>
        <w:rPr>
          <w:rtl w:val="true"/>
        </w:rPr>
        <w:t>العيني والكفائي من تقسيمات الواجب</w:t>
      </w:r>
      <w:r>
        <w:rPr>
          <w:rtl w:val="true"/>
        </w:rPr>
        <w:t>.</w:t>
      </w:r>
      <w:bookmarkEnd w:id="555"/>
    </w:p>
    <w:p>
      <w:pPr>
        <w:pStyle w:val="BookText"/>
        <w:rPr/>
      </w:pPr>
      <w:r>
        <w:rPr>
          <w:rFonts w:ascii="Amiri" w:hAnsi="Amiri" w:eastAsia="Amiri" w:cs="Amiri"/>
          <w:color w:val="111111"/>
          <w:sz w:val="28"/>
          <w:sz w:val="28"/>
          <w:szCs w:val="28"/>
          <w:rtl w:val="true"/>
          <w:lang w:bidi="ar-SA"/>
        </w:rPr>
        <w:t xml:space="preserve">مما تعارف عليه علماء الأصول ان الوجوب ينقسم الى عيني وكفائي ، والى تعييني وتخييري ، الا ان سماحة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الى ان التخييري والتعييني من اقسام الواجب لا الوجوب كما أوضحنا في المسألة السابقة ، وذهب الى ان العيني والكفائي من اقسام الواجب لا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وكنا قد نقلنا هذا القول عن سماحته في مبحث حقيقة الوجوب الكفائي ،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فالفرق بين العيني والكفائي ليس في خطاب التكليف أي الوجوب، وإنما في طبيعة الواجب وسنخه وشأنيته المعروفة لدى الجميع، حتى تسالموا فقهياً وأصولياً على خصائصه، فإن الواجبات الكفائية مما يتحقق فيها غرض المولى بامتثال البعض، أما العينية فلا يتحقق غرض المولى إلا بامتثال كل فرد 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ونصل بذلك إلى نتيجة مهمة، وهي أن التقسيم إلى العيني والكفائي هو من تقسيمات الواجب لا الوجوب، وعدم وجود فرق بينهما على مستوى التكليف والوجوب، وإنما الفرق في مرتبة الامتثال والإتيان بالواجب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النتيجة المهمة قد توصلنا لنتيجة أهم منها في مسألتنا وهي أن بعض ما قيل من شروط وجوب الأمر بالمعروف والنهي عن المنكر هي شروط للواجب لا للوجوب كما سيأتي في الفصل الخاص بالشروط إن شاء الله تعالى</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صحّت هذه النتيجة فإنها تصحح منظومة فكرية أسست لسيرة عملية للفقهاء والحوزات العلمية اعتبرت الشروط المذكورة شروطاً للوجوب فهو يسقط بعدم تحققها، وبما أن تلك الشروط صعبة التحقق ولا يتحقق القطع بها غالباً، فتلاشى العمل بهذه الفريضة بعد أن أقنعنا أنفسنا </w:t>
      </w:r>
      <w:bookmarkStart w:id="556" w:name="pg8133_62974"/>
    </w:p>
    <w:p>
      <w:pPr>
        <w:pStyle w:val="BookText"/>
        <w:rPr/>
      </w:pPr>
      <w:bookmarkEnd w:id="556"/>
      <w:r>
        <w:rPr>
          <w:rFonts w:ascii="Amiri" w:hAnsi="Amiri" w:eastAsia="Amiri" w:cs="Amiri"/>
          <w:color w:val="111111"/>
          <w:sz w:val="28"/>
          <w:sz w:val="28"/>
          <w:szCs w:val="28"/>
          <w:rtl w:val="true"/>
          <w:lang w:bidi="ar-SA"/>
        </w:rPr>
        <w:t>بسقوط الوجوب، وهذه المنظومة وجَّهت مسيرتهم خلال قرونمن الزمن، والله المستعان</w:t>
      </w:r>
      <w:r>
        <w:rPr>
          <w:rFonts w:eastAsia="Amiri" w:cs="Amiri" w:ascii="Amiri" w:hAnsi="Amiri"/>
          <w:color w:val="111111"/>
          <w:sz w:val="28"/>
          <w:szCs w:val="28"/>
          <w:rtl w:val="true"/>
          <w:lang w:bidi="ar-SA"/>
        </w:rPr>
        <w:t>.</w:t>
      </w:r>
    </w:p>
    <w:p>
      <w:pPr>
        <w:pStyle w:val="Heading6"/>
        <w:numPr>
          <w:ilvl w:val="5"/>
          <w:numId w:val="1"/>
        </w:numPr>
        <w:rPr/>
      </w:pPr>
      <w:bookmarkStart w:id="557" w:name="__RefHeading___Toc8193375_1051229030"/>
      <w:bookmarkStart w:id="558" w:name="_Toc199"/>
      <w:bookmarkEnd w:id="557"/>
      <w:r>
        <w:rPr>
          <w:rtl w:val="true"/>
        </w:rPr>
        <w:t>المسألة الحادية عشرة</w:t>
      </w:r>
      <w:r>
        <w:rPr>
          <w:rtl w:val="true"/>
        </w:rPr>
        <w:t xml:space="preserve">: </w:t>
      </w:r>
      <w:r>
        <w:rPr>
          <w:rtl w:val="true"/>
        </w:rPr>
        <w:t>افضلية بعض أفراد الوجوب التخييري</w:t>
      </w:r>
      <w:r>
        <w:rPr>
          <w:rtl w:val="true"/>
        </w:rPr>
        <w:t>.</w:t>
      </w:r>
      <w:bookmarkEnd w:id="558"/>
    </w:p>
    <w:p>
      <w:pPr>
        <w:pStyle w:val="BookText"/>
        <w:rPr/>
      </w:pPr>
      <w:r>
        <w:rPr>
          <w:rFonts w:ascii="Amiri" w:hAnsi="Amiri" w:eastAsia="Amiri" w:cs="Amiri"/>
          <w:color w:val="111111"/>
          <w:sz w:val="28"/>
          <w:sz w:val="28"/>
          <w:szCs w:val="28"/>
          <w:rtl w:val="true"/>
          <w:lang w:bidi="ar-SA"/>
        </w:rPr>
        <w:t>في الوجوب التخييري يكون المكلف مخيرا من ناحية الامتثال بين أفراد الوجوب ، ولكن هذا لا يعني لزوم كونها بدرجة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يكون لبعض الافراد افضلية على البعض الاخر ، وقد ذكر هذا الكلام سماحة الشيخ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الجزء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بعدها في مسالة حكم إقامة صلاة الجمعة في عصر الغيبة ، اذ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معنى الوجوب التخييري هو كون أفراده في عرض واحد من حيث الامتثال حتى وإن كانت لبعضها أفضلية على بعض وهو لا يكون إلا إذا دلّ الدليل عليه كخصال الكفارة حيث عطف الشارع المقدس بعضها على بعض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وقرائن أخرى ذكرت في محلها ولا يوجد مثل هذا الدليل في المقام وإنما هو شيء تخيّله الفقهاء لحلّ المشكلة التي يواجهونها فمن جهة تدل النصوص على وجوبها التعييني ومن جهة يرون عدم الاهتمام بإقامتها فقالوا بالتخيير وعندئذٍ إذا حُلَّت المشكلة بما ذكرناه فلا مسوغ للقول بالوجوب التخييري لأنه تشريع من غير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منا أن بدلية الظهر عن الجمعة طولية كخصال الكفارة المرتبة حيث أن من لم يتمكن من الفرد الأول يأتي بالثاني وهكذا فإن من لم يتمكن من أداء صلاة الجمعة لخوف أو لعدم وجود إمام يخطب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تعبير بعض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لعدم اكتمال العدد فله أن يصلي الظهر بدلاً عنها</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الترخيصات التي أذن بها الشارع المقدس نزول المطر واتفاق العيد يوم الجمعة فمن صلى العيد جماعة يُرخَّص في حضور الجمعة، دلّ </w:t>
      </w:r>
      <w:bookmarkStart w:id="559" w:name="pg8133_62975"/>
    </w:p>
    <w:p>
      <w:pPr>
        <w:pStyle w:val="BookText"/>
        <w:rPr/>
      </w:pPr>
      <w:bookmarkEnd w:id="559"/>
      <w:r>
        <w:rPr>
          <w:rFonts w:ascii="IRNazanin" w:hAnsi="IRNazanin" w:eastAsia="IRNazanin"/>
          <w:color w:val="111111"/>
          <w:sz w:val="28"/>
          <w:sz w:val="28"/>
          <w:szCs w:val="28"/>
          <w:rtl w:val="true"/>
          <w:lang w:bidi="fa-IR"/>
        </w:rPr>
        <w:t xml:space="preserve">على الأول صحيحة عبد الرحمن بن أبي عبد الله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أن تدع الجمعة في المطر</w:t>
      </w:r>
      <w:r>
        <w:rPr>
          <w:rFonts w:eastAsia="IRNazanin" w:cs="IRNazanin"/>
          <w:color w:val="111111"/>
          <w:sz w:val="28"/>
          <w:szCs w:val="28"/>
          <w:rtl w:val="true"/>
          <w:lang w:bidi="fa-IR"/>
        </w:rPr>
        <w:t>)</w:t>
      </w:r>
      <w:r>
        <w:rPr>
          <w:rStyle w:val="FootnoteAnchor"/>
          <w:rtl w:val="true"/>
        </w:rPr>
        <w:footnoteReference w:id="499"/>
      </w:r>
      <w:r>
        <w:rPr>
          <w:rFonts w:ascii="IRNazanin" w:hAnsi="IRNazanin" w:eastAsia="IRNazanin"/>
          <w:color w:val="111111"/>
          <w:sz w:val="28"/>
          <w:sz w:val="28"/>
          <w:szCs w:val="28"/>
          <w:rtl w:val="true"/>
          <w:lang w:bidi="fa-IR"/>
        </w:rPr>
        <w:t xml:space="preserve">ودل على الثاني صحيحة الحلبي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الفطر والأضحى إذا اجتمعا في يوم الجمعة،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اجتمعا في زمان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شاء أن يأتي إلى الجمعة فليأت ومن قعد فلا يضرّه، وليصلّ الظهر، وخطب خطبتين جمع فيهما خطبة العيد وخطبة الجمعة</w:t>
      </w:r>
      <w:r>
        <w:rPr>
          <w:rFonts w:eastAsia="IRNazanin" w:cs="IRNazanin"/>
          <w:color w:val="111111"/>
          <w:sz w:val="28"/>
          <w:szCs w:val="28"/>
          <w:rtl w:val="true"/>
          <w:lang w:bidi="fa-IR"/>
        </w:rPr>
        <w:t xml:space="preserve">)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60" w:name="__RefHeading___Toc8193377_1051229030"/>
      <w:bookmarkStart w:id="561" w:name="_Toc200"/>
      <w:bookmarkEnd w:id="560"/>
      <w:r>
        <w:rPr>
          <w:rtl w:val="true"/>
        </w:rPr>
        <w:t>المسألة الثانية عشرة</w:t>
      </w:r>
      <w:r>
        <w:rPr>
          <w:rtl w:val="true"/>
        </w:rPr>
        <w:t xml:space="preserve">: </w:t>
      </w:r>
      <w:r>
        <w:rPr>
          <w:rtl w:val="true"/>
        </w:rPr>
        <w:t>مورد قاعدة الاشتغال اليقيني</w:t>
      </w:r>
      <w:r>
        <w:rPr>
          <w:rtl w:val="true"/>
        </w:rPr>
        <w:t>.</w:t>
      </w:r>
      <w:bookmarkEnd w:id="561"/>
    </w:p>
    <w:p>
      <w:pPr>
        <w:pStyle w:val="Heading6"/>
        <w:numPr>
          <w:ilvl w:val="5"/>
          <w:numId w:val="1"/>
        </w:numPr>
        <w:rPr/>
      </w:pPr>
      <w:bookmarkStart w:id="562" w:name="__RefHeading___Toc8193379_1051229030"/>
      <w:bookmarkStart w:id="563" w:name="_Toc201"/>
      <w:bookmarkEnd w:id="562"/>
      <w:r>
        <w:rPr>
          <w:rtl w:val="true"/>
        </w:rPr>
        <w:t>اشارة</w:t>
      </w:r>
      <w:bookmarkEnd w:id="563"/>
    </w:p>
    <w:p>
      <w:pPr>
        <w:pStyle w:val="BookText"/>
        <w:rPr/>
      </w:pPr>
      <w:r>
        <w:rPr>
          <w:rFonts w:ascii="Amiri" w:hAnsi="Amiri" w:eastAsia="Amiri" w:cs="Amiri"/>
          <w:color w:val="111111"/>
          <w:sz w:val="28"/>
          <w:sz w:val="28"/>
          <w:szCs w:val="28"/>
          <w:rtl w:val="true"/>
          <w:lang w:bidi="ar-SA"/>
        </w:rPr>
        <w:t>ان قاعدة الاشتغال اليقيني يقتضي الفراغ اليقيني من القواعد العقلية المتعارفة ، والتي يستدل بها كثيرا للزوم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أوضح سماحة الشيخ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القاعدة لا تجري عندما يكون الشك في اصل التكليف ، او ناشئا ومسببا عن الشك في اصل التكليف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ما جاء في الجزء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بيان ادلة مفطرية الكذب على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اذ قال</w:t>
      </w:r>
      <w:r>
        <w:rPr>
          <w:rFonts w:eastAsia="IRNazanin" w:cs="IRNazanin"/>
          <w:color w:val="111111"/>
          <w:sz w:val="28"/>
          <w:szCs w:val="28"/>
          <w:rtl w:val="true"/>
          <w:lang w:bidi="fa-IR"/>
        </w:rPr>
        <w:t>:</w:t>
      </w:r>
    </w:p>
    <w:p>
      <w:pPr>
        <w:pStyle w:val="Heading6"/>
        <w:numPr>
          <w:ilvl w:val="5"/>
          <w:numId w:val="1"/>
        </w:numPr>
        <w:rPr/>
      </w:pPr>
      <w:bookmarkStart w:id="564" w:name="__RefHeading___Toc8193381_1051229030"/>
      <w:bookmarkStart w:id="565" w:name="_Toc202"/>
      <w:bookmarkEnd w:id="564"/>
      <w:r>
        <w:rPr>
          <w:rtl w:val="true"/>
        </w:rPr>
        <w:t>الثاني</w:t>
      </w:r>
      <w:r>
        <w:rPr>
          <w:rtl w:val="true"/>
        </w:rPr>
        <w:t xml:space="preserve">: </w:t>
      </w:r>
      <w:r>
        <w:rPr>
          <w:rtl w:val="true"/>
        </w:rPr>
        <w:t>قاعدة الاشتغال</w:t>
      </w:r>
      <w:bookmarkEnd w:id="565"/>
    </w:p>
    <w:p>
      <w:pPr>
        <w:pStyle w:val="BookText"/>
        <w:rPr/>
      </w:pPr>
      <w:r>
        <w:rPr>
          <w:rFonts w:ascii="Amiri" w:hAnsi="Amiri" w:eastAsia="Amiri" w:cs="Amiri"/>
          <w:color w:val="111111"/>
          <w:sz w:val="28"/>
          <w:sz w:val="28"/>
          <w:szCs w:val="28"/>
          <w:rtl w:val="true"/>
          <w:lang w:bidi="ar-SA"/>
        </w:rPr>
        <w:t xml:space="preserve">قال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والحجة في ما ذهبوا إليه إجماع الطائفة، وطريقة الاحتياط واليقين ببراءة الذمة من الصوم</w:t>
      </w:r>
      <w:r>
        <w:rPr>
          <w:rFonts w:eastAsia="Amiri" w:cs="Amiri" w:ascii="Amiri" w:hAnsi="Amiri"/>
          <w:color w:val="111111"/>
          <w:sz w:val="28"/>
          <w:szCs w:val="28"/>
          <w:rtl w:val="true"/>
          <w:lang w:bidi="ar-SA"/>
        </w:rPr>
        <w:t xml:space="preserve">» </w:t>
      </w:r>
      <w:r>
        <w:rPr>
          <w:rStyle w:val="FootnoteAnchor"/>
          <w:rtl w:val="true"/>
        </w:rPr>
        <w:footnoteReference w:id="501"/>
      </w:r>
      <w:r>
        <w:rPr>
          <w:rFonts w:ascii="Amiri" w:hAnsi="Amiri" w:eastAsia="Amiri" w:cs="Amiri"/>
          <w:color w:val="111111"/>
          <w:sz w:val="28"/>
          <w:sz w:val="28"/>
          <w:szCs w:val="28"/>
          <w:rtl w:val="true"/>
          <w:lang w:bidi="ar-SA"/>
        </w:rPr>
        <w:t xml:space="preserve">وذكرها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يبين وجهها، ويمكن تقريبها بشكلين</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اشتغال الذمة اليقيني يستدعي فراغاً يقينياً ولا يتحقق الفراغ </w:t>
      </w:r>
      <w:bookmarkStart w:id="566" w:name="pg8133_62976"/>
    </w:p>
    <w:p>
      <w:pPr>
        <w:pStyle w:val="BookText"/>
        <w:rPr/>
      </w:pPr>
      <w:bookmarkEnd w:id="566"/>
      <w:r>
        <w:rPr>
          <w:rFonts w:ascii="Amiri" w:hAnsi="Amiri" w:eastAsia="Amiri" w:cs="Amiri"/>
          <w:color w:val="111111"/>
          <w:sz w:val="28"/>
          <w:sz w:val="28"/>
          <w:szCs w:val="28"/>
          <w:rtl w:val="true"/>
          <w:lang w:bidi="ar-SA"/>
        </w:rPr>
        <w:t>اليقيني من اشتغال الذمة بوجوب الصوم إلا باجتناب هذا المفطر المحتمل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الشك في المحصل وتجري فيه قاعدة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القاعدة لا تجري لأن الشك في أصل التكليف أي في أصل كون الكذب على الله ورسوله من المفطرات وليس في المكلَّف به، أو قل إن الشك في المحصل لامتثال المكلف به مسببي عن الشك السببي المتعلق بمفطرية الكذب التي لم تثبت إلى الآن بحسب الفرض</w:t>
      </w:r>
      <w:r>
        <w:rPr>
          <w:rFonts w:eastAsia="Amiri" w:cs="Amiri" w:ascii="Amiri" w:hAnsi="Amiri"/>
          <w:color w:val="111111"/>
          <w:sz w:val="28"/>
          <w:szCs w:val="28"/>
          <w:rtl w:val="true"/>
          <w:lang w:bidi="ar-SA"/>
        </w:rPr>
        <w:t>.</w:t>
      </w:r>
    </w:p>
    <w:p>
      <w:pPr>
        <w:pStyle w:val="Heading6"/>
        <w:numPr>
          <w:ilvl w:val="5"/>
          <w:numId w:val="1"/>
        </w:numPr>
        <w:rPr/>
      </w:pPr>
      <w:bookmarkStart w:id="567" w:name="__RefHeading___Toc8193383_1051229030"/>
      <w:bookmarkStart w:id="568" w:name="_Toc203"/>
      <w:bookmarkEnd w:id="567"/>
      <w:r>
        <w:rPr>
          <w:rtl w:val="true"/>
        </w:rPr>
        <w:t>المسألة الثالثة عشرة</w:t>
      </w:r>
      <w:r>
        <w:rPr>
          <w:rtl w:val="true"/>
        </w:rPr>
        <w:t xml:space="preserve">: </w:t>
      </w:r>
      <w:r>
        <w:rPr>
          <w:rtl w:val="true"/>
        </w:rPr>
        <w:t>الوجوب العقلي للنهي عن المنكر</w:t>
      </w:r>
      <w:r>
        <w:rPr>
          <w:rtl w:val="true"/>
        </w:rPr>
        <w:t>.</w:t>
      </w:r>
      <w:bookmarkEnd w:id="568"/>
    </w:p>
    <w:p>
      <w:pPr>
        <w:pStyle w:val="BookText"/>
        <w:rPr/>
      </w:pPr>
      <w:r>
        <w:rPr>
          <w:rFonts w:ascii="Amiri" w:hAnsi="Amiri" w:eastAsia="Amiri" w:cs="Amiri"/>
          <w:color w:val="111111"/>
          <w:sz w:val="28"/>
          <w:sz w:val="28"/>
          <w:szCs w:val="28"/>
          <w:rtl w:val="true"/>
          <w:lang w:bidi="ar-SA"/>
        </w:rPr>
        <w:t xml:space="preserve">في كثير من الأحيان يدرك العقل وجوب فعل من الأفعال ، كوجوب طاعة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وياتي الخطاب الشرعي إرشادا لحكم العقل ،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أَطِيعُوا اللَّهَ وَ الرَّسُولَ لَعَلَّكُمْ تُرْحَمُون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تنازع فيه الفقهاء وجوب 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ذهب بعضهم الى انه عقلي ، بينما ذهب الاخر الى كونه شرعيا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والمهم في ذلك هو المناط الذي على أساسه نحكم بان الوجوب عقلي او شرعي ، وقد بيّن سماحة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في الجزء الثامن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 ، اذ قال</w:t>
      </w:r>
      <w:r>
        <w:rPr>
          <w:rFonts w:eastAsia="Amiri" w:cs="Amiri" w:ascii="Amiri" w:hAnsi="Amiri"/>
          <w:color w:val="111111"/>
          <w:sz w:val="28"/>
          <w:szCs w:val="28"/>
          <w:rtl w:val="true"/>
          <w:lang w:bidi="ar-SA"/>
        </w:rPr>
        <w:t>:</w:t>
      </w:r>
    </w:p>
    <w:p>
      <w:pPr>
        <w:pStyle w:val="Heading6"/>
        <w:numPr>
          <w:ilvl w:val="5"/>
          <w:numId w:val="1"/>
        </w:numPr>
        <w:rPr/>
      </w:pPr>
      <w:bookmarkStart w:id="569" w:name="__RefHeading___Toc8193385_1051229030"/>
      <w:bookmarkStart w:id="570" w:name="_Toc204"/>
      <w:bookmarkEnd w:id="569"/>
      <w:r>
        <w:rPr>
          <w:rtl w:val="true"/>
        </w:rPr>
        <w:t>هل الوجوب عقلي أم شرعي؟</w:t>
      </w:r>
      <w:bookmarkEnd w:id="570"/>
    </w:p>
    <w:p>
      <w:pPr>
        <w:pStyle w:val="BookText"/>
        <w:rPr/>
      </w:pPr>
      <w:r>
        <w:rPr>
          <w:rFonts w:ascii="Amiri" w:hAnsi="Amiri" w:eastAsia="Amiri" w:cs="Amiri"/>
          <w:color w:val="111111"/>
          <w:sz w:val="28"/>
          <w:sz w:val="28"/>
          <w:szCs w:val="28"/>
          <w:rtl w:val="true"/>
          <w:lang w:bidi="ar-SA"/>
        </w:rPr>
        <w:t>فإذا تمّ لدينا دليل من العقل كان وجوب هذه الفريضة عقلياً وتكون الأدلة الشرعية مؤكدة وإرشادية، وإن لم يتم فالوجوب شرعي لوفرة الأدلة عليه، وتقريب الاستدلال بالعقل بنحوين</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المصادر الآتية،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بالمعروف والنهي عن </w:t>
      </w:r>
    </w:p>
    <w:p>
      <w:pPr>
        <w:pStyle w:val="BookText"/>
        <w:rPr/>
      </w:pPr>
      <w:r>
        <w:rPr>
          <w:rFonts w:ascii="Amiri" w:hAnsi="Amiri" w:eastAsia="Amiri" w:cs="Amiri"/>
          <w:color w:val="111111"/>
          <w:sz w:val="28"/>
          <w:sz w:val="28"/>
          <w:szCs w:val="28"/>
          <w:rtl w:val="true"/>
          <w:lang w:bidi="ar-SA"/>
        </w:rPr>
        <w:t xml:space="preserve">المنكر من اللطف لأنهما يقرّبان إلى الطاعة ويبعّدان عن المعصية، واللطف واجب على الله تبارك وتعالى بما أوجب على نفسه، والمقدمتانظاهرتان –كما يقول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فهذه الوظيفة 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واستند إلى هذا الدليل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الاقتصاد</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والعلامة في المختلف والشهيدان الأول والثاني في اللمعة والروضة، وحكي عن غيرهم أيضاً كالمقداد، واستغنوا به عن الأدلة النقلية حتى قالوا أن وجوب الفريضة عقلي لا سمعي، أما أمر الشارع فهو تأكيد وإرشاد، وسبقهم إلى ذلك رؤساء المعتزلة كأبي علي الجُبّائي</w:t>
      </w:r>
      <w:r>
        <w:rPr>
          <w:rStyle w:val="FootnoteAnchor"/>
          <w:rtl w:val="true"/>
        </w:rPr>
        <w:footnoteReference w:id="5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إلى كون الوجوب شرعياً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والمحقق الحلي والحلبي والخواجة نصير الدين الطوسي والكركي وفخر المحققين ووالده في بعض كتبه، بل عن المختلف نسبته إلى الأكثر، بل عن السرائر نسبته إلى جمهور المتكلمين والمحصّلين من الفقهاء</w:t>
      </w:r>
      <w:r>
        <w:rPr>
          <w:rFonts w:eastAsia="Amiri" w:cs="Amiri" w:ascii="Amiri" w:hAnsi="Amiri"/>
          <w:color w:val="111111"/>
          <w:sz w:val="28"/>
          <w:szCs w:val="28"/>
          <w:rtl w:val="true"/>
          <w:lang w:bidi="ar-SA"/>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وأورد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الدليل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 لو كان واجباً بالعقل لم يرتفع معروف ولم يقع منكر، أو يكون الله تعالى مخلاً بالواجب، واللازم بقسميه باطل فالملزوم مثله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بيان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بالمعروف إذا كان هو الحمل عليه وحقيقة النهي عن المنكر هو المنع منه، فلو وجبا بالعقل لكان واجباً على اللهتعالى، لأن كل ما وجب بالعقل فإنه يجب على كل من حصل وجه الوجوب في حقه، فكان يجب على الله تعالى الحمل على المعروف والمنع من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أن يفعلهما فلا يرتفع معروف ولا يقع منكر ويلزم الإلجاء، أو لا يفعلهما فيكون مخلاً بالواجب</w:t>
      </w:r>
      <w:r>
        <w:rPr>
          <w:rFonts w:eastAsia="Amiri" w:cs="Amiri" w:ascii="Amiri" w:hAnsi="Amiri"/>
          <w:color w:val="111111"/>
          <w:sz w:val="28"/>
          <w:szCs w:val="28"/>
          <w:rtl w:val="true"/>
          <w:lang w:bidi="ar-SA"/>
        </w:rPr>
        <w:t>»</w:t>
      </w:r>
      <w:r>
        <w:rPr>
          <w:rStyle w:val="FootnoteAnchor"/>
          <w:rtl w:val="true"/>
        </w:rPr>
        <w:footnoteReference w:id="506"/>
      </w:r>
      <w:r>
        <w:rPr>
          <w:rFonts w:ascii="Amiri" w:hAnsi="Amiri" w:eastAsia="Amiri" w:cs="Amiri"/>
          <w:color w:val="111111"/>
          <w:sz w:val="28"/>
          <w:sz w:val="28"/>
          <w:szCs w:val="28"/>
          <w:rtl w:val="true"/>
          <w:lang w:bidi="ar-SA"/>
        </w:rPr>
        <w:t>، وأضاف 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وبطلانه ظاهر لأنه حكيم لا يخل بالواجب</w:t>
      </w:r>
      <w:r>
        <w:rPr>
          <w:rFonts w:eastAsia="Amiri" w:cs="Amiri" w:ascii="Amiri" w:hAnsi="Amiri"/>
          <w:color w:val="111111"/>
          <w:sz w:val="28"/>
          <w:szCs w:val="28"/>
          <w:rtl w:val="true"/>
          <w:lang w:bidi="ar-SA"/>
        </w:rPr>
        <w:t>»</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أنه يلزم الإلجاء؛ لأن منع المكلف لا يقتضي الامتناع، أقصى ما في الباب أن يكون مقرّباً، ويجري مجرى الحدود في اللطفية، ولهذا تقع القبائح مع حصول الإنكار وإقامة الحدود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منتهى المطلب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وأجاب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 نظر؛ لاحتمال أن يكون الواجب علينا في الأمر والنهي غير الواجب عليه، فإن الواجب يختلف باختلاف الآمرين والناهين، فالقادر يجب عليه بالقلب واللسان واليد، والعاجز يجب بالقلب لا غير، وإذا كان الواجب مختلفاً بالنسبة إلينا جاز اختلافه بالنسبة إلينا وإليه تعالى، فالواجب من ذلك عليه تعالى التوعد والإنذار بالمخالفة لئلا يبطل التكليف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أن المكلف يبقى محتفظاً بإرادته للفعل والترك</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وارتضى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اللمعة هذا الجواب وأضاف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يلزم من ذلك –أي كونهما لطفاً 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وجوبهما على الله تعالى، </w:t>
      </w:r>
    </w:p>
    <w:p>
      <w:pPr>
        <w:pStyle w:val="BookText"/>
        <w:rPr/>
      </w:pPr>
      <w:r>
        <w:rPr>
          <w:rFonts w:ascii="Amiri" w:hAnsi="Amiri" w:eastAsia="Amiri" w:cs="Amiri"/>
          <w:color w:val="111111"/>
          <w:sz w:val="28"/>
          <w:sz w:val="28"/>
          <w:szCs w:val="28"/>
          <w:rtl w:val="true"/>
          <w:lang w:bidi="ar-SA"/>
        </w:rPr>
        <w:t>اللازم منه خلاف الواقع إن قام به، أو الإخلال بحكمته تعالى إن لم يقم، لاستلزام القيام به على هذا الوجه الإلجاء الممتنع في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اختلاف الواجب باختلاف محالِّه خصوصاً مع ظهور المانع، فيكونالواجب في حقه تعالى الإنذار والتخويف بالمخالفة، لئلا يبطل التكليف وقد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الإشكال على التقريب لا يرد؛ لأن إيجابهما من قبل المولى يعني إرادة تحققهما في الخارج إرادة تشريعية وليس إرادة تكوينية حتى يلزم الإلجاء، 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 الله بالأمر بالمعروف والنهي عن المنكر وإيجاب ذلك عليهم هو في الحقيقة أمر الله بالمعروف ونهيه عن المنكر؛ لأن الأمر بالأمر أمر، والأمر بالنهي نهي، ولا يلزم أزيد من ذلك كمباشرته ونحوه ذلك، فوجوبهما على الله تعالى كوجوبهما على المكلفين وليس على نحو الإلجاء والحمل الإجباري وسلب الاختيار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يرد على هذا التقريب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نبحث هنا عن تكليف المخلوق لا تكليف الخالق فنتيجة التقريب غير مثمرة 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 دليل لبّي يقتصر فيه على القدر المتيقن، فغاية ما يلزم من حكمه الذي هو إدراكه كون الأمر بالمعروف والنهي عن المنكر لطفاً هو رجحان الدعوة إليه من دون تحديد كونهما على نحو الوجوب أو الاستحباب، فإنه تابع لكون الملاك ملزماً أو غير ملزم وهذا مما لا يدركه العقل</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تنزلنا وقلنا بأن نتيجة التقريب وجوب الأمر بالمعروف والنهي عن المنكر على الله تبارك وتعالى فهو يعني وجوب تشريعهما، وقد شرّعهما الله تبارك وتعالى فلا إشكال، لكن هذا لا يحدِّد شكل التكليف الموجَّه إلى الفرد فلا يتعين بمقتضاه وجوبهما على العبد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مكون من مقدمتين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بالمعروف والنهي عن المنكر مما يستقل العقل بالحكم بحسنه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الكبرى فيمكن أن تكون أكثر من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كان حسناً فيجب صدوره من المولى؛ لأنه خالق العقل وهو الذي أودع فيه هذه القدرة على الإدراك، ومدح فاعل الحسن وذمَّ فاعل القبيح، وأكّده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 بِالْعَدْلِ وَالإِحْسَانِ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 النقاط، مضافاً إلى أن العقل قاصر عن معرفة ما يجب على المولى فعله أو تركه وأنه ليس من حقه التفكير في ذلك، فإنه جل وعلا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يُسْأَلُ عَمَّا يَفْعَلُ وَهُمْ يُسْأَلُونَ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كذلك يحكم الشرع بوجوبه لأن ما حكم به العقل حكم به الشرع فهذه الوظيفة 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ما قلناه في الأبحاث التمهيدية من أننا وإن كنا نسلّم بالحسن والقبح الذاتيين في الأفعال خلافاً لمن أنكرهما وجعلهما معاني نسبية بحسب موافقة ومنافرة الطبع، إلا أن صلاحية ذلك لاستنباط الأحكام الشرعية مشكوكة لعدة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كون جملة مما ينسب إلى العقل من أحكام هي صادرة منه بما هو عقل، لذا حصل الخلاف في أحكام العقل المدعاة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قدرة العقل على استكشاف هذه 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تنجيزه للأحكام على نحو يترتب عليه الثواب والعقاب إلا أن ينجّزه أمر الشارع المقدس ونهيه</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كون الوجوب عقلياً،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وجوب النهي عن المنكر عقلي، كما صرّح به شيخنا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وحكي عن شيخ الطائفة وبعض كتب العلامة وعن الشهيدين والفاضل المقداد أنه </w:t>
      </w:r>
    </w:p>
    <w:p>
      <w:pPr>
        <w:pStyle w:val="BookText"/>
        <w:rPr/>
      </w:pPr>
      <w:r>
        <w:rPr>
          <w:rFonts w:ascii="Amiri" w:hAnsi="Amiri" w:eastAsia="Amiri" w:cs="Amiri"/>
          <w:color w:val="111111"/>
          <w:sz w:val="28"/>
          <w:sz w:val="28"/>
          <w:szCs w:val="28"/>
          <w:rtl w:val="true"/>
          <w:lang w:bidi="ar-SA"/>
        </w:rPr>
        <w:t>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جمهور المتكلمين منهم المحقق الطوسي عدم وجوبه عقلاً بل يجب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هو الأول، لاستقلال العقل بوجوب منع تحقق معصية المولىومبغوضه وقبح التواني عنه، سواء في ذلك التوصل إلى النهي أو الأمور الأخر الممكنة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تسالموا ظاهراً على وجوب المنع من تحقق ما هو مبغوض الوجود في الخارج، سواء صدر من مكلّف أم لا لمناط مبغوضية وجوده، كذلك يجب المنع من تحقق ما هو مبغوض صدوره من مكلّف ويرى العبد صدوره منه، فإن المناط في كليهما واحد، وهو تحقق المبغوض وإن اختلفا في أن الأول نفس وجوده مبغوض، والثاني صدوره من مكلّف مبغوض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همّ حيوان بإراقة شيء يكون إراقته مبغوضة للمولى ويرى العبد ذلك وتقاعد عن منعه، يكون ذلك قبيحاً منه ويستحق للعقوبة لا لأهميته بل لنفس مبغوضيته، كذلك لو رأى مكلّفاً يأتي بما هو مبغوض مولاه، لاشتراكهما في المناط، والحاكم به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لا يمكن تجويز الشارع ترك 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كذلك لو كان المبغوض فعلياً ولم يكن للنهي مفسدة غالبة، فلو ورد منه تجويز الترك يكشف عن مفسدة في النهي أو مصلحة في تركه لو كان ذلك متصوراً في التروك والأعدام</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فدعوى الطباطبائي في تعليقته على المكاسب عدم قبح ترك النهي عن المنكر، في غير محلها</w:t>
      </w:r>
      <w:r>
        <w:rPr>
          <w:rFonts w:eastAsia="Amiri" w:cs="Amiri" w:ascii="Amiri" w:hAnsi="Amiri"/>
          <w:color w:val="111111"/>
          <w:sz w:val="28"/>
          <w:szCs w:val="28"/>
          <w:rtl w:val="true"/>
          <w:lang w:bidi="ar-SA"/>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 xml:space="preserve">. </w:t>
      </w:r>
      <w:bookmarkStart w:id="571" w:name="pg8133_62982"/>
    </w:p>
    <w:p>
      <w:pPr>
        <w:pStyle w:val="BookText"/>
        <w:rPr/>
      </w:pPr>
      <w:bookmarkEnd w:id="571"/>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 على تقريب الاستدلال بالعقل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 عرض والحسن والقبح العقليان من قسم العرض أيضاً، والعرض لا يعرض عليه عرض ولا يتصف به</w:t>
      </w:r>
      <w:r>
        <w:rPr>
          <w:rFonts w:eastAsia="Amiri" w:cs="Amiri" w:ascii="Amiri" w:hAnsi="Amiri"/>
          <w:color w:val="111111"/>
          <w:sz w:val="28"/>
          <w:szCs w:val="28"/>
          <w:rtl w:val="true"/>
          <w:lang w:bidi="ar-SA"/>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وأجيب بالفرق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العرض الوجودي والعرض الانتزاعي، والذي وقعمحل الكلام في عروضه على العرض إنما هو القسم الأول كالألوان، وأما القسم الثاني كالحسن والقبح والشدة والضعف، فليس لأحد دعوى عدم عروضها على الأعراض</w:t>
      </w:r>
      <w:r>
        <w:rPr>
          <w:rFonts w:eastAsia="Amiri" w:cs="Amiri" w:ascii="Amiri" w:hAnsi="Amiri"/>
          <w:color w:val="111111"/>
          <w:sz w:val="28"/>
          <w:szCs w:val="28"/>
          <w:rtl w:val="true"/>
          <w:lang w:bidi="ar-SA"/>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صياغة الجواب بتعبير أدق بأن يقال أن وصف الأفعال بالحسن والقبح ليس عروضاً بل هو حكم عقلي وإدراك من العقل لاتصاف الأفعال بها، فتسميته بالعروض لا يخلو من تسامح إلا أن يراد به معنى آخر منتزعاً من الاتصاف، فلا يرد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 أن العقل يحكم بمطلوبية هذه الوظيفة ويجزم بوجوبها في بعض الموارد كحفظ النظام الاجتماعي العام ودفع الضرر ودفع الظلم، أما ما سواها فتأتي عليه الإشكالات السابقة</w:t>
      </w:r>
      <w:r>
        <w:rPr>
          <w:rFonts w:eastAsia="Amiri" w:cs="Amiri" w:ascii="Amiri" w:hAnsi="Amiri"/>
          <w:color w:val="111111"/>
          <w:sz w:val="28"/>
          <w:szCs w:val="28"/>
          <w:rtl w:val="true"/>
          <w:lang w:bidi="ar-SA"/>
        </w:rPr>
        <w:t>.</w:t>
      </w:r>
    </w:p>
    <w:p>
      <w:pPr>
        <w:pStyle w:val="Heading6"/>
        <w:numPr>
          <w:ilvl w:val="5"/>
          <w:numId w:val="1"/>
        </w:numPr>
        <w:rPr/>
      </w:pPr>
      <w:bookmarkStart w:id="572" w:name="__RefHeading___Toc8193387_1051229030"/>
      <w:bookmarkStart w:id="573" w:name="_Toc205"/>
      <w:bookmarkEnd w:id="572"/>
      <w:r>
        <w:rPr>
          <w:rtl w:val="true"/>
        </w:rPr>
        <w:t>المسألة الرابعة عشرة</w:t>
      </w:r>
      <w:r>
        <w:rPr>
          <w:rtl w:val="true"/>
        </w:rPr>
        <w:t xml:space="preserve">: </w:t>
      </w:r>
      <w:r>
        <w:rPr>
          <w:rtl w:val="true"/>
        </w:rPr>
        <w:t>ثمرة البحث في كون الوجوب عقلياً أو شرعياً</w:t>
      </w:r>
      <w:r>
        <w:rPr>
          <w:rtl w:val="true"/>
        </w:rPr>
        <w:t>.</w:t>
      </w:r>
      <w:bookmarkEnd w:id="573"/>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الثمرة التي تترتب على القول بالوجوب العقلي او الشرعي لفعل من الأفعال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الثمرة موجودة ، وقد ابرز سماحة الشيخ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الثمرة في الجزء الثامن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الكلام السابق مباشرة ، حيث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سنذكر عند الحديث عن وجوب الأمر والنهي بمخالفة الاحتياط الوجوبي ثمرة للفرق بين القول بوجوب هذه الفريضة عقلاً أو شرعاً أي بين من يكتفي بالدليل الشرعي على الوجوب وبين من يضيف إليه الاستدلال بالعقل، كما تظهر الثمرة بوجه من الوجوه في مسألة إلحاق وجوب دفع المنكر بوجوب رفعه كما سيأتي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هناك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لو خالف مقتضى الاحتياط الوجوبي، وقد أثاره السيدالخميني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ما ارتكبه مخالفاً للاحتياط اللازم بنظرهما أو نظر مقلدهما فالأحوط إنكاره، بل لا يبعد وجوبه</w:t>
      </w:r>
      <w:r>
        <w:rPr>
          <w:rFonts w:eastAsia="Amiri" w:cs="Amiri" w:ascii="Amiri" w:hAnsi="Amiri"/>
          <w:color w:val="111111"/>
          <w:sz w:val="28"/>
          <w:szCs w:val="28"/>
          <w:rtl w:val="true"/>
          <w:lang w:bidi="ar-SA"/>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ووافقه السيد الشهيد الصدر الثاني</w:t>
      </w:r>
      <w:r>
        <w:rPr>
          <w:rStyle w:val="FootnoteAnchor"/>
          <w:rtl w:val="true"/>
        </w:rPr>
        <w:footnoteReference w:id="5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عليه السيد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بإطلاقات الأدلة وعموماتها ولا منشأ للتشكيك إلا احتمال الانصراف عنها وهو بدوي غير معتنى به</w:t>
      </w:r>
      <w:r>
        <w:rPr>
          <w:rFonts w:eastAsia="Amiri" w:cs="Amiri" w:ascii="Amiri" w:hAnsi="Amiri"/>
          <w:color w:val="111111"/>
          <w:sz w:val="28"/>
          <w:szCs w:val="28"/>
          <w:rtl w:val="true"/>
          <w:lang w:bidi="ar-SA"/>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نوافق على ما قالوه لكن مع ملاحظة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أدلة الأمر والنهي انصرافها عن الأحكام الاحتياطية أي أن المنكر الوارد فيها منصرف عن ارتكاب أحد أطراف العلم الإجمالي، فالتمسك بها غير تام والإشكال الذي ذكره صحيح، نعم يمكن الاستدلال بقبح التجري على أطراف العلم الإجمالي واقتحام موارد الاحتياط الوجوبي؛ لأن وجوب الأمر والنهي ليس بلحاظ المعروفية والمنكرية الثابتة لهما واقعاً، بل بلحاظ مخالفة الحكم الظاهري الثابت في حق الفاعل</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من ثمرات الفرق بين الاستدلال على الوجوب بخصوص الدليل </w:t>
      </w:r>
      <w:bookmarkStart w:id="574" w:name="pg8133_62984"/>
    </w:p>
    <w:p>
      <w:pPr>
        <w:pStyle w:val="BookText"/>
        <w:rPr/>
      </w:pPr>
      <w:bookmarkEnd w:id="574"/>
      <w:r>
        <w:rPr>
          <w:rFonts w:ascii="Amiri" w:hAnsi="Amiri" w:eastAsia="Amiri" w:cs="Amiri"/>
          <w:color w:val="111111"/>
          <w:sz w:val="28"/>
          <w:sz w:val="28"/>
          <w:szCs w:val="28"/>
          <w:rtl w:val="true"/>
          <w:lang w:bidi="ar-SA"/>
        </w:rPr>
        <w:t>الشرعي وبين من أضاف إليه الاستدلال بالعقل والسيرة العقلائية، وإلا وجب عدم القول بوجوب الأمر والنهي باقتحام الطرف الأول لعدم تحقق موضوع الأمر والنهي</w:t>
      </w:r>
      <w:r>
        <w:rPr>
          <w:rFonts w:eastAsia="Amiri" w:cs="Amiri" w:ascii="Amiri" w:hAnsi="Amiri"/>
          <w:color w:val="111111"/>
          <w:sz w:val="28"/>
          <w:szCs w:val="28"/>
          <w:rtl w:val="true"/>
          <w:lang w:bidi="ar-SA"/>
        </w:rPr>
        <w:t>.</w:t>
      </w:r>
    </w:p>
    <w:p>
      <w:pPr>
        <w:pStyle w:val="Heading6"/>
        <w:numPr>
          <w:ilvl w:val="5"/>
          <w:numId w:val="1"/>
        </w:numPr>
        <w:rPr/>
      </w:pPr>
      <w:bookmarkStart w:id="575" w:name="__RefHeading___Toc8193389_1051229030"/>
      <w:bookmarkStart w:id="576" w:name="_Toc206"/>
      <w:bookmarkEnd w:id="575"/>
      <w:r>
        <w:rPr>
          <w:rtl w:val="true"/>
        </w:rPr>
        <w:t>المسألة الخامسة عشرة</w:t>
      </w:r>
      <w:r>
        <w:rPr>
          <w:rtl w:val="true"/>
        </w:rPr>
        <w:t xml:space="preserve">: </w:t>
      </w:r>
      <w:r>
        <w:rPr>
          <w:rtl w:val="true"/>
        </w:rPr>
        <w:t>التزاحم</w:t>
      </w:r>
      <w:r>
        <w:rPr>
          <w:rtl w:val="true"/>
        </w:rPr>
        <w:t>.</w:t>
      </w:r>
      <w:bookmarkEnd w:id="576"/>
    </w:p>
    <w:p>
      <w:pPr>
        <w:pStyle w:val="BookText"/>
        <w:rPr/>
      </w:pPr>
      <w:r>
        <w:rPr>
          <w:rFonts w:ascii="Amiri" w:hAnsi="Amiri" w:eastAsia="Amiri" w:cs="Amiri"/>
          <w:color w:val="111111"/>
          <w:sz w:val="28"/>
          <w:sz w:val="28"/>
          <w:szCs w:val="28"/>
          <w:rtl w:val="true"/>
          <w:lang w:bidi="ar-SA"/>
        </w:rPr>
        <w:t>من المعلوم ان التزاحم لا يدخل في باب التعارض ؛ لان الإشكالية فيه ليست تنافي مدلول الدليلين وانما هي ضيق قدرة المكلف عن الجمع بينهما ، مع ان العقل يدرك استحالة التكليف بغير المقدور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هنا كان لباب التزاحم قانونه الخاص به وهو تقديم الأهم على المهم ، ولا تجري فيه قوانين باب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فوائد عن التزاحم في الجزء الثامن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 ، اذ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يلاحظ هنا أن مراعاة المصالح والمفاسد وتقديم الأهم على المهم موجود في الفقه الإسلامي وعلى صعيد التطبيقات العملية، ولا يختص بفريضة الأمر بالمعروف والنهي عن المنكر، وهو ملاك حكومة قاعدة لا ضرر ونفي الحرج والأخذ بالتقية ونحوها من الأدلة الحاكمة، ومن مواردها في الأحكام النهي عن إقامة الحد على من كان في أرض العدو وخشية التحاقه بمعسكر الأعداء</w:t>
      </w:r>
      <w:r>
        <w:rPr>
          <w:rStyle w:val="FootnoteAnchor"/>
          <w:rtl w:val="true"/>
        </w:rPr>
        <w:footnoteReference w:id="514"/>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أنه لا تأخير في الحد</w:t>
      </w:r>
      <w:r>
        <w:rPr>
          <w:rStyle w:val="FootnoteAnchor"/>
          <w:rtl w:val="true"/>
        </w:rPr>
        <w:footnoteReference w:id="515"/>
      </w:r>
      <w:r>
        <w:rPr>
          <w:rFonts w:ascii="IRNazanin" w:hAnsi="IRNazanin" w:eastAsia="IRNazanin"/>
          <w:color w:val="111111"/>
          <w:sz w:val="28"/>
          <w:sz w:val="28"/>
          <w:szCs w:val="28"/>
          <w:rtl w:val="true"/>
          <w:lang w:bidi="fa-IR"/>
        </w:rPr>
        <w:t xml:space="preserve">، فقد روى إسحاق بن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تقام الحدود بأرض العدو مخافة أن تحمله الحميّة فيلتحق بأرض العدو</w:t>
      </w:r>
      <w:r>
        <w:rPr>
          <w:rFonts w:eastAsia="IRNazanin" w:cs="IRNazanin"/>
          <w:color w:val="111111"/>
          <w:sz w:val="28"/>
          <w:szCs w:val="28"/>
          <w:rtl w:val="true"/>
          <w:lang w:bidi="fa-IR"/>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في البحث عدة عناصر تلحظ لتمييز الأهم والمهم بين الضرر ومفسدة ترك الأمر والنهي كقوة احتمال الضرر وأهمية متعلقه كالنفس وموقعية المأمور والمنهي وقدرات الآمر والناهي ونحو ذلك، ونضيف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العناصر التي تلاحظ في الترجيح بين المتزاحمين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تأثير الأمر والنهي في المأمور المنهي، فالقدر المتيقن مما قلناه من إعمال المرجحات مورده إحراز تأثير الأمر والنهي فتلاحظ تلك المرجحات، أما مع عدم إحراز التأثير فإنه يضعّف من ملاك تقديمه عندالتزاحم، ويكون الإقدام على الضرر في تلك الحالة قبيحاً عند العقلاء، ولا يكون محلاً للترجيح إلا إذا كان المحتمل من الأهمية بحيث يعمل بمطلق الاحتمال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تنفيذ قواعد باب التزاحم في العمل الاجتماعي يواجه صعوبتين، نظرية وعملية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النظرية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فنقصد بها التمييز بين الأهم والمهم وتحديد قائمة الأولويات وهذا يحتاج إلى ذوق فقهي سليم وسعة اطلاع على أحكام الشريعة وكيفية تعاطي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معها وموقف الفقهاء منها، فمثلاً تجد الذهنية التقليدية تلحظ المنكرات الفردية ولا تلتفت إلى المنكرات الاجتماعية سواء كانت عقائدية أو سياسية أو اقتصادية ونحو ذلك عدا ما رأينا من بعض العلماء العاملين كالشيخ محمد حسين كاشف الغطاء والسيد الخميني والشهيدين الصدرين الأول والثاني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أسرارهم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العصر الحديث</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فنعني بها ظروف التطبيق وملابساته الزمانية والمكانية وظروفه الأخرى، فقد يكون أهم فقهياً من الناحية النظرية لكن العمل به يلزم منه مفاسد أكبر؛ فمثلاً يقرّون أن صلاة الجمعة أفضل من صلاة الظهر </w:t>
      </w:r>
    </w:p>
    <w:p>
      <w:pPr>
        <w:pStyle w:val="BookText"/>
        <w:rPr/>
      </w:pPr>
      <w:r>
        <w:rPr>
          <w:rFonts w:ascii="Amiri" w:hAnsi="Amiri" w:eastAsia="Amiri" w:cs="Amiri"/>
          <w:color w:val="111111"/>
          <w:sz w:val="28"/>
          <w:sz w:val="28"/>
          <w:szCs w:val="28"/>
          <w:rtl w:val="true"/>
          <w:lang w:bidi="ar-SA"/>
        </w:rPr>
        <w:t>إلا أنهم لا يقيمونها بدعوى خوف الفتنة وحصول التنافس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تراهم يلحظون التزاحم على صعيد الفرد ولا يلتفتون إلى تأثيره على الإسلام أو التشيع أو المسلمين كبعض الطقوس الدخيلة على الشعائر الحسينية فيناقشون جواز الإضرار بالبدن ونحوه مع أن المشكلة أكبر من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وورد عن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المجال قول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بزمانه لا تهجم عليه اللوابس</w:t>
      </w:r>
      <w:r>
        <w:rPr>
          <w:rFonts w:eastAsia="IRNazanin" w:cs="IRNazanin"/>
          <w:color w:val="111111"/>
          <w:sz w:val="28"/>
          <w:szCs w:val="28"/>
          <w:rtl w:val="true"/>
          <w:lang w:bidi="fa-IR"/>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واللوابس هي الأمور المتشابهة المتلبسة ببعضها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ووجود هاتين الصعوبتين وجه لاشتراط الفقهاء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أسرارهم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الفقيه العارف بزمانه في ممارسة الأمر والنهي على بعض مستويات اليد وكذا الجهاد ولا يجوز لأي أحد غيره التصدي لهذه الأعمال؛ لأن المكلف لا يقدّر الأهم والمهم، وهذا أيضاً يفسّر مواقف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الحركات المسلحة التي كانت تخرج على الأنظمة الحاكمة بعنوان الأمر بالمعروف والنهي عن المنكر</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مجال واسع للبحث وأخذ الشواهد من الواقع ومراعاة اختلاف الأنظمة السياسية القائمة مما يسمّى ديمقراطية تعددية أو دكتاتورية مستبدة ونحو ذلك، فقد يكون التحرك الشعبي بإقامة المهرجانات أو التظاهرات والاحتجاجات هو الطريق الوحيد لإيصال صوت المطالبة برفع الظلم والفساد وإصلاح أحوال الرعية إذا كان النظام مستبداً لا يستمع لصوت الحكمة والعدل ومحجوباً عن الشعب مع ما يتسبب ذلك فيه من الضحايا والخسائر، وقد يكون ذلك غير صحيح عندما يكون النظام </w:t>
      </w:r>
      <w:bookmarkStart w:id="577" w:name="pg8133_62987"/>
    </w:p>
    <w:p>
      <w:pPr>
        <w:pStyle w:val="BookText"/>
        <w:rPr/>
      </w:pPr>
      <w:bookmarkEnd w:id="577"/>
      <w:r>
        <w:rPr>
          <w:rFonts w:ascii="Amiri" w:hAnsi="Amiri" w:eastAsia="Amiri" w:cs="Amiri"/>
          <w:color w:val="111111"/>
          <w:sz w:val="28"/>
          <w:sz w:val="28"/>
          <w:szCs w:val="28"/>
          <w:rtl w:val="true"/>
          <w:lang w:bidi="ar-SA"/>
        </w:rPr>
        <w:t>ديمقراطياً يمكن التغيير فيه من خلال صناديق الاقتراع، وهذا كله يحدده الفقيه العالم بزمانه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صحيحة العيص بن القاسم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بتقوى الله وحده لا شريك له وانظروا لأنفسكم، فوالله إن الرجل ليكون له الغنم فيها الراعي، فإذا وجد رجلاً هو أعلم بغنمه من الذي هو فيها يخرجه ويجيء بذلك الرجل الذي هو أعلم</w:t>
      </w:r>
      <w:r>
        <w:rPr>
          <w:rStyle w:val="FootnoteAnchor"/>
          <w:rtl w:val="true"/>
        </w:rPr>
        <w:footnoteReference w:id="518"/>
      </w:r>
      <w:r>
        <w:rPr>
          <w:rFonts w:ascii="Amiri" w:hAnsi="Amiri" w:eastAsia="Amiri" w:cs="Amiri"/>
          <w:color w:val="111111"/>
          <w:sz w:val="28"/>
          <w:sz w:val="28"/>
          <w:szCs w:val="28"/>
          <w:rtl w:val="true"/>
          <w:lang w:bidi="ar-SA"/>
        </w:rPr>
        <w:t>بغنمه من الذي كان فيها، والله لو كانت لأحدكم نفسان يقاتل بواحدة يجرّب بها ثم كانتالأخرى باقية يعمل على ما قد استبان لها، ولكن له نفس واحدة إذا ذهبت فقد والله ذهبت التوبة فأنتم أحقّ أن تختاروا لأنفسكم، إن أتاكم آتٍ فانظروا على أي شيء تخرجون</w:t>
      </w:r>
      <w:r>
        <w:rPr>
          <w:rFonts w:eastAsia="Amiri" w:cs="Amiri" w:ascii="Amiri" w:hAnsi="Amiri"/>
          <w:color w:val="111111"/>
          <w:sz w:val="28"/>
          <w:szCs w:val="28"/>
          <w:rtl w:val="true"/>
          <w:lang w:bidi="ar-SA"/>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78" w:name="__RefHeading___Toc8193391_1051229030"/>
      <w:bookmarkStart w:id="579" w:name="_Toc207"/>
      <w:bookmarkEnd w:id="578"/>
      <w:r>
        <w:rPr>
          <w:rtl w:val="true"/>
        </w:rPr>
        <w:t>المسألة السادسة عشرة</w:t>
      </w:r>
      <w:r>
        <w:rPr>
          <w:rtl w:val="true"/>
        </w:rPr>
        <w:t xml:space="preserve">: </w:t>
      </w:r>
      <w:r>
        <w:rPr>
          <w:rtl w:val="true"/>
        </w:rPr>
        <w:t>التزاحم والطولية الرتبية</w:t>
      </w:r>
      <w:r>
        <w:rPr>
          <w:rtl w:val="true"/>
        </w:rPr>
        <w:t>.</w:t>
      </w:r>
      <w:bookmarkEnd w:id="579"/>
    </w:p>
    <w:p>
      <w:pPr>
        <w:pStyle w:val="BookText"/>
        <w:rPr/>
      </w:pPr>
      <w:r>
        <w:rPr>
          <w:rFonts w:ascii="Amiri" w:hAnsi="Amiri" w:eastAsia="Amiri" w:cs="Amiri"/>
          <w:color w:val="111111"/>
          <w:sz w:val="28"/>
          <w:sz w:val="28"/>
          <w:szCs w:val="28"/>
          <w:rtl w:val="true"/>
          <w:lang w:bidi="ar-SA"/>
        </w:rPr>
        <w:t xml:space="preserve">ذهب بعض العلماء الاعلام الى ان التزاحم لا يجري بين واجبين احدهما متقدم على الاخر زمانا الا ان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الى ان هذا الكلام لا يختص بالترتيب الزماني وانما يعم الطولية الرتبية ، اذ نقل مبنى ورد في تقريرات بحث الشيخ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الجزء التاسع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فيه</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وقع التزاحم بين واجبين طوليين متساويين ملاكاً كما في دوران الأمر بين القيام في الركعة الأولى من الصلاة والقيام في الركعة الثانية مثلاً أو بين ترك واجب متوقف على محرم مساوٍ معه في الملاك وارتكاب </w:t>
      </w:r>
    </w:p>
    <w:p>
      <w:pPr>
        <w:pStyle w:val="BookText"/>
        <w:rPr/>
      </w:pPr>
      <w:r>
        <w:rPr>
          <w:rFonts w:ascii="Amiri" w:hAnsi="Amiri" w:eastAsia="Amiri" w:cs="Amiri"/>
          <w:color w:val="111111"/>
          <w:sz w:val="28"/>
          <w:sz w:val="28"/>
          <w:szCs w:val="28"/>
          <w:rtl w:val="true"/>
          <w:lang w:bidi="ar-SA"/>
        </w:rPr>
        <w:t xml:space="preserve">المقدمة المحرمة فبناءً على التخيير الشرعي يثبت التخيير فيهما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المختار فالتكليف بالمتقدم هو الذي يكون فعلياً دون المتأخر لأن سقوط كل من التكليفين المتزاحمين بناءً عليه لا يكون إلا بامتثال الآخر وبما أن امتثال التكليف بالمتأخر متأخر خارجاً لتأخر متعلقه على الفرض فلا يكون للتكليف بالمتقدم مسقط في عرضه فيتعين امتثاله على المكلف بحكم العقل فيجب القيام في الركعة الأولى ويلزم اجتناب المقدمة المحرمة، نعم إذا كان ملاك الواجب المتأخر أقوى من ملاك الواجب الفعلي فوجوب حفظ القدرة فعلاً يكون مسقطاً لوجوب الواجب المتقدم</w:t>
      </w:r>
      <w:r>
        <w:rPr>
          <w:rFonts w:eastAsia="Amiri" w:cs="Amiri" w:ascii="Amiri" w:hAnsi="Amiri"/>
          <w:color w:val="111111"/>
          <w:sz w:val="28"/>
          <w:szCs w:val="28"/>
          <w:rtl w:val="true"/>
          <w:lang w:bidi="ar-SA"/>
        </w:rPr>
        <w:t>»</w:t>
      </w:r>
      <w:r>
        <w:rPr>
          <w:rStyle w:val="FootnoteAnchor"/>
          <w:rtl w:val="true"/>
        </w:rPr>
        <w:footnoteReference w:id="5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علّق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الكبرى صحيحة ولا يوجد تزاحم أصلاً لفعلية المتقدم دون معارض لكن علينا أن نفهم منها معنى واسع مما يظهر من حصرها بالطولية الزمانية ومحل بحثها علم الأصول؛ إذ تشمل ما يمكن تسميته بالطولية الرتبية كما لو كان أحد التكليفين مقيداً بشرط ودليل التكليف الآخر مطلقاً من ناحيته فيقدّم المطلق لفعليته فيسقط المقيد، كما نقلنا عن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 xml:space="preserve">وجاء في صفحة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الولاية إن كانت محرمة لذاتها، كان ارتكابها لأجل المصالح ودفع المفاسد التي هي أهم من مفسدة انسلاك الشخص في أعوان الظلمة بحسب الظاهر وإن كان لاستلزامها الظلم على الغير، فالمفروض عدم تحققه هنا</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كون وجوب الأمر والنهي </w:t>
      </w:r>
    </w:p>
    <w:p>
      <w:pPr>
        <w:pStyle w:val="BookText"/>
        <w:rPr/>
      </w:pPr>
      <w:r>
        <w:rPr>
          <w:rFonts w:ascii="Amiri" w:hAnsi="Amiri" w:eastAsia="Amiri" w:cs="Amiri"/>
          <w:color w:val="111111"/>
          <w:sz w:val="28"/>
          <w:sz w:val="28"/>
          <w:szCs w:val="28"/>
          <w:rtl w:val="true"/>
          <w:lang w:bidi="ar-SA"/>
        </w:rPr>
        <w:t>مقيداً بعدم الوقوع في محرم أما حرمة الولاية للجائر فهي 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وقرّبها على مثل هذا بعض الأعلام المعاصرين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نقلنا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هذا بخلاف المشروط بالقدرة شرعاً، إذ جعله يتوقف على تمامية ملاكه، وهي تتوقف على عدم فعلية الحكم الآخر، فلو استند عدم فعليته إلى فعلية الحكم المشروط بالقدرة شرعاً لزم الدور، وهذا الوجه هو الذي أشار إليه في محكي الكفاية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وانتهى إلى أن حرمة الولاية للجائر فعليةدون وجوب الأمر والنهي، ثم طبّق هذا المبنى هنا لينتج عدم جريان التزاحم،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–أي التزاحم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 بناءً على عدم تمامية ما اختاره المحقق النائيني وتبعه جمع منهم السيد الخوئي من أنه إذا تزاحم تكليفان ولم يحرز أهمية أحدهما وكانا طوليين يكون التكليف بالمتقدم فعلياً دون المتأخر، مستدلاً عليه بأن سقوط كل من التكليفين المتزاحمين بناءً على كون التخيير بين المتزاحمين عقلياً لا يكون إلا بامتثال الآخر، وبما أن امتثال التكليف بالمتأخر متأخر خارجاً لتأخر متعلقه على الفرض فلا يكون </w:t>
      </w:r>
      <w:bookmarkStart w:id="580" w:name="pg8133_62990"/>
    </w:p>
    <w:p>
      <w:pPr>
        <w:pStyle w:val="BookText"/>
        <w:rPr/>
      </w:pPr>
      <w:bookmarkEnd w:id="580"/>
      <w:r>
        <w:rPr>
          <w:rFonts w:ascii="Amiri" w:hAnsi="Amiri" w:eastAsia="Amiri" w:cs="Amiri"/>
          <w:color w:val="111111"/>
          <w:sz w:val="28"/>
          <w:sz w:val="28"/>
          <w:szCs w:val="28"/>
          <w:rtl w:val="true"/>
          <w:lang w:bidi="ar-SA"/>
        </w:rPr>
        <w:t>للتكليف بالمتقدم مسقط في عرضه فيتعين امتثاله على المكلف بحكم العقل، وإلا ففي صورة عدم إحراز أهمية الوجوب يتعين البناء على حرمة الولاية وعدم جوازها، فضلاً عن الوجوب</w:t>
      </w:r>
      <w:r>
        <w:rPr>
          <w:rFonts w:eastAsia="Amiri" w:cs="Amiri" w:ascii="Amiri" w:hAnsi="Amiri"/>
          <w:color w:val="111111"/>
          <w:sz w:val="28"/>
          <w:szCs w:val="28"/>
          <w:rtl w:val="true"/>
          <w:lang w:bidi="ar-SA"/>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يستند إلى هذا المبنى الذي نقله عن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لوضوح عدم رجوعه إلى الطولية الزمانية، وإنما يستند إلى مانع آخر عن التزاحم وهو ما سميناه بالطولية الرتبية بين المطلق والمشروط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عدم وجود صغرى لهذا المبنى هنا لعدم وجود الطولية، إذ هي كما قلنا إما زمانية كما في المثال الذي ذكره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أنها رتبية كما بنى عليه هذا المستشكل فيما نقلناه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Style w:val="FootnoteAnchor"/>
          <w:rtl w:val="true"/>
        </w:rPr>
        <w:footnoteReference w:id="524"/>
      </w:r>
      <w:r>
        <w:rPr>
          <w:rFonts w:ascii="Amiri" w:hAnsi="Amiri" w:eastAsia="Amiri" w:cs="Amiri"/>
          <w:color w:val="111111"/>
          <w:sz w:val="28"/>
          <w:sz w:val="28"/>
          <w:szCs w:val="28"/>
          <w:rtl w:val="true"/>
          <w:lang w:bidi="ar-SA"/>
        </w:rPr>
        <w:t>وناقشناه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يوجد شيء من مناشئ هذه الطولية في المقام</w:t>
      </w:r>
      <w:r>
        <w:rPr>
          <w:rFonts w:eastAsia="Amiri" w:cs="Amiri" w:ascii="Amiri" w:hAnsi="Amiri"/>
          <w:color w:val="111111"/>
          <w:sz w:val="28"/>
          <w:szCs w:val="28"/>
          <w:rtl w:val="true"/>
          <w:lang w:bidi="ar-SA"/>
        </w:rPr>
        <w:t>.</w:t>
      </w:r>
    </w:p>
    <w:p>
      <w:pPr>
        <w:pStyle w:val="Heading6"/>
        <w:numPr>
          <w:ilvl w:val="5"/>
          <w:numId w:val="1"/>
        </w:numPr>
        <w:rPr/>
      </w:pPr>
      <w:bookmarkStart w:id="581" w:name="__RefHeading___Toc8193393_1051229030"/>
      <w:bookmarkStart w:id="582" w:name="_Toc208"/>
      <w:bookmarkEnd w:id="581"/>
      <w:r>
        <w:rPr>
          <w:rtl w:val="true"/>
        </w:rPr>
        <w:t>المسألة السابعة عشرة</w:t>
      </w:r>
      <w:r>
        <w:rPr>
          <w:rtl w:val="true"/>
        </w:rPr>
        <w:t xml:space="preserve">: </w:t>
      </w:r>
      <w:r>
        <w:rPr>
          <w:rtl w:val="true"/>
        </w:rPr>
        <w:t>تقديم الأهم ملاكا على المهم وان لم يكن الأهم الزاميا</w:t>
      </w:r>
      <w:r>
        <w:rPr>
          <w:rtl w:val="true"/>
        </w:rPr>
        <w:t>.</w:t>
      </w:r>
      <w:bookmarkEnd w:id="582"/>
    </w:p>
    <w:p>
      <w:pPr>
        <w:pStyle w:val="BookText"/>
        <w:rPr/>
      </w:pPr>
      <w:r>
        <w:rPr>
          <w:rFonts w:ascii="Amiri" w:hAnsi="Amiri" w:eastAsia="Amiri" w:cs="Amiri"/>
          <w:color w:val="111111"/>
          <w:sz w:val="28"/>
          <w:sz w:val="28"/>
          <w:szCs w:val="28"/>
          <w:rtl w:val="true"/>
          <w:lang w:bidi="ar-SA"/>
        </w:rPr>
        <w:t>ان القانون الذي يحكم باب التزاحم هو تقديم الملاك الأهم على الملاك المهم ، ومما ذكره العلماء ان معرفة الملاك الأهم تتم بعدة طرق منها ما لو تزاحم حكم إلزامي واخر غير إلزامي فان الحكم الإلزامي يكون مقدما لانه اهم ملاكا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سماحة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أوضح ان هذا الامر ليس على إطلاقه ، فقد يكون الحكم غير الإلزامي اهم ملاكا من الحكم الإلزامي</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هذا الكلام في الجزء الثاني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بيان العناوين الثانوية المبيحة للإقدام على عملية التلقيح الصناعي ، ونص الكلام هو</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أمر من تجب طاعته كالإمام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زمان الحضور أو الولي الفقيه في زمان الغيبة، كما لو تعرّض المسلمون في منطقة ما لقلة العدد والإصابة بالعقم بفعل فاعل</w:t>
      </w:r>
      <w:r>
        <w:rPr>
          <w:rStyle w:val="FootnoteAnchor"/>
          <w:rtl w:val="true"/>
        </w:rPr>
        <w:footnoteReference w:id="525"/>
      </w:r>
      <w:r>
        <w:rPr>
          <w:rFonts w:ascii="Amiri" w:hAnsi="Amiri" w:eastAsia="Amiri" w:cs="Amiri"/>
          <w:color w:val="111111"/>
          <w:sz w:val="28"/>
          <w:sz w:val="28"/>
          <w:szCs w:val="28"/>
          <w:rtl w:val="true"/>
          <w:lang w:bidi="ar-SA"/>
        </w:rPr>
        <w:t>فيأمرهم الولي الفقيه بالمعالجة والتوجه إلى التلقيح الصناعي لتعويض النقص ونحو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وهل تكفي في تحقق هذا الأمر الإطلاقات المرغبّة في كثرة النسل كصحيحة محمد بن مسلم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تزوجوا فإني مكاثر بكم الأمم غداً في القيامة حتى أن السقط ليجيء محبنطئاً على باب الجنة فيقال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الجنة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حتى يدخل أبواي الجنة قبلي</w:t>
      </w:r>
      <w:r>
        <w:rPr>
          <w:rFonts w:eastAsia="IRNazanin" w:cs="IRNazanin"/>
          <w:color w:val="111111"/>
          <w:sz w:val="28"/>
          <w:szCs w:val="28"/>
          <w:rtl w:val="true"/>
          <w:lang w:bidi="fa-IR"/>
        </w:rPr>
        <w:t>)</w:t>
      </w:r>
      <w:r>
        <w:rPr>
          <w:rStyle w:val="FootnoteAnchor"/>
          <w:rtl w:val="true"/>
        </w:rPr>
        <w:footnoteReference w:id="5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والجواب يتوقف على شكل العلاقة بين الدليلين، فقد يرى ذوق المشهور أن أدلة الحرمة مقيّدة لهذه الإطلاقات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فالإنجاب مستحب ومرغوب فيه ما لم يستلزم محرماً كما في التلقيح الصناعي</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تكون العلاقة هي التزاحم فيقدم الأهم والأقوى ملاكاً، وإن كان الإنجاب مستحباً فيمكن أن يتقدم على الحكم الإلزامي، أما ما قيل من تقدم الإلزامي على غير الإلزامي فإنه ليس مطلقاً وقد يختص بما لو كانا من سنخ واحد كالصلاة المفروضة على المندوبة 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قربة بالنوافل إذا أضرّت بالفرائض</w:t>
      </w:r>
      <w:r>
        <w:rPr>
          <w:rFonts w:eastAsia="Amiri" w:cs="Amiri" w:ascii="Amiri" w:hAnsi="Amiri"/>
          <w:color w:val="111111"/>
          <w:sz w:val="28"/>
          <w:szCs w:val="28"/>
          <w:rtl w:val="true"/>
          <w:lang w:bidi="ar-SA"/>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 xml:space="preserve">. </w:t>
      </w:r>
      <w:bookmarkStart w:id="583" w:name="pg8133_62992"/>
    </w:p>
    <w:p>
      <w:pPr>
        <w:pStyle w:val="Heading6"/>
        <w:numPr>
          <w:ilvl w:val="5"/>
          <w:numId w:val="1"/>
        </w:numPr>
        <w:rPr/>
      </w:pPr>
      <w:bookmarkStart w:id="584" w:name="__RefHeading___Toc8193395_1051229030"/>
      <w:bookmarkStart w:id="585" w:name="_Toc209"/>
      <w:bookmarkEnd w:id="583"/>
      <w:bookmarkEnd w:id="584"/>
      <w:r>
        <w:rPr>
          <w:rtl w:val="true"/>
        </w:rPr>
        <w:t>المسألة الثامنة عشرة</w:t>
      </w:r>
      <w:r>
        <w:rPr>
          <w:rtl w:val="true"/>
        </w:rPr>
        <w:t xml:space="preserve">: </w:t>
      </w:r>
      <w:r>
        <w:rPr>
          <w:rtl w:val="true"/>
        </w:rPr>
        <w:t>الغاية تبرر الوسيلة</w:t>
      </w:r>
      <w:r>
        <w:rPr>
          <w:rtl w:val="true"/>
        </w:rPr>
        <w:t>.</w:t>
      </w:r>
      <w:bookmarkEnd w:id="585"/>
    </w:p>
    <w:p>
      <w:pPr>
        <w:pStyle w:val="BookText"/>
        <w:rPr/>
      </w:pPr>
      <w:r>
        <w:rPr>
          <w:rFonts w:ascii="Amiri" w:hAnsi="Amiri" w:eastAsia="Amiri" w:cs="Amiri"/>
          <w:color w:val="111111"/>
          <w:sz w:val="28"/>
          <w:sz w:val="28"/>
          <w:szCs w:val="28"/>
          <w:rtl w:val="true"/>
          <w:lang w:bidi="ar-SA"/>
        </w:rPr>
        <w:t>بعد ان اتفق علماء الأصول على ان القانون المحكم في باب التزاحم هو تقديم الأهم على المهم ، اثير التساؤل عن الفارق بين قاعدة تقديم الملاك الأهم وقاعدة الغاية تبرر الوسيلة ؟</w:t>
      </w:r>
    </w:p>
    <w:p>
      <w:pPr>
        <w:pStyle w:val="BookText"/>
        <w:rPr/>
      </w:pPr>
      <w:r>
        <w:rPr>
          <w:rFonts w:ascii="Amiri" w:hAnsi="Amiri" w:eastAsia="Amiri" w:cs="Amiri"/>
          <w:color w:val="111111"/>
          <w:sz w:val="28"/>
          <w:sz w:val="28"/>
          <w:szCs w:val="28"/>
          <w:rtl w:val="true"/>
          <w:lang w:bidi="ar-SA"/>
        </w:rPr>
        <w:t xml:space="preserve">وقد أجاب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هذا التساؤل في الجزء الثامن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اذ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نبهنا في أكثر من موضع في البحث إلى وجوب التفريق بين ما أسسه الشارع المقدس من مراعاة المصالح والمفاسد وتقديم الأهم على المهم عند التزاحم وبين 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الغاية تبرر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يعتمدها الوصوليون والانتهازيون سواء أكانوا أفراداً أو أحزاباً أو حكومات للوصول إلى أغراضهم ومآربهم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ويتضح الفرق من أكثر من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يعملون بهذا المبدأ لتحقيق مآربهم الشخصية ومصالحهم الذاتية بينما يتحرى الفقهاء من تطبيق هذه القواعد مرادات الشارع</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المقدس والملاكات والمصالح العليا التي يتوخّاها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أسسه الشارع المقدس مستند إلى قوانين إلهية وأحكام عقلية وسيرة عقلائية أما أولئك فلا مستند لعملهم إلا اتباع الهوى والأنانية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الشارع المقدس يهتم بمشروعية الوسيلة ونظافتها كما يهتم بسمو الغاية ومشروعيتها؛ لأن هدفه إقامة العدالة والحياة الكريمة، ولا يطلب الحق بالجور كما ورد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أولئك فلا يهمهم شرعية الوسيلة لبلوغ الغاية، ولا أهميتها فقد يرتكبون أفظع الجرائم من أجل نزوة أو شهوة أو طمع</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استعمالهم لهذه المقولة مطلق أما عند الشارع المقدس فإن الرخصة مقيدة بالموارد التي لا يرضى الشارع المقدس والعقلاء بإهمالها </w:t>
      </w:r>
      <w:bookmarkStart w:id="586" w:name="pg8133_62993"/>
    </w:p>
    <w:p>
      <w:pPr>
        <w:pStyle w:val="BookText"/>
        <w:rPr/>
      </w:pPr>
      <w:bookmarkEnd w:id="586"/>
      <w:r>
        <w:rPr>
          <w:rFonts w:ascii="Amiri" w:hAnsi="Amiri" w:eastAsia="Amiri" w:cs="Amiri"/>
          <w:color w:val="111111"/>
          <w:sz w:val="28"/>
          <w:sz w:val="28"/>
          <w:szCs w:val="28"/>
          <w:rtl w:val="true"/>
          <w:lang w:bidi="ar-SA"/>
        </w:rPr>
        <w:t>كحفظ النفس المحترمة ونحو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الفروق محافظة الشارع المقدس على حرمة الطرف الآخر وكرامته وعدم إهانته وجرح مشاعره ومراعاة ألين الطرق وأرفقها وأيسرها كما سيأتي في الفصل الآتي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كلها لا يلتزم بها أهل تلك المقولة</w:t>
      </w:r>
      <w:r>
        <w:rPr>
          <w:rFonts w:eastAsia="Amiri" w:cs="Amiri" w:ascii="Amiri" w:hAnsi="Amiri"/>
          <w:color w:val="111111"/>
          <w:sz w:val="28"/>
          <w:szCs w:val="28"/>
          <w:rtl w:val="true"/>
          <w:lang w:bidi="ar-SA"/>
        </w:rPr>
        <w:t>.</w:t>
      </w:r>
    </w:p>
    <w:p>
      <w:pPr>
        <w:pStyle w:val="Heading6"/>
        <w:numPr>
          <w:ilvl w:val="5"/>
          <w:numId w:val="1"/>
        </w:numPr>
        <w:rPr/>
      </w:pPr>
      <w:bookmarkStart w:id="587" w:name="__RefHeading___Toc8193397_1051229030"/>
      <w:bookmarkStart w:id="588" w:name="_Toc210"/>
      <w:bookmarkEnd w:id="587"/>
      <w:r>
        <w:rPr>
          <w:rtl w:val="true"/>
        </w:rPr>
        <w:t>المسألة التاسعة عشرة</w:t>
      </w:r>
      <w:r>
        <w:rPr>
          <w:rtl w:val="true"/>
        </w:rPr>
        <w:t xml:space="preserve">: </w:t>
      </w:r>
      <w:r>
        <w:rPr>
          <w:rtl w:val="true"/>
        </w:rPr>
        <w:t>اجتماع وجوبين على موضوع واحد</w:t>
      </w:r>
      <w:r>
        <w:rPr>
          <w:rtl w:val="true"/>
        </w:rPr>
        <w:t>.</w:t>
      </w:r>
      <w:bookmarkEnd w:id="588"/>
    </w:p>
    <w:p>
      <w:pPr>
        <w:pStyle w:val="BookText"/>
        <w:rPr/>
      </w:pPr>
      <w:r>
        <w:rPr>
          <w:rFonts w:ascii="Amiri" w:hAnsi="Amiri" w:eastAsia="Amiri" w:cs="Amiri"/>
          <w:color w:val="111111"/>
          <w:sz w:val="28"/>
          <w:sz w:val="28"/>
          <w:szCs w:val="28"/>
          <w:rtl w:val="true"/>
          <w:lang w:bidi="ar-SA"/>
        </w:rPr>
        <w:t xml:space="preserve">ذهب الكثير من علماء الأصول الى استحالة اجتماع وجوبين على موضوع واحد ، الا ان سماحة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 الجزء الثامن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إمكانية ذلك ، اذ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ضوء ما استظهرناه من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بيانية يتضح التطابق بين هذه الآية وسابقتها </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كُنْتُمْ خَيْرَ أُمَّةٍ أُخْرِجَتْ لِلنَّاسِ تَأْمُرُونَ بِالْمَعْرُوفِ وَ تَنْهَوْنَ عَنِ الْمُنْكَرِ وَ تُؤْمِنُونَ بِاللَّهِ وَ لَوْ آمَنَ أَهْلُ الْكِتابِ لَكانَ خَيْراً لَهُمْ مِنْهُمُ الْمُؤْمِنُونَ وَ أَكْثَرُهُمُ الْفاسِقُونَ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 عمران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الأكثر لما بنوا على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تبعيضية في الآيةالسابقة فقد أوردوا إشكالية عدم التوافق بينهما، ونحن لا نرى الإشكال وارداً حتى على هذا الاحتمال؛ لأن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لها مفهوم ينفي خطاب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مانع من كون التكليف موجهاً للأمة جميعاً، وتفهمه جماعة معيّنة على أنها مخاطبة أكثر من غيرها لخصوصية فيها كالحوزة العلمية أو الوجهاء المتنفذين أو السلطات التنفيذية ونحوها، فيكون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تذكيراً وتأكيداً للوجوب العام وإشعاراً لهذه الجماعة بالوجوب </w:t>
      </w:r>
      <w:bookmarkStart w:id="589" w:name="pg8133_62994"/>
    </w:p>
    <w:p>
      <w:pPr>
        <w:pStyle w:val="BookText"/>
        <w:rPr/>
      </w:pPr>
      <w:bookmarkEnd w:id="589"/>
      <w:r>
        <w:rPr>
          <w:rFonts w:ascii="Amiri" w:hAnsi="Amiri" w:eastAsia="Amiri" w:cs="Amiri"/>
          <w:color w:val="111111"/>
          <w:sz w:val="28"/>
          <w:sz w:val="28"/>
          <w:szCs w:val="28"/>
          <w:rtl w:val="true"/>
          <w:lang w:bidi="ar-SA"/>
        </w:rPr>
        <w:t>الخاص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على الفرض المشهوري من وجود إشكال في اجتماع وجوبين على موضوع واحد، وإلا فإننا لا نرى مانعاً من توجه خطاب بالوجوب لعموم الأمة، وخطاب لجماعة خاصة بالوجوب؛ لتذكيرها بالمسؤولية الخاصة، وموارده في الفقه كثيرة</w:t>
      </w:r>
      <w:r>
        <w:rPr>
          <w:rFonts w:eastAsia="Amiri" w:cs="Amiri" w:ascii="Amiri" w:hAnsi="Amiri"/>
          <w:color w:val="111111"/>
          <w:sz w:val="28"/>
          <w:szCs w:val="28"/>
          <w:rtl w:val="true"/>
          <w:lang w:bidi="ar-SA"/>
        </w:rPr>
        <w:t>.</w:t>
      </w:r>
    </w:p>
    <w:p>
      <w:pPr>
        <w:pStyle w:val="Heading6"/>
        <w:numPr>
          <w:ilvl w:val="5"/>
          <w:numId w:val="1"/>
        </w:numPr>
        <w:rPr/>
      </w:pPr>
      <w:bookmarkStart w:id="590" w:name="__RefHeading___Toc8193399_1051229030"/>
      <w:bookmarkStart w:id="591" w:name="_Toc211"/>
      <w:bookmarkEnd w:id="590"/>
      <w:r>
        <w:rPr>
          <w:rtl w:val="true"/>
        </w:rPr>
        <w:t>المسألة العشرون</w:t>
      </w:r>
      <w:r>
        <w:rPr>
          <w:rtl w:val="true"/>
        </w:rPr>
        <w:t xml:space="preserve">: </w:t>
      </w:r>
      <w:r>
        <w:rPr>
          <w:rtl w:val="true"/>
        </w:rPr>
        <w:t>عدم استحالة الفرد المردد</w:t>
      </w:r>
      <w:r>
        <w:rPr>
          <w:rtl w:val="true"/>
        </w:rPr>
        <w:t>.</w:t>
      </w:r>
      <w:bookmarkEnd w:id="591"/>
    </w:p>
    <w:p>
      <w:pPr>
        <w:pStyle w:val="BookText"/>
        <w:rPr/>
      </w:pPr>
      <w:r>
        <w:rPr>
          <w:rFonts w:ascii="Amiri" w:hAnsi="Amiri" w:eastAsia="Amiri" w:cs="Amiri"/>
          <w:color w:val="111111"/>
          <w:sz w:val="28"/>
          <w:sz w:val="28"/>
          <w:szCs w:val="28"/>
          <w:rtl w:val="true"/>
          <w:lang w:bidi="ar-SA"/>
        </w:rPr>
        <w:t xml:space="preserve">المشهور بين علماء الأصول ان الفرد المردد مستحيل وليس له وجود في الخارج ، الا ان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 الجزء الثامن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هامش صفحة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مبحث حقيقة الوجوب الكفائي فائدة بيْن فيها امكان الفرد المردد ، اذ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أورد 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الجواب على السيد الخوئي في بحثه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محاضرة بتأريخ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الفرد المردد له مصاديق يمكن أن تكون موضوعاً للأحكام الشرعية كما لو كان مردداً ضمن مقدار معين على نحو الكلي في المعين فهذا المقدار من التعيّن يصدق معه تحقق الموضوع رغم أنه مردد، كمقدارالزكاة في المال الزكوي قبل عزله، وقد أوجب أحكاماً شرعية كعدم جواز التصرف في تمام المال الزكوي، فهو غير مستحيل ما دامت بعض أفراده غير مستحيلة،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بالإيجاب</w:t>
      </w:r>
      <w:r>
        <w:rPr>
          <w:rFonts w:eastAsia="Amiri" w:cs="Amiri" w:ascii="Amiri" w:hAnsi="Amiri"/>
          <w:color w:val="111111"/>
          <w:sz w:val="28"/>
          <w:szCs w:val="28"/>
          <w:rtl w:val="true"/>
          <w:lang w:bidi="ar-SA"/>
        </w:rPr>
        <w:t>.</w:t>
      </w:r>
    </w:p>
    <w:p>
      <w:pPr>
        <w:pStyle w:val="Heading6"/>
        <w:numPr>
          <w:ilvl w:val="5"/>
          <w:numId w:val="1"/>
        </w:numPr>
        <w:rPr/>
      </w:pPr>
      <w:bookmarkStart w:id="592" w:name="__RefHeading___Toc8193401_1051229030"/>
      <w:bookmarkStart w:id="593" w:name="_Toc212"/>
      <w:bookmarkEnd w:id="592"/>
      <w:r>
        <w:rPr>
          <w:rtl w:val="true"/>
        </w:rPr>
        <w:t>المسألة الحادية والعشرون</w:t>
      </w:r>
      <w:r>
        <w:rPr>
          <w:rtl w:val="true"/>
        </w:rPr>
        <w:t xml:space="preserve">: </w:t>
      </w:r>
      <w:r>
        <w:rPr>
          <w:rtl w:val="true"/>
        </w:rPr>
        <w:t>حجية العلم ليست ذاتية</w:t>
      </w:r>
      <w:r>
        <w:rPr>
          <w:rtl w:val="true"/>
        </w:rPr>
        <w:t>.</w:t>
      </w:r>
      <w:bookmarkEnd w:id="593"/>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مما لا شك فيه ان القطع حجة ، بل ان مسائل علم الأصول تعتمد في حجيتها على حجية القطع ، ولكن اختلف العلماء في منشأ هذه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w:t>
      </w:r>
    </w:p>
    <w:p>
      <w:pPr>
        <w:pStyle w:val="BookText"/>
        <w:rPr/>
      </w:pPr>
      <w:r>
        <w:rPr>
          <w:rFonts w:ascii="Amiri" w:hAnsi="Amiri" w:eastAsia="Amiri" w:cs="Amiri"/>
          <w:color w:val="111111"/>
          <w:sz w:val="28"/>
          <w:sz w:val="28"/>
          <w:szCs w:val="28"/>
          <w:rtl w:val="true"/>
          <w:lang w:bidi="ar-SA"/>
        </w:rPr>
        <w:t>بعضهم الى انها ذاتية ، وانكر البعض الاخر ذلك فذهب الى ان القطع حجة اذا كان قطعا بما جاء عن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صرح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حجية العلم بمعنى المنجزية والمعذرة ليست ذاتية فهي قابلة لجعل جاعل ، نعم كاشفيته ذاتية ولا تحتاج الى جعل جاعل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هذا الكلام في الجزء 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مسالة طرق ثبوت الهلال ، عند الكلام عن طرق تحصيل العلم بالرؤية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لا نلتزم بالقول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حجية العلم ذاتية الذي يعني أن المعذرية والمنجزية من اللوازم الذاتية للقطع بحيث أنها تترتب على العلم والقطع تلقائياً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كاشفيته وطريقيته للكشف عن الواقع عند القاطع ذاتية، أي أن محركية هذا العلم والقطع لا تحتاج إلى جعل واعتبار لأن الإنسان إذا قطع عمل على طبق قطعه سواء كان مطابقاً للواقع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المعذرية والمنجزية فإنها قابلة للجعل بلحاظ منشأ القطع وسببه فلا تثبت للقطع إلا بعد ثبوت مشروعية أصله ومنشأه ولزوم ترتيب الأثر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فيمكن للمولى عدم اعتبار قطع القطاع حجة باعتبار حصوله من أسباب غير عرفية وعقلائية</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أبيت إلا تعبير مشهور الأصوليين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المولى لم يعتبر مثل هذا القطع قطعاً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ثمرات هذه النكتة الأصولية دفع إشكال معذرية أهل العقائد الفاسدة القاطعين بصحة عقائدهم</w:t>
      </w:r>
      <w:r>
        <w:rPr>
          <w:rFonts w:eastAsia="Amiri" w:cs="Amiri" w:ascii="Amiri" w:hAnsi="Amiri"/>
          <w:color w:val="111111"/>
          <w:sz w:val="28"/>
          <w:szCs w:val="28"/>
          <w:rtl w:val="true"/>
          <w:lang w:bidi="ar-SA"/>
        </w:rPr>
        <w:t xml:space="preserve">. </w:t>
      </w:r>
      <w:bookmarkStart w:id="594" w:name="pg8133_62996"/>
    </w:p>
    <w:p>
      <w:pPr>
        <w:pStyle w:val="Heading6"/>
        <w:numPr>
          <w:ilvl w:val="5"/>
          <w:numId w:val="1"/>
        </w:numPr>
        <w:rPr/>
      </w:pPr>
      <w:bookmarkStart w:id="595" w:name="__RefHeading___Toc8193403_1051229030"/>
      <w:bookmarkStart w:id="596" w:name="_Toc213"/>
      <w:bookmarkEnd w:id="594"/>
      <w:bookmarkEnd w:id="595"/>
      <w:r>
        <w:rPr>
          <w:rtl w:val="true"/>
        </w:rPr>
        <w:t>المسألة الثانية والعشرون</w:t>
      </w:r>
      <w:r>
        <w:rPr>
          <w:rtl w:val="true"/>
        </w:rPr>
        <w:t xml:space="preserve">: </w:t>
      </w:r>
      <w:r>
        <w:rPr>
          <w:rtl w:val="true"/>
        </w:rPr>
        <w:t>الموضوع التقديري للأحكام</w:t>
      </w:r>
      <w:r>
        <w:rPr>
          <w:rtl w:val="true"/>
        </w:rPr>
        <w:t>.</w:t>
      </w:r>
      <w:bookmarkEnd w:id="596"/>
    </w:p>
    <w:p>
      <w:pPr>
        <w:pStyle w:val="BookText"/>
        <w:rPr/>
      </w:pPr>
      <w:r>
        <w:rPr>
          <w:rFonts w:ascii="Amiri" w:hAnsi="Amiri" w:eastAsia="Amiri" w:cs="Amiri"/>
          <w:color w:val="111111"/>
          <w:sz w:val="28"/>
          <w:sz w:val="28"/>
          <w:szCs w:val="28"/>
          <w:rtl w:val="true"/>
          <w:lang w:bidi="ar-SA"/>
        </w:rPr>
        <w:t xml:space="preserve">من الثابت في علم الأصول ان فعلية الحكم تابعة لفعلية موضوعه ، ولكن سماحة الشيخ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 فكرة إمكانية كون الموضوع شأنيا او تقديريا او تنزيليا فلا تتوقف فعلية الحكم حينئذ على فعلية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هذا الكلام في الجزء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مسالة الصلاة والصوم في المناطق القطبية ، اذ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الوقت هناك </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وان كان نهارا مستمرا والشمس طالعة الا ان حركة الشمس من الشرق الى الغرب موجودة وبدل غروبها فانها تعود من الغرب الى الشرق في الدائرة المقابلة فالحركة الأولى تقابل النهار والثانية تقابل الليل مع كون الشمس طالعة في جميع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ويمثل اول انطلاقها من الشرق الى الغرب شروق الشمس ويمثل اخر ما تصل اليه من جهة الغرب قبل عودتها الى الشرق غروب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وعبورها منتصف دائرة الحركة الأولى هو منتصف النهار وعبورها نصف دائرة الحركة الثانية منتصف الليل ، ويكون الفجر الجزء الأخير من الحركة الثانية قبل ان تعود الى الحركة الأولى من الشرق الى الغرب ، فيصلي في جزء من هذه الفترة بمقدار أدائها</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هي الأوقات الشرعية التقديرية ، فتؤدى صلاة الظهرين عند بلوغ الشمس منتصف الدائرة الأولى ويمتد وقتها الى نهايتها وعندما تبدأ الشمس بحركة العودة في الدائرة الثانية تحل صلاة العشائين الى منتصفها ويؤدي صلاة الصبح في نهاية الدائرة الثانية الى حين البدء بالدائرة الأولى، وياتي بها جميعا بنية الاعم من الأداء والقضاء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والبناء على الموضوع التقديري محل الموضوع الفعلي عند تعذره وارد في الحكام الشرعية الثابتة ، ويحضرني هنا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يبلغ الهدي محله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يتسنى للمحصور معرفته بالفعل لاحتمال حصول عارض عن ذبح الهدي في زمانه ومكانه المحددين وانما يفترض تحققه في اليوم الذي واعد أصحابه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ذكرنا في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تحديد أوقات الفجر في البلاد التي لا يتحقق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تحديد الأوقات التقديرية في فترة عدم التميز بدلالة الأوقات المعروفة زمن تحققها</w:t>
      </w:r>
    </w:p>
    <w:p>
      <w:pPr>
        <w:pStyle w:val="BookText"/>
        <w:rPr/>
      </w:pPr>
      <w:r>
        <w:rPr>
          <w:rFonts w:ascii="Amiri" w:hAnsi="Amiri" w:eastAsia="Amiri" w:cs="Amiri"/>
          <w:color w:val="111111"/>
          <w:sz w:val="28"/>
          <w:sz w:val="28"/>
          <w:szCs w:val="28"/>
          <w:rtl w:val="true"/>
          <w:lang w:bidi="ar-SA"/>
        </w:rPr>
        <w:t xml:space="preserve">وذكر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فيوضاته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سانحة قال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المعروف ان الموضوع يجب ان يتحقق فعلا ليتحقق الموجوب لكن يمكن ان لا يكون كذلك بأن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تقديريا كالامثلة المذكورة في هذا البحث</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ظنيا كصيام الأسير والمحبوس الذي لا يمكنه التعرف على شهر رمضان فيصوم شهرا يتوخاه كما في الصحيحة</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 xml:space="preserve">. </w:t>
      </w:r>
      <w:bookmarkStart w:id="597" w:name="pg8133_62998"/>
    </w:p>
    <w:p>
      <w:pPr>
        <w:pStyle w:val="BookText"/>
        <w:rPr/>
      </w:pPr>
      <w:bookmarkEnd w:id="597"/>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تنزيليا ويمكن تقريبه على ما ورد من ان من صام ثلاثة ايّام من الشهر فكأنما صام الشهر كله ، فيحصل صائم الثلاثة على الاثار المترتبة على صيام الشهر</w:t>
      </w:r>
      <w:r>
        <w:rPr>
          <w:rFonts w:eastAsia="Amiri" w:cs="Amiri" w:ascii="Amiri" w:hAnsi="Amiri"/>
          <w:color w:val="111111"/>
          <w:sz w:val="28"/>
          <w:szCs w:val="28"/>
          <w:rtl w:val="true"/>
          <w:lang w:bidi="ar-SA"/>
        </w:rPr>
        <w:t>.</w:t>
      </w:r>
    </w:p>
    <w:p>
      <w:pPr>
        <w:pStyle w:val="Heading6"/>
        <w:numPr>
          <w:ilvl w:val="5"/>
          <w:numId w:val="1"/>
        </w:numPr>
        <w:rPr/>
      </w:pPr>
      <w:bookmarkStart w:id="598" w:name="__RefHeading___Toc8193405_1051229030"/>
      <w:bookmarkStart w:id="599" w:name="_Toc214"/>
      <w:bookmarkEnd w:id="598"/>
      <w:r>
        <w:rPr>
          <w:rtl w:val="true"/>
        </w:rPr>
        <w:t>المسألة الثالثة والعشرون</w:t>
      </w:r>
      <w:r>
        <w:rPr>
          <w:rtl w:val="true"/>
        </w:rPr>
        <w:t xml:space="preserve">: </w:t>
      </w:r>
      <w:r>
        <w:rPr>
          <w:rtl w:val="true"/>
        </w:rPr>
        <w:t>الواجبات النظامية</w:t>
      </w:r>
      <w:r>
        <w:rPr>
          <w:rtl w:val="true"/>
        </w:rPr>
        <w:t>.</w:t>
      </w:r>
      <w:bookmarkEnd w:id="599"/>
    </w:p>
    <w:p>
      <w:pPr>
        <w:pStyle w:val="BookText"/>
        <w:rPr/>
      </w:pPr>
      <w:r>
        <w:rPr>
          <w:rFonts w:ascii="Amiri" w:hAnsi="Amiri" w:eastAsia="Amiri" w:cs="Amiri"/>
          <w:color w:val="111111"/>
          <w:sz w:val="28"/>
          <w:sz w:val="28"/>
          <w:szCs w:val="28"/>
          <w:rtl w:val="true"/>
          <w:lang w:bidi="ar-SA"/>
        </w:rPr>
        <w:t xml:space="preserve">من اهم ما يميز فكر سماحة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نظرته الواسعة للأحكام الفقهية ، فهو يرى ان الواجبات لا تقتصر على الواجبات الفردية ، وانما هناك واجبات تشمل المجتمع بما هو مجتمع والتي اسماها بالواجبات النظامية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نقل سماحته في الجزء الثامن في مبحث حقيقة الوجوب الكفائي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كلاما للسيد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علق عليه بما يوضح هذا المعنى ، ونص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مجموع المكلفين مكلفاً واحداً بالوحدة الاعتبارية يكون منه امتثال واحد وعصيان واحد، فلو فعل أحدهم فكأن هذا المجموع قد صدر منه الفعل ولو بجزء منه، نظير المكلف الواحد قد يحرك الحجر بيده وقد يحركه برجله، فكما أنه لا ينافي ذلك صدور الامتثال الواحد منه كذلك في المقام</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الوحدة الاعتبارية إنما تتعقَّل في طرف متعلق التكليف أي المكلف به كما في الأمر بمجموع أجزاء مركب اعتباري كالصلاة لأن المقصود منه إيجاده، وإيجاد المركب كذلك معقول، حيث يمكن انقداح الداعي نحوه، وأمّا في جانب المكلف فعنوان مجموع المكلفين الواحد بالاعتبار ليس مكلّفاً حقيقة صالحاً لتشغيل ذمته بالتكليف وإنما المكلّف حقيقة إنما هو كل فرد فرد فلا يعقل افتراض امتثال واحد وعصيان كذلك </w:t>
      </w:r>
    </w:p>
    <w:p>
      <w:pPr>
        <w:pStyle w:val="BookText"/>
        <w:rPr/>
      </w:pPr>
      <w:r>
        <w:rPr>
          <w:rFonts w:ascii="IRNazanin" w:hAnsi="IRNazanin" w:eastAsia="IRNazanin"/>
          <w:color w:val="111111"/>
          <w:sz w:val="28"/>
          <w:sz w:val="28"/>
          <w:szCs w:val="28"/>
          <w:rtl w:val="true"/>
          <w:lang w:bidi="fa-IR"/>
        </w:rPr>
        <w:t>للمجموع</w:t>
      </w:r>
      <w:r>
        <w:rPr>
          <w:rFonts w:eastAsia="IRNazanin" w:cs="IRNazanin"/>
          <w:color w:val="111111"/>
          <w:sz w:val="28"/>
          <w:szCs w:val="28"/>
          <w:rtl w:val="true"/>
          <w:lang w:bidi="fa-IR"/>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التقريب أيضاً ممكن، ويوجد ما يدل عليه في النصوصالقرآنية والروايات الشريفة من اعتبار الأمة كياناً واحداً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تَسْبِقُ مِنْ أُمَّةٍ أَجَلَهَا وَمَا يَسْتَأْخِرُونَ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وَلِكُلِّ أُمَّةٍ أَجَلٌ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فللأمة أجل بغضّ النظر عن أفرادها،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الَّذِينَ يُقَاتِلُونَ فِي سَبِيلِهِ صَفّاً كَأَنَّهُم بُنيَانٌ مَّرْصُوصٌ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والبنيان يلحظ فيه مجموع الأجزاء كشيء واحد ولا تلحظ أجزاؤه ومكوناته، وكذا ما ورد في الروايات من اعتبار المؤمنين كالجسد الواحد</w:t>
      </w:r>
      <w:r>
        <w:rPr>
          <w:rStyle w:val="FootnoteAnchor"/>
          <w:rtl w:val="true"/>
        </w:rPr>
        <w:footnoteReference w:id="53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وراكبي السفينة </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 xml:space="preserve">كما قال في 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نفس 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وورد بعضها في أبواب لا تناسب هذا المعنى، فقد أورد البخاري في صحيحه في كتاب الشركة، 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يُقرع في القسمة والاستهام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 القائم على حدود الله والواقع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سنن الترمذي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 كمثل قومٍ استهموا على سفينة فأصاب بعضهم أعلاها وبعضهم أسفلها، فكان الذين في أسفلها إذا استقوا من الماء مرّوا على من فوقهم،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أنَّا خرقنا في نصيبنا خرقاً ولم نؤذِ من فوقنا، فإن يتركوهم وما أرادوا هلكوا جميعاً، وإن أخذوا على أيديهم نجوا ونجوا جميعاً</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0" w:name="pg8133_63000"/>
    </w:p>
    <w:p>
      <w:pPr>
        <w:pStyle w:val="BookText"/>
        <w:rPr/>
      </w:pPr>
      <w:bookmarkEnd w:id="600"/>
      <w:r>
        <w:rPr>
          <w:rFonts w:ascii="Amiri" w:hAnsi="Amiri" w:eastAsia="Amiri" w:cs="Amiri"/>
          <w:color w:val="111111"/>
          <w:sz w:val="28"/>
          <w:sz w:val="28"/>
          <w:szCs w:val="28"/>
          <w:rtl w:val="true"/>
          <w:lang w:bidi="ar-SA"/>
        </w:rPr>
        <w:t>ومن مصاديق هذا التفسير الواجبات النظامية التي يحفظ بها النظامالاجتماعي العام، فإن الفرد عليه تكليفان،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فرد، وهي الواجبات العينية، 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جزء من المجتمع، فيوجّه التكليف إلى المجموع بما هو عنوان للأفراد من دون نظر خاص إلى أحدهم وإنما يراد من المجموع أن يصدر منهم هذا الفعل بأي نحوٍ كان، فإذا فعل وتحقق الغرض فيكون المجموع قد أدى ما عليه، وإن لم يتحقق الفعل خارجاً أثم الجميع لإلقاء التكليف في عهدتهم</w:t>
      </w:r>
      <w:r>
        <w:rPr>
          <w:rFonts w:eastAsia="Amiri" w:cs="Amiri" w:ascii="Amiri" w:hAnsi="Amiri"/>
          <w:color w:val="111111"/>
          <w:sz w:val="28"/>
          <w:szCs w:val="28"/>
          <w:rtl w:val="true"/>
          <w:lang w:bidi="ar-SA"/>
        </w:rPr>
        <w:t>.</w:t>
      </w:r>
    </w:p>
    <w:p>
      <w:pPr>
        <w:pStyle w:val="Heading6"/>
        <w:numPr>
          <w:ilvl w:val="5"/>
          <w:numId w:val="1"/>
        </w:numPr>
        <w:rPr/>
      </w:pPr>
      <w:bookmarkStart w:id="601" w:name="__RefHeading___Toc8193407_1051229030"/>
      <w:bookmarkStart w:id="602" w:name="_Toc215"/>
      <w:bookmarkEnd w:id="601"/>
      <w:r>
        <w:rPr>
          <w:rtl w:val="true"/>
        </w:rPr>
        <w:t>المسألة الرابعة والعشرون</w:t>
      </w:r>
      <w:r>
        <w:rPr>
          <w:rtl w:val="true"/>
        </w:rPr>
        <w:t xml:space="preserve">: </w:t>
      </w:r>
      <w:r>
        <w:rPr>
          <w:rtl w:val="true"/>
        </w:rPr>
        <w:t>الترجيح بالسبق الى العمل</w:t>
      </w:r>
      <w:r>
        <w:rPr>
          <w:rtl w:val="true"/>
        </w:rPr>
        <w:t>.</w:t>
      </w:r>
      <w:bookmarkEnd w:id="602"/>
    </w:p>
    <w:p>
      <w:pPr>
        <w:pStyle w:val="BookText"/>
        <w:rPr/>
      </w:pPr>
      <w:r>
        <w:rPr>
          <w:rFonts w:ascii="Amiri" w:hAnsi="Amiri" w:eastAsia="Amiri" w:cs="Amiri"/>
          <w:color w:val="111111"/>
          <w:sz w:val="28"/>
          <w:sz w:val="28"/>
          <w:szCs w:val="28"/>
          <w:rtl w:val="true"/>
          <w:lang w:bidi="ar-SA"/>
        </w:rPr>
        <w:t>كثيرا ما نقرأ في علم الأصول الحكم باستحالة شيء ؛ لانه من الترجيح بلا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نبّه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بعض تطبيقات هذه القاعدة ليست صحيحة ؛ فان السبق الى اداء العمل يعد مرجحًا من المرجحات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هذا المعنى في الجزء الثامن في مبحث حقيقة الوجوب الكفائي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كان احد الاقوال في المسالة انه وجوب متعلق بفرد معين ، فأجيب بان هذا من الترجيح بلا مرجح ، ورد سماحته بأن السبق الى العمل الذي يكشف عن الاستحقاق هو المرجح ، واليك نص الكلام</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وأجيب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يلزم التخصيص بلا مخصص والترجيح من غير مرجّح، فإن نسبة ذلك الغرض الواحد إلى جميع المكلفين على صعيد واحد، وعليه فتخصيص الواحد المعيَّن منهم بتحصيله لا محالة يكون بلا مخصص</w:t>
      </w:r>
      <w:r>
        <w:rPr>
          <w:rFonts w:eastAsia="Amiri" w:cs="Amiri" w:ascii="Amiri" w:hAnsi="Amiri"/>
          <w:color w:val="111111"/>
          <w:sz w:val="28"/>
          <w:szCs w:val="28"/>
          <w:rtl w:val="true"/>
          <w:lang w:bidi="ar-SA"/>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 xml:space="preserve">. </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افترضناه آنفاً من كون تعيين الواحد يكون بسبقه إلى الامتثال، فليس إذن هو تخصيص بلا مخصص؛ لأن المخصِّص هو السبق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هو من الترجيح بلا مرجح؛ لوجود المرجّح وهواستحقاق الألطاف الإلهية الخاصة أكثر من غيره، ولو كان المورد من الترجيح بلا مرجّح لأحد الفردين أو الأفراد فإننا لا نجد إشكالاً فيه؛ لأن المرجح هو نفس الحاجة إلى الترجيح وإرادة تحقق الفعل، كأحد قرصي الجائع وطريقي الهارب، مضافاً إلى أننا نتحدث عن طاعات وأوامر إلهية يُرجى منها الثواب والقرب من الله تعالى وقد أمرنا باستباقها والمسارعة إليها، فالمرجح هو الاستحقاق الذي يكشف عنه السبق،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فَاسْتَبِقُواْ الْخَيْرَاتِ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كَانُوا يُسَارِعُونَ فِي الْخَيْرَاتِ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وَيُسَارِعُونَ فِي الْخَيْرَاتِ وَأُوْلَئِكَ مِنَ الصَّالِحِينَ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يُسَارِعُونَ فِي الْخَيْرَاتِ وَهُمْ لَهَا سَابِقُونَ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وَسَارِعُواْ إلى مَغْفِرَةٍ مِّن رَّبِّكُمْ وَجَنَّةٍ عَرْضُهَا السَّمَاوَاتُ وَالأَرْضُ أُعِدَّتْ لِلْمُتَّقِينَ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bookmarkStart w:id="603" w:name="pg8133_63002"/>
    </w:p>
    <w:p>
      <w:pPr>
        <w:pStyle w:val="Heading5"/>
        <w:numPr>
          <w:ilvl w:val="4"/>
          <w:numId w:val="1"/>
        </w:numPr>
        <w:rPr/>
      </w:pPr>
      <w:bookmarkStart w:id="604" w:name="__RefHeading___Toc8193409_1051229030"/>
      <w:bookmarkStart w:id="605" w:name="_Toc216"/>
      <w:bookmarkEnd w:id="603"/>
      <w:bookmarkEnd w:id="604"/>
      <w:r>
        <w:rPr>
          <w:rtl w:val="true"/>
        </w:rPr>
        <w:t>الأصول العملية</w:t>
      </w:r>
      <w:bookmarkEnd w:id="605"/>
    </w:p>
    <w:p>
      <w:pPr>
        <w:pStyle w:val="Heading6"/>
        <w:numPr>
          <w:ilvl w:val="5"/>
          <w:numId w:val="1"/>
        </w:numPr>
        <w:rPr/>
      </w:pPr>
      <w:bookmarkStart w:id="606" w:name="__RefHeading___Toc8193411_1051229030"/>
      <w:bookmarkStart w:id="607" w:name="_Toc217"/>
      <w:bookmarkEnd w:id="606"/>
      <w:r>
        <w:rPr>
          <w:rtl w:val="true"/>
        </w:rPr>
        <w:t>اشارة</w:t>
      </w:r>
      <w:bookmarkEnd w:id="607"/>
    </w:p>
    <w:p>
      <w:pPr>
        <w:pStyle w:val="BookText"/>
        <w:rPr/>
      </w:pPr>
      <w:r>
        <w:rPr>
          <w:rFonts w:ascii="Amiri" w:hAnsi="Amiri" w:eastAsia="Amiri" w:cs="Amiri"/>
          <w:color w:val="111111"/>
          <w:sz w:val="28"/>
          <w:sz w:val="28"/>
          <w:szCs w:val="28"/>
          <w:rtl w:val="true"/>
          <w:lang w:bidi="ar-SA"/>
        </w:rPr>
        <w:t>بعد ان تكلمنا في الدليل المحرز ننتقل الى ما جاء في موسوعة فقه الخلاف من الكلام عن الدليل غير المحرز ، او ما يصطلح عليه بالأصول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ينتهي اليها الفقيه عند عدم وجدان الدليل على الحكم الشرعي ، فتاتي الأصول العملية لتبين لنا الموقف العملي تجاه الاحكام الشرعية المشكوكة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واهم الأصول العملية التي بحثت في علم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 البراءة ، والعلم الإجمالي ، والاستصحاب</w:t>
      </w:r>
      <w:r>
        <w:rPr>
          <w:rFonts w:eastAsia="Amiri" w:cs="Amiri" w:ascii="Amiri" w:hAnsi="Amiri"/>
          <w:color w:val="111111"/>
          <w:sz w:val="28"/>
          <w:szCs w:val="28"/>
          <w:rtl w:val="true"/>
          <w:lang w:bidi="ar-SA"/>
        </w:rPr>
        <w:t>.</w:t>
      </w:r>
    </w:p>
    <w:p>
      <w:pPr>
        <w:pStyle w:val="Heading6"/>
        <w:numPr>
          <w:ilvl w:val="5"/>
          <w:numId w:val="1"/>
        </w:numPr>
        <w:rPr/>
      </w:pPr>
      <w:bookmarkStart w:id="608" w:name="__RefHeading___Toc8193413_1051229030"/>
      <w:bookmarkStart w:id="609" w:name="_Toc218"/>
      <w:bookmarkEnd w:id="608"/>
      <w:r>
        <w:rPr>
          <w:rtl w:val="true"/>
        </w:rPr>
        <w:t>اصل البراءة الشرعية</w:t>
      </w:r>
      <w:bookmarkEnd w:id="609"/>
    </w:p>
    <w:p>
      <w:pPr>
        <w:pStyle w:val="BookText"/>
        <w:rPr/>
      </w:pPr>
      <w:r>
        <w:rPr>
          <w:rFonts w:ascii="Amiri" w:hAnsi="Amiri" w:eastAsia="Amiri" w:cs="Amiri"/>
          <w:color w:val="111111"/>
          <w:sz w:val="28"/>
          <w:sz w:val="28"/>
          <w:szCs w:val="28"/>
          <w:rtl w:val="true"/>
          <w:lang w:bidi="ar-SA"/>
        </w:rPr>
        <w:t>استدل علماء الأصول بحديث الرفع على ان الأصل عند الشك في التكليف هو عدم التكليف وهو ما يعرف بأصل البراءة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وسنذكر بعض ما جاء في موسوعة فقه الخلاف عن البراءة في ثلاث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البراءة في الاحكام الوضعية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البراءة عن وجوب إصابة عمود الجمرة في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اجراء الأصول في الألفاظ</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وتفصيل هذه المسائل</w:t>
      </w:r>
      <w:r>
        <w:rPr>
          <w:rFonts w:eastAsia="Amiri" w:cs="Amiri" w:ascii="Amiri" w:hAnsi="Amiri"/>
          <w:color w:val="111111"/>
          <w:sz w:val="28"/>
          <w:szCs w:val="28"/>
          <w:rtl w:val="true"/>
          <w:lang w:bidi="ar-SA"/>
        </w:rPr>
        <w:t xml:space="preserve">: </w:t>
      </w:r>
      <w:bookmarkStart w:id="610" w:name="pg8133_63003"/>
    </w:p>
    <w:p>
      <w:pPr>
        <w:pStyle w:val="Heading6"/>
        <w:numPr>
          <w:ilvl w:val="5"/>
          <w:numId w:val="1"/>
        </w:numPr>
        <w:rPr/>
      </w:pPr>
      <w:bookmarkStart w:id="611" w:name="__RefHeading___Toc8193415_1051229030"/>
      <w:bookmarkStart w:id="612" w:name="_Toc219"/>
      <w:bookmarkEnd w:id="610"/>
      <w:bookmarkEnd w:id="611"/>
      <w:r>
        <w:rPr>
          <w:rtl w:val="true"/>
        </w:rPr>
        <w:t>المسألة الأولى</w:t>
      </w:r>
      <w:r>
        <w:rPr>
          <w:rtl w:val="true"/>
        </w:rPr>
        <w:t xml:space="preserve">: </w:t>
      </w:r>
      <w:r>
        <w:rPr>
          <w:rtl w:val="true"/>
        </w:rPr>
        <w:t>جريان البراءة في الاحكام الوضعية</w:t>
      </w:r>
      <w:r>
        <w:rPr>
          <w:rtl w:val="true"/>
        </w:rPr>
        <w:t>.</w:t>
      </w:r>
      <w:bookmarkEnd w:id="612"/>
    </w:p>
    <w:p>
      <w:pPr>
        <w:pStyle w:val="BookText"/>
        <w:rPr/>
      </w:pPr>
      <w:r>
        <w:rPr>
          <w:rFonts w:ascii="Amiri" w:hAnsi="Amiri" w:eastAsia="Amiri" w:cs="Amiri"/>
          <w:color w:val="111111"/>
          <w:sz w:val="28"/>
          <w:sz w:val="28"/>
          <w:szCs w:val="28"/>
          <w:rtl w:val="true"/>
          <w:lang w:bidi="ar-SA"/>
        </w:rPr>
        <w:t>مما لاشك فيه ان اصل البراءة يجري في الاحكام التكليفية ، ولكن اختلف علماء الأصول في جريانه في الاحكام الوضعية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وكلمات سماحة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الجزء التاسع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في قوله بعدم جريان حديث الرفع في الاحكام الوضعية ، حيث قال</w:t>
      </w:r>
      <w:r>
        <w:rPr>
          <w:rFonts w:eastAsia="Amiri" w:cs="Amiri" w:ascii="Amiri" w:hAnsi="Amiri"/>
          <w:color w:val="111111"/>
          <w:sz w:val="28"/>
          <w:szCs w:val="28"/>
          <w:rtl w:val="true"/>
          <w:lang w:bidi="ar-SA"/>
        </w:rPr>
        <w:t>:</w:t>
      </w:r>
    </w:p>
    <w:p>
      <w:pPr>
        <w:pStyle w:val="Heading6"/>
        <w:numPr>
          <w:ilvl w:val="5"/>
          <w:numId w:val="1"/>
        </w:numPr>
        <w:rPr/>
      </w:pPr>
      <w:bookmarkStart w:id="613" w:name="__RefHeading___Toc8193417_1051229030"/>
      <w:bookmarkStart w:id="614" w:name="_Toc220"/>
      <w:bookmarkEnd w:id="613"/>
      <w:r>
        <w:rPr>
          <w:rtl w:val="true"/>
        </w:rPr>
        <w:t>فرع</w:t>
      </w:r>
      <w:r>
        <w:rPr>
          <w:rtl w:val="true"/>
        </w:rPr>
        <w:t>:</w:t>
      </w:r>
      <w:bookmarkEnd w:id="614"/>
    </w:p>
    <w:p>
      <w:pPr>
        <w:pStyle w:val="BookText"/>
        <w:rPr/>
      </w:pPr>
      <w:r>
        <w:rPr>
          <w:rFonts w:ascii="Amiri" w:hAnsi="Amiri" w:eastAsia="Amiri" w:cs="Amiri"/>
          <w:color w:val="111111"/>
          <w:sz w:val="28"/>
          <w:sz w:val="28"/>
          <w:szCs w:val="28"/>
          <w:rtl w:val="true"/>
          <w:lang w:bidi="ar-SA"/>
        </w:rPr>
        <w:t>على القول بجواز الإضرار بالغير مطلقاً أو في الجملة فهل عليه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علّلَ الشيخُ الانصاري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المطالب الآتية الضمان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الإكراه المانع من الضمان أو استقراره</w:t>
      </w:r>
      <w:r>
        <w:rPr>
          <w:rFonts w:eastAsia="Amiri" w:cs="Amiri" w:ascii="Amiri" w:hAnsi="Amiri"/>
          <w:color w:val="111111"/>
          <w:sz w:val="28"/>
          <w:szCs w:val="28"/>
          <w:rtl w:val="true"/>
          <w:lang w:bidi="ar-SA"/>
        </w:rPr>
        <w:t>»</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وهو صريح بأن الإكراه مانع من أصل الضمان أو من استقراره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عدم الضمان عند الإكراه فإنه مبني على تقريبه السابق للمُكرَه كالآلة وأنه سبب ضعيف ولا يصح إسناد الفعل اليه فيكون الضمان على السبب الفاعل وهو المُكرِه، وقد أجبنا بأن المُكرَه ليس كذلك فإنه فاعلٌ مختارٌ ومباشر للفعل ويتمكن من تحمّل الضرر بدل إيقاعه بالغير</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أنه مبني على كون حديث الرفع مسقطاً للأحكام الوضعية ومنها الضمان وليس مختصاً بالأحكام التكليفية، لكن هذا التعميم غير تام وزائد عن مفاد الحديث وللنقض عليه بضمان مال الغير عند الاضطرار إلى أكله في المخمصة، وما دل على فساد بعض الأحكام الوضعية كطلاق المكره لا يصحح التعميم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عدم استقرار الضمان على المُكرَه فهو صحيح لأنه فعلَ ما فعل بإكراه الجائر، فالسبب هنا أقوى من المباشر ويستقر عليه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سماحته بيّن في الجزء الثالث عشر في مسالة حد المبيت الواجب في منى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عند بحثه في وجوب الكفارة على من لم يبت جهلًا او نسيانًا او اضطرارًا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المسالة تفصيلًا ، وان البراءة الشرعية تجري في بعض الاحكام الوضعية دون بعضها الاخر، اذ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دامت بركاته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تجب الكفارة على من خالف جهلاً أو نسياناً أو اضطراراً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حكي عن المشهور عدم سقوطها عنهم لكن هذه النسبة محل إشكال لظهور كلمات بعضهم في عدم الوجوب كتقييد الوجوب بالعمد وهو يعني خروج هؤلاء منه لعدم صدق العمد عليهم، كقول ابن الجنيد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للحاج أن يبيت ليالي منى إلا بمنى، فإن فعل ذلك عامداً، فعليه لكل ليلة دم</w:t>
      </w:r>
      <w:r>
        <w:rPr>
          <w:rFonts w:eastAsia="Amiri" w:cs="Amiri" w:ascii="Amiri" w:hAnsi="Amiri"/>
          <w:color w:val="111111"/>
          <w:sz w:val="28"/>
          <w:szCs w:val="28"/>
          <w:rtl w:val="true"/>
          <w:lang w:bidi="ar-SA"/>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بات الثلاث ليال بغير منى متعمداً كان عليه ثلاثة من الغنم</w:t>
      </w:r>
      <w:r>
        <w:rPr>
          <w:rFonts w:eastAsia="Amiri" w:cs="Amiri" w:ascii="Amiri" w:hAnsi="Amiri"/>
          <w:color w:val="111111"/>
          <w:sz w:val="28"/>
          <w:szCs w:val="28"/>
          <w:rtl w:val="true"/>
          <w:lang w:bidi="ar-SA"/>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وفاقاً لجملة من الأصحاب ككاشف اللثام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إطلاق النصوص والفتاوى في الفداء يشمل العالم والجاهل والمضطر والناسي فيجب عليهم أيضاً، ويكون جبراناً لا كفارة، وعن الشهيد في بعض الحواشي</w:t>
      </w:r>
      <w:r>
        <w:rPr>
          <w:rStyle w:val="FootnoteAnchor"/>
          <w:rtl w:val="true"/>
        </w:rPr>
        <w:footnoteReference w:id="5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الجاهل، ووجهه غير معلوم</w:t>
      </w:r>
      <w:r>
        <w:rPr>
          <w:rFonts w:eastAsia="Amiri" w:cs="Amiri" w:ascii="Amiri" w:hAnsi="Amiri"/>
          <w:color w:val="111111"/>
          <w:sz w:val="28"/>
          <w:szCs w:val="28"/>
          <w:rtl w:val="true"/>
          <w:lang w:bidi="ar-SA"/>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وجهه ما ورد في صحيحة عبد الصمد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رجل ركب أمراً بجهالة فلا شيء عليه</w:t>
      </w:r>
      <w:r>
        <w:rPr>
          <w:rFonts w:eastAsia="Amiri" w:cs="Amiri" w:ascii="Amiri" w:hAnsi="Amiri"/>
          <w:color w:val="111111"/>
          <w:sz w:val="28"/>
          <w:szCs w:val="28"/>
          <w:rtl w:val="true"/>
          <w:lang w:bidi="ar-SA"/>
        </w:rPr>
        <w:t>)</w:t>
      </w:r>
      <w:r>
        <w:rPr>
          <w:rStyle w:val="FootnoteAnchor"/>
          <w:rtl w:val="true"/>
        </w:rPr>
        <w:footnoteReference w:id="541"/>
      </w:r>
      <w:r>
        <w:rPr>
          <w:rFonts w:ascii="Amiri" w:hAnsi="Amiri" w:eastAsia="Amiri" w:cs="Amiri"/>
          <w:color w:val="111111"/>
          <w:sz w:val="28"/>
          <w:sz w:val="28"/>
          <w:szCs w:val="28"/>
          <w:rtl w:val="true"/>
          <w:lang w:bidi="ar-SA"/>
        </w:rPr>
        <w:t xml:space="preserve">أو ما سيأتي من صحيحة معاوية بن عمار </w:t>
      </w:r>
      <w:r>
        <w:rPr>
          <w:rStyle w:val="FootnoteAnchor"/>
          <w:rtl w:val="true"/>
        </w:rPr>
        <w:footnoteReference w:id="542"/>
      </w:r>
      <w:r>
        <w:rPr>
          <w:rFonts w:ascii="Amiri" w:hAnsi="Amiri" w:eastAsia="Amiri" w:cs="Amiri"/>
          <w:color w:val="111111"/>
          <w:sz w:val="28"/>
          <w:sz w:val="28"/>
          <w:szCs w:val="28"/>
          <w:rtl w:val="true"/>
          <w:lang w:bidi="ar-SA"/>
        </w:rPr>
        <w:t>، أو لعل وجهه ما احتمله بعضهم كصاحب المدارك</w:t>
      </w:r>
      <w:r>
        <w:rPr>
          <w:rStyle w:val="FootnoteAnchor"/>
          <w:rtl w:val="true"/>
        </w:rPr>
        <w:footnoteReference w:id="543"/>
      </w:r>
      <w:r>
        <w:rPr>
          <w:rFonts w:ascii="Amiri" w:hAnsi="Amiri" w:eastAsia="Amiri" w:cs="Amiri"/>
          <w:color w:val="111111"/>
          <w:sz w:val="28"/>
          <w:sz w:val="28"/>
          <w:szCs w:val="28"/>
          <w:rtl w:val="true"/>
          <w:lang w:bidi="ar-SA"/>
        </w:rPr>
        <w:t xml:space="preserve">وكاشف اللثام من حمل صحيحة العيص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فاتته ليلة من ليالي منى،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 وقد أساء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الجاهل وقد تقدم عرضه ومناقشته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صحيحة عبد الصمد وارد في سياق الجاهل الذي لبس ثوباً لا تنطبق عليه شروط الإحرام فلعل الحكم خاص به أو يتعدّاه إلى مخالفة شيء من تروك الإحرام كما في صحيحتي معاوية بن عمار وزرارة الآتيتين فلا تشمل ما نحن فيه، والاختلاف في وجوب الكفارة على الجاهل وعدمها وارد في أفعال الحج وتروكه</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وتردد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شمول المضطر بالكفارة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قيل إن فيه وجهين، أظهرهما العدم، للأصل وانتفاء العموم في النصوص، ولأن الفدية كفارة عن ترك الواجب، ولا وجوب عليه، وفيه أن الأصل مقطوع بالإطلاق الذي هو بمنزلة العموم، ولعل الفدية جبران لا كفارة، نعم قد يقال بانسياق غير المضطر من الإطلاق المزبور، إلا أن الأحوط ثبوتها</w:t>
      </w:r>
      <w:r>
        <w:rPr>
          <w:rFonts w:eastAsia="Amiri" w:cs="Amiri" w:ascii="Amiri" w:hAnsi="Amiri"/>
          <w:color w:val="111111"/>
          <w:sz w:val="28"/>
          <w:szCs w:val="28"/>
          <w:rtl w:val="true"/>
          <w:lang w:bidi="ar-SA"/>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ومال السيد الخوئي إلى عدم الوجوب في الجميع بعد أن ناقشفي الإجماع المدعى على ثبوت الكفارة مطلقاً،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ريب أن الإجماع غير تام والقول بعدم وجوب الكفارة في جميع الموارد المزبورة هو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بالنسبة إلى الاضطرار فلحديث الرفع، فإنه لا يختص بمجرد التشريع، بل يرفع كل ما يترتب على الفعل المضطر إليه إلاّ إذا قام دليل خاص على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الحال بالنسبة إلى الجهل كما في صحيحة عبد الصمد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رجل ركب أمراً بجهالة فلا شيء عليه</w:t>
      </w:r>
      <w:r>
        <w:rPr>
          <w:rFonts w:eastAsia="Amiri" w:cs="Amiri" w:ascii="Amiri" w:hAnsi="Amiri"/>
          <w:color w:val="111111"/>
          <w:sz w:val="28"/>
          <w:szCs w:val="28"/>
          <w:rtl w:val="true"/>
          <w:lang w:bidi="ar-SA"/>
        </w:rPr>
        <w:t>)</w:t>
      </w:r>
      <w:r>
        <w:rPr>
          <w:rStyle w:val="FootnoteAnchor"/>
          <w:rtl w:val="true"/>
        </w:rPr>
        <w:footnoteReference w:id="546"/>
      </w:r>
      <w:r>
        <w:rPr>
          <w:rFonts w:ascii="Amiri" w:hAnsi="Amiri" w:eastAsia="Amiri" w:cs="Amiri"/>
          <w:color w:val="111111"/>
          <w:sz w:val="28"/>
          <w:sz w:val="28"/>
          <w:szCs w:val="28"/>
          <w:rtl w:val="true"/>
          <w:lang w:bidi="ar-SA"/>
        </w:rPr>
        <w:t>ولذا ذكرنا أنه لا كفارة على الجاهل في باب الصوم</w:t>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قياس المورد على الجاهل في كتاب الصوم مع الفارق لأن الصوم ورد فيه أن ما يبطله هو تناول المفطر عن علم وعمد فالجاهل خارج تخصصاً ولم يرد مثله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فإذا كان يرى جواز المبيت خارج منى فليس عليه شيء بمقتضى صحيح عبد الصمد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في مورد النسيان، فإنه يرتفع في مورده كل حكم مترتب على الفعل، فكأن الفعل الصادر من الناسي لم يقع وهو في حكم العدم، والأحوط ثبوت الكفارة في هذه الموارد خروجاً عن شبهة الخلاف</w:t>
      </w:r>
      <w:r>
        <w:rPr>
          <w:rFonts w:eastAsia="Amiri" w:cs="Amiri" w:ascii="Amiri" w:hAnsi="Amiri"/>
          <w:color w:val="111111"/>
          <w:sz w:val="28"/>
          <w:szCs w:val="28"/>
          <w:rtl w:val="true"/>
          <w:lang w:bidi="ar-SA"/>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والتحقيق أن يقال أن الكلام تارة يكون على مستوى القواعد وأخرى على مستوى الأدلة الخاصة فالكلام في مقامين</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الواضح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مضى في استدلاله على المستوى الأول فبنى سقوط الكفارة على أن حديث الرفع يسقط الأحكام </w:t>
      </w:r>
    </w:p>
    <w:p>
      <w:pPr>
        <w:pStyle w:val="BookText"/>
        <w:rPr/>
      </w:pPr>
      <w:r>
        <w:rPr>
          <w:rFonts w:ascii="Amiri" w:hAnsi="Amiri" w:eastAsia="Amiri" w:cs="Amiri"/>
          <w:color w:val="111111"/>
          <w:sz w:val="28"/>
          <w:sz w:val="28"/>
          <w:szCs w:val="28"/>
          <w:rtl w:val="true"/>
          <w:lang w:bidi="ar-SA"/>
        </w:rPr>
        <w:t xml:space="preserve">التكليفية والوضعية إلا إذا دل دليل خاص على ثبوت الحكمالوضعي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مبنيان قابلان للمناقشة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عدم جريان حديث الرفع في الموارد المستثناة إنما هو بالتخصيص والصحيح أنه بالتخصص كما اختار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علم الأصول، وسيأتي بيانه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جريان حديث الرفع في جميع الأحكام الوضعية والصحيح أنه يجري في بعضها دون بعض وفق ضابطة سنحققها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الظاهر عدم شمول حديث الرفع ونحوه لجميع الأحكام الوضعية بل فيه تفصيل، وقد أفتى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ببعض الكفارات حتى مع الاضطرار كتظليل المحرم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فرق في ثبوت الكفارة بين حالتي الاختيار والاضطرار، فإن الاضطرار يرفع المنع وأما الكفارة فغير مرتفعة</w:t>
      </w:r>
      <w:r>
        <w:rPr>
          <w:rFonts w:eastAsia="Amiri" w:cs="Amiri" w:ascii="Amiri" w:hAnsi="Amiri"/>
          <w:color w:val="111111"/>
          <w:sz w:val="28"/>
          <w:szCs w:val="28"/>
          <w:rtl w:val="true"/>
          <w:lang w:bidi="ar-SA"/>
        </w:rPr>
        <w:t>»</w:t>
      </w:r>
      <w:r>
        <w:rPr>
          <w:rStyle w:val="FootnoteAnchor"/>
          <w:rtl w:val="true"/>
        </w:rPr>
        <w:footnoteReference w:id="5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بإطلاق صحيحة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أظلل وأنا محرم،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وعليك الكفارة</w:t>
      </w:r>
      <w:r>
        <w:rPr>
          <w:rFonts w:eastAsia="Amiri" w:cs="Amiri" w:ascii="Amiri" w:hAnsi="Amiri"/>
          <w:color w:val="111111"/>
          <w:sz w:val="28"/>
          <w:szCs w:val="28"/>
          <w:rtl w:val="true"/>
          <w:lang w:bidi="ar-SA"/>
        </w:rPr>
        <w:t>)</w:t>
      </w:r>
      <w:r>
        <w:rPr>
          <w:rStyle w:val="FootnoteAnchor"/>
          <w:rtl w:val="true"/>
        </w:rPr>
        <w:footnoteReference w:id="550"/>
      </w:r>
      <w:r>
        <w:rPr>
          <w:rFonts w:ascii="IRNazanin" w:hAnsi="IRNazanin" w:eastAsia="IRNazanin"/>
          <w:color w:val="111111"/>
          <w:sz w:val="28"/>
          <w:sz w:val="28"/>
          <w:szCs w:val="28"/>
          <w:rtl w:val="true"/>
          <w:lang w:bidi="fa-IR"/>
        </w:rPr>
        <w:t>ومعتبرة عبد الله بن المغيرة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لأبي الحسن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أظلل وأنا محرم؟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أفأظلل وأكفّر،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مرضت؟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ظلل وكفّر</w:t>
      </w:r>
      <w:r>
        <w:rPr>
          <w:rFonts w:eastAsia="IRNazanin" w:cs="IRNazanin"/>
          <w:color w:val="111111"/>
          <w:sz w:val="28"/>
          <w:szCs w:val="28"/>
          <w:rtl w:val="true"/>
          <w:lang w:bidi="fa-IR"/>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واحتاط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بلزوم الكفارة على المحرم إذا لبس ما يحرم عليه لبسه اضطراراً للإجماع المستند ظاهراً إلى صحيحة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المحرم إذا احتاج إلى ضروب من الثياب يلبسها،قال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عليه لكل صنف فداء</w:t>
      </w:r>
      <w:r>
        <w:rPr>
          <w:rFonts w:eastAsia="Amiri" w:cs="Amiri" w:ascii="Amiri" w:hAnsi="Amiri"/>
          <w:color w:val="111111"/>
          <w:sz w:val="28"/>
          <w:szCs w:val="28"/>
          <w:rtl w:val="true"/>
          <w:lang w:bidi="ar-SA"/>
        </w:rPr>
        <w:t>)</w:t>
      </w:r>
      <w:r>
        <w:rPr>
          <w:rStyle w:val="FootnoteAnchor"/>
          <w:rtl w:val="true"/>
        </w:rPr>
        <w:footnoteReference w:id="552"/>
      </w:r>
      <w:r>
        <w:rPr>
          <w:rFonts w:ascii="Amiri" w:hAnsi="Amiri" w:eastAsia="Amiri" w:cs="Amiri"/>
          <w:color w:val="111111"/>
          <w:sz w:val="28"/>
          <w:sz w:val="28"/>
          <w:szCs w:val="28"/>
          <w:rtl w:val="true"/>
          <w:lang w:bidi="ar-SA"/>
        </w:rPr>
        <w:t>بناءً على تفسير الاحتياج بالاضطرار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وتوجد أحكام وضعية كثيرة نجزم بعدم سقوطها بحديث الرفع كنجاسة الملاقي للنجاسة مكرهاً أو مضطراً كمن اضطر لأكل الميتة أو شرب النجس فإن الحرمة ترتفع لكن نجاسة الملاقي تثبت، أو وجوب قضاء الصلاة على من فاتته اضطراراً أو إكراهاً، أو حصول الحدث الأكبر الموجب للغسل فإن من أجنب مضطراً أو مسَّ ميتاً مكرهاً وجب عليه الغسل، وكذا حصول الحدث الأصغر الموجب للوضوء أو وجوب الخمس والزكاة في المال لو اضطر؛ لتحقق موجبهما، أو أكره على ذلك، أو من نسي نجاسة ثوبه أو بدنه فصلى فلا يسقط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منا في بعض المباحث السابقة</w:t>
      </w:r>
      <w:r>
        <w:rPr>
          <w:rStyle w:val="FootnoteAnchor"/>
          <w:rtl w:val="true"/>
        </w:rPr>
        <w:footnoteReference w:id="553"/>
      </w:r>
      <w:r>
        <w:rPr>
          <w:rFonts w:ascii="Amiri" w:hAnsi="Amiri" w:eastAsia="Amiri" w:cs="Amiri"/>
          <w:color w:val="111111"/>
          <w:sz w:val="28"/>
          <w:sz w:val="28"/>
          <w:szCs w:val="28"/>
          <w:rtl w:val="true"/>
          <w:lang w:bidi="ar-SA"/>
        </w:rPr>
        <w:t xml:space="preserve">أن عدَّ هذه الاستثناءات تخصيصاً في العام ليس أولى من كونها نقضاً على عموم العام المدعى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كبرى شمول الأحكام الوضعية بحديث 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فتبطله، أي عدم صحة سقوط الأحكام الوضعية مطلقاً بأدلة الأحكام الثانوية،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حديث الرفع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لا يختص بمجرد التشريع، بل يرفع كل ما يترتب على الفعل المضطر إليه إلا إذا قام دليل خاص على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في كون خروج هذه الاسثناءات بالدليل تخصيصاً هو محل مناقشة؛ لأن هذه الموارد خرجت بدليلها وليس بدليل خاص استثناها من حديث الرفع، لذا 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بحثه الأصولي إلى خروجها بالتخصص</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والخروج بالتخصيص مختار الشيخ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حكاه السيد الخوئي</w:t>
      </w:r>
      <w:r>
        <w:rPr>
          <w:rStyle w:val="FootnoteAnchor"/>
          <w:rtl w:val="true"/>
        </w:rPr>
        <w:footnoteReference w:id="5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من أن خروج هذه </w:t>
      </w:r>
    </w:p>
    <w:p>
      <w:pPr>
        <w:pStyle w:val="BookText"/>
        <w:rPr/>
      </w:pPr>
      <w:r>
        <w:rPr>
          <w:rFonts w:ascii="Amiri" w:hAnsi="Amiri" w:eastAsia="Amiri" w:cs="Amiri"/>
          <w:color w:val="111111"/>
          <w:sz w:val="28"/>
          <w:sz w:val="28"/>
          <w:szCs w:val="28"/>
          <w:rtl w:val="true"/>
          <w:lang w:bidi="ar-SA"/>
        </w:rPr>
        <w:t xml:space="preserve">الموارد بالتخصيص للإجماع، واعترضا عليه، وذهبا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إلىخروجها بالتخصّص</w:t>
      </w:r>
      <w:r>
        <w:rPr>
          <w:rStyle w:val="FootnoteAnchor"/>
          <w:rtl w:val="true"/>
        </w:rPr>
        <w:footnoteReference w:id="555"/>
      </w:r>
      <w:r>
        <w:rPr>
          <w:rFonts w:ascii="Amiri" w:hAnsi="Amiri" w:eastAsia="Amiri" w:cs="Amiri"/>
          <w:color w:val="111111"/>
          <w:sz w:val="28"/>
          <w:sz w:val="28"/>
          <w:szCs w:val="28"/>
          <w:rtl w:val="true"/>
          <w:lang w:bidi="ar-SA"/>
        </w:rPr>
        <w:t xml:space="preserve">، ويميّز بينهما بأن نكتة خروج هذه الموارد ثبوتية وليست إثباتية،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الاضطرار في نظر العرف فعل للمضطرّ إليه، فإن كان هناك حكم مترتب على نفس الفعل، كالكفارة المترتبة على الإفطار ارتفع بالاضطرار والإكراه، وأما إذا كان الحكم مترتباً على عنوان الملاقاة مثلاً كما في النجاسة، أو أي عنوان آخر غير الفعل فهو لا يرتفع بحديث الرفع؛ لأن ما يتصف بالاضطرار وهو الفعل ليس هو موضوعاً للحكم، وما يكون موضوعاً للحكم ليس متصفاً بالاضطرار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من القول بالتفصيل ووضع ضابطة للأحكام الوضعية التي تسقط بحديث الرفع مضافاً إلى شرط تحقق الامتنان بتطبيقه لذا لم يسقط الضمان بالإتلاف عن اضطرار أو إكراه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تلك 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الفعل المضطر إليه هو موضوع الحكم الشرعي وهو ما قاله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كلامه الآنف</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الشروط في هذه الضابطة ما قاله السيد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 في دليله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الحكم الوضعي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يقتضي دخل الاختيار في ترتب الحكم على موضوعه، وأن يكون فعلاً من أفعال المكلف</w:t>
      </w:r>
      <w:r>
        <w:rPr>
          <w:rFonts w:eastAsia="Amiri" w:cs="Amiri" w:ascii="Amiri" w:hAnsi="Amiri"/>
          <w:color w:val="111111"/>
          <w:sz w:val="28"/>
          <w:szCs w:val="28"/>
          <w:rtl w:val="true"/>
          <w:lang w:bidi="ar-SA"/>
        </w:rPr>
        <w:t>»</w:t>
      </w:r>
      <w:r>
        <w:rPr>
          <w:rStyle w:val="FootnoteAnchor"/>
          <w:rtl w:val="true"/>
        </w:rPr>
        <w:footnoteReference w:id="556"/>
      </w:r>
      <w:r>
        <w:rPr>
          <w:rFonts w:ascii="Amiri" w:hAnsi="Amiri" w:eastAsia="Amiri" w:cs="Amiri"/>
          <w:color w:val="111111"/>
          <w:sz w:val="28"/>
          <w:sz w:val="28"/>
          <w:szCs w:val="28"/>
          <w:rtl w:val="true"/>
          <w:lang w:bidi="ar-SA"/>
        </w:rPr>
        <w:t>، فنجاسة الملاقي تترتب على الملاقاة ولا علاقة لها بفعل المكلف، فلو ألقت الريح ثوباً في ماء نجس تنجّس ولم يترتب الحكم على فعل المكلف، وكذا قضاء الصلاة مترتب على عنوان الفوت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يُتوهم أن الضابطة في جريان حديث الرفع وعدمه هو وقوع فعل المكلف متعلقاً للتكليف فيجري، وقوعه موضوعاً له فلا يجري لذا صحّتطبيقه على حرمة أكل النجس دون سريان النجاسة بالملاقاة، فهذا التفريق غير صحيح لجريان حديث الرفع فيهما معاً كسقوط حرمة الإفطار في شهر رمضان ووجوب الكفارة معاً عن المضطر والناسي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فالنقوض التي ذكرناها أعلاه لا دخل لاختيار المكلف فيها وإنما أخذ كل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كالملاقاة والفوت وموجبات الغسل ونواقض الوضوء ونصاب الزكاة وموجبات الخمس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موضوعاً لترتب الحكم لذا لم يشملها حديث الرفع، ويعرف ذلك من مناسبات الحكم والموضوع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وتطبيق هذه الكبرى في المقام ان الكفارة ان كانت عقوبة فهي مترتبة على فعل المكلف ويجري فيها حديث الرفع، وإن كانت جبراناً فموضوعها النقص وهو ليس فعلاً للمكلف فلا يجري فيها حديث الرفع، فلا بد من التحقيق لترجيح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أنها جبر للنقص لوجهين</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الروايات الدالة على كراهية ترك المبيت بمنى وإن أدى الواجب، أو امتثل بغير المبيت كقضاء الليل بالنسك في مكة كصحيحة صفوان 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من شغله نسكه من طواف وسعي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أحبّ أن ينشق له الفجر إلا وهو بمنى</w:t>
      </w:r>
      <w:r>
        <w:rPr>
          <w:rFonts w:eastAsia="IRNazanin" w:cs="IRNazanin"/>
          <w:color w:val="111111"/>
          <w:sz w:val="28"/>
          <w:szCs w:val="28"/>
          <w:rtl w:val="true"/>
          <w:lang w:bidi="fa-IR"/>
        </w:rPr>
        <w:t>)</w:t>
      </w:r>
      <w:r>
        <w:rPr>
          <w:rStyle w:val="FootnoteAnchor"/>
          <w:rtl w:val="true"/>
        </w:rPr>
        <w:footnoteReference w:id="557"/>
      </w:r>
      <w:r>
        <w:rPr>
          <w:rFonts w:ascii="IRNazanin" w:hAnsi="IRNazanin" w:eastAsia="IRNazanin"/>
          <w:color w:val="111111"/>
          <w:sz w:val="28"/>
          <w:sz w:val="28"/>
          <w:szCs w:val="28"/>
          <w:rtl w:val="true"/>
          <w:lang w:bidi="fa-IR"/>
        </w:rPr>
        <w:t>وتقريبه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قضاء الليل بالنسك يسقط وجوب المبيت ويجزي عنه ومع ذلك فقد أحبَّ له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يعود إلى منى ليدرك شيئاً يسيراً من الليل ويصبح فيها ويتجنب نقص ترك المبيت في منى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وكذا رواية أبي الصباح الكناني في الدلجة من منى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حتى ينشق الفجر كراهية أن يبيت الرجل بغير منى</w:t>
      </w:r>
      <w:r>
        <w:rPr>
          <w:rFonts w:eastAsia="IRNazanin" w:cs="IRNazanin"/>
          <w:color w:val="111111"/>
          <w:sz w:val="28"/>
          <w:szCs w:val="28"/>
          <w:rtl w:val="true"/>
          <w:lang w:bidi="fa-IR"/>
        </w:rPr>
        <w:t>)</w:t>
      </w:r>
      <w:r>
        <w:rPr>
          <w:rStyle w:val="FootnoteAnchor"/>
          <w:rtl w:val="true"/>
        </w:rPr>
        <w:footnoteReference w:id="558"/>
      </w:r>
      <w:r>
        <w:rPr>
          <w:rFonts w:ascii="Amiri" w:hAnsi="Amiri" w:eastAsia="Amiri" w:cs="Amiri"/>
          <w:color w:val="111111"/>
          <w:sz w:val="28"/>
          <w:sz w:val="28"/>
          <w:szCs w:val="28"/>
          <w:rtl w:val="true"/>
          <w:lang w:bidi="ar-SA"/>
        </w:rPr>
        <w:t>، ولذا أوجبجماعة الفدية على المعذورين شرعاً في ترك المبيت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مناسبات الحكم والموضوع، ويمكن استفادة المناسبة في المقام من وجوبها على من غلبته عينه فنام في الطريق فإنه تجب عليه الشاة رغم أنه فعل ليس باختياره بعد قضاء ثلاثة أيام شاقة في أعمال الحج وقطع المسافات الطويلة، ففي صحيحة جميل في التهذيب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المرسلة في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 فنام في الطريق فإن بات بمكة فعليه دم</w:t>
      </w:r>
      <w:r>
        <w:rPr>
          <w:rFonts w:eastAsia="IRNazanin" w:cs="IRNazanin"/>
          <w:color w:val="111111"/>
          <w:sz w:val="28"/>
          <w:szCs w:val="28"/>
          <w:rtl w:val="true"/>
          <w:lang w:bidi="fa-IR"/>
        </w:rPr>
        <w:t>)</w:t>
      </w:r>
      <w:r>
        <w:rPr>
          <w:rStyle w:val="FootnoteAnchor"/>
          <w:rtl w:val="true"/>
        </w:rPr>
        <w:footnoteReference w:id="559"/>
      </w:r>
      <w:r>
        <w:rPr>
          <w:rFonts w:ascii="IRNazanin" w:hAnsi="IRNazanin" w:eastAsia="IRNazanin"/>
          <w:color w:val="111111"/>
          <w:sz w:val="28"/>
          <w:sz w:val="28"/>
          <w:szCs w:val="28"/>
          <w:rtl w:val="true"/>
          <w:lang w:bidi="fa-IR"/>
        </w:rPr>
        <w:t xml:space="preserve">وفي رواية علي عن أبي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زار البيت فطاف بالبيت والصفا والمروة ثم رجع فغلبته عينه في الطريق فنام حتى أصبح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شاة</w:t>
      </w:r>
      <w:r>
        <w:rPr>
          <w:rFonts w:eastAsia="IRNazanin" w:cs="IRNazanin"/>
          <w:color w:val="111111"/>
          <w:sz w:val="28"/>
          <w:szCs w:val="28"/>
          <w:rtl w:val="true"/>
          <w:lang w:bidi="fa-IR"/>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الغريب أن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يستحضر ما قاله في علم الأصول هنا ولم يبنِ المطلب على ما ذكره من التفصيل في جريان حديث الرفع والتفريق بحسب ملاك وجوب الفدية وكذا تلامذته</w:t>
      </w:r>
      <w:r>
        <w:rPr>
          <w:rStyle w:val="FootnoteAnchor"/>
          <w:rtl w:val="true"/>
        </w:rPr>
        <w:footnoteReference w:id="561"/>
      </w:r>
      <w:r>
        <w:rPr>
          <w:rFonts w:ascii="Amiri" w:hAnsi="Amiri" w:eastAsia="Amiri" w:cs="Amiri"/>
          <w:color w:val="111111"/>
          <w:sz w:val="28"/>
          <w:sz w:val="28"/>
          <w:szCs w:val="28"/>
          <w:rtl w:val="true"/>
          <w:lang w:bidi="ar-SA"/>
        </w:rPr>
        <w:t xml:space="preserve">خصوصاً وأن هذا التفصيل ملتفت إليه لدى الأعلام السابقين كقول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سقوط الفدية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المضطر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من إطلاق </w:t>
      </w:r>
    </w:p>
    <w:p>
      <w:pPr>
        <w:pStyle w:val="BookText"/>
        <w:rPr/>
      </w:pPr>
      <w:r>
        <w:rPr>
          <w:rFonts w:ascii="Amiri" w:hAnsi="Amiri" w:eastAsia="Amiri" w:cs="Amiri"/>
          <w:color w:val="111111"/>
          <w:sz w:val="28"/>
          <w:sz w:val="28"/>
          <w:szCs w:val="28"/>
          <w:rtl w:val="true"/>
          <w:lang w:bidi="ar-SA"/>
        </w:rPr>
        <w:t>النص بوجوبها على من لم يبت، ومن ظهور العذر وكونها كفارة عن ترك الواجب وهو منتفٍ، ويمكن كونهافدية فتجب وإن انتفى الإثم</w:t>
      </w:r>
      <w:r>
        <w:rPr>
          <w:rFonts w:eastAsia="Amiri" w:cs="Amiri" w:ascii="Amiri" w:hAnsi="Amiri"/>
          <w:color w:val="111111"/>
          <w:sz w:val="28"/>
          <w:szCs w:val="28"/>
          <w:rtl w:val="true"/>
          <w:lang w:bidi="ar-SA"/>
        </w:rPr>
        <w:t>»</w:t>
      </w:r>
      <w:r>
        <w:rPr>
          <w:rStyle w:val="FootnoteAnchor"/>
          <w:rtl w:val="true"/>
        </w:rPr>
        <w:footnoteReference w:id="562"/>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مقتضى الإطلاق عدم الفرق بين المختار والمضطر في وجوب الفدية، وهو ظاهر الفتوى والنص، وإن جاز خروج المضطر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سقوط الفدية عنه، وربما بني الوجهان على أن الشاة هل هي كفارة أو فدية وجبران، فتسقط على الأول دون الثاني</w:t>
      </w:r>
      <w:r>
        <w:rPr>
          <w:rFonts w:eastAsia="Amiri" w:cs="Amiri" w:ascii="Amiri" w:hAnsi="Amiri"/>
          <w:color w:val="111111"/>
          <w:sz w:val="28"/>
          <w:szCs w:val="28"/>
          <w:rtl w:val="true"/>
          <w:lang w:bidi="ar-SA"/>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ينبغي للسيد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يؤسس مختاره على هذا التفصيل ليقول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الفداء بشاة إن كان عقوبة على ترك المبيت فإنها تسقط بحديث الرفع لعدم استحقاق المضطر والناسي والجاهل العقوبة ولتحقق الشرط وهو كون المضطر إليه من فعل المكلف كسقوط كفارة الصوم عمن تناول المفطر مضطراً أو مكرهاً، وإن كانت الشاة جبراناً للنقص فإن موضوع الحكم ليس من فعل المكلف، ولا دخل لاختيار المكلف فيه، وهو المناسب لإطلاقات وجوب الكفارة، فلا يجري حديث الرفع، ولو شككنا جرت إطلاقات وجوب الفداء عند عدم المبيت بلا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 على المستوى الأول عدم صلاحية أدلة العناوين الثانوية لإخراج محل البحث من إطلاق أدلة وجوب الكفارة؛ لذا لا مانع من التمسك بإطلاق وجوب الكفارة على المضطر والناسي والجاهل وإن لم يكن عاصياً لأن ذبح الشاة قد يكون جبراناً للنقص الحاصل في الملاك وليس عقوبة على العصيان</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مستوى الأدلة الخاصة، ولا يوجد في الروايات ما </w:t>
      </w:r>
    </w:p>
    <w:p>
      <w:pPr>
        <w:pStyle w:val="BookText"/>
        <w:rPr/>
      </w:pPr>
      <w:r>
        <w:rPr>
          <w:rFonts w:ascii="Amiri" w:hAnsi="Amiri" w:eastAsia="Amiri" w:cs="Amiri"/>
          <w:color w:val="111111"/>
          <w:sz w:val="28"/>
          <w:sz w:val="28"/>
          <w:szCs w:val="28"/>
          <w:rtl w:val="true"/>
          <w:lang w:bidi="ar-SA"/>
        </w:rPr>
        <w:t>يدل على تفصيل الحكم في هذه العناوين وإنما نحاول اقتناصه من روايات متفرقة في أحكام مختلفة، فيحسن بحث العناوين كلا على 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المحقق الكركي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جامع المقاصد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حواشي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الجاهل لا كفارة عليه، وظاهر الأخبار العموم، فلا يفرق بينه وبين العامد، ويؤيده أن الجاهل مأمور بالتعلم، وإخلاله به لتقصيره لا يُعدُّ عذراً، مع احتمال الفرق وقوفاً مع أصل البراءة إلا في موضع الوفاق</w:t>
      </w:r>
      <w:r>
        <w:rPr>
          <w:rFonts w:eastAsia="Amiri" w:cs="Amiri" w:ascii="Amiri" w:hAnsi="Amiri"/>
          <w:color w:val="111111"/>
          <w:sz w:val="28"/>
          <w:szCs w:val="28"/>
          <w:rtl w:val="true"/>
          <w:lang w:bidi="ar-SA"/>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ووصف صاحب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الجاهل بأنه جيد وقال في وجهه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عرفت من تضاعيف الأبحاث المتقدمة والأحاديث المتكررة من معذورية الجاهل</w:t>
      </w:r>
      <w:r>
        <w:rPr>
          <w:rFonts w:eastAsia="Amiri" w:cs="Amiri" w:ascii="Amiri" w:hAnsi="Amiri"/>
          <w:color w:val="111111"/>
          <w:sz w:val="28"/>
          <w:szCs w:val="28"/>
          <w:rtl w:val="true"/>
          <w:lang w:bidi="ar-SA"/>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 على سقوط الكفارة عن الجاهل بإطلاق صحيحة عبد الصمد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رجل ركب أمراً بجهالة فلا شيء عليه</w:t>
      </w:r>
      <w:r>
        <w:rPr>
          <w:rFonts w:eastAsia="Amiri" w:cs="Amiri" w:ascii="Amiri" w:hAnsi="Amiri"/>
          <w:color w:val="111111"/>
          <w:sz w:val="28"/>
          <w:szCs w:val="28"/>
          <w:rtl w:val="true"/>
          <w:lang w:bidi="ar-SA"/>
        </w:rPr>
        <w:t>)</w:t>
      </w:r>
      <w:r>
        <w:rPr>
          <w:rStyle w:val="FootnoteAnchor"/>
          <w:rtl w:val="true"/>
        </w:rPr>
        <w:footnoteReference w:id="566"/>
      </w:r>
      <w:r>
        <w:rPr>
          <w:rFonts w:ascii="Amiri" w:hAnsi="Amiri" w:eastAsia="Amiri" w:cs="Amiri"/>
          <w:color w:val="111111"/>
          <w:sz w:val="28"/>
          <w:sz w:val="28"/>
          <w:szCs w:val="28"/>
          <w:rtl w:val="true"/>
          <w:lang w:bidi="ar-SA"/>
        </w:rPr>
        <w:t xml:space="preserve">بعد تجريدها عن الخصوصية وهو ظاهر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وتنكير ما بعدها، فتشمل كل أمر يرتكب بجهالة على ما خرج بدليل كفداء الصيد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وبالتقريب الذي احتمله صاحب المدارك وكاشف اللثام لصحيحة العيص بن القاسم وقد تقدم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ويمكن الاستدلال بصحيحة معاوية بن عمار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أنه ليس عليك فداء شيء أتيته وأنت محرم جاهلاً به إذا كنت محرماً في حجك أو عمرتك إلا الصيد فإن عليك الفداء بجهل كان أو عمد</w:t>
      </w:r>
      <w:r>
        <w:rPr>
          <w:rFonts w:eastAsia="IRNazanin" w:cs="IRNazanin"/>
          <w:color w:val="111111"/>
          <w:sz w:val="28"/>
          <w:szCs w:val="28"/>
          <w:rtl w:val="true"/>
          <w:lang w:bidi="fa-IR"/>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يشكل على الاستدلال بالرواية بأنها تنفي ما يترتب من الكفارة بسبب ارتكاب شيء من المحرمات فلا تشمل ما يترتب منها عند ترك الواجب كما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يمكن رده بأن عدداً من الروايات دلت على أن موجب الكفارة هو المبيت في غير منى وهو منهي عنه ولو بالحرمة الغيرية</w:t>
      </w:r>
      <w:r>
        <w:rPr>
          <w:rStyle w:val="FootnoteAnchor"/>
          <w:rtl w:val="true"/>
        </w:rPr>
        <w:footnoteReference w:id="569"/>
      </w:r>
      <w:r>
        <w:rPr>
          <w:rFonts w:ascii="Amiri" w:hAnsi="Amiri" w:eastAsia="Amiri" w:cs="Amiri"/>
          <w:color w:val="111111"/>
          <w:sz w:val="28"/>
          <w:sz w:val="28"/>
          <w:szCs w:val="28"/>
          <w:rtl w:val="true"/>
          <w:lang w:bidi="ar-SA"/>
        </w:rPr>
        <w:t>مقدمة لتحقق المبيت في منى، ولو تنزلنا فإن ترك الواجب حرام بالملازمة أو بالعينية، ولعدم القول بالفصل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يشكل بأن الرواية واردة في ما يجب من الكفارات على مخالفة تروك الإحرام خاصة لا مطلق الكفارات فهي نظيرة صحيحة زرارة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نتف إبطه أو قلَّم ظفره أو حلق رأسه أو لبس ثوباً لا ينبغي له لبسه أو أكل طعاماً لا ينبغي له أكله وهو محرم، ففعل ذلك ناسياً أو جاهلاً فليس عليه شيء، ومن فعله متعمداً فعليه دم شاة</w:t>
      </w:r>
      <w:r>
        <w:rPr>
          <w:rFonts w:eastAsia="IRNazanin" w:cs="IRNazanin"/>
          <w:color w:val="111111"/>
          <w:sz w:val="28"/>
          <w:szCs w:val="28"/>
          <w:rtl w:val="true"/>
          <w:lang w:bidi="fa-IR"/>
        </w:rPr>
        <w:t>)</w:t>
      </w:r>
      <w:r>
        <w:rPr>
          <w:rStyle w:val="FootnoteAnchor"/>
          <w:rtl w:val="true"/>
        </w:rPr>
        <w:footnoteReference w:id="5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فشمولها المقام يحتاج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التوسعة يمكن تحصيلها بتقريبين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 عنوان المحرم لمحل البحث لأنه ما زال في إحرام من الطيب والنساء قبل زيارة البيت ومن الصيد ما دام في الحرم</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التجريد عن الخصوصية بتنقيح المناط، ويشهد له سقوطها عن ما هو أعظم منه كالجماع ففي صحيحة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محرم غشي امرأته وهي محرمة،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كانا جاهلين استغفرا ربّهما ومضيا علىحجتهما وليس عليهما شيء</w:t>
      </w:r>
      <w:r>
        <w:rPr>
          <w:rFonts w:eastAsia="Amiri" w:cs="Amiri" w:ascii="Amiri" w:hAnsi="Amiri"/>
          <w:color w:val="111111"/>
          <w:sz w:val="28"/>
          <w:szCs w:val="28"/>
          <w:rtl w:val="true"/>
          <w:lang w:bidi="ar-SA"/>
        </w:rPr>
        <w:t>)</w:t>
      </w:r>
      <w:r>
        <w:rPr>
          <w:rStyle w:val="FootnoteAnchor"/>
          <w:rtl w:val="true"/>
        </w:rPr>
        <w:footnoteReference w:id="571"/>
      </w:r>
      <w:r>
        <w:rPr>
          <w:rFonts w:ascii="Amiri" w:hAnsi="Amiri" w:eastAsia="Amiri" w:cs="Amiri"/>
          <w:color w:val="111111"/>
          <w:sz w:val="28"/>
          <w:sz w:val="28"/>
          <w:szCs w:val="28"/>
          <w:rtl w:val="true"/>
          <w:lang w:bidi="ar-SA"/>
        </w:rPr>
        <w:t xml:space="preserve">، ولا نتوقف عند احتمال أن الشيء هو فساد </w:t>
      </w:r>
    </w:p>
    <w:p>
      <w:pPr>
        <w:pStyle w:val="BookText"/>
        <w:rPr/>
      </w:pPr>
      <w:r>
        <w:rPr>
          <w:rFonts w:ascii="IRNazanin" w:hAnsi="IRNazanin" w:eastAsia="IRNazanin"/>
          <w:color w:val="111111"/>
          <w:sz w:val="28"/>
          <w:sz w:val="28"/>
          <w:szCs w:val="28"/>
          <w:rtl w:val="true"/>
          <w:lang w:bidi="fa-IR"/>
        </w:rPr>
        <w:t>الحج أو إعادته من قابل، فتأمل</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النصوص على عدم سقوط الفدية عن المضطر في عدة موارد كالصيد ففي موثقة يونس بن يعقوب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المضطر إلى الميتة وهو يجد الصيد؟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يأكل الصيد وعليه فداؤه،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يكن عندي؟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تقضيه إذا رجعت إلى مالك</w:t>
      </w:r>
      <w:r>
        <w:rPr>
          <w:rFonts w:eastAsia="IRNazanin" w:cs="IRNazanin"/>
          <w:color w:val="111111"/>
          <w:sz w:val="28"/>
          <w:szCs w:val="28"/>
          <w:rtl w:val="true"/>
          <w:lang w:bidi="fa-IR"/>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وكفارة التظليل كما في صحيحة إبراهيم بن أبي محمود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المحرم يظلل على محمله ويفدي إذا كانت الشمس والمطر يضران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الفداء؟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شاة</w:t>
      </w:r>
      <w:r>
        <w:rPr>
          <w:rFonts w:eastAsia="IRNazanin" w:cs="IRNazanin"/>
          <w:color w:val="111111"/>
          <w:sz w:val="28"/>
          <w:szCs w:val="28"/>
          <w:rtl w:val="true"/>
          <w:lang w:bidi="fa-IR"/>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وكفارة لبس ما لا يصح للمحرم كما في صحيحة محمد بن مسلم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المحرم إذا احتاج إلى ضروب من الثياب يلبسها،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لكل صنف فداء</w:t>
      </w:r>
      <w:r>
        <w:rPr>
          <w:rFonts w:eastAsia="IRNazanin" w:cs="IRNazanin"/>
          <w:color w:val="111111"/>
          <w:sz w:val="28"/>
          <w:szCs w:val="28"/>
          <w:rtl w:val="true"/>
          <w:lang w:bidi="fa-IR"/>
        </w:rPr>
        <w:t>)</w:t>
      </w:r>
      <w:r>
        <w:rPr>
          <w:rStyle w:val="FootnoteAnchor"/>
          <w:rtl w:val="true"/>
        </w:rPr>
        <w:footnoteReference w:id="575"/>
      </w:r>
      <w:r>
        <w:rPr>
          <w:rFonts w:ascii="Amiri" w:hAnsi="Amiri" w:eastAsia="Amiri" w:cs="Amiri"/>
          <w:color w:val="111111"/>
          <w:sz w:val="28"/>
          <w:sz w:val="28"/>
          <w:szCs w:val="28"/>
          <w:rtl w:val="true"/>
          <w:lang w:bidi="ar-SA"/>
        </w:rPr>
        <w:t>، بناءً على تفسير الاحتياج بالاضطرار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الموارد وإن كانت لا تمتّ إلى ما نحن فيه بصلة إلا أنها تقرِّب إمكان عدم جريان حديث الرفع في الأحكام الوضعية المترتبة علىالمضطر</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رفع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التعجب لدى شيعته من تساوي الحكم بين هؤلاء والعامد في صحيحة ابن أبي نصر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ألستَ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الخطأ والجهالة والعمد ليسوا بسواء؟ فبأي شيء يفضل المتعمد </w:t>
      </w:r>
    </w:p>
    <w:p>
      <w:pPr>
        <w:pStyle w:val="BookText"/>
        <w:rPr/>
      </w:pPr>
      <w:r>
        <w:rPr>
          <w:rFonts w:ascii="Amiri" w:hAnsi="Amiri" w:eastAsia="Amiri" w:cs="Amiri"/>
          <w:color w:val="111111"/>
          <w:sz w:val="28"/>
          <w:sz w:val="28"/>
          <w:szCs w:val="28"/>
          <w:rtl w:val="true"/>
          <w:lang w:bidi="ar-SA"/>
        </w:rPr>
        <w:t>الجاهل والخاطئ؟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أثم ولعب بدينه</w:t>
      </w:r>
      <w:r>
        <w:rPr>
          <w:rFonts w:eastAsia="Amiri" w:cs="Amiri" w:ascii="Amiri" w:hAnsi="Amiri"/>
          <w:color w:val="111111"/>
          <w:sz w:val="28"/>
          <w:szCs w:val="28"/>
          <w:rtl w:val="true"/>
          <w:lang w:bidi="ar-SA"/>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ويظهر من كلمات بعض الأصحاب عدم وجوب كفارة على من لم يبت في منى اضطراراً، مستفيدين من وحدة المناط مع العناوين المستثناة من وجوب المبيت في منى فإن مناط إعفائهم الاضطرار مع ضم الملازمة بين إذن الشارع لهم بترك المبيت وسقوط الفدية، فقد صرّح صاحب الحدائق بسقوطها عنهم وقال معلّقاً على رواية الإذن للعباس بأن يبيت في مكة ليالي منى لأجل سقاية الحاج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صريحة في جواز المبيت لأجل السقاية في مكة تلك الليالي من غير دم ولا إثم</w:t>
      </w:r>
      <w:r>
        <w:rPr>
          <w:rFonts w:eastAsia="Amiri" w:cs="Amiri" w:ascii="Amiri" w:hAnsi="Amiri"/>
          <w:color w:val="111111"/>
          <w:sz w:val="28"/>
          <w:szCs w:val="28"/>
          <w:rtl w:val="true"/>
          <w:lang w:bidi="ar-SA"/>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ظاهر المحقق الكركي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مضطراً إلى المبيت بغير منى كما لو دعته حاجة ما، أو حفظ مال، أو تمريض، أو كان من أهل السقاية جاز الخروج من منى إلى غيرها والمبيت هناك</w:t>
      </w:r>
      <w:r>
        <w:rPr>
          <w:rFonts w:eastAsia="Amiri" w:cs="Amiri" w:ascii="Amiri" w:hAnsi="Amiri"/>
          <w:color w:val="111111"/>
          <w:sz w:val="28"/>
          <w:szCs w:val="28"/>
          <w:rtl w:val="true"/>
          <w:lang w:bidi="ar-SA"/>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تعرضه لوجوب الكفارة مع الحاجة إلى البيان يعني عدم الوجوب</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 عليهم بعدم تمام الملازمة فالمضطر إلى التظليل ولبس ما لا يحل له لبسه عليه الكفارة، ولذا تردد الشهيد الأول في الدروس فيسقوط الكفارة عن غير من قام عنده الدليل على استثنائهم وهم الرعاة وأهل السقاية،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وتسقط الفدية عن أهل السقاية والرعاة، وفي سقوطها عن الباقين نظر</w:t>
      </w:r>
      <w:r>
        <w:rPr>
          <w:rFonts w:eastAsia="Amiri" w:cs="Amiri" w:ascii="Amiri" w:hAnsi="Amiri"/>
          <w:color w:val="111111"/>
          <w:sz w:val="28"/>
          <w:szCs w:val="28"/>
          <w:rtl w:val="true"/>
          <w:lang w:bidi="ar-SA"/>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ويمكن التمسك بعموم التنزيل الوارد في صحيحة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المحرم يأتي أهله ناسياً،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شيء عليه وإنما هو بمنزلة من أكل في شهر رمضان وهو ناسٍ</w:t>
      </w:r>
      <w:r>
        <w:rPr>
          <w:rFonts w:eastAsia="IRNazanin" w:cs="IRNazanin"/>
          <w:color w:val="111111"/>
          <w:sz w:val="28"/>
          <w:szCs w:val="28"/>
          <w:rtl w:val="true"/>
          <w:lang w:bidi="fa-IR"/>
        </w:rPr>
        <w:t>)</w:t>
      </w:r>
      <w:r>
        <w:rPr>
          <w:rStyle w:val="FootnoteAnchor"/>
          <w:rtl w:val="true"/>
        </w:rPr>
        <w:footnoteReference w:id="580"/>
      </w:r>
      <w:r>
        <w:rPr>
          <w:rFonts w:ascii="IRNazanin" w:hAnsi="IRNazanin" w:eastAsia="IRNazanin"/>
          <w:color w:val="111111"/>
          <w:sz w:val="28"/>
          <w:sz w:val="28"/>
          <w:szCs w:val="28"/>
          <w:rtl w:val="true"/>
          <w:lang w:bidi="fa-IR"/>
        </w:rPr>
        <w:t xml:space="preserve">، وما تقدم </w:t>
      </w:r>
      <w:r>
        <w:rPr>
          <w:rStyle w:val="FootnoteAnchor"/>
          <w:rtl w:val="true"/>
        </w:rPr>
        <w:footnoteReference w:id="581"/>
      </w:r>
      <w:r>
        <w:rPr>
          <w:rFonts w:ascii="Amiri" w:hAnsi="Amiri" w:eastAsia="Amiri" w:cs="Amiri"/>
          <w:color w:val="111111"/>
          <w:sz w:val="28"/>
          <w:sz w:val="28"/>
          <w:szCs w:val="28"/>
          <w:rtl w:val="true"/>
          <w:lang w:bidi="ar-SA"/>
        </w:rPr>
        <w:t>في صحيحة زرارة في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أنه قياس مع الفارق لما ذكرناه من التفصيل في جريان حديث الرفع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ما تقدم أن عدم وجوب الكفارة على الجاهل والناسي والمضطر يمكن أن يتحقق إذا ثبت شيء مما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انصراف أدلة وجوب الكفارة في المقام عن الجاهل والناسي والمضطر أو عن بعضهم كما احتمله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المضطر في كلامه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الفداء كفارة لارتكاب ترك الواجب وليست جبراً للنقصان فلا تشمل هؤلاء؛ لأن فعلهم كلا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 حديث الرفع ونحوه من أدلة العناوين الثانوية إما لمطلق الأحكام الوضعية إلا ما خرج بدليل فيشمل المقام لعدم وجود ما يخرجه كما خرجت كفارة الصيد ولبس ما يخالف ثوب الإحرام والتظليل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لخصوص ما دخل في ضابطة جريانه وكون المقام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تنقيح مناط الروايات التي أوردناها في البحث أعلاه وتعميمعناوينها كالذي ذكره بعض الأجلاء في المضطر أو صحيحة معاوية بن عمار في الجاهل</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إطلاق في صحيحة عبد الصمد المتقدمة </w:t>
      </w:r>
      <w:r>
        <w:rPr>
          <w:rStyle w:val="FootnoteAnchor"/>
          <w:rtl w:val="true"/>
        </w:rPr>
        <w:footnoteReference w:id="582"/>
      </w:r>
      <w:r>
        <w:rPr>
          <w:rFonts w:ascii="Amiri" w:hAnsi="Amiri" w:eastAsia="Amiri" w:cs="Amiri"/>
          <w:color w:val="111111"/>
          <w:sz w:val="28"/>
          <w:sz w:val="28"/>
          <w:szCs w:val="28"/>
          <w:rtl w:val="true"/>
          <w:lang w:bidi="ar-SA"/>
        </w:rPr>
        <w:t xml:space="preserve">كما فعل السيد </w:t>
      </w:r>
      <w:bookmarkStart w:id="615" w:name="pg8133_63018"/>
    </w:p>
    <w:p>
      <w:pPr>
        <w:pStyle w:val="BookText"/>
        <w:rPr/>
      </w:pPr>
      <w:bookmarkEnd w:id="615"/>
      <w:r>
        <w:rPr>
          <w:rFonts w:ascii="Amiri" w:hAnsi="Amiri" w:eastAsia="Amiri" w:cs="Amiri"/>
          <w:color w:val="111111"/>
          <w:sz w:val="28"/>
          <w:sz w:val="28"/>
          <w:szCs w:val="28"/>
          <w:rtl w:val="true"/>
          <w:lang w:bidi="ar-SA"/>
        </w:rPr>
        <w:t xml:space="preserve">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أنه استدل بها على عدم بطلان الصوم إذا تناول المفطر جهلاً</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 عدم تمامية شيء مما يخرج هذه العناوين فيجب التمسك بإطلاق وجوب الدم على من ترك المبيت في منى وهو الأحوط، واختار الوجوب عليهم من المعاصرين السيد الخميني</w:t>
      </w:r>
      <w:r>
        <w:rPr>
          <w:rStyle w:val="FootnoteAnchor"/>
          <w:rtl w:val="true"/>
        </w:rPr>
        <w:footnoteReference w:id="584"/>
      </w:r>
      <w:r>
        <w:rPr>
          <w:rFonts w:ascii="Amiri" w:hAnsi="Amiri" w:eastAsia="Amiri" w:cs="Amiri"/>
          <w:color w:val="111111"/>
          <w:sz w:val="28"/>
          <w:sz w:val="28"/>
          <w:szCs w:val="28"/>
          <w:rtl w:val="true"/>
          <w:lang w:bidi="ar-SA"/>
        </w:rPr>
        <w:t xml:space="preserve">، بلا فرق بينهم، أما السيد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أوجبها على الجاهل والناسي دون المضطر لكنه احتاط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لاحتمال شمول الأدلة له أيضاً، واحتمال كونه من الوضعيات غير المختصة بحال دون حال</w:t>
      </w:r>
      <w:r>
        <w:rPr>
          <w:rFonts w:eastAsia="Amiri" w:cs="Amiri" w:ascii="Amiri" w:hAnsi="Amiri"/>
          <w:color w:val="111111"/>
          <w:sz w:val="28"/>
          <w:szCs w:val="28"/>
          <w:rtl w:val="true"/>
          <w:lang w:bidi="ar-SA"/>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16" w:name="__RefHeading___Toc8193419_1051229030"/>
      <w:bookmarkStart w:id="617" w:name="_Toc221"/>
      <w:bookmarkEnd w:id="616"/>
      <w:r>
        <w:rPr>
          <w:rtl w:val="true"/>
        </w:rPr>
        <w:t>المسألة الثانية</w:t>
      </w:r>
      <w:r>
        <w:rPr>
          <w:rtl w:val="true"/>
        </w:rPr>
        <w:t xml:space="preserve">: </w:t>
      </w:r>
      <w:r>
        <w:rPr>
          <w:rtl w:val="true"/>
        </w:rPr>
        <w:t>البراءة عن جوب إصابة عمود الجمرة في الحج</w:t>
      </w:r>
      <w:r>
        <w:rPr>
          <w:rtl w:val="true"/>
        </w:rPr>
        <w:t>.</w:t>
      </w:r>
      <w:bookmarkEnd w:id="617"/>
    </w:p>
    <w:p>
      <w:pPr>
        <w:pStyle w:val="BookText"/>
        <w:rPr/>
      </w:pPr>
      <w:r>
        <w:rPr>
          <w:rFonts w:ascii="Amiri" w:hAnsi="Amiri" w:eastAsia="Amiri" w:cs="Amiri"/>
          <w:color w:val="111111"/>
          <w:sz w:val="28"/>
          <w:sz w:val="28"/>
          <w:szCs w:val="28"/>
          <w:rtl w:val="true"/>
          <w:lang w:bidi="ar-SA"/>
        </w:rPr>
        <w:t>اختلف الفقهاء في وجوب إصابة العمود في رمي الجمرات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قال بالوجوب ، ومنهم من قال بعدمه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بيّن سماحة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الجزء السابع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مسالة رمي الجمرات ان الأصل العملي الجاري في المقام هو البراءة عن إصابة العمود ، فاذا لم يتم الدليل المحرز على وجوب إصابته جرت البراءة ،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تنزلنا وافترضنا حصول حالة الشك، فإن الأصل الجاري في المقامهو البراءة من تعيّن وجوب إصابة العمود حصراً، والاكتفاء بإصابة موضع اجتماع الحصى</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وتقريبه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بعد أن قربنا كون العمود بطوله المناسب جزءاً من </w:t>
      </w:r>
      <w:bookmarkStart w:id="618" w:name="pg8133_63019"/>
    </w:p>
    <w:p>
      <w:pPr>
        <w:pStyle w:val="BookText"/>
        <w:rPr/>
      </w:pPr>
      <w:bookmarkEnd w:id="618"/>
      <w:r>
        <w:rPr>
          <w:rFonts w:ascii="Amiri" w:hAnsi="Amiri" w:eastAsia="Amiri" w:cs="Amiri"/>
          <w:color w:val="111111"/>
          <w:sz w:val="28"/>
          <w:sz w:val="28"/>
          <w:szCs w:val="28"/>
          <w:rtl w:val="true"/>
          <w:lang w:bidi="ar-SA"/>
        </w:rPr>
        <w:t>الموضع المخصوص عرفاً كما أن عمود الحصى فوق تلك الأرض هو موضع للرمي مهما كثر وارتفع رأسه ولا يقول أحد بوجوب كشف الحصى وإصابة نفس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وحينئذٍ فإن وجوب إصابة العمود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يُنظر إليه على أنه قيد زائد على وجوب إصابة الموضع المخصوص فيكون الواجب إصابة خصوص العمود من هذا الموضع، وهو وجوب مشكوك للوجوه التي ذكرناها وأحدها عدم إحراز وجودها في زمن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فينفى هذا القيد الزائد ويكتفى بإصابة كل أجزاء الموضع المخصوص، ويمكن تنظير المورد بمن علم بوجوب أداء صلاتي الظهر والعصر في الوقت الممتد من الزوال إلى الغروب لكنه شك في كون الامتثال مقيداً بكونه في أول الوقت أي وقت الفضيلة فينفى هذا القيد بأصالة البراءة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إليه على أنه وجوبٌ ثانٍ مستقل عن الأول على نحو تعدد المطلوب، أي أنه علم بوجوب إصابة الموضع المخصوص من الأرض لكنه شك بوجوب ثانٍ يتعلق بإصابة خصوص العمود من هذه البقعة، نظير من علم بوجوب صوم يومٍ لنذرٍ ونحوه وشك في كونه متعيناً بأول خميس من الشهر، فحينئذٍ يكون المورد صغرى لدوران الأمر بين الأقل والأكثر الاستقلاليين، ومختارنا فيها جريان أصالة البراءة، والأقل هنا إجزاء إصابة أي جزء من الموضع، والأكثر كون الواجب متعيناً بإصابة خصوص العمود</w:t>
      </w:r>
      <w:r>
        <w:rPr>
          <w:rFonts w:eastAsia="Amiri" w:cs="Amiri" w:ascii="Amiri" w:hAnsi="Amiri"/>
          <w:color w:val="111111"/>
          <w:sz w:val="28"/>
          <w:szCs w:val="28"/>
          <w:rtl w:val="true"/>
          <w:lang w:bidi="ar-SA"/>
        </w:rPr>
        <w:t>.</w:t>
      </w:r>
    </w:p>
    <w:p>
      <w:pPr>
        <w:pStyle w:val="Heading6"/>
        <w:numPr>
          <w:ilvl w:val="5"/>
          <w:numId w:val="1"/>
        </w:numPr>
        <w:rPr/>
      </w:pPr>
      <w:bookmarkStart w:id="619" w:name="__RefHeading___Toc8193421_1051229030"/>
      <w:bookmarkStart w:id="620" w:name="_Toc222"/>
      <w:bookmarkEnd w:id="619"/>
      <w:r>
        <w:rPr>
          <w:rtl w:val="true"/>
        </w:rPr>
        <w:t>المسألة الثالثة</w:t>
      </w:r>
      <w:r>
        <w:rPr>
          <w:rtl w:val="true"/>
        </w:rPr>
        <w:t xml:space="preserve">: </w:t>
      </w:r>
      <w:r>
        <w:rPr>
          <w:rtl w:val="true"/>
        </w:rPr>
        <w:t>اجراء الأصول في الألفاظ</w:t>
      </w:r>
      <w:r>
        <w:rPr>
          <w:rtl w:val="true"/>
        </w:rPr>
        <w:t>.</w:t>
      </w:r>
      <w:bookmarkEnd w:id="620"/>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إثارات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في الجزء الثامن في بحث حقيقةالوجوب الكفائي ، اذ نقل كلمة للسيد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اجراء الأصول العملية في الألفاظ ، ثم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هامش الصفحة </w:t>
      </w:r>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عرضت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الدرس فكرة متعلقة بهذا الباب قلت فيها كما هو مسجل في هامش تقريراتي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جريان بعض القواعد والأصول في الألفاظ مما انقدح في ذهني سابقاً ولم أحقق فيه، فمثلاً ذكر الشهيد في اللمعة خلافاً حاصله أن المبطل للصلاة هل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خروج الدمع بصوت، والثاني بدونه، فعندنا هنا قدر متيقن من اللفظ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نأخذ به ونجري البراءة من الزائد وهي الهمزة، كما نفعل في دوران الأمر بين الأقل والأكثر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ثمرة في ذلك لأن النظر قبل إجراء هذا الأصل في الأمارات وهو النص المفروض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الثمرة العملية فموجودة كما في المثال، وأما النص فالمفروض اختلاف النسخ فيه بحيث لم يترجح أحدها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فتتعارض وتتساقط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بجريان القاعدة فيه أي نفي الزيادة في اللفظ، فكيف نتصرف عندما تكون نتيجة إجراء القواعد في مدلول اللفظ أي الحكم عكس ذلك، كما في المثال، فإن القدر المتيقن من المبطل خروج الدمع بصوت وهو يثبت معنى البكاء، وإجراء القاعدة في اللفظ يثبت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فأيهما يقدَّم؟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في اللفظ لأنه بمنزلة العلة للمعنى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اللفظ غير ملحوظ بنفسه بل لحاظه طريقي للمعنى وهو قالب له وفانٍ فيه، أما الملحوظ أولاً وبالذات فهو المعنى فهو المقدَّم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اللفظ لمدخلية القالب في اللحاظ، والقالب إنما هو اللفظ</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الحوار إلى هنا وسجّلت في ذيله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يقوى في نفسي عدم </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جريان ذلك في اللفظ لأن أفراده دائماً متباينة وليست من الأقل والأكثر فلا يوجد قدر متيقن، وربما تجرأت وقلت بعدم جريان مثل هذه القاعدة في الموضوعات وإنما في الأحكام فقط</w:t>
      </w:r>
      <w:r>
        <w:rPr>
          <w:rFonts w:eastAsia="Amiri" w:cs="Amiri" w:ascii="Amiri" w:hAnsi="Amiri"/>
          <w:color w:val="111111"/>
          <w:sz w:val="28"/>
          <w:szCs w:val="28"/>
          <w:rtl w:val="true"/>
          <w:lang w:bidi="ar-SA"/>
        </w:rPr>
        <w:t xml:space="preserve">». </w:t>
      </w:r>
      <w:bookmarkStart w:id="621" w:name="pg8133_63022"/>
    </w:p>
    <w:p>
      <w:pPr>
        <w:pStyle w:val="Heading5"/>
        <w:numPr>
          <w:ilvl w:val="4"/>
          <w:numId w:val="1"/>
        </w:numPr>
        <w:rPr/>
      </w:pPr>
      <w:bookmarkStart w:id="622" w:name="__RefHeading___Toc8193423_1051229030"/>
      <w:bookmarkStart w:id="623" w:name="_Toc223"/>
      <w:bookmarkEnd w:id="621"/>
      <w:bookmarkEnd w:id="622"/>
      <w:r>
        <w:rPr>
          <w:rtl w:val="true"/>
        </w:rPr>
        <w:t>أصالة الاحتياط</w:t>
      </w:r>
      <w:bookmarkEnd w:id="623"/>
    </w:p>
    <w:p>
      <w:pPr>
        <w:pStyle w:val="Heading6"/>
        <w:numPr>
          <w:ilvl w:val="5"/>
          <w:numId w:val="1"/>
        </w:numPr>
        <w:rPr/>
      </w:pPr>
      <w:bookmarkStart w:id="624" w:name="__RefHeading___Toc8193425_1051229030"/>
      <w:bookmarkStart w:id="625" w:name="_Toc224"/>
      <w:bookmarkEnd w:id="624"/>
      <w:r>
        <w:rPr>
          <w:rtl w:val="true"/>
        </w:rPr>
        <w:t>اشارة</w:t>
      </w:r>
      <w:bookmarkEnd w:id="625"/>
    </w:p>
    <w:p>
      <w:pPr>
        <w:pStyle w:val="BookText"/>
        <w:rPr/>
      </w:pPr>
      <w:r>
        <w:rPr>
          <w:rFonts w:ascii="Amiri" w:hAnsi="Amiri" w:eastAsia="Amiri" w:cs="Amiri"/>
          <w:color w:val="111111"/>
          <w:sz w:val="28"/>
          <w:sz w:val="28"/>
          <w:szCs w:val="28"/>
          <w:rtl w:val="true"/>
          <w:lang w:bidi="ar-SA"/>
        </w:rPr>
        <w:t xml:space="preserve">جعلت العنوان هنا هو أصالة الاحتياط ؛ لان الكلام سيكون اعم من العلم الإجمالي ، فسأنقل كلمات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تبين موارد الاحتياط كأصل عملي ومنها حالة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سماحة الشيخ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عددًا من مسائل مباحث العلم الإجمالي، وما يكون الموقف العملي فيه هو الاحتياط ، نذكر منها تسع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اكتفاء الشارع بالموافقة الاحتمالية للعلم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الإجمالي في التدريجيات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انحلال العلم الإجمالي الكبير بالصغير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الإجمالي بعد امتثال احد أطرافه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انقلاب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الدوران بين التعيين والتخيير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الدوران بين التعيين والتخيير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الاحتمال المنجز للاحتياط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اجمالي بين تكليف الشخص وتكليف غيره</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وتفصيل هذه المسائل</w:t>
      </w:r>
      <w:r>
        <w:rPr>
          <w:rFonts w:eastAsia="Amiri" w:cs="Amiri" w:ascii="Amiri" w:hAnsi="Amiri"/>
          <w:color w:val="111111"/>
          <w:sz w:val="28"/>
          <w:szCs w:val="28"/>
          <w:rtl w:val="true"/>
          <w:lang w:bidi="ar-SA"/>
        </w:rPr>
        <w:t xml:space="preserve">: </w:t>
      </w:r>
      <w:bookmarkStart w:id="626" w:name="pg8133_63023"/>
    </w:p>
    <w:p>
      <w:pPr>
        <w:pStyle w:val="Heading6"/>
        <w:numPr>
          <w:ilvl w:val="5"/>
          <w:numId w:val="1"/>
        </w:numPr>
        <w:rPr/>
      </w:pPr>
      <w:bookmarkStart w:id="627" w:name="__RefHeading___Toc8193427_1051229030"/>
      <w:bookmarkStart w:id="628" w:name="_Toc225"/>
      <w:bookmarkEnd w:id="626"/>
      <w:bookmarkEnd w:id="627"/>
      <w:r>
        <w:rPr>
          <w:rtl w:val="true"/>
        </w:rPr>
        <w:t>المسألة الأولى</w:t>
      </w:r>
      <w:r>
        <w:rPr>
          <w:rtl w:val="true"/>
        </w:rPr>
        <w:t xml:space="preserve">: </w:t>
      </w:r>
      <w:r>
        <w:rPr>
          <w:rtl w:val="true"/>
        </w:rPr>
        <w:t>اكتفاء الشارع بالموافقة الاحتمالية للعلم الإجمالي</w:t>
      </w:r>
      <w:r>
        <w:rPr>
          <w:rtl w:val="true"/>
        </w:rPr>
        <w:t>.</w:t>
      </w:r>
      <w:bookmarkEnd w:id="628"/>
    </w:p>
    <w:p>
      <w:pPr>
        <w:pStyle w:val="BookText"/>
        <w:rPr/>
      </w:pPr>
      <w:r>
        <w:rPr>
          <w:rFonts w:ascii="Amiri" w:hAnsi="Amiri" w:eastAsia="Amiri" w:cs="Amiri"/>
          <w:color w:val="111111"/>
          <w:sz w:val="28"/>
          <w:sz w:val="28"/>
          <w:szCs w:val="28"/>
          <w:rtl w:val="true"/>
          <w:lang w:bidi="ar-SA"/>
        </w:rPr>
        <w:t>عندما بحث علماء الأصول أصالة البراءة بحثوا البراءة العقلية والبراءة الشرعية ، وفي البراءة العقلية ظهر مسلكا قبح العقاب بلا بيان و حق الطاعة ، واتفق الاصوليون على البراءة الشرعية سواء في الشبهات الحكمية او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في الشك المقرون بالعلم الإجمالي ذهب المشهور الى استحالة الترخيص في أطراف العلم الإجمالي ، وذهب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إمكانه عقلا وعدم مقبوليته عقلائيا ؛ ولذا اطبق الجميع على منجزية العلم الإجمالي لحرمة المخالفة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وانصب البحث في منجزيته لوجوب الموافقة القطعية ، ومشهورهم ان لم يكن إجماعهم هو منجزية العلم الإجمالي لوجوب الموافقة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 سماحة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اثار في الجزء 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 صوم الاسير والمحبوس نكتة مهمة في هذا المقام ، وهي ان الروايات ترشدنا الى اكتفاء الشارع المقدس بالموافقة الاحتمالية في حالات العلم الإجمالي ،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الصحيحة في المقام </w:t>
      </w:r>
      <w:r>
        <w:rPr>
          <w:rStyle w:val="FootnoteAnchor"/>
          <w:rtl w:val="true"/>
        </w:rPr>
        <w:footnoteReference w:id="586"/>
      </w:r>
    </w:p>
    <w:p>
      <w:pPr>
        <w:pStyle w:val="BookText"/>
        <w:rPr/>
      </w:pPr>
      <w:r>
        <w:rPr>
          <w:rFonts w:ascii="Amiri" w:hAnsi="Amiri" w:eastAsia="Amiri" w:cs="Amiri"/>
          <w:color w:val="111111"/>
          <w:sz w:val="28"/>
          <w:sz w:val="28"/>
          <w:szCs w:val="28"/>
          <w:rtl w:val="true"/>
          <w:lang w:bidi="ar-SA"/>
        </w:rPr>
        <w:t xml:space="preserve">وما تقدّم عن قبلة المتحيّر </w:t>
      </w:r>
      <w:r>
        <w:rPr>
          <w:rStyle w:val="FootnoteAnchor"/>
          <w:rtl w:val="true"/>
        </w:rPr>
        <w:footnoteReference w:id="587"/>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تكشف عن قاعدة كبروية في مباحث العلم الإجمالي وهي تنجيزه لحرمة المخالفة </w:t>
      </w:r>
      <w:bookmarkStart w:id="629" w:name="pg8133_63024"/>
    </w:p>
    <w:p>
      <w:pPr>
        <w:pStyle w:val="BookText"/>
        <w:rPr/>
      </w:pPr>
      <w:bookmarkEnd w:id="629"/>
      <w:r>
        <w:rPr>
          <w:rFonts w:ascii="Amiri" w:hAnsi="Amiri" w:eastAsia="Amiri" w:cs="Amiri"/>
          <w:color w:val="111111"/>
          <w:sz w:val="28"/>
          <w:sz w:val="28"/>
          <w:szCs w:val="28"/>
          <w:rtl w:val="true"/>
          <w:lang w:bidi="ar-SA"/>
        </w:rPr>
        <w:t>القطعية فقط وعدم وجوب الموافقة القطعية فتكفي الموافقة الاحتمالية ومنه يُعلم أن كثيراً من الاحتياطات التي نلتزم بها وفقاً للقواعد هي عسر منفي في الشريعة السمحاء ومنه يُعلم النظر في قولالمستمسك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مصحح للقول بالاكتفاء بالامتثال الاحتمالي</w:t>
      </w:r>
      <w:r>
        <w:rPr>
          <w:rFonts w:eastAsia="Amiri" w:cs="Amiri" w:ascii="Amiri" w:hAnsi="Amiri"/>
          <w:color w:val="111111"/>
          <w:sz w:val="28"/>
          <w:szCs w:val="28"/>
          <w:rtl w:val="true"/>
          <w:lang w:bidi="ar-SA"/>
        </w:rPr>
        <w:t xml:space="preserve">» </w:t>
      </w:r>
      <w:r>
        <w:rPr>
          <w:rStyle w:val="FootnoteAnchor"/>
          <w:rtl w:val="true"/>
        </w:rPr>
        <w:footnoteReference w:id="588"/>
      </w:r>
      <w:r>
        <w:rPr>
          <w:rFonts w:ascii="Amiri" w:hAnsi="Amiri" w:eastAsia="Amiri" w:cs="Amiri"/>
          <w:color w:val="111111"/>
          <w:sz w:val="28"/>
          <w:sz w:val="28"/>
          <w:szCs w:val="28"/>
          <w:rtl w:val="true"/>
          <w:lang w:bidi="ar-SA"/>
        </w:rPr>
        <w:t>لأن مبناه وهو اختصاص صدق التوخي على الظن 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ونستذكر هنا أن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يلفت أنظار أولاد عمه من بني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رسالته إليهم وهم في سجن المنصور العباسي المظلم إلى الاحتياط والإعادة وكانوا يقسمون أوقات الصلاة بناءً على أوراد وتسبيحات علي بن الحسن بن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ويلاحظ هنا أن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قوّى الاجتزاء بالتخيير في مبحث قبلة المتحيّر</w:t>
      </w:r>
      <w:r>
        <w:rPr>
          <w:rStyle w:val="FootnoteAnchor"/>
          <w:rtl w:val="true"/>
        </w:rPr>
        <w:footnoteReference w:id="589"/>
      </w:r>
      <w:r>
        <w:rPr>
          <w:rFonts w:ascii="Amiri" w:hAnsi="Amiri" w:eastAsia="Amiri" w:cs="Amiri"/>
          <w:color w:val="111111"/>
          <w:sz w:val="28"/>
          <w:sz w:val="28"/>
          <w:szCs w:val="28"/>
          <w:rtl w:val="true"/>
          <w:lang w:bidi="ar-SA"/>
        </w:rPr>
        <w:t>وأنه يصلي إلى أية جهة شاء إذا تحرى ولم يترجح لديه اتجاه ولم يقل بلزوم الصلاة إلى أربع جهات أو ثلاث ليضمن وقوع صلاته باتجاه القبلة استناداً إلى النصوص، والموردان من سنخ واحد، والنص في الموردين بنفس المضمون واستعملت لفظ التحري والتوخي وهما مترادفان</w:t>
      </w:r>
      <w:r>
        <w:rPr>
          <w:rFonts w:eastAsia="Amiri" w:cs="Amiri" w:ascii="Amiri" w:hAnsi="Amiri"/>
          <w:color w:val="111111"/>
          <w:sz w:val="28"/>
          <w:szCs w:val="28"/>
          <w:rtl w:val="true"/>
          <w:lang w:bidi="ar-SA"/>
        </w:rPr>
        <w:t>.</w:t>
      </w:r>
    </w:p>
    <w:p>
      <w:pPr>
        <w:pStyle w:val="Heading6"/>
        <w:numPr>
          <w:ilvl w:val="5"/>
          <w:numId w:val="1"/>
        </w:numPr>
        <w:rPr/>
      </w:pPr>
      <w:bookmarkStart w:id="630" w:name="__RefHeading___Toc8193429_1051229030"/>
      <w:bookmarkStart w:id="631" w:name="_Toc226"/>
      <w:bookmarkEnd w:id="630"/>
      <w:r>
        <w:rPr>
          <w:rtl w:val="true"/>
        </w:rPr>
        <w:t>المسألة الثانية</w:t>
      </w:r>
      <w:r>
        <w:rPr>
          <w:rtl w:val="true"/>
        </w:rPr>
        <w:t xml:space="preserve">: </w:t>
      </w:r>
      <w:r>
        <w:rPr>
          <w:rtl w:val="true"/>
        </w:rPr>
        <w:t>العلم الإجمالي في التدريجيات</w:t>
      </w:r>
      <w:r>
        <w:rPr>
          <w:rtl w:val="true"/>
        </w:rPr>
        <w:t>.</w:t>
      </w:r>
      <w:bookmarkEnd w:id="631"/>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صرح سماحة الشيخ الأستاذ في الجزء 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مسالة صوم الأسير والمحبوس ان العلم الإجمالي في التدريجيات لا ينجز وجوب الموافقة القطعية ، وغاية ما ينجزه هو وجوب الموافقة الاحتمالية ، ولذا ذهب </w:t>
      </w:r>
    </w:p>
    <w:p>
      <w:pPr>
        <w:pStyle w:val="BookText"/>
        <w:rPr/>
      </w:pPr>
      <w:r>
        <w:rPr>
          <w:rFonts w:ascii="Amiri" w:hAnsi="Amiri" w:eastAsia="Amiri" w:cs="Amiri"/>
          <w:color w:val="111111"/>
          <w:sz w:val="28"/>
          <w:sz w:val="28"/>
          <w:szCs w:val="28"/>
          <w:rtl w:val="true"/>
          <w:lang w:bidi="ar-SA"/>
        </w:rPr>
        <w:t xml:space="preserve">الى كفاية صوم الأسير لبعض الأشهر التي يحتمل وقوع شهر رمضان فيها وعدم وجوب صيام كل الشهور ، اذ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سياق بيان الاقوال في المسالة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صيام كل الشهور ليدرك شهر رمضان الواقعي لتنجّز العلم الإجمالي، ومقتضاه الاحتياط في أطرافه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إليه السيد الخوئي</w:t>
      </w:r>
      <w:r>
        <w:rPr>
          <w:rStyle w:val="FootnoteAnchor"/>
          <w:rtl w:val="true"/>
        </w:rPr>
        <w:footnoteReference w:id="5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وتبعه تلميذه الشيخ الفياض</w:t>
      </w:r>
      <w:r>
        <w:rPr>
          <w:rStyle w:val="FootnoteAnchor"/>
          <w:rtl w:val="true"/>
        </w:rPr>
        <w:footnoteReference w:id="5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مقتضى العلم الإجمالي بوجوب صيام في أحد هذه الشهور هو الاحتياط وصيام كل الشهور بأمل أن يدرك الواقع بنية ما في الذمة أعم من الأداء والقضاء، وأما إذا لم يمكن هذا الاحتياط واضطر إلى تركه في بعض الشهور ولو من جهة أن الاحتياط التام يوجب العسر والحرج فيجب عليه حينئذٍ الاقتصار في تركه بمقدار الضرورة وهو ما يدفع به العسر والحرج دون الأكثر باعتبار أن الاضطرار في أطراف العلم الإجمالي إذا كان إلى بعض غير المعين لا يوجب سقوطه عن التنجيز، فمن أجل ذلك لا بد من الاحتياط في الباقي</w:t>
      </w:r>
      <w:r>
        <w:rPr>
          <w:rFonts w:eastAsia="Amiri" w:cs="Amiri" w:ascii="Amiri" w:hAnsi="Amiri"/>
          <w:color w:val="111111"/>
          <w:sz w:val="28"/>
          <w:szCs w:val="28"/>
          <w:rtl w:val="true"/>
          <w:lang w:bidi="ar-SA"/>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للعمل بما تقتضيه القواعد بعد ورود النص الخاص وتحقق الامتثال على أساسه</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تنزّلنا وفرضنا عدم شمول الصحيحة بإطلاقها لمورد تساوي المحتملات فإن الالتزام بالاحتياط التام في المقام الذي هو من التدريجيات محل نظر إذا اضطر لبعض أطرافها؛ لأن العلم الإجمالي في التدريجيات ينجّز وجوب الموافقة الاحتمالية وليس الموافقة القطعية</w:t>
      </w:r>
      <w:r>
        <w:rPr>
          <w:rFonts w:eastAsia="Amiri" w:cs="Amiri" w:ascii="Amiri" w:hAnsi="Amiri"/>
          <w:color w:val="111111"/>
          <w:sz w:val="28"/>
          <w:szCs w:val="28"/>
          <w:rtl w:val="true"/>
          <w:lang w:bidi="ar-SA"/>
        </w:rPr>
        <w:t xml:space="preserve">. </w:t>
      </w:r>
      <w:bookmarkStart w:id="632" w:name="pg8133_63026"/>
    </w:p>
    <w:p>
      <w:pPr>
        <w:pStyle w:val="BookText"/>
        <w:rPr/>
      </w:pPr>
      <w:bookmarkEnd w:id="632"/>
      <w:r>
        <w:rPr>
          <w:rFonts w:ascii="Amiri" w:hAnsi="Amiri" w:eastAsia="Amiri" w:cs="Amiri"/>
          <w:color w:val="111111"/>
          <w:sz w:val="28"/>
          <w:sz w:val="28"/>
          <w:szCs w:val="28"/>
          <w:rtl w:val="true"/>
          <w:lang w:bidi="ar-SA"/>
        </w:rPr>
        <w:t xml:space="preserve">وفي مسالة جواز تأخير الأسير والمسجون صيام شهر رمضان عند عدم علمه به حتى يتيقن من فواته ومضيه فيقضيه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بالجواز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مبني بحسب الظاهر على عدم تنجيز العلم الإجمالي لدى تعلّق الاضطرار ببعض الأطراف غير المعين وأنه لا فرق بينه وبين تعلّقه بالبعض المعين في عدم التنجيز على ما صرّح به صاحب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لا ملزم له في الإتيان بالصوم فعلاً، بل يؤخر حتى يتيقن بمضي رمضان ثم يقضيه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ولكنه بمراحل عن الواقع، بل فاسد جزماً كما بيّناه في الأصول، للفرق الواضح بين التعلق بالمعين وغير المعين</w:t>
      </w:r>
      <w:r>
        <w:rPr>
          <w:rFonts w:eastAsia="Amiri" w:cs="Amiri" w:ascii="Amiri" w:hAnsi="Amiri"/>
          <w:color w:val="111111"/>
          <w:sz w:val="28"/>
          <w:szCs w:val="28"/>
          <w:rtl w:val="true"/>
          <w:lang w:bidi="ar-SA"/>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يفرض في كلام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الاضطرار حتى يبني الاستدلال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هو انحلال العلم الإجمالي في التدريجيات إذا اضطر إلى بعض أطرافه بلا فرق بين المعين منها وغير المعين وفاقاً لصاحب الكفاية وغيره فما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التفصيل بين المعيّن فينحل وغير المعين فلا ينحل لا نوافق عليه</w:t>
      </w:r>
      <w:r>
        <w:rPr>
          <w:rFonts w:eastAsia="Amiri" w:cs="Amiri" w:ascii="Amiri" w:hAnsi="Amiri"/>
          <w:color w:val="111111"/>
          <w:sz w:val="28"/>
          <w:szCs w:val="28"/>
          <w:rtl w:val="true"/>
          <w:lang w:bidi="ar-SA"/>
        </w:rPr>
        <w:t>.</w:t>
      </w:r>
    </w:p>
    <w:p>
      <w:pPr>
        <w:pStyle w:val="Heading6"/>
        <w:numPr>
          <w:ilvl w:val="5"/>
          <w:numId w:val="1"/>
        </w:numPr>
        <w:rPr/>
      </w:pPr>
      <w:bookmarkStart w:id="633" w:name="__RefHeading___Toc8193431_1051229030"/>
      <w:bookmarkStart w:id="634" w:name="_Toc227"/>
      <w:bookmarkEnd w:id="633"/>
      <w:r>
        <w:rPr>
          <w:rtl w:val="true"/>
        </w:rPr>
        <w:t>المسألة الثالثة</w:t>
      </w:r>
      <w:r>
        <w:rPr>
          <w:rtl w:val="true"/>
        </w:rPr>
        <w:t xml:space="preserve">: </w:t>
      </w:r>
      <w:r>
        <w:rPr>
          <w:rtl w:val="true"/>
        </w:rPr>
        <w:t>انحلال العلم الإجمالي الكبير بالعلم الصغير</w:t>
      </w:r>
      <w:r>
        <w:rPr>
          <w:rtl w:val="true"/>
        </w:rPr>
        <w:t>.</w:t>
      </w:r>
      <w:bookmarkEnd w:id="634"/>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تطبيقات هذه الكبرى ما ذكره سماحة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مسالة صوم السجين والأسير الذي لا يتميز عنده شهر رمضان عن غيره من الأشهر ، فبينما ذهب البعض من العلماء الى لزوم الاحتياط بصيام كل الأشهر </w:t>
      </w:r>
      <w:bookmarkStart w:id="635" w:name="pg8133_63027"/>
    </w:p>
    <w:p>
      <w:pPr>
        <w:pStyle w:val="BookText"/>
        <w:rPr/>
      </w:pPr>
      <w:bookmarkEnd w:id="635"/>
      <w:r>
        <w:rPr>
          <w:rFonts w:ascii="Amiri" w:hAnsi="Amiri" w:eastAsia="Amiri" w:cs="Amiri"/>
          <w:color w:val="111111"/>
          <w:sz w:val="28"/>
          <w:sz w:val="28"/>
          <w:szCs w:val="28"/>
          <w:rtl w:val="true"/>
          <w:lang w:bidi="ar-SA"/>
        </w:rPr>
        <w:t xml:space="preserve">لمنجزية العلم الإجمالي ، 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على القول بمنجزية العلم الإجمالي لوجوب الموافقة القطعية فان هذا العلم منحل بعلم اصغر منه ، فلا يجب صيام كل شهور السنة ، ونص كلامه في الجزء 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العلم الإجمالي ينحلّ إلى علم إجمالي أصغر منه باشتباه شهر رمضان في ثلاثة أشهر لعلم المكلف بأنه يقع في الصيف أو الشتاء مثلاً وشك بدوي في الباقي</w:t>
      </w:r>
      <w:r>
        <w:rPr>
          <w:rFonts w:eastAsia="Amiri" w:cs="Amiri" w:ascii="Amiri" w:hAnsi="Amiri"/>
          <w:color w:val="111111"/>
          <w:sz w:val="28"/>
          <w:szCs w:val="28"/>
          <w:rtl w:val="true"/>
          <w:lang w:bidi="ar-SA"/>
        </w:rPr>
        <w:t>.</w:t>
      </w:r>
    </w:p>
    <w:p>
      <w:pPr>
        <w:pStyle w:val="Heading6"/>
        <w:numPr>
          <w:ilvl w:val="5"/>
          <w:numId w:val="1"/>
        </w:numPr>
        <w:rPr/>
      </w:pPr>
      <w:bookmarkStart w:id="636" w:name="__RefHeading___Toc8193433_1051229030"/>
      <w:bookmarkStart w:id="637" w:name="_Toc228"/>
      <w:bookmarkEnd w:id="636"/>
      <w:r>
        <w:rPr>
          <w:rtl w:val="true"/>
        </w:rPr>
        <w:t>المسألة الرابعة</w:t>
      </w:r>
      <w:r>
        <w:rPr>
          <w:rtl w:val="true"/>
        </w:rPr>
        <w:t xml:space="preserve">: </w:t>
      </w:r>
      <w:r>
        <w:rPr>
          <w:rtl w:val="true"/>
        </w:rPr>
        <w:t>العلم الإجمالي بعد امتثال احد أطرافه</w:t>
      </w:r>
      <w:r>
        <w:rPr>
          <w:rtl w:val="true"/>
        </w:rPr>
        <w:t>.</w:t>
      </w:r>
      <w:bookmarkEnd w:id="637"/>
    </w:p>
    <w:p>
      <w:pPr>
        <w:pStyle w:val="BookText"/>
        <w:rPr/>
      </w:pPr>
      <w:r>
        <w:rPr>
          <w:rFonts w:ascii="Amiri" w:hAnsi="Amiri" w:eastAsia="Amiri" w:cs="Amiri"/>
          <w:color w:val="111111"/>
          <w:sz w:val="28"/>
          <w:sz w:val="28"/>
          <w:szCs w:val="28"/>
          <w:rtl w:val="true"/>
          <w:lang w:bidi="ar-SA"/>
        </w:rPr>
        <w:t>قد يحصل العلم الإجمالي قبل امتثال احد أطرافه ، وفي هذه الحالة يكون منجزاً ، وقد يحصل بعد امتثال احد أطرافه ، وعندئذ لا ينجز باقي 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تطبيقات هذه القاعدة ما ذكره سماحة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الجزء 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مسالة صيام السجين والأسير ، اذ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العلم الإجمالي بوجوب صيام شهر في السنة وإن كان منجزاً في المقام وهو يمنع من جريان الأصول المؤمّنة في أطرافه سواء كانت استصحاباً أو غيره، إلا أن المكلف لما صام شهراً توخاه فاختاره، فإن هذا العلم ينحل ويمكن إجراء الأصول المؤمّنة في الباقي؛ لأن الشك فيها يصبح بدوياً</w:t>
      </w:r>
      <w:r>
        <w:rPr>
          <w:rFonts w:eastAsia="Amiri" w:cs="Amiri" w:ascii="Amiri" w:hAnsi="Amiri"/>
          <w:color w:val="111111"/>
          <w:sz w:val="28"/>
          <w:szCs w:val="28"/>
          <w:rtl w:val="true"/>
          <w:lang w:bidi="ar-SA"/>
        </w:rPr>
        <w:t>.</w:t>
      </w:r>
    </w:p>
    <w:p>
      <w:pPr>
        <w:pStyle w:val="Heading6"/>
        <w:numPr>
          <w:ilvl w:val="5"/>
          <w:numId w:val="1"/>
        </w:numPr>
        <w:rPr/>
      </w:pPr>
      <w:bookmarkStart w:id="638" w:name="__RefHeading___Toc8193435_1051229030"/>
      <w:bookmarkStart w:id="639" w:name="_Toc229"/>
      <w:bookmarkEnd w:id="638"/>
      <w:r>
        <w:rPr>
          <w:rtl w:val="true"/>
        </w:rPr>
        <w:t>المسألة الخامسة</w:t>
      </w:r>
      <w:r>
        <w:rPr>
          <w:rtl w:val="true"/>
        </w:rPr>
        <w:t xml:space="preserve">: </w:t>
      </w:r>
      <w:r>
        <w:rPr>
          <w:rtl w:val="true"/>
        </w:rPr>
        <w:t>انقلاب الأصل</w:t>
      </w:r>
      <w:r>
        <w:rPr>
          <w:rtl w:val="true"/>
        </w:rPr>
        <w:t>.</w:t>
      </w:r>
      <w:bookmarkEnd w:id="639"/>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يكون الأصل الأولي في مسالة من المسائل هي البراءة –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قد ينقلب هذا الأصل الى الاحتياط لنكتة ما ، كما لو كان هذا الفعل ملازما لارتكاب محرم ، وهذا ما بيّنه سماحة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الجزء التاسع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بيان وجوه القول بالحرمة الذاتية لولاية الجائر ، اذ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المورد مجرى لأصالة الحرمة أو قاعدة الحرمة بتقريب أن الولاية للجائر لا تنفك عن الظلم والمعصية كما يظهر من عدة روايات منها صحيحة داوود بن زربي الصريحة في استحالة الانفكاك حيث جعل تناول النجوم أيسر من تجنب المعصية في ولاية الجائر، وكذا غيرها من الروايات التي تجعل الولاية منافية لسلامة الدين، وعليها بنى الشيخ الأنصاري اعترافه بعدم الانفكاك فيكون الأصل في هذه المسألة الحرمة وأن الوظيفة العملية هي الاجتناب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العملي الجاري هي البراءة وهي تقتضي الجواز الذاتي وأن الحرمة عرضية أي فيما إذا ارتكب في ولايته ما يخالف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العملي البدوي الذي تقتضيه القواعد في المقام وإن كان يقتضي البراءة من الحرمة الذاتية عند الشك فيها، إلا أنه بنكتة الملازمة الآنفة وعدم الانفكاك عن الوقوع في المعصية يصبح لا موضوع للبراءة ولا يمكن الرجوع إليها لتحديد الوظيفة العملية –وهو المقصود من إجراء الأصل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الشك في التكليف، فكأن الأصل الذي يرجع إليه في تحديد الوظيفة العملية ينقلب من أصالة البراءة إلى أصالة الحرمة لهذه النكتة، ويمكن تسميتها بقاعدة الحرمة</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مطلب تفصيله في علم الأصول خلاصته أن الأصل العملي الأولي قد ينقلب لنكتةٍ ما إلى خلافه في مرتبة العمل به فيكون الأصل الفعلي الذي يجب الرجوع إليه عملياً غير الأصل البدوي الأولي، وله نظائر في موارد عديدة في الفقه مرَّ أحدها في البحث السابق عن جواز أخذ الأجرة على الواجبات عندما تمسّك المحقق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بأصالة عدم النقل والانتقال عند الشك في جواز أخذ الأجرة، ورددنا عليه بأن هذا الأصل محكوم لأصالة الجواز الحاصلة من ضم الوجدان إلى الأصل؛ لأن الوجدان يحكم </w:t>
      </w:r>
      <w:bookmarkStart w:id="640" w:name="pg8133_63029"/>
    </w:p>
    <w:p>
      <w:pPr>
        <w:pStyle w:val="BookText"/>
        <w:rPr/>
      </w:pPr>
      <w:bookmarkEnd w:id="640"/>
      <w:r>
        <w:rPr>
          <w:rFonts w:ascii="Amiri" w:hAnsi="Amiri" w:eastAsia="Amiri" w:cs="Amiri"/>
          <w:color w:val="111111"/>
          <w:sz w:val="28"/>
          <w:sz w:val="28"/>
          <w:szCs w:val="28"/>
          <w:rtl w:val="true"/>
          <w:lang w:bidi="ar-SA"/>
        </w:rPr>
        <w:t>بحصول سبب للنقل والانتقال وهي الإجارة ويُضم إليها أصالة صحة ما تعارف عليه الناس من عقود ما لم يرد عنها نهي من الشارع المقدس فتنتج أصالة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بيّن سماحته في الجزء السادس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الأصل قد ينقلب بسبب الغلبة ، فالأصل في المراة ان تكون غير مدخول بها ، ولكن هذا الأصل ينقلب في الزوجة والاماء لان أغلبهن مدخول بهن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نتمسك بأصالة عدم الدخول عند الشك في حصول الدخول بها قبل الطلاق وعدمه فيرتفع الإجمال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الأصول لا تثبت لوازمها فأصالة عدم الدخول لا تثبت موضوع مسألتنا وهي الباكر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الغالب كون الزوجة مدخولاً بها وهذه الغلبة بدرجة تخرجنا عن الأصل أو قل تقلب الأصل عما هو عليه وله موارد في الفقه</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41" w:name="__RefHeading___Toc8193437_1051229030"/>
      <w:bookmarkStart w:id="642" w:name="_Toc230"/>
      <w:bookmarkEnd w:id="641"/>
      <w:r>
        <w:rPr>
          <w:rtl w:val="true"/>
        </w:rPr>
        <w:t>المسألة السادسة</w:t>
      </w:r>
      <w:r>
        <w:rPr>
          <w:rtl w:val="true"/>
        </w:rPr>
        <w:t xml:space="preserve">: </w:t>
      </w:r>
      <w:r>
        <w:rPr>
          <w:rtl w:val="true"/>
        </w:rPr>
        <w:t>الدوران بين التعيين والتخيير العقلي</w:t>
      </w:r>
      <w:r>
        <w:rPr>
          <w:rtl w:val="true"/>
        </w:rPr>
        <w:t>.</w:t>
      </w:r>
      <w:bookmarkEnd w:id="642"/>
    </w:p>
    <w:p>
      <w:pPr>
        <w:pStyle w:val="BookText"/>
        <w:rPr/>
      </w:pPr>
      <w:r>
        <w:rPr>
          <w:rFonts w:ascii="Amiri" w:hAnsi="Amiri" w:eastAsia="Amiri" w:cs="Amiri"/>
          <w:color w:val="111111"/>
          <w:sz w:val="28"/>
          <w:sz w:val="28"/>
          <w:szCs w:val="28"/>
          <w:rtl w:val="true"/>
          <w:lang w:bidi="ar-SA"/>
        </w:rPr>
        <w:t xml:space="preserve">بحث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الجزء الحادي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مسالة ميراث الزوجة من العقار ، وجاء فيها كلام عن دوران الامر بين التعيين والتخيير العقلي ، وقد 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مرجع هذا الدوران الى الدوران بين الأقل والأكثر فتجري فيه البراءة عن الأكثر ، ونص كلامه هو</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شككنا واحتكمنا إلى الأصل، فإن المسألة صغرى لدوران الأمر بين التعيين والتخيير فإما يتعين إخراج القيمة من غير عين الأبنية والآلات </w:t>
      </w:r>
      <w:r>
        <w:rPr>
          <w:rFonts w:eastAsia="Amiri" w:cs="Amiri" w:ascii="Amiri" w:hAnsi="Amiri"/>
          <w:color w:val="111111"/>
          <w:sz w:val="28"/>
          <w:szCs w:val="28"/>
          <w:rtl w:val="true"/>
          <w:lang w:bidi="ar-SA"/>
        </w:rPr>
        <w:t xml:space="preserve">- </w:t>
      </w:r>
      <w:bookmarkStart w:id="643" w:name="pg8133_63030"/>
    </w:p>
    <w:p>
      <w:pPr>
        <w:pStyle w:val="BookText"/>
        <w:rPr/>
      </w:pPr>
      <w:bookmarkEnd w:id="643"/>
      <w:r>
        <w:rPr>
          <w:rFonts w:ascii="Amiri" w:hAnsi="Amiri" w:eastAsia="Amiri" w:cs="Amiri"/>
          <w:color w:val="111111"/>
          <w:sz w:val="28"/>
          <w:sz w:val="28"/>
          <w:szCs w:val="28"/>
          <w:rtl w:val="true"/>
          <w:lang w:bidi="ar-SA"/>
        </w:rPr>
        <w:t>على القول بالعزيمة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التخيير بين إخراجها من نفس العين أو غيرها، وهو يؤول إلى دوران الأمر بين الأقل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كفاية إخراج القيمة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مع خصوصية كون القيمة من غير 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ونلتزم هنا بكفاية إخراج القيمة من العين وغيرها وجريان البراءة من الخصوصية الزائدة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تعين إعطاء القيمة من غير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ونتيجته القول بالرخصة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تقريب المسألة على نحو آخر حاصله أن دفع القيمة يتيقن معه ببراءة الذمة من الاشتغال اليقيني، أما دفع نصيب الزوجة من العين فلا يتيقن معه براءة الذمة فالمورد مجرى لقاعدة الاشتغال ومقتضاها دفعالقيمة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الأول وارد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فالأحوط للورثة دفع حق الزوجة من القيمة لا العين، ولكن إذا دفع الورثة من العين فالأحوط للزوجة عدم الامتناع والتراضي معهم عليها</w:t>
      </w:r>
      <w:r>
        <w:rPr>
          <w:rFonts w:eastAsia="Amiri" w:cs="Amiri" w:ascii="Amiri" w:hAnsi="Amiri"/>
          <w:color w:val="111111"/>
          <w:sz w:val="28"/>
          <w:szCs w:val="28"/>
          <w:rtl w:val="true"/>
          <w:lang w:bidi="ar-SA"/>
        </w:rPr>
        <w:t>.</w:t>
      </w:r>
    </w:p>
    <w:p>
      <w:pPr>
        <w:pStyle w:val="Heading6"/>
        <w:numPr>
          <w:ilvl w:val="5"/>
          <w:numId w:val="1"/>
        </w:numPr>
        <w:rPr/>
      </w:pPr>
      <w:bookmarkStart w:id="644" w:name="__RefHeading___Toc8193439_1051229030"/>
      <w:bookmarkStart w:id="645" w:name="_Toc231"/>
      <w:bookmarkEnd w:id="644"/>
      <w:r>
        <w:rPr>
          <w:rtl w:val="true"/>
        </w:rPr>
        <w:t>المسألة السابعة</w:t>
      </w:r>
      <w:r>
        <w:rPr>
          <w:rtl w:val="true"/>
        </w:rPr>
        <w:t xml:space="preserve">: </w:t>
      </w:r>
      <w:r>
        <w:rPr>
          <w:rtl w:val="true"/>
        </w:rPr>
        <w:t>الدوران بين التعيين والتخيير الشرعي</w:t>
      </w:r>
      <w:r>
        <w:rPr>
          <w:rtl w:val="true"/>
        </w:rPr>
        <w:t>.</w:t>
      </w:r>
      <w:bookmarkEnd w:id="645"/>
    </w:p>
    <w:p>
      <w:pPr>
        <w:pStyle w:val="BookText"/>
        <w:rPr/>
      </w:pPr>
      <w:r>
        <w:rPr>
          <w:rFonts w:ascii="Amiri" w:hAnsi="Amiri" w:eastAsia="Amiri" w:cs="Amiri"/>
          <w:color w:val="111111"/>
          <w:sz w:val="28"/>
          <w:sz w:val="28"/>
          <w:szCs w:val="28"/>
          <w:rtl w:val="true"/>
          <w:lang w:bidi="ar-SA"/>
        </w:rPr>
        <w:t xml:space="preserve">جاء في الجزء 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عن الدوران بين التعيين والتخيير في مسالة صوم الاسير والمحبوس، وذهب سماحة الشيخ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مورد للاحتياط ، اذ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اليقين بوجوب صوم الشهر الثاني عشر بناءً على دخول المسألة في دوران الأمر بين التعيين والتخيير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فإنا وإن علمنا إجمالاً بوجوب الصوم في هذا اليوم يقيناً إما تعييناً لكونه من رمضان، أو تخييراً بينه وبين سائر الأيام لو كان الشهر قد انقضى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في موارد دوران الأمر بين التعيين والتخيير تجري البراءة عن التعيين</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فوجوب الصوم في خصوص هذا اليوم مشكوك فيه فتجري فيه </w:t>
      </w:r>
    </w:p>
    <w:p>
      <w:pPr>
        <w:pStyle w:val="BookText"/>
        <w:rPr/>
      </w:pPr>
      <w:r>
        <w:rPr>
          <w:rFonts w:ascii="Amiri" w:hAnsi="Amiri" w:eastAsia="Amiri" w:cs="Amiri"/>
          <w:color w:val="111111"/>
          <w:sz w:val="28"/>
          <w:sz w:val="28"/>
          <w:szCs w:val="28"/>
          <w:rtl w:val="true"/>
          <w:lang w:bidi="ar-SA"/>
        </w:rPr>
        <w:t>البراءة عنه</w:t>
      </w:r>
      <w:r>
        <w:rPr>
          <w:rFonts w:eastAsia="Amiri" w:cs="Amiri" w:ascii="Amiri" w:hAnsi="Amiri"/>
          <w:color w:val="111111"/>
          <w:sz w:val="28"/>
          <w:szCs w:val="28"/>
          <w:rtl w:val="true"/>
          <w:lang w:bidi="ar-SA"/>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جريان مسألة دوران الأمر بين التعيين والتخيير في المقام لأن القضاء واجب موسع وليس تخييرياً، والتخيير بين أفراد الموسع عقلي لا شرعي بخلاف التخييري ونسبة الوجوب إلى بعض الأفراد الطولية في الواجب الموسع من قبيل الواسطة في العروض وهو من أوضح المجازات إذ الواجب قضاء يوم إلى آخر العمر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الوجوب في الواجب التخييري متعلق بالعنوان الانتزاعي وهوعنوان أحدهما وفي التعييني نفس أحد الأمرين فلا يوجد قدر متيقن ينحلّ إليه العلم الإجمالي حتى تجري البراءة في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التقريب الذي ذكروه لجريان البراءة فيجري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يصح فيه تصوير الحالة على أنها أقل أو أكثر وهذا ينطبق على الكلي الحقيقي لا الانتزاعي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من حضرنا بحثه الشريف من أن المسألة تجري فيما إذا وجدت ماهية واحدة فشك في وجوبها هل على نحو التعيين أو التخيير، أما المقام فليس الأمر كذلك بل بين وجود ماهيتين، ماهية وجوب الصوم أداءً لشهر رمضان وماهية وجوب قضائه فهنا واجبان لا واجب واحد متردد فحينئذٍ يكون من قبيل دوران الأمر بين المتباينين ولا يتعين أحدهما بجريان أصالة البراءة</w:t>
      </w:r>
      <w:r>
        <w:rPr>
          <w:rFonts w:eastAsia="Amiri" w:cs="Amiri" w:ascii="Amiri" w:hAnsi="Amiri"/>
          <w:color w:val="111111"/>
          <w:sz w:val="28"/>
          <w:szCs w:val="28"/>
          <w:rtl w:val="true"/>
          <w:lang w:bidi="ar-SA"/>
        </w:rPr>
        <w:t>»</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الجزء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بعدها في مسالة حكم إقامة صلاة </w:t>
      </w:r>
    </w:p>
    <w:p>
      <w:pPr>
        <w:pStyle w:val="BookText"/>
        <w:rPr/>
      </w:pPr>
      <w:r>
        <w:rPr>
          <w:rFonts w:ascii="Amiri" w:hAnsi="Amiri" w:eastAsia="Amiri" w:cs="Amiri"/>
          <w:color w:val="111111"/>
          <w:sz w:val="28"/>
          <w:sz w:val="28"/>
          <w:szCs w:val="28"/>
          <w:rtl w:val="true"/>
          <w:lang w:bidi="ar-SA"/>
        </w:rPr>
        <w:t xml:space="preserve">الجمعة في عصر الغيبة يوجد نقاش مهم من سماحة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نكات مهمة في مسالة دوران الامر بين التعيين والتخيير ، جاء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هذه الصور</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إذا شككنا في أن الجمعة هل هي في عصر الغيبة واجبة بالوجوب التعييني أو أنها واجبة تخييرية؟ بأن نقطع بمشروعيتها ووجوبها ونتردد بين قسمي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أمر صلاة الجمعة في هذه الصورة يدور بين التعيين والتخيير فلا مناص من الرجوع إلى البراءة عن اعتبار الخصوصية والتعيين، وذلك لما قررناه في جريان البراءة العقلية والنقلية عند دوران الأمر بين التعيين والتخيير، وقلنا إن مقتضى كلتا البراءتين عدم اعتبار الخصوصية والتعيين فيما يحتمل تعيينه للعلم بالجامع والشك في اعتبار الخصوصية الزائدةكخصوصية التعيينية في المقام ونتيجة ذلك هو الوجوب التخييري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مستوعب لصور الشك في هذه المسألة، فإن الترديد، تارة يكون بين التعيين والتخيير كصفة للوجوب وتارة بين التعييني والتخييري كصفة للواجب، لأن الشك قد يتعلق بأصل الجعل فلا نعلم أن حكم صلاة الجمعة في عصر الغيبة هو الوجوب التعييني أو التخييري وحينئذٍ نجري أصالة البراءة عن التعيين لأنها تتطلب مؤونة زائدة فننفيها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الحالة التي أشار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ومختاره فيها </w:t>
      </w:r>
    </w:p>
    <w:p>
      <w:pPr>
        <w:pStyle w:val="BookText"/>
        <w:rPr/>
      </w:pP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المقام ليس منها لأننا نعلم بوجوب صلاة الجمعة ولكننا شككنا في أن وجوبها تعييني أو تخييري ومقتضى الأصل اللفظي فيها التعييني، والوجه في ذلك ما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علم الأصول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 مرجع الشك في التعيين والتخيير إلى الشك في متعلق التكليف من حيث السعة والضيق يعني أن متعلقه هو الجامع أو خصوص ما تعلق به الأمر، كما إذا ورد الأمر مثلاً بإطعام ستين مسكيناً وشككنا في أن وجوبه تعييني أو تخييري، يعني أن الواجب هو خصوص الإطعام أو الجامع بينه وبين صيام شهرين متتابعين، ففي مثل ذلك لا مانع من الأخذ بإطلاقه لإثبات كون الواجب تعيينياً لا تخييرياً، فإن بيانه يحتاج إلى مؤونة زائدة وهي ذكر العدل بالعطف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لم يكن فيكشف عن عدمه في الواقع، ضرورة أن الإطلاق في مقام الإثبات يكشف عن الإطلاق في مقام الثبوت</w:t>
      </w:r>
      <w:r>
        <w:rPr>
          <w:rFonts w:eastAsia="Amiri" w:cs="Amiri" w:ascii="Amiri" w:hAnsi="Amiri"/>
          <w:color w:val="111111"/>
          <w:sz w:val="28"/>
          <w:szCs w:val="28"/>
          <w:rtl w:val="true"/>
          <w:lang w:bidi="ar-SA"/>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ضوء هذا فإن نتيجة دوران الأمر بين التعييني والتخييري لها تقريبان فتارة تقرَّب على دوران الأمر بين الأقل والأكثر فتجري أصالةالبراءة عن الزائد كمسألة تقليد الأعلم فإن الأمر يدور بين الاجتزاء بتقليد المجتهد العادل مطلقاً أو اشتراط خصوصية زائدة فيه وهي الأعلمية وتكون نتيجته وجود القدر المتيقن من الأدلة وهو وجوب الرجوع إلى المجتهد العادل والشك في وجوب الخصوصية الزائدة وهي الأعلمية فتنفى بأصالة البراءة</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في التقليد ابتداءً أما مع العلم بالمخالفة فإن الأمر يدور بين فتوى الأعلم المعلومة حجيتها وفتوى غير الأعلم المشكوك في حجيتها لاقتضاء </w:t>
      </w:r>
    </w:p>
    <w:p>
      <w:pPr>
        <w:pStyle w:val="BookText"/>
        <w:rPr/>
      </w:pPr>
      <w:r>
        <w:rPr>
          <w:rFonts w:ascii="Amiri" w:hAnsi="Amiri" w:eastAsia="Amiri" w:cs="Amiri"/>
          <w:color w:val="111111"/>
          <w:sz w:val="28"/>
          <w:sz w:val="28"/>
          <w:szCs w:val="28"/>
          <w:rtl w:val="true"/>
          <w:lang w:bidi="ar-SA"/>
        </w:rPr>
        <w:t xml:space="preserve">نفس 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السيرة العقلائية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فتعين الأخذ بقول الأعلم والدليل قائم على ذلك بلا حاجة إلى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يقرب على المتباينين حيث لا قدر متيقن؛ نعم، يوجد قدر مشترك ولكن ليس هو من قبيل الأقل والأكثر وإن كان في عالم الامتثال كذلك إلا أنه في عالم التشريع من قبيل المتباينين فلا يوجد قدر متيقن وتجري أصالة الاشتغال لا البراءة لوجود العلم الإجمالي باشتغال الذمة فيأتي بما يتيقن معه براءة الذمة ومنه الشك في الكفارة بين المرتبة والمخيرة فإن أمر الامتثال يدور بين عتق رقبة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كانت مرتبة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المخير بينه وبين الأفراد الأخرى كالإطعام والصوم فحينئذٍ يجب الامتثال للعتق لأنه مجزٍ على كل حال وعدم الاجتزاء بالآخر للشك بالاجتزاء به ومسألتنا من النحو الثاني فإنه ما يبرئ الذمة عند الزوال يوم الجمعة هو أما صلاة الجمعة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القول بوجوبها التعييني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الفرد المخير بينها وبين صلاة الظهر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القول بالوجوب التخييري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فيتعين الإتيان بصلاة الجمعة لليقين بالاجتزاء به أما صلاة الظهر فمشكوك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بالبراءة عن التعيين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للعلم بالجامع والشك في اعتبار الخصوصية الزائدة كخصوصية التعيينية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تصويره للمسألة لم يكن تاماً حيث طبقها على النحو الأول وهي من النحو الثاني إذ لا جامع وإن أراد بالجامع هو المخير بين الظهر والجمعة فهو ليس جامعاً وإنماهو عين أحد الفردين أي الوجوب التخييري، فالصحيح انطباق المسألة على النحو الثاني</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تقدم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ذلك في دوران الأمر بين التعيين والتخيير في كفارة الصوم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أيضاً في مسألة من شك في اليوم الذي أفطره كان من شهر رمضان أو من قضائه بعد الزوال حيث رد على قول </w:t>
      </w:r>
    </w:p>
    <w:p>
      <w:pPr>
        <w:pStyle w:val="BookText"/>
        <w:rPr/>
      </w:pPr>
      <w:r>
        <w:rPr>
          <w:rFonts w:ascii="Amiri" w:hAnsi="Amiri" w:eastAsia="Amiri" w:cs="Amiri"/>
          <w:color w:val="111111"/>
          <w:sz w:val="28"/>
          <w:sz w:val="28"/>
          <w:szCs w:val="28"/>
          <w:rtl w:val="true"/>
          <w:lang w:bidi="ar-SA"/>
        </w:rPr>
        <w:t xml:space="preserve">صاحب العروة بالاكتفاء بالعشرة لأنها المتيقنة مع الستين بأننا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نعلم إجمالاً بتعلق الطلب أما بالعنوان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الخصال من إطعام الستين وأخويه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بإطعام عشرة مساكين، ومن الضروري أن العشرة مباينة مع الجامع المزبور وليس أحدهما متيقناً بالإضافة إلى الآخر ليؤخذ به ويدفع الزائد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العشرة متيقنة بالإضافة إلى الستين، ولكن الستين ليس متعلقاً للتكليف جزماً إنما المتعلق هو الجامع المنطبق عليه وعلى غيره، والجامع مباين مع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فكما أن مقتضى الأصل عدم تعلق التكليف بالجامع كذلك مقتضاه عدم تعلقه بالعشرة، فيسقطان بالمعارضة، فلا بد من الاحتياط ويتحقق بأحد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بالجمع بين العشرة وبين العتق أو الصيام، وأما باختيار الستين للقطع بتحقق الامتثال في ضمنه، أما لكونه عدلاً للواجب التخييري، أو لأجل اشتماله على العشرة وزيادة، فالستون متيقن في مقام الامتثال لا في مقام تعلق التكليف</w:t>
      </w:r>
      <w:r>
        <w:rPr>
          <w:rFonts w:eastAsia="Amiri" w:cs="Amiri" w:ascii="Amiri" w:hAnsi="Amiri"/>
          <w:color w:val="111111"/>
          <w:sz w:val="28"/>
          <w:szCs w:val="28"/>
          <w:rtl w:val="true"/>
          <w:lang w:bidi="ar-SA"/>
        </w:rPr>
        <w:t>»</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وأما العشرة فليست بمتيقنة حتى في مقام تعلق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 في الجزء الثالث عشر في مسالة مقدار دية القتل عند اختلاف الأصناف في القيمة كثيرا تطبيق اخر للدوران بين التعيين والتخيير جاء فيه</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الصحيح جريان أصالة البراءة في المقام لأنه من دوران الأمر بين التعيين والتخيير الاستقلاليين، وفي مثله تجري أصالة البراءة من التعيينوله أن يختار أحدها لأن المتيقن اشتغال ذمته بدفع أحد الأصناف التي ينطبق على كل منها عنوان الدية ويتحقق بها الامتثال ولم يتعلق حق ولي الدم بالعنوان الجامع لها حتى يقال بقاعدة الاشتغال، أما التعيين بأحدها </w:t>
      </w:r>
      <w:bookmarkStart w:id="646" w:name="pg8133_63036"/>
    </w:p>
    <w:p>
      <w:pPr>
        <w:pStyle w:val="BookText"/>
        <w:rPr/>
      </w:pPr>
      <w:bookmarkEnd w:id="646"/>
      <w:r>
        <w:rPr>
          <w:rFonts w:ascii="Amiri" w:hAnsi="Amiri" w:eastAsia="Amiri" w:cs="Amiri"/>
          <w:color w:val="111111"/>
          <w:sz w:val="28"/>
          <w:sz w:val="28"/>
          <w:szCs w:val="28"/>
          <w:rtl w:val="true"/>
          <w:lang w:bidi="ar-SA"/>
        </w:rPr>
        <w:t>فمشكوك ابتداءً، وقد بيّنا وجه التشكيك، فالصحيح القول بالتخيير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أورد بعض الفقهاء المعاصرين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إشكالاً على التخيير وأجابه بمضمون ما ذكرناه،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استصحاب بقاء شغل ذمة الجاني بالدية على إجمالها ما لم يدفع محتمل التعيين إنما هو التعيين والخروج اليقيني عما اشتغلت ذمته به للمجني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الواجب تفريغ الذمة عن الدية بهذا العنوان الانتزاعي، وإنما الواجب أداء واقع ما يستحقه المجني عليه ويملكه على الجاني، وهو مردّد بين ما هو مقطوع الأداء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الجامع واجباً بنحو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مشكوك أصل استحقاقه واشتغال الذمة به من أول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أحد الأصناف بخصوصيته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عدمه</w:t>
      </w:r>
      <w:r>
        <w:rPr>
          <w:rFonts w:eastAsia="Amiri" w:cs="Amiri" w:ascii="Amiri" w:hAnsi="Amiri"/>
          <w:color w:val="111111"/>
          <w:sz w:val="28"/>
          <w:szCs w:val="28"/>
          <w:rtl w:val="true"/>
          <w:lang w:bidi="ar-SA"/>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أن ذمة الجاني اشتغلت بعنوان الدية المنطبق على كل من هذه الأصناف لأنها هي واقع الدية الذي تعلّق به حق ولي الدم وليس على العنوان الانتزاعي، وكونه متعيناً بأحدها مشكوك ابتداءً فيُنفى بالأصل</w:t>
      </w:r>
      <w:r>
        <w:rPr>
          <w:rFonts w:eastAsia="Amiri" w:cs="Amiri" w:ascii="Amiri" w:hAnsi="Amiri"/>
          <w:color w:val="111111"/>
          <w:sz w:val="28"/>
          <w:szCs w:val="28"/>
          <w:rtl w:val="true"/>
          <w:lang w:bidi="ar-SA"/>
        </w:rPr>
        <w:t>.</w:t>
      </w:r>
    </w:p>
    <w:p>
      <w:pPr>
        <w:pStyle w:val="Heading6"/>
        <w:numPr>
          <w:ilvl w:val="5"/>
          <w:numId w:val="1"/>
        </w:numPr>
        <w:rPr/>
      </w:pPr>
      <w:bookmarkStart w:id="647" w:name="__RefHeading___Toc8193441_1051229030"/>
      <w:bookmarkStart w:id="648" w:name="_Toc232"/>
      <w:bookmarkEnd w:id="647"/>
      <w:r>
        <w:rPr>
          <w:rtl w:val="true"/>
        </w:rPr>
        <w:t>المسألة الثامنة</w:t>
      </w:r>
      <w:r>
        <w:rPr>
          <w:rtl w:val="true"/>
        </w:rPr>
        <w:t xml:space="preserve">: </w:t>
      </w:r>
      <w:r>
        <w:rPr>
          <w:rtl w:val="true"/>
        </w:rPr>
        <w:t>الاحتمال المنجز للاحتياط</w:t>
      </w:r>
      <w:r>
        <w:rPr>
          <w:rtl w:val="true"/>
        </w:rPr>
        <w:t>.</w:t>
      </w:r>
      <w:bookmarkEnd w:id="648"/>
    </w:p>
    <w:p>
      <w:pPr>
        <w:pStyle w:val="BookText"/>
        <w:rPr/>
      </w:pPr>
      <w:r>
        <w:rPr>
          <w:rFonts w:ascii="Amiri" w:hAnsi="Amiri" w:eastAsia="Amiri" w:cs="Amiri"/>
          <w:color w:val="111111"/>
          <w:sz w:val="28"/>
          <w:sz w:val="28"/>
          <w:szCs w:val="28"/>
          <w:rtl w:val="true"/>
          <w:lang w:bidi="ar-SA"/>
        </w:rPr>
        <w:t>مع ان الشك في التكليف مجرى لأصالة البراءة ، الا ان احتمال بعض التكاليف يكون مجرى لأصالة الاحتياط كما لو اظهر الشارع اهتمامه بها</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جاء هذا المعنى في الجزء الحادي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مسالة ميراث أولاد الأولاد مع وجود الولد المباشر ، اذ قال سماحة الشيخ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أقل من تحقق الاحتمال المنجّز للاحتياط خصوصاً في حق الأيتام الذين وردت الوصايا الكثيرة بهم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يَأْكُلُونَ أَمْوَالَ </w:t>
      </w:r>
      <w:bookmarkStart w:id="649" w:name="pg8133_63037"/>
    </w:p>
    <w:p>
      <w:pPr>
        <w:pStyle w:val="BookText"/>
        <w:rPr/>
      </w:pPr>
      <w:bookmarkEnd w:id="649"/>
      <w:r>
        <w:rPr>
          <w:rFonts w:ascii="Amiri" w:hAnsi="Amiri" w:eastAsia="Amiri" w:cs="Amiri"/>
          <w:color w:val="111111"/>
          <w:sz w:val="28"/>
          <w:sz w:val="28"/>
          <w:szCs w:val="28"/>
          <w:rtl w:val="true"/>
          <w:lang w:bidi="ar-SA"/>
        </w:rPr>
        <w:t>الْيَتَامَى ظُلْماً إِنَّمَا يَأْكُلُونَ فِي بُطُونِهِمْ نَاراً وَسَيَصْلَوْنَ سَعِيراً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الحديث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 المآكل أكل مال اليتيم ظلماً</w:t>
      </w:r>
      <w:r>
        <w:rPr>
          <w:rFonts w:eastAsia="IRNazanin" w:cs="IRNazanin"/>
          <w:color w:val="111111"/>
          <w:sz w:val="28"/>
          <w:szCs w:val="28"/>
          <w:rtl w:val="true"/>
          <w:lang w:bidi="fa-IR"/>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موثقة سماعة بن مهران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الله في الضعيفين يعني بذلك اليتيم والنساء</w:t>
      </w:r>
      <w:r>
        <w:rPr>
          <w:rFonts w:eastAsia="IRNazanin" w:cs="IRNazanin"/>
          <w:color w:val="111111"/>
          <w:sz w:val="28"/>
          <w:szCs w:val="28"/>
          <w:rtl w:val="true"/>
          <w:lang w:bidi="fa-IR"/>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50" w:name="__RefHeading___Toc8193443_1051229030"/>
      <w:bookmarkStart w:id="651" w:name="_Toc233"/>
      <w:bookmarkEnd w:id="650"/>
      <w:r>
        <w:rPr>
          <w:rtl w:val="true"/>
        </w:rPr>
        <w:t>المسألة التاسعة</w:t>
      </w:r>
      <w:r>
        <w:rPr>
          <w:rtl w:val="true"/>
        </w:rPr>
        <w:t xml:space="preserve">: </w:t>
      </w:r>
      <w:r>
        <w:rPr>
          <w:rtl w:val="true"/>
        </w:rPr>
        <w:t>لا علم اجمالي بين تكليف الشخص وتكليف غيره</w:t>
      </w:r>
      <w:bookmarkEnd w:id="651"/>
    </w:p>
    <w:p>
      <w:pPr>
        <w:pStyle w:val="BookText"/>
        <w:rPr/>
      </w:pPr>
      <w:r>
        <w:rPr>
          <w:rFonts w:ascii="Amiri" w:hAnsi="Amiri" w:eastAsia="Amiri" w:cs="Amiri"/>
          <w:color w:val="111111"/>
          <w:sz w:val="28"/>
          <w:sz w:val="28"/>
          <w:szCs w:val="28"/>
          <w:rtl w:val="true"/>
          <w:lang w:bidi="ar-SA"/>
        </w:rPr>
        <w:t xml:space="preserve">جاء في الجزء الثامن في مبحث حقيقة الوجوب الكفائي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تفسيرات العلماء لتلك الحقيقة ، وكان التفسير الثاني منها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التكليف موجه الى واحد معين ، ولكنه يسقط عنه بفعل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مناقشات الشيخ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المعنى ان هذا الفرد المعين سيحصل عنده شك في اصل توجه التكليف له فيمكنه ان يجري البراءة ؛ اذ لا يوجد ما ينجز التكليف عليه ؛ لان العلم الإجمالي بتوجه التكليف له او لغيره لا ينجز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ونص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يقال إن التكليف متوجّه إلى واحد معين عند الله، ولكنه يسقط عنه بفعل غيره لفرض أن الغرض واحد فإذا حصل في الخارج فلا محالة يسقط الأمر</w:t>
      </w:r>
      <w:r>
        <w:rPr>
          <w:rFonts w:eastAsia="Amiri" w:cs="Amiri" w:ascii="Amiri" w:hAnsi="Amiri"/>
          <w:color w:val="111111"/>
          <w:sz w:val="28"/>
          <w:szCs w:val="28"/>
          <w:rtl w:val="true"/>
          <w:lang w:bidi="ar-SA"/>
        </w:rPr>
        <w:t>»</w:t>
      </w:r>
      <w:r>
        <w:rPr>
          <w:rStyle w:val="FootnoteAnchor"/>
          <w:rtl w:val="true"/>
        </w:rPr>
        <w:footnoteReference w:id="6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مخالف لظواهر الأدلة من كون التكليف موجهاً إلى عدد غير </w:t>
      </w:r>
    </w:p>
    <w:p>
      <w:pPr>
        <w:pStyle w:val="BookText"/>
        <w:rPr/>
      </w:pPr>
      <w:r>
        <w:rPr>
          <w:rFonts w:ascii="Amiri" w:hAnsi="Amiri" w:eastAsia="Amiri" w:cs="Amiri"/>
          <w:color w:val="111111"/>
          <w:sz w:val="28"/>
          <w:sz w:val="28"/>
          <w:szCs w:val="28"/>
          <w:rtl w:val="true"/>
          <w:lang w:bidi="ar-SA"/>
        </w:rPr>
        <w:t>معين خصوصاً فيما نحن فيه –أي الأمر بالمعروف والنهي عن المنكر</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كل مكلف شاكاً في كونه الفرد المعين فيحصل عنده شك في أصل ثبوت التكليف عليه، ويكون مجرى لأصالة البراءة، والعلم الإجمالي بتوجه التكليف إما إليه أو إلى غيره لا أثر له، لأن تكليف الغير ليس داخلاً في عهدته، فلا يكون هذا علماً إجمالياً منجزاً، بل هو احتمال وشك بدوي تجري فيه أصالة البراءة، وحينئذٍ تكون خطابات الوجوب الكفائي غير منجّزة للتكليف، ويكون صدورها لغواً وهو قبيح</w:t>
      </w:r>
      <w:r>
        <w:rPr>
          <w:rFonts w:eastAsia="Amiri" w:cs="Amiri" w:ascii="Amiri" w:hAnsi="Amiri"/>
          <w:color w:val="111111"/>
          <w:sz w:val="28"/>
          <w:szCs w:val="28"/>
          <w:rtl w:val="true"/>
          <w:lang w:bidi="ar-SA"/>
        </w:rPr>
        <w:t xml:space="preserve">. </w:t>
      </w:r>
      <w:bookmarkStart w:id="652" w:name="pg8133_63039"/>
    </w:p>
    <w:p>
      <w:pPr>
        <w:pStyle w:val="Heading5"/>
        <w:numPr>
          <w:ilvl w:val="4"/>
          <w:numId w:val="1"/>
        </w:numPr>
        <w:rPr/>
      </w:pPr>
      <w:bookmarkStart w:id="653" w:name="__RefHeading___Toc8193445_1051229030"/>
      <w:bookmarkStart w:id="654" w:name="_Toc234"/>
      <w:bookmarkEnd w:id="652"/>
      <w:bookmarkEnd w:id="653"/>
      <w:r>
        <w:rPr>
          <w:rtl w:val="true"/>
        </w:rPr>
        <w:t>الاستصحاب</w:t>
      </w:r>
      <w:bookmarkEnd w:id="654"/>
    </w:p>
    <w:p>
      <w:pPr>
        <w:pStyle w:val="Heading6"/>
        <w:numPr>
          <w:ilvl w:val="5"/>
          <w:numId w:val="1"/>
        </w:numPr>
        <w:rPr/>
      </w:pPr>
      <w:bookmarkStart w:id="655" w:name="__RefHeading___Toc8193447_1051229030"/>
      <w:bookmarkStart w:id="656" w:name="_Toc235"/>
      <w:bookmarkEnd w:id="655"/>
      <w:r>
        <w:rPr>
          <w:rtl w:val="true"/>
        </w:rPr>
        <w:t>اشارة</w:t>
      </w:r>
      <w:bookmarkEnd w:id="656"/>
    </w:p>
    <w:p>
      <w:pPr>
        <w:pStyle w:val="BookText"/>
        <w:rPr/>
      </w:pPr>
      <w:r>
        <w:rPr>
          <w:rFonts w:ascii="Amiri" w:hAnsi="Amiri" w:eastAsia="Amiri" w:cs="Amiri"/>
          <w:color w:val="111111"/>
          <w:sz w:val="28"/>
          <w:sz w:val="28"/>
          <w:szCs w:val="28"/>
          <w:rtl w:val="true"/>
          <w:lang w:bidi="ar-SA"/>
        </w:rPr>
        <w:t>من اكثر الأصول العملية التي يستفيد منها الفقهاء في تحديد الموقف العملي تجاه الحكم الشرعي المجهول هو الاستصحاب وذلك عندما يكون الشك مسبوقا بيقين ، فقد ثبت بالدليل استصحاب اليقين السابق والعمل على وفقه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ولسماحة شيخنا الأستاذ آراء مهمة ونكات كثيرة في باب الاستصحاب ، ذكرنا أولها في الفصل الأول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حالة الشك في الرافع فيجري الاستصحاب ، والشك في المقتضي فلا يجري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باقي ما ذكر في موسوعة فقه الخلاف فسنذكره في اربع عشرة مسالة ،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ادلة حجية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القضية المتيقنة والمشكوكة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الأثر الشرعي للمستصحب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الاستصحاب التعليقي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الاحكام 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الكلي من القسم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الاستصحاب في التدريجيات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العدم الازلي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السببي والمسببي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مجهولي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الاستصحاب في الموضوع المشتبه مفهوماً</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المثبت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الثالثة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الاستصحاب في مبادئ الحكم</w:t>
      </w:r>
      <w:r>
        <w:rPr>
          <w:rFonts w:eastAsia="Amiri" w:cs="Amiri" w:ascii="Amiri" w:hAnsi="Amiri"/>
          <w:color w:val="111111"/>
          <w:sz w:val="28"/>
          <w:szCs w:val="28"/>
          <w:rtl w:val="true"/>
          <w:lang w:bidi="ar-SA"/>
        </w:rPr>
        <w:t xml:space="preserve">. </w:t>
      </w:r>
      <w:bookmarkStart w:id="657" w:name="pg8133_63040"/>
    </w:p>
    <w:p>
      <w:pPr>
        <w:pStyle w:val="BookText"/>
        <w:rPr/>
      </w:pPr>
      <w:bookmarkEnd w:id="657"/>
      <w:r>
        <w:rPr>
          <w:rFonts w:ascii="Amiri" w:hAnsi="Amiri" w:eastAsia="Amiri" w:cs="Amiri"/>
          <w:color w:val="111111"/>
          <w:sz w:val="28"/>
          <w:sz w:val="28"/>
          <w:szCs w:val="28"/>
          <w:rtl w:val="true"/>
          <w:lang w:bidi="ar-SA"/>
        </w:rPr>
        <w:t>المسألة الرابعة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الاستصحاب القهقرائي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وتفصيلات هذه المسائل</w:t>
      </w:r>
      <w:r>
        <w:rPr>
          <w:rFonts w:eastAsia="Amiri" w:cs="Amiri" w:ascii="Amiri" w:hAnsi="Amiri"/>
          <w:color w:val="111111"/>
          <w:sz w:val="28"/>
          <w:szCs w:val="28"/>
          <w:rtl w:val="true"/>
          <w:lang w:bidi="ar-SA"/>
        </w:rPr>
        <w:t>:</w:t>
      </w:r>
    </w:p>
    <w:p>
      <w:pPr>
        <w:pStyle w:val="Heading6"/>
        <w:numPr>
          <w:ilvl w:val="5"/>
          <w:numId w:val="1"/>
        </w:numPr>
        <w:rPr/>
      </w:pPr>
      <w:bookmarkStart w:id="658" w:name="__RefHeading___Toc8193449_1051229030"/>
      <w:bookmarkStart w:id="659" w:name="_Toc236"/>
      <w:bookmarkEnd w:id="658"/>
      <w:r>
        <w:rPr>
          <w:rtl w:val="true"/>
        </w:rPr>
        <w:t>المسألة الأولى</w:t>
      </w:r>
      <w:r>
        <w:rPr>
          <w:rtl w:val="true"/>
        </w:rPr>
        <w:t xml:space="preserve">: </w:t>
      </w:r>
      <w:r>
        <w:rPr>
          <w:rtl w:val="true"/>
        </w:rPr>
        <w:t>ادلة حجية الاستصحاب</w:t>
      </w:r>
      <w:r>
        <w:rPr>
          <w:rtl w:val="true"/>
        </w:rPr>
        <w:t>.</w:t>
      </w:r>
      <w:bookmarkEnd w:id="659"/>
    </w:p>
    <w:p>
      <w:pPr>
        <w:pStyle w:val="BookText"/>
        <w:rPr/>
      </w:pPr>
      <w:r>
        <w:rPr>
          <w:rFonts w:ascii="Amiri" w:hAnsi="Amiri" w:eastAsia="Amiri" w:cs="Amiri"/>
          <w:color w:val="111111"/>
          <w:sz w:val="28"/>
          <w:sz w:val="28"/>
          <w:szCs w:val="28"/>
          <w:rtl w:val="true"/>
          <w:lang w:bidi="ar-SA"/>
        </w:rPr>
        <w:t xml:space="preserve">ذكر سماحة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تعليقًا في الجزء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مسالة وجوب الغسل بمس القطعة المبانة من جسد الانسان يظهر منه ان ادلة حجية الاستصحاب عنده هي السيرة العقلائية و الرواية الصحيحة ، اذ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الاستصحاب الذي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الثانية والثالثة لا وجه له لأن أدلة حجية الاستصحاب وهي الرواية الصحيحة وسيرة العقلاء لا تشمله فهي منصرفة عن مثل هذه الحالات، فالصحيح عدم جريانه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وكنت قد سألت سماحته عن مقصوده من الرواية الصحيحة ، هل هي رواية زرارة الأولى او الثانية او الثالثة او كلها ؟ فكان 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المعتمد في دليل حجية الاستصحاب سيرة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والروايات الصحيحة امضاء له ، وإرشاد اليه ، ومؤكدة له</w:t>
      </w:r>
      <w:r>
        <w:rPr>
          <w:rFonts w:eastAsia="Amiri" w:cs="Amiri" w:ascii="Amiri" w:hAnsi="Amiri"/>
          <w:color w:val="111111"/>
          <w:sz w:val="28"/>
          <w:szCs w:val="28"/>
          <w:rtl w:val="true"/>
          <w:lang w:bidi="ar-SA"/>
        </w:rPr>
        <w:t>.</w:t>
      </w:r>
    </w:p>
    <w:p>
      <w:pPr>
        <w:pStyle w:val="Heading6"/>
        <w:numPr>
          <w:ilvl w:val="5"/>
          <w:numId w:val="1"/>
        </w:numPr>
        <w:rPr/>
      </w:pPr>
      <w:bookmarkStart w:id="660" w:name="__RefHeading___Toc8193451_1051229030"/>
      <w:bookmarkStart w:id="661" w:name="_Toc237"/>
      <w:bookmarkEnd w:id="660"/>
      <w:r>
        <w:rPr>
          <w:rtl w:val="true"/>
        </w:rPr>
        <w:t>المسألة الثانية</w:t>
      </w:r>
      <w:r>
        <w:rPr>
          <w:rtl w:val="true"/>
        </w:rPr>
        <w:t xml:space="preserve">: </w:t>
      </w:r>
      <w:r>
        <w:rPr>
          <w:rtl w:val="true"/>
        </w:rPr>
        <w:t>وحدة القضية المتيقنة والمشكوكة</w:t>
      </w:r>
      <w:r>
        <w:rPr>
          <w:rtl w:val="true"/>
        </w:rPr>
        <w:t>.</w:t>
      </w:r>
      <w:bookmarkEnd w:id="661"/>
    </w:p>
    <w:p>
      <w:pPr>
        <w:pStyle w:val="BookText"/>
        <w:rPr/>
      </w:pPr>
      <w:r>
        <w:rPr>
          <w:rFonts w:ascii="Amiri" w:hAnsi="Amiri" w:eastAsia="Amiri" w:cs="Amiri"/>
          <w:color w:val="111111"/>
          <w:sz w:val="28"/>
          <w:sz w:val="28"/>
          <w:szCs w:val="28"/>
          <w:rtl w:val="true"/>
          <w:lang w:bidi="ar-SA"/>
        </w:rPr>
        <w:t>للاستصحاب اركان أربعة اذا اجتمعت جرى الاستصحاب والا فلا ، ومن أركانه وحدة القضية المتيقنة والمشكوكة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تطبيقات هذه المسالة ما جاء في الجزء السادس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مسالة من لاط بغلام فاوقب حرمت عليه امه وبنته وأخته ، اذ قال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عدم جريان الاستصحاب لا لأنه تعليقي والتعليقي ليس بحجة كما قرب </w:t>
      </w:r>
      <w:bookmarkStart w:id="662" w:name="pg8133_63041"/>
    </w:p>
    <w:p>
      <w:pPr>
        <w:pStyle w:val="BookText"/>
        <w:rPr/>
      </w:pPr>
      <w:bookmarkEnd w:id="66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لا يجري لعدم وحدة القضية المتيقنة والمشكوكة فانالمتيقن هو حلية المرأة وصحة الزوجية بقاءً واستدامة أو ما 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الزوجية الفعلية، أما المشكوكة فهي إنشاء الزوجية الابتدائية التي يراد عقدها بعد الطلاق أو ما سماها الزوجية الشأنية أي انه حينما حصل اللواط لم يكن عليه حراماً الإمساك بزوجته وعدم انفساخ الزوجية لا حلية العقد عليها والتزوج منها لأنها زوجة فعلاً وبعد الطلاق نشك في إمكانية العقد عليها وإنشاء زوجية جديدة معها</w:t>
      </w:r>
      <w:r>
        <w:rPr>
          <w:rFonts w:eastAsia="Amiri" w:cs="Amiri" w:ascii="Amiri" w:hAnsi="Amiri"/>
          <w:color w:val="111111"/>
          <w:sz w:val="28"/>
          <w:szCs w:val="28"/>
          <w:rtl w:val="true"/>
          <w:lang w:bidi="ar-SA"/>
        </w:rPr>
        <w:t>.</w:t>
      </w:r>
    </w:p>
    <w:p>
      <w:pPr>
        <w:pStyle w:val="Heading6"/>
        <w:numPr>
          <w:ilvl w:val="5"/>
          <w:numId w:val="1"/>
        </w:numPr>
        <w:rPr/>
      </w:pPr>
      <w:bookmarkStart w:id="663" w:name="__RefHeading___Toc8193453_1051229030"/>
      <w:bookmarkStart w:id="664" w:name="_Toc238"/>
      <w:bookmarkEnd w:id="663"/>
      <w:r>
        <w:rPr>
          <w:rtl w:val="true"/>
        </w:rPr>
        <w:t>المسألة الثالثة</w:t>
      </w:r>
      <w:r>
        <w:rPr>
          <w:rtl w:val="true"/>
        </w:rPr>
        <w:t xml:space="preserve">: </w:t>
      </w:r>
      <w:r>
        <w:rPr>
          <w:rtl w:val="true"/>
        </w:rPr>
        <w:t>الأثر الشرعي للمستصحَب</w:t>
      </w:r>
      <w:r>
        <w:rPr>
          <w:rtl w:val="true"/>
        </w:rPr>
        <w:t>.</w:t>
      </w:r>
      <w:bookmarkEnd w:id="664"/>
    </w:p>
    <w:p>
      <w:pPr>
        <w:pStyle w:val="BookText"/>
        <w:rPr/>
      </w:pPr>
      <w:r>
        <w:rPr>
          <w:rFonts w:ascii="Amiri" w:hAnsi="Amiri" w:eastAsia="Amiri" w:cs="Amiri"/>
          <w:color w:val="111111"/>
          <w:sz w:val="28"/>
          <w:sz w:val="28"/>
          <w:szCs w:val="28"/>
          <w:rtl w:val="true"/>
          <w:lang w:bidi="ar-SA"/>
        </w:rPr>
        <w:t xml:space="preserve">من اركان الاستصحاب وجود الأثر الشرعي للمستصحَب ، فان الشارع لا يعبدنا بشيء ان لم يكن له اثر شرعي ، وقد جاء في الجزء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مسالة وجوب الغسل بمس القطعة المبانة من جسد الانسان تطبيق لهذا الموضوع حيث بيْن سماحة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الاستصحاب مع وجود الأثر الشرعي ، وعدم جريانه عند عدم الأثر ، وثمرة ذلك في عدم التعارض بين الاستصحابين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تاريخ البرودة والموت معلوماً وتاريخ المسّ مجهولاً فالصحيح عدم وجوب الغسل في حقّه، وذلك لاستصحاب عدم تحقق المسّ بعد البرودة أو الموت الّذي هو الموضوع المرتب عليه وجوب الغسل، للصحيحة المتقدمة الدالّة على وجوب الغسل بالمس بعد ما 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والسرّ في جريانه أن وقوع المسّ قبل البرودة أو الموت أو عدم وقوعه ممّا لا أثر له شرعاً، لأنّ الأثر إنّما هو للمس الواقع بعد الحياة أو الحرارة</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فاستصحاب عدم المسّ إلى حين البرودة أو الموت غير جار، لأنّه لا </w:t>
      </w:r>
      <w:bookmarkStart w:id="665" w:name="pg8133_63042"/>
    </w:p>
    <w:p>
      <w:pPr>
        <w:pStyle w:val="BookText"/>
        <w:rPr/>
      </w:pPr>
      <w:bookmarkEnd w:id="665"/>
      <w:r>
        <w:rPr>
          <w:rFonts w:ascii="Amiri" w:hAnsi="Amiri" w:eastAsia="Amiri" w:cs="Amiri"/>
          <w:color w:val="111111"/>
          <w:sz w:val="28"/>
          <w:sz w:val="28"/>
          <w:szCs w:val="28"/>
          <w:rtl w:val="true"/>
          <w:lang w:bidi="ar-SA"/>
        </w:rPr>
        <w:t>أثر له إلاّ بلحاظ لازمه العقلي وهو وقوعه بعد البرودة أو الموت، إلاّ أنّه من الأصل المثبت ولا نقول به، ومع عدم جريانه نشك فيتحقق الموضوع لوجوب الاغتسال، والأصل عدمه، وهو غير معارض بشيء</w:t>
      </w:r>
      <w:r>
        <w:rPr>
          <w:rFonts w:eastAsia="Amiri" w:cs="Amiri" w:ascii="Amiri" w:hAnsi="Amiri"/>
          <w:color w:val="111111"/>
          <w:sz w:val="28"/>
          <w:szCs w:val="28"/>
          <w:rtl w:val="true"/>
          <w:lang w:bidi="ar-SA"/>
        </w:rPr>
        <w:t>.</w:t>
      </w:r>
    </w:p>
    <w:p>
      <w:pPr>
        <w:pStyle w:val="Heading6"/>
        <w:numPr>
          <w:ilvl w:val="5"/>
          <w:numId w:val="1"/>
        </w:numPr>
        <w:rPr/>
      </w:pPr>
      <w:bookmarkStart w:id="666" w:name="__RefHeading___Toc8193455_1051229030"/>
      <w:bookmarkStart w:id="667" w:name="_Toc239"/>
      <w:bookmarkEnd w:id="666"/>
      <w:r>
        <w:rPr>
          <w:rtl w:val="true"/>
        </w:rPr>
        <w:t>المسألة الرابعة</w:t>
      </w:r>
      <w:r>
        <w:rPr>
          <w:rtl w:val="true"/>
        </w:rPr>
        <w:t xml:space="preserve">: </w:t>
      </w:r>
      <w:r>
        <w:rPr>
          <w:rtl w:val="true"/>
        </w:rPr>
        <w:t>الاستصحاب التعليقي</w:t>
      </w:r>
      <w:r>
        <w:rPr>
          <w:rtl w:val="true"/>
        </w:rPr>
        <w:t>.</w:t>
      </w:r>
      <w:bookmarkEnd w:id="667"/>
    </w:p>
    <w:p>
      <w:pPr>
        <w:pStyle w:val="BookText"/>
        <w:rPr/>
      </w:pPr>
      <w:r>
        <w:rPr>
          <w:rFonts w:ascii="Amiri" w:hAnsi="Amiri" w:eastAsia="Amiri" w:cs="Amiri"/>
          <w:color w:val="111111"/>
          <w:sz w:val="28"/>
          <w:sz w:val="28"/>
          <w:szCs w:val="28"/>
          <w:rtl w:val="true"/>
          <w:lang w:bidi="ar-SA"/>
        </w:rPr>
        <w:t xml:space="preserve">اتضح من المسألة الثانية ان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يقول بحجية الاستصحاب التعليقي ، وهذا ما أكده في الجزء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مسالة مطهرية الشمس ، اذ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الاستدلال بالاستصحاب بأن يقال ان هذه الألواح حينما كانت جزءاً من الأرض كان يمكن تطهيرها بالشمس والآن بعد اقتلاعها نشك فنستصحب إمكان تطهير الشمس لها أو يقرّب بالاستصحاب التعليقي بان هذه الألواح لو كانت جزءاً من الأرض كان يمكن تطهيرها فإذا شككنا الآن حينما لم تكن جزءاً نستصحب إمكان التطهير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والاستصحاب على كلا التقديرين لا يجري لأنه بالتقريب الأول من استصحاب الكلي من القسم الثالث وعلى الثاني من الاستصحاب التعليقي ولا نقول بحجيته في أمثالهما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الجزء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بعدها في مسالة وجوب غسل القطعة المبانة من جسد الانسان ما يؤكد مبناه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حجية الاستصحاب التعليقي ، عند ذكر الأصول العملية التي يمكن جريانها عند الشك في حكم القطعة المبانة من الميت ، وفي هذا المقطع نكات ظريفة ومهمة لذا سننقله بطوله ، وهو</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استصحاب وجوب الغسل بمسّها، لأن تلك القطعة المنفصلة كان مسّها قبل انفصالها موجباً للغسل، والأصل أنّها بعد انفصالها كذلك توجب </w:t>
      </w:r>
    </w:p>
    <w:p>
      <w:pPr>
        <w:pStyle w:val="BookText"/>
        <w:rPr/>
      </w:pPr>
      <w:r>
        <w:rPr>
          <w:rFonts w:ascii="IRNazanin" w:hAnsi="IRNazanin" w:eastAsia="IRNazanin"/>
          <w:color w:val="111111"/>
          <w:sz w:val="28"/>
          <w:sz w:val="28"/>
          <w:szCs w:val="28"/>
          <w:rtl w:val="true"/>
          <w:lang w:bidi="fa-IR"/>
        </w:rPr>
        <w:t>الغسل</w:t>
      </w:r>
      <w:r>
        <w:rPr>
          <w:rFonts w:eastAsia="IRNazanin" w:cs="IRNazanin"/>
          <w:color w:val="111111"/>
          <w:sz w:val="28"/>
          <w:szCs w:val="28"/>
          <w:rtl w:val="true"/>
          <w:lang w:bidi="fa-IR"/>
        </w:rPr>
        <w:t xml:space="preserve">»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الاستصحابات التعليقية، لتوقف الحكم بوجوبالغسل حال كون الجزء متصلاً على مسّه وأنه لو مسّها وجب الغسل، وهو حكم تعليقي، فلا حكم فعلي في البين، وقد بنينا في محلّه على عدم جريان الاستصحاب في التعليقيات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أنا لو قلنا بجريانها فالموضوع غير باقٍ، لأنه كما عرفت عبارة عن مسّ الميت، وقد كان مسّ القطعة حال اتصالها من مسّ الميت بلا كلام، وهذا بخلاف ما إذا كانت منفصلة، إذ لا يصدق مس الميت على مسّها، واتحاد القضية المتيقنة والمشكوكة فيها مما لا بد منه في جريان الاستصحاب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يرد بذلك على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استدل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بالاستصحاب التعليقي بناءً على حجيته</w:t>
      </w:r>
      <w:r>
        <w:rPr>
          <w:rFonts w:eastAsia="Amiri" w:cs="Amiri" w:ascii="Amiri" w:hAnsi="Amiri"/>
          <w:color w:val="111111"/>
          <w:sz w:val="28"/>
          <w:szCs w:val="28"/>
          <w:rtl w:val="true"/>
          <w:lang w:bidi="ar-SA"/>
        </w:rPr>
        <w:t>»</w:t>
      </w:r>
      <w:r>
        <w:rPr>
          <w:rStyle w:val="FootnoteAnchor"/>
          <w:rtl w:val="true"/>
        </w:rPr>
        <w:footnoteReference w:id="604"/>
      </w:r>
      <w:r>
        <w:rPr>
          <w:rFonts w:ascii="Amiri" w:hAnsi="Amiri" w:eastAsia="Amiri" w:cs="Amiri"/>
          <w:color w:val="111111"/>
          <w:sz w:val="28"/>
          <w:sz w:val="28"/>
          <w:szCs w:val="28"/>
          <w:rtl w:val="true"/>
          <w:lang w:bidi="ar-SA"/>
        </w:rPr>
        <w:t xml:space="preserve">واستدل به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مقتضى الأصل أن مسّ القطعة المبانة من الميت موجب للغسل، سواء كانت مشتملة على العظم، أو لا، أو عظماً مجرداً، حتى السن والظفر، فكل ما يوجب مسّه الغسل حال الاتصال يوجبه حال الانفصال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لاستصحاب الحكم التعليقي، وقد فرغنا عن جريانه إذا كان التعليق شرعياً كما في المقام</w:t>
      </w:r>
      <w:r>
        <w:rPr>
          <w:rFonts w:eastAsia="Amiri" w:cs="Amiri" w:ascii="Amiri" w:hAnsi="Amiri"/>
          <w:color w:val="111111"/>
          <w:sz w:val="28"/>
          <w:szCs w:val="28"/>
          <w:rtl w:val="true"/>
          <w:lang w:bidi="ar-SA"/>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على الاستصحاب ما ذكره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حجيته لكونه تعليقياً ومن عدم وحدة القضية المتيقنة والمشكوكة فإن موضوع وجوب الغسل حينما كانت جزءاً هو مسّ الميت، وبعد الانفصال </w:t>
      </w:r>
    </w:p>
    <w:p>
      <w:pPr>
        <w:pStyle w:val="BookText"/>
        <w:rPr/>
      </w:pPr>
      <w:r>
        <w:rPr>
          <w:rFonts w:ascii="Amiri" w:hAnsi="Amiri" w:eastAsia="Amiri" w:cs="Amiri"/>
          <w:color w:val="111111"/>
          <w:sz w:val="28"/>
          <w:sz w:val="28"/>
          <w:szCs w:val="28"/>
          <w:rtl w:val="true"/>
          <w:lang w:bidi="ar-SA"/>
        </w:rPr>
        <w:t>أصبح مسّاً للقطعة المبانة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النقض على الاستصحاب بقطعة اللحم الخالية من العظم التي كان يجب الغسل بمسّها حين الاتصال ولا يجب قطعاً عند الانفصال، وكذا العظم المجرد على القول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رد الوجهين الثاني والثالث بعد كون الأول خلافاً مبنائياً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 فبأن يقال إن هذا المقدار من التغيّر في الموضوع لا بد منه لتحقق الاستصحاب وهو الشك اللاحق ولو كان الموضوع نفسه فلا معنى للشك فيه، وبتعبير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احتمال مدخلية الاتصال ثمرة الاستصحاب، فلا يقدح حينئذٍ انسباق الاجتماع إلى الذهن من الأدلة</w:t>
      </w:r>
      <w:r>
        <w:rPr>
          <w:rFonts w:eastAsia="Amiri" w:cs="Amiri" w:ascii="Amiri" w:hAnsi="Amiri"/>
          <w:color w:val="111111"/>
          <w:sz w:val="28"/>
          <w:szCs w:val="28"/>
          <w:rtl w:val="true"/>
          <w:lang w:bidi="ar-SA"/>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فإن قطعة اللحم ونحوها مما يقطع بعدم وجوب الغسل بمسّها إجماعاً فلا يوجد شك حتى يُجرى الاستصحاب فهي خارجة عن الاستصحاب تخصصاً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صحّح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الاستصحاب ودفع الإشكال عليه في معرض ردّه على المحقق الهمداني،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يتوهم عدم جريانه، لأنه فرع إحراز الموضوع، والقدر المتيقن الذي علم ثبوته عند اتصال العضو بالميت إنما هو وجوب الغسل بمس الميت المتحقق بمس عضوه، وهو مفروض الانتفاء عند الانفصال، وسببية العضو من حيث هو لم يعلم في السابق حتى يستصحب</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موضوع الاستصحاب ليس عين الدليل الاجتهادي حتى يشك فيه مع الشك في الثاني، ويعلم انتفاؤه مع العلم بانتفائه، ضرورة أن موضوع الأدلة الاجتهادية هو العناوين الأولية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الاستصحاب فجريانه يتوقف على صدق نقض اليقين بالشك ووحدة القضية المتيقنة والمشكوك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أشير إلى موضوع خارجي كالعنب ويقال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الموجود إذا غلى عصيره يحرم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يبس وخرج عن عنوان العنبية لكن بقيت هذيته وتشخّصه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الموجود عين الموجود سابقاً وإنتغير 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شبهة في جريان الاستصحاب فيه، مع العلم بتبدل موضوع الدليل الاجتهادي كما في المثال؛ لأن موضوعه عصير العنب وهو لا يصدق على الزبيب جزماً، لكن العنب الخارجي متيقن الحكم بهذيته، لا بمعنى تعلق الحكم على عنوان هذيته، بل بمعنى تعلق اليقين بأن هذا الموجود الذي هو مصداق العنوان ذو حكم بتشكيل صغرى وجدانية وكبرى اجتهادية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المقام يصح أن يقال مشيراً إلى كف الميت المتصلة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مسست هذه يجب علي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قطعت منه وانفصلت لا تتغير إلا في بعض الحالات، فالقضية المتيقنة عين المشكوك فيها، وهو الميزان في جريان الاستصحاب، وأما تغيير موضوع الدليل الاجتهادي فأجنبي عن جريانه ولا جريانه، وهذا الخلط يسد باب جريانه في كثير من الموارد</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والعجب من قوله أخيراً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سببية مس يده من حيث هو لم تعلم في السابق حتى تستصحب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إذا علم سببيته من حيث هو بلا دخالة شيء آخر فيتمسك بإطلاق الدليل لا الاستصحاب، إلا مع دعوى قصور الأدلة عن إثبات الحكم حال الانفصال ولو في الفرض</w:t>
      </w:r>
      <w:r>
        <w:rPr>
          <w:rFonts w:eastAsia="Amiri" w:cs="Amiri" w:ascii="Amiri" w:hAnsi="Amiri"/>
          <w:color w:val="111111"/>
          <w:sz w:val="28"/>
          <w:szCs w:val="28"/>
          <w:rtl w:val="true"/>
          <w:lang w:bidi="ar-SA"/>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 xml:space="preserve">. </w:t>
      </w:r>
      <w:bookmarkStart w:id="668" w:name="pg8133_63046"/>
    </w:p>
    <w:p>
      <w:pPr>
        <w:pStyle w:val="BookText"/>
        <w:rPr/>
      </w:pPr>
      <w:bookmarkEnd w:id="668"/>
      <w:r>
        <w:rPr>
          <w:rFonts w:ascii="Amiri" w:hAnsi="Amiri" w:eastAsia="Amiri" w:cs="Amiri"/>
          <w:color w:val="111111"/>
          <w:sz w:val="28"/>
          <w:sz w:val="28"/>
          <w:szCs w:val="28"/>
          <w:rtl w:val="true"/>
          <w:lang w:bidi="ar-SA"/>
        </w:rPr>
        <w:t xml:space="preserve">وعلله في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نجاسة الجزء المنفصل من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الاتصال والانفصال من حالات الموضوع ولا يوجبان تبدله</w:t>
      </w:r>
      <w:r>
        <w:rPr>
          <w:rFonts w:eastAsia="Amiri" w:cs="Amiri" w:ascii="Amiri" w:hAnsi="Amiri"/>
          <w:color w:val="111111"/>
          <w:sz w:val="28"/>
          <w:szCs w:val="28"/>
          <w:rtl w:val="true"/>
          <w:lang w:bidi="ar-SA"/>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القول بعدم تمامية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كبروياً لأن الحاكم في مداليل الألفاظ في الدليل الاجتهادي هو الحاكم في وحدة القضية المتيقنة والمشكوكة وهو العرف فكيف يتباين حكمه؟ أما المثال الذي ضربه فإن الفارق في الحكم بدوي يزول عند الالتفات أو الإلفات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على تقريبه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غير تام صغروياً؛ لأن وجوب الغسل بمسّ اليد حال الاتصال لا بما أنها يد وإنما باعتباره مسّاً للميت من يده فلم يحلّالإشكال على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فلو تنزلنا وقلنا بالاستصحاب فإنه لا ينفع إلا القليل ممن قالوا بالتفصيل بين القطعة المبانة من الحي فلا يجب الغسل بمسها ومن الميت فيجب، أما المشهور القائل بالوجوب مطلقاً فلا يتم مطلوبه، إلا أن يتممه بعدم القول بالفصل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سننقل عن 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فيه، أو يستدل بدليل آخر</w:t>
      </w:r>
      <w:r>
        <w:rPr>
          <w:rFonts w:eastAsia="Amiri" w:cs="Amiri" w:ascii="Amiri" w:hAnsi="Amiri"/>
          <w:color w:val="111111"/>
          <w:sz w:val="28"/>
          <w:szCs w:val="28"/>
          <w:rtl w:val="true"/>
          <w:lang w:bidi="ar-SA"/>
        </w:rPr>
        <w:t>.</w:t>
      </w:r>
    </w:p>
    <w:p>
      <w:pPr>
        <w:pStyle w:val="Heading6"/>
        <w:numPr>
          <w:ilvl w:val="5"/>
          <w:numId w:val="1"/>
        </w:numPr>
        <w:rPr/>
      </w:pPr>
      <w:bookmarkStart w:id="669" w:name="__RefHeading___Toc8193457_1051229030"/>
      <w:bookmarkStart w:id="670" w:name="_Toc240"/>
      <w:bookmarkEnd w:id="669"/>
      <w:r>
        <w:rPr>
          <w:rtl w:val="true"/>
        </w:rPr>
        <w:t>المسألة الخامسة</w:t>
      </w:r>
      <w:r>
        <w:rPr>
          <w:rtl w:val="true"/>
        </w:rPr>
        <w:t xml:space="preserve">: </w:t>
      </w:r>
      <w:r>
        <w:rPr>
          <w:rtl w:val="true"/>
        </w:rPr>
        <w:t>استصحاب الاحكام الكلية</w:t>
      </w:r>
      <w:r>
        <w:rPr>
          <w:rtl w:val="true"/>
        </w:rPr>
        <w:t>.</w:t>
      </w:r>
      <w:bookmarkEnd w:id="670"/>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عدم جريان الاستصحاب في الاحكام الكلية ، الا ان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يبني على حجيته ، اذ قال في الجزء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مسالة وجوب صلاة الجمعة في عصر الغيبة عند بيان الأصول العملية الجارية في المقام</w:t>
      </w:r>
      <w:r>
        <w:rPr>
          <w:rFonts w:eastAsia="Amiri" w:cs="Amiri" w:ascii="Amiri" w:hAnsi="Amiri"/>
          <w:color w:val="111111"/>
          <w:sz w:val="28"/>
          <w:szCs w:val="28"/>
          <w:rtl w:val="true"/>
          <w:lang w:bidi="ar-SA"/>
        </w:rPr>
        <w:t xml:space="preserve">: </w:t>
      </w:r>
      <w:bookmarkStart w:id="671" w:name="pg8133_63047"/>
    </w:p>
    <w:p>
      <w:pPr>
        <w:pStyle w:val="Heading6"/>
        <w:numPr>
          <w:ilvl w:val="5"/>
          <w:numId w:val="1"/>
        </w:numPr>
        <w:rPr/>
      </w:pPr>
      <w:bookmarkStart w:id="672" w:name="__RefHeading___Toc8193459_1051229030"/>
      <w:bookmarkStart w:id="673" w:name="_Toc241"/>
      <w:bookmarkEnd w:id="671"/>
      <w:bookmarkEnd w:id="672"/>
      <w:r>
        <w:rPr>
          <w:rtl w:val="true"/>
        </w:rPr>
        <w:t>الأصول العملية الجارية في المقام</w:t>
      </w:r>
      <w:bookmarkEnd w:id="673"/>
    </w:p>
    <w:p>
      <w:pPr>
        <w:pStyle w:val="BookText"/>
        <w:rPr/>
      </w:pPr>
      <w:r>
        <w:rPr>
          <w:rFonts w:ascii="Amiri" w:hAnsi="Amiri" w:eastAsia="Amiri" w:cs="Amiri"/>
          <w:color w:val="111111"/>
          <w:sz w:val="28"/>
          <w:sz w:val="28"/>
          <w:szCs w:val="28"/>
          <w:rtl w:val="true"/>
          <w:lang w:bidi="ar-SA"/>
        </w:rPr>
        <w:t>ولو فرض عدم وجود إطلاق فوقاني فالمرجع حينئذٍ الأصول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وقبل الدخول فيها أودّ إلفات النظر إلى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يصرح بالوجوب التعييني في عصر الحضور ثم يسعى لتأسيس الأصل في زمن الغيبة من دون أن يفسّر لنا سبب عدم إقامة المعصومين من لدن غصب حقهم في الخلافة للصلاة خصوصاً عند من ينفي أن يكون المانع هو التقية، فهل الوجوب تخييري حتى في عصرهم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ما لم نجده في كلماته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له مدخلية في تأسيس الأصل كالاستصحاب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 المورد مباشرة على مسألة دوران الأمر بين التعيين والتخيير وكان ينبغي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يطبق أصل الاستصحاب على المسألةلوجود حالة سابقة وهي الوجوب التعييني في عصر الحضور واشترط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جريان الاستصحاب لجريان هذه المسألة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محل الكلام إنما هو فيما إذا لم يكن في البين أصل لفظي من الإطلاق ونحوه، ولا استصحاب موضوعي يرتفع به الشك، كما إذا علمنا بالتعيين ثم شككنا في انقلابه إلى التخيير أو بالعكس، فإنه مع وجود أحد الأمرين يرتفع الشك فلا تصل النوبة إلى البراءة أو الاحتياط</w:t>
      </w:r>
      <w:r>
        <w:rPr>
          <w:rFonts w:eastAsia="Amiri" w:cs="Amiri" w:ascii="Amiri" w:hAnsi="Amiri"/>
          <w:color w:val="111111"/>
          <w:sz w:val="28"/>
          <w:szCs w:val="28"/>
          <w:rtl w:val="true"/>
          <w:lang w:bidi="ar-SA"/>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 الكلام في الاستصحاب واستعمل أصلاً آخرَ وقد يكون معه حق من جهته باعتبار أن مبناه عدم جريان الاستصحاب في الأحكام الكلية فلا يجري الاستصحاب في المقام لذا عليه أن يؤسس أصلاً آخر وهو ما سار عليه ونحن بما أننا نرى جريان الاستصحاب في الأحكام الكلية لإطلاق أدلة حجيته من هذه الجهة ولعدم صلاحية ما ذكر من الموانع عن </w:t>
      </w:r>
    </w:p>
    <w:p>
      <w:pPr>
        <w:pStyle w:val="BookText"/>
        <w:rPr/>
      </w:pPr>
      <w:r>
        <w:rPr>
          <w:rFonts w:ascii="Amiri" w:hAnsi="Amiri" w:eastAsia="Amiri" w:cs="Amiri"/>
          <w:color w:val="111111"/>
          <w:sz w:val="28"/>
          <w:sz w:val="28"/>
          <w:szCs w:val="28"/>
          <w:rtl w:val="true"/>
          <w:lang w:bidi="ar-SA"/>
        </w:rPr>
        <w:t xml:space="preserve">جريانه في هذه الحالة فمقتضاه ثبوت الوجوب التعييني لأنه الحالة السابقة المتيقنة وقد أيّد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المشهور من جريان الاستصحاب في الأحكام الكلية يستصحب وجوبها التعييني في عصر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يمكنه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على جريان الاستصحاب من جهتين غير ما ذكر من مبناه الخاص في علم الأصول من عدم جريانه لأن الخلاف مع القائل به سيصبح مبنائياً 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وحدة القضية المتيقنة والمشكوكة باعتبار أن المتيقن هو الوجوب التعييني زمن الحضور والمشكوك هو الوجوب زمن الغيبة، لكن هذا الإشكال مردود لأن هذا المقدار من الشك لا بد من وجوده لتتم شروط الاستصحاب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استصحاب الكلي من القسم الثالث لأن الوجوبالتعييني زمن الحضور متيقن الارتفاع بغيبة الإمام الثاني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والوجوب في زمن الغيبة مشكوك الحدوث فلا يجري الاستصحاب وهذا الإشكال في الاستصحاب مفيد للقائل بالوجوب التخييري لأنه اشترط في الوجوب التعييني حضور الإمام المعصوم، ولعل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هذا حين رد على الاستدلال بالاستصحاب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الحكم قد تعلق بالحاضرين الواجدين للشرط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فاستصحابه بحيث يثبت الحكم على غيرهم غير معقول</w:t>
      </w:r>
      <w:r>
        <w:rPr>
          <w:rFonts w:eastAsia="IRNazanin" w:cs="IRNazanin"/>
          <w:color w:val="111111"/>
          <w:sz w:val="28"/>
          <w:szCs w:val="28"/>
          <w:rtl w:val="true"/>
          <w:lang w:bidi="fa-IR"/>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هذا الإشكال مردود على مختارنا بعدم اليقين بارتفاع الوجوب في زمن الحضور لعدم وجود الدليل على تقييد الوجوب بحضور الإمام وإن </w:t>
      </w:r>
      <w:bookmarkStart w:id="674" w:name="pg8133_63049"/>
    </w:p>
    <w:p>
      <w:pPr>
        <w:pStyle w:val="BookText"/>
        <w:rPr/>
      </w:pPr>
      <w:bookmarkEnd w:id="674"/>
      <w:r>
        <w:rPr>
          <w:rFonts w:ascii="IRNazanin" w:hAnsi="IRNazanin" w:eastAsia="IRNazanin"/>
          <w:color w:val="111111"/>
          <w:sz w:val="28"/>
          <w:sz w:val="28"/>
          <w:szCs w:val="28"/>
          <w:rtl w:val="true"/>
          <w:lang w:bidi="fa-IR"/>
        </w:rPr>
        <w:t xml:space="preserve">كانت إقامتها من وظائفه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لكنها ليست من مختصّاته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ناقشنا أدلة ذلك في مناقشة القائلين بعدم المشروعية في زمان الغيبة</w:t>
      </w:r>
      <w:r>
        <w:rPr>
          <w:rFonts w:eastAsia="Amiri" w:cs="Amiri" w:ascii="Amiri" w:hAnsi="Amiri"/>
          <w:color w:val="111111"/>
          <w:sz w:val="28"/>
          <w:szCs w:val="28"/>
          <w:rtl w:val="true"/>
          <w:lang w:bidi="ar-SA"/>
        </w:rPr>
        <w:t>.</w:t>
      </w:r>
    </w:p>
    <w:p>
      <w:pPr>
        <w:pStyle w:val="Heading6"/>
        <w:numPr>
          <w:ilvl w:val="5"/>
          <w:numId w:val="1"/>
        </w:numPr>
        <w:rPr/>
      </w:pPr>
      <w:bookmarkStart w:id="675" w:name="__RefHeading___Toc8193461_1051229030"/>
      <w:bookmarkStart w:id="676" w:name="_Toc242"/>
      <w:bookmarkEnd w:id="675"/>
      <w:r>
        <w:rPr>
          <w:rtl w:val="true"/>
        </w:rPr>
        <w:t>المسألة السادسة</w:t>
      </w:r>
      <w:r>
        <w:rPr>
          <w:rtl w:val="true"/>
        </w:rPr>
        <w:t xml:space="preserve">: </w:t>
      </w:r>
      <w:r>
        <w:rPr>
          <w:rtl w:val="true"/>
        </w:rPr>
        <w:t>استصحاب الكلي من القسم الثالث</w:t>
      </w:r>
      <w:r>
        <w:rPr>
          <w:rtl w:val="true"/>
        </w:rPr>
        <w:t>.</w:t>
      </w:r>
      <w:bookmarkEnd w:id="676"/>
    </w:p>
    <w:p>
      <w:pPr>
        <w:pStyle w:val="BookText"/>
        <w:rPr/>
      </w:pPr>
      <w:r>
        <w:rPr>
          <w:rFonts w:ascii="Amiri" w:hAnsi="Amiri" w:eastAsia="Amiri" w:cs="Amiri"/>
          <w:color w:val="111111"/>
          <w:sz w:val="28"/>
          <w:sz w:val="28"/>
          <w:szCs w:val="28"/>
          <w:rtl w:val="true"/>
          <w:lang w:bidi="ar-SA"/>
        </w:rPr>
        <w:t xml:space="preserve">اتضح من المسألة السابقة الرابعة ان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يقول بحجية استصحاب الكلي من القسم الثالث ، اذ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والاستصحاب على كلا التقديرين لا يجري لأنه بالتقريب الأول من استصحاب الكلي من القسم الثالث وعلى الثاني من الاستصحاب التعليقي ولا نقول بحجيته في أمثالهما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صرح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المبنى في الجزء الثامن في بحث حقيقة الوجوب الكفائي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اذ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المناقشة في الكبرى إذ لا نقول بجريان الاستصحاب في الكلي من القسم الثالث، والقول بجريانه خلاف التحقيق</w:t>
      </w:r>
    </w:p>
    <w:p>
      <w:pPr>
        <w:pStyle w:val="Heading6"/>
        <w:numPr>
          <w:ilvl w:val="5"/>
          <w:numId w:val="1"/>
        </w:numPr>
        <w:rPr/>
      </w:pPr>
      <w:bookmarkStart w:id="677" w:name="__RefHeading___Toc8193463_1051229030"/>
      <w:bookmarkStart w:id="678" w:name="_Toc243"/>
      <w:bookmarkEnd w:id="677"/>
      <w:r>
        <w:rPr>
          <w:rtl w:val="true"/>
        </w:rPr>
        <w:t>المسألة السابعة</w:t>
      </w:r>
      <w:r>
        <w:rPr>
          <w:rtl w:val="true"/>
        </w:rPr>
        <w:t xml:space="preserve">: </w:t>
      </w:r>
      <w:r>
        <w:rPr>
          <w:rtl w:val="true"/>
        </w:rPr>
        <w:t>الاستصحاب في التدريجيات</w:t>
      </w:r>
      <w:r>
        <w:rPr>
          <w:rtl w:val="true"/>
        </w:rPr>
        <w:t>.</w:t>
      </w:r>
      <w:bookmarkEnd w:id="678"/>
    </w:p>
    <w:p>
      <w:pPr>
        <w:pStyle w:val="BookText"/>
        <w:rPr/>
      </w:pPr>
      <w:r>
        <w:rPr>
          <w:rFonts w:ascii="Amiri" w:hAnsi="Amiri" w:eastAsia="Amiri" w:cs="Amiri"/>
          <w:color w:val="111111"/>
          <w:sz w:val="28"/>
          <w:sz w:val="28"/>
          <w:szCs w:val="28"/>
          <w:rtl w:val="true"/>
          <w:lang w:bidi="ar-SA"/>
        </w:rPr>
        <w:t xml:space="preserve">مما اختلف الأصوليون فيه ، هو جريان الاستصحاب في التدريجيات ، والذي يظهر من كلمات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الاستصحاب فيها اذ انه قال بإمكانية استصحاب بقاء النهار، ومن كلماته في هذا المقام</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الجزء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مسالة تحقق الغروب بسقوط القرص ام بذهاب الحمرة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الرواية الحادية عشرة </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 xml:space="preserve">فتناقش دلالتها من حيث احتمال كون السائل شاكاً في غياب القرص لوجود الحائل وهو الجبل وعدم وثوقه بالمؤذنين من العامة فيرشده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الاحتياط في الشبهة خصوصاً مع جريان استصحاب بقاء النهار عند الشك فالشبهة هنا موضوعية وليست حكمية ليلزم حمله على التقية من أجل امتناع إرداته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الاحتياط – من الإمام العالم بالأحكام الواقعية بحسب تقريب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الجزء الثاني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بيان الرأي المختار في مسالة تحقق الغروب بسقوط القرص ام بذهاب الحمرة</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حمل الأمر بالانتظار حتى ترتفع الحمرة للاحتياط، لأن الأصل الجاري عند الشك في غروب الشمس هو استصحاب بقاء النهار ولا ينقطع العمل به إلا باليقين بغروبها، وهو ما أشارت إليه صحيحة عبد الله بن وضاح، وهو وجه قاله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الاستبصار لتفسير أخبار القول الثاني بعدأن ابتدأ بأخبار سقوط القرص وقد قال في مقدمة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ابتدىء في كل باب بإيراد ما أعتمده من الفتوى والأحاديث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 تفسيرها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يكون إنما أمرهم أن يمسوا بالمغرب قليلاً ويحتاطوا ليتيقن بذلك سقوط الشمس لأن حدّها غيبوبة الحمرة عن ناحية المشرق لا </w:t>
      </w:r>
      <w:bookmarkStart w:id="679" w:name="pg8133_63051"/>
    </w:p>
    <w:p>
      <w:pPr>
        <w:pStyle w:val="BookText"/>
        <w:rPr/>
      </w:pPr>
      <w:bookmarkEnd w:id="679"/>
      <w:r>
        <w:rPr>
          <w:rFonts w:ascii="Amiri" w:hAnsi="Amiri" w:eastAsia="Amiri" w:cs="Amiri"/>
          <w:color w:val="111111"/>
          <w:sz w:val="28"/>
          <w:sz w:val="28"/>
          <w:szCs w:val="28"/>
          <w:rtl w:val="true"/>
          <w:lang w:bidi="ar-SA"/>
        </w:rPr>
        <w:t>غيبوبتها عن العين</w:t>
      </w:r>
      <w:r>
        <w:rPr>
          <w:rFonts w:eastAsia="Amiri" w:cs="Amiri" w:ascii="Amiri" w:hAnsi="Amiri"/>
          <w:color w:val="111111"/>
          <w:sz w:val="28"/>
          <w:szCs w:val="28"/>
          <w:rtl w:val="true"/>
          <w:lang w:bidi="ar-SA"/>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80" w:name="__RefHeading___Toc8193465_1051229030"/>
      <w:bookmarkStart w:id="681" w:name="_Toc244"/>
      <w:bookmarkEnd w:id="680"/>
      <w:r>
        <w:rPr>
          <w:rtl w:val="true"/>
        </w:rPr>
        <w:t>المسألة الثامنة</w:t>
      </w:r>
      <w:r>
        <w:rPr>
          <w:rtl w:val="true"/>
        </w:rPr>
        <w:t xml:space="preserve">: </w:t>
      </w:r>
      <w:r>
        <w:rPr>
          <w:rtl w:val="true"/>
        </w:rPr>
        <w:t>استصحاب العدم الازلي</w:t>
      </w:r>
      <w:r>
        <w:rPr>
          <w:rtl w:val="true"/>
        </w:rPr>
        <w:t>.</w:t>
      </w:r>
      <w:bookmarkEnd w:id="681"/>
    </w:p>
    <w:p>
      <w:pPr>
        <w:pStyle w:val="BookText"/>
        <w:rPr/>
      </w:pPr>
      <w:r>
        <w:rPr>
          <w:rFonts w:ascii="Amiri" w:hAnsi="Amiri" w:eastAsia="Amiri" w:cs="Amiri"/>
          <w:color w:val="111111"/>
          <w:sz w:val="28"/>
          <w:sz w:val="28"/>
          <w:szCs w:val="28"/>
          <w:rtl w:val="true"/>
          <w:lang w:bidi="ar-SA"/>
        </w:rPr>
        <w:t xml:space="preserve">يعد مبحث استصحاب العدم الازلي من اهم المباحث التي ناقشها العلماء في مسالة الاستصحاب ، اذ ذهب البعض الى عدم جريان العدم النعتي في قبال العدم الأصلي ، ، وذهب الاخر الى عدم جريانه مطلقا ، ومن كلمات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الموضوع ما جاء في الجزء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مسالة وجوب الغسل بمس القطعة المبانة من جسد الانسان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نجاسة بدن الميت عينية من جهة وحكمية من جهة أخرى فلا يصدق الغسل حتى يتم في جميع البدن لأنه كلٌّ ارتباطي نظير اشتراط الوجوب ببرد الميت وهو لا يتحقق إلا ببرده جميعاً، وصدقه بالإضافة إلى 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يجدي بعد الذي ذكرناه من أن ظاهر الروايات اكتمال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شككنا في الوجوب وعدمه جرى استصحاب الوجوب، وليس المورد مجرى لأصالة البراءة لسبق اشتغال الذمة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عند من لا يقول بجريان الاستصحاب في الشبهات الحكمية كالسيد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ومنع المحقق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جريان الاستصحاب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لمعارضته معاستصحاب العدم</w:t>
      </w:r>
      <w:r>
        <w:rPr>
          <w:rFonts w:eastAsia="Amiri" w:cs="Amiri" w:ascii="Amiri" w:hAnsi="Amiri"/>
          <w:color w:val="111111"/>
          <w:sz w:val="28"/>
          <w:szCs w:val="28"/>
          <w:rtl w:val="true"/>
          <w:lang w:bidi="ar-SA"/>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ويقصد به استصحاب العدم الأصلي كما صرّح به في غير مورد، والكبرى غير تامة</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موضع اخر من الجزء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مسالة وجوب الغسل بمس القطعة المبانة من جسد الانسان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كون الميت الممسوس إنساناً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سواء كان ذلك الغير حيواناً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والحكم هنا عدم الوجوب لعدم تحقق موضوع الوجوب أيضاً وهو مس الإنسان الميت لأن أصالة عدم كون الميت إنساناً جارية، بلا معارض بعد عدم جريان أصالة عدم كون الميت الممسوس ليس إنساناً لعدم ترتب أثر عليها، ولو جرى فعدم التمسك بهذا الأصل لسقوطه بالمعارضة وليس لعدم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يشخَّص به كون الممسوس إنساناً أو غيره</w:t>
      </w:r>
      <w:r>
        <w:rPr>
          <w:rFonts w:eastAsia="Amiri" w:cs="Amiri" w:ascii="Amiri" w:hAnsi="Amiri"/>
          <w:color w:val="111111"/>
          <w:sz w:val="28"/>
          <w:szCs w:val="28"/>
          <w:rtl w:val="true"/>
          <w:lang w:bidi="ar-SA"/>
        </w:rPr>
        <w:t>»</w:t>
      </w:r>
      <w:r>
        <w:rPr>
          <w:rStyle w:val="FootnoteAnchor"/>
          <w:rtl w:val="true"/>
        </w:rPr>
        <w:footnoteReference w:id="614"/>
      </w:r>
    </w:p>
    <w:p>
      <w:pPr>
        <w:pStyle w:val="BookText"/>
        <w:rPr/>
      </w:pPr>
      <w:r>
        <w:rPr>
          <w:rFonts w:ascii="Amiri" w:hAnsi="Amiri" w:eastAsia="Amiri" w:cs="Amiri"/>
          <w:color w:val="111111"/>
          <w:sz w:val="28"/>
          <w:sz w:val="28"/>
          <w:szCs w:val="28"/>
          <w:rtl w:val="true"/>
          <w:lang w:bidi="ar-SA"/>
        </w:rPr>
        <w:t xml:space="preserve">كما أفاد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نعلم مراده هل عدم وجود أصل أصلاً وقد تقدم خلافه، أم وجود أصلٍ لكنه سقط بالمعارضة مع الآخر وقد أوضحنا جريانه بعد سقوط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الوجوب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عدم كون الممسوس إنساناً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مختاره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جريان الأصل في الأعدام الأزلية من غير فرق في ذلك بين الأوصاف الذاتية والعرضية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وتقريبه في المقام أن ذات الممسوس وإن كانت معلومة الحدوث والتحقق إلا أنا نشك في إضافته إلى الإنسان وغيره، وحدوث الإضافة مشكوك، وهي أمر حادث مسبوق بالعدم، فالأصل عدم تحقق الإضافة إلى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يستصحب عدم وقوع المس على الإنسان، وبه يرتفعوجوب الغسل لا محالة</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لو منعنا جريان الاستصحاب في المقام فلا بد من الرجوع إلى استصحاب الحالة السابقة في المكلَّف، فإذا كان متطهراً قبل مسِّه ثم مسّ </w:t>
      </w:r>
    </w:p>
    <w:p>
      <w:pPr>
        <w:pStyle w:val="BookText"/>
        <w:rPr/>
      </w:pPr>
      <w:r>
        <w:rPr>
          <w:rFonts w:ascii="Amiri" w:hAnsi="Amiri" w:eastAsia="Amiri" w:cs="Amiri"/>
          <w:color w:val="111111"/>
          <w:sz w:val="28"/>
          <w:sz w:val="28"/>
          <w:szCs w:val="28"/>
          <w:rtl w:val="true"/>
          <w:lang w:bidi="ar-SA"/>
        </w:rPr>
        <w:t>شيئاً وشك في أنه إنسان أو غيره فيشك في انتقاض طهارته بطروء الحدث بالمس وعدمه، والأصل بقاؤه على طهارته وعدم طروّ الحدث في حقه</w:t>
      </w:r>
      <w:r>
        <w:rPr>
          <w:rFonts w:eastAsia="Amiri" w:cs="Amiri" w:ascii="Amiri" w:hAnsi="Amiri"/>
          <w:color w:val="111111"/>
          <w:sz w:val="28"/>
          <w:szCs w:val="28"/>
          <w:rtl w:val="true"/>
          <w:lang w:bidi="ar-SA"/>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كلامه عدة موارد للنظر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صفة الإنسانية ليست شيئاً مضافاً إلى الذات أي ليست صفة مجعولة وإنما هي توجد معه، فإما أن توجد الذات إنساناً أو غيره، فلا يمكن تصور الانفكاك ومن ثم الإضافة كما قالوا في كلمتهم المشهورة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الله المشمشة مشمشة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 في الأصول في 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يمكن إحراز دخول المشتبه في أفراد العام بإجراء الأصل في العدم الأزلي بعد عدم إمكان التمسك بالعام بالإضافة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 الجريان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مورد يكون المخصِّص موجباً لتعنون العام بعنوان وجودي وتقيده به فلا يمكن إثباته بالأصل</w:t>
      </w:r>
      <w:r>
        <w:rPr>
          <w:rFonts w:eastAsia="Amiri" w:cs="Amiri" w:ascii="Amiri" w:hAnsi="Amiri"/>
          <w:color w:val="111111"/>
          <w:sz w:val="28"/>
          <w:szCs w:val="28"/>
          <w:rtl w:val="true"/>
          <w:lang w:bidi="ar-SA"/>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المورد من المستثنى، إن لم نقل بأنه أولى منه لما قلناه من عدم تصور الانفكاك</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المفروض معارضة استصحاب عدم وقوع المس على الإنسان باستصحاب عدم وقوع المس على غير الإنسان فكان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وجه جريان هذا الاستصحاب كما فعلنا، نعم له أن يتمسك بأصالة عدم وقوع المس أصلاً، لكنه خروج عن المسألة التي تفترض وقوع المس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جاء في الجزء العاشر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مسالة التذكية الشرعية بمكائن </w:t>
      </w:r>
      <w:bookmarkStart w:id="682" w:name="pg8133_63054"/>
    </w:p>
    <w:p>
      <w:pPr>
        <w:pStyle w:val="BookText"/>
        <w:rPr/>
      </w:pPr>
      <w:bookmarkEnd w:id="682"/>
      <w:r>
        <w:rPr>
          <w:rFonts w:ascii="Amiri" w:hAnsi="Amiri" w:eastAsia="Amiri" w:cs="Amiri"/>
          <w:color w:val="111111"/>
          <w:sz w:val="28"/>
          <w:sz w:val="28"/>
          <w:szCs w:val="28"/>
          <w:rtl w:val="true"/>
          <w:lang w:bidi="ar-SA"/>
        </w:rPr>
        <w:t>الذبح الحديثة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جريان الاستصحاب في الشبهة الحكمية وإن كان صحيحاً كبروياً، إلا أن المقام ليس منه لعدم وجود حالة متيقنة سابقة لعدم التذكية إلا على نحو استصحاب العدم الأزلي وهو غير تام، أو تستصحب حالة عدم التذكية في حال حياته، وهو لا يجري أيضاً لعدم وحدة القضية المتيقنة والمشكوكة، بل لا معنى لوصف حالة الحياة بعدم التذكية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إضافة الى عدة موارد ذكرناها في مبحث حقيقة الوجوب الكفائي</w:t>
      </w:r>
      <w:r>
        <w:rPr>
          <w:rFonts w:eastAsia="Amiri" w:cs="Amiri" w:ascii="Amiri" w:hAnsi="Amiri"/>
          <w:color w:val="111111"/>
          <w:sz w:val="28"/>
          <w:szCs w:val="28"/>
          <w:rtl w:val="true"/>
          <w:lang w:bidi="ar-SA"/>
        </w:rPr>
        <w:t>.</w:t>
      </w:r>
    </w:p>
    <w:p>
      <w:pPr>
        <w:pStyle w:val="Heading6"/>
        <w:numPr>
          <w:ilvl w:val="5"/>
          <w:numId w:val="1"/>
        </w:numPr>
        <w:rPr/>
      </w:pPr>
      <w:bookmarkStart w:id="683" w:name="__RefHeading___Toc8193467_1051229030"/>
      <w:bookmarkStart w:id="684" w:name="_Toc245"/>
      <w:bookmarkEnd w:id="683"/>
      <w:r>
        <w:rPr>
          <w:rtl w:val="true"/>
        </w:rPr>
        <w:t>المسألة التاسعة</w:t>
      </w:r>
      <w:r>
        <w:rPr>
          <w:rtl w:val="true"/>
        </w:rPr>
        <w:t xml:space="preserve">: </w:t>
      </w:r>
      <w:r>
        <w:rPr>
          <w:rtl w:val="true"/>
        </w:rPr>
        <w:t>الشك السببي والمسببي</w:t>
      </w:r>
      <w:r>
        <w:rPr>
          <w:rtl w:val="true"/>
        </w:rPr>
        <w:t>.</w:t>
      </w:r>
      <w:bookmarkEnd w:id="684"/>
    </w:p>
    <w:p>
      <w:pPr>
        <w:pStyle w:val="BookText"/>
        <w:rPr/>
      </w:pPr>
      <w:r>
        <w:rPr>
          <w:rFonts w:ascii="Amiri" w:hAnsi="Amiri" w:eastAsia="Amiri" w:cs="Amiri"/>
          <w:color w:val="111111"/>
          <w:sz w:val="28"/>
          <w:sz w:val="28"/>
          <w:szCs w:val="28"/>
          <w:rtl w:val="true"/>
          <w:lang w:bidi="ar-SA"/>
        </w:rPr>
        <w:t>قد يكون الشك في بعض الحالات سببا للشك في حالة أخرى ، وعندئذ يعرف الأول بالشك السببي والثاني بالمسببي ، فاذا انتفى الأول انتفى الثاني ؛ ولذا يكون جريان الاستصحاب في الشك السببي مقدما على جريان الاستصحاب في الشك المسببي ؛ لانه ينفي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تطبيقات هذا الموضوع التعليقة الرابعة لشيخنا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المسألة السابقة المذكورة في الجزء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اذ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ما يظهر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تنزلي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لو منعنا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استصحاب الحالة السابقة للمكلف غير تام لأنه شك مسببي ولا تصل إليه النوبة بعد إجراء الأصل في الشك السببي لأن الثاني وارد على الأول، نعم إذا تعذَّر جريان الأصول في رتبة الشك السببي أو جرت لكنها سقطت بالتعارض جاز الانتقال إلى الأصول الجارية في رتبة الشك المسببي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جاء في الجزء الحادي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مسالة ميراث المفقود</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رجعنا إلى الأصول الجارية في المقام لوجدنا أكثر من أصل بعضهاعلى نحو الشك السببي وبعضها على نحو الشك المسببي والأول متقدم </w:t>
      </w:r>
    </w:p>
    <w:p>
      <w:pPr>
        <w:pStyle w:val="BookText"/>
        <w:rPr/>
      </w:pPr>
      <w:r>
        <w:rPr>
          <w:rFonts w:ascii="Amiri" w:hAnsi="Amiri" w:eastAsia="Amiri" w:cs="Amiri"/>
          <w:color w:val="111111"/>
          <w:sz w:val="28"/>
          <w:sz w:val="28"/>
          <w:szCs w:val="28"/>
          <w:rtl w:val="true"/>
          <w:lang w:bidi="ar-SA"/>
        </w:rPr>
        <w:t>رتبة على الثاني فيكون وارداً عليه بالمعنى المعروف في علم الأصول للورود، وكلها تؤدي إلى نتيجة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حياته حتى يحصل العلم والاطمئنان بموته بوسائل الإثبات المتوفرة سواء كانت وجدانية كالبينة وإخبار الثقة والتواتر والعلم أو تعبدية بحكم الشارع المقدس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حرمة التصرف في أمواله إلا بإذنه بكل أنحاء التصرفات ومنها تقسيمه على ورثته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عدم انتقال ماله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هذه الأصول التربص بماله خلال غيبته حتى يحصل خلاف ما تقتضيه هذه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الجزء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مسالة الوجوب التعييني لصلاة الجمعة عند بيان الأصول الجارية في المقام تطبيق لتقديم الشك السببي على المسببي ، اثناء مناقشته للسيد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نقلناها في المسألة الخامسة ، وجاء في تتمتها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شرع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الصور المحتملة في المسألة الناشئة من دوران الأمر بين الأقوال الثلاثة في 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الوجوب التعييني لصلاة الجمعة، الوجوب التخييري بينها وبين صلاة الظهر، عدم مشروعية صلاة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وجزّء الصور بافتراض مسألة لكل احتمالين منهما وهنا نقول إن المسألة ليست قابلة للتجزئة وإنما هي واحدة يدور الأمر بين احتمالاتها وتناقش كمسألة واحدة لأن الشك المتصور فيها هو هكذا يدور بين أطراف ثلاثة، وحينئذٍ يتعارض الأول والثالث لأنها من دوران الأمر بين المحذورين الوجوب والحرام وتُختار صلاة الظهر من فردي التخيير إن كان المراد بالحرمة الذاتية كما لو وجد ضرر محقق في إقامتها ويأتي بالفردين </w:t>
      </w:r>
      <w:bookmarkStart w:id="685" w:name="pg8133_63056"/>
    </w:p>
    <w:p>
      <w:pPr>
        <w:pStyle w:val="BookText"/>
        <w:rPr/>
      </w:pPr>
      <w:bookmarkEnd w:id="685"/>
      <w:r>
        <w:rPr>
          <w:rFonts w:ascii="Amiri" w:hAnsi="Amiri" w:eastAsia="Amiri" w:cs="Amiri"/>
          <w:color w:val="111111"/>
          <w:sz w:val="28"/>
          <w:sz w:val="28"/>
          <w:szCs w:val="28"/>
          <w:rtl w:val="true"/>
          <w:lang w:bidi="ar-SA"/>
        </w:rPr>
        <w:t>معاً إن كان المراد الحرمة التشريعية أي عدم الصحةلانتفاء الشرط وهو حضور الإمام وإنما وجب الإتيان بهما معاً لإمكانه بلا 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صلاة الظهر تعاني من نفس التعارض لأن أمرها يدور بين المحذورين وهما الحرمة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القول بالوجوب التعييني لصلاة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القول بعدم مشروعية صلاة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مختلف لأن هذه الأحكام لصلاة الظهر أُخذت على نحو اللوازم لأحكام صلاة الجمعة ولم يرد عليها دليل فلا دليل على حرمة صلاة الظهر في زمن الغيبة أو قل إن هذا الشك مسببي والشك في صلاة الجمعة بين التعيين والحرمة سببي والأصل يجري في السببي لتقدمه رتبة على المسببي</w:t>
      </w:r>
      <w:r>
        <w:rPr>
          <w:rFonts w:eastAsia="Amiri" w:cs="Amiri" w:ascii="Amiri" w:hAnsi="Amiri"/>
          <w:color w:val="111111"/>
          <w:sz w:val="28"/>
          <w:szCs w:val="28"/>
          <w:rtl w:val="true"/>
          <w:lang w:bidi="ar-SA"/>
        </w:rPr>
        <w:t>.</w:t>
      </w:r>
    </w:p>
    <w:p>
      <w:pPr>
        <w:pStyle w:val="Heading6"/>
        <w:numPr>
          <w:ilvl w:val="5"/>
          <w:numId w:val="1"/>
        </w:numPr>
        <w:rPr/>
      </w:pPr>
      <w:bookmarkStart w:id="686" w:name="__RefHeading___Toc8193469_1051229030"/>
      <w:bookmarkStart w:id="687" w:name="_Toc246"/>
      <w:bookmarkEnd w:id="686"/>
      <w:r>
        <w:rPr>
          <w:rtl w:val="true"/>
        </w:rPr>
        <w:t>المسألة العاشرة</w:t>
      </w:r>
      <w:r>
        <w:rPr>
          <w:rtl w:val="true"/>
        </w:rPr>
        <w:t xml:space="preserve">: </w:t>
      </w:r>
      <w:r>
        <w:rPr>
          <w:rtl w:val="true"/>
        </w:rPr>
        <w:t>استصحاب مجهولي التاريخ</w:t>
      </w:r>
      <w:r>
        <w:rPr>
          <w:rtl w:val="true"/>
        </w:rPr>
        <w:t>.</w:t>
      </w:r>
      <w:bookmarkEnd w:id="687"/>
    </w:p>
    <w:p>
      <w:pPr>
        <w:pStyle w:val="BookText"/>
        <w:rPr/>
      </w:pPr>
      <w:r>
        <w:rPr>
          <w:rFonts w:ascii="Amiri" w:hAnsi="Amiri" w:eastAsia="Amiri" w:cs="Amiri"/>
          <w:color w:val="111111"/>
          <w:sz w:val="28"/>
          <w:sz w:val="28"/>
          <w:szCs w:val="28"/>
          <w:rtl w:val="true"/>
          <w:lang w:bidi="ar-SA"/>
        </w:rPr>
        <w:t xml:space="preserve">من الموارد التي يناقشها علماء الأصول إمكانية استصحاب مجهولي التاريخ ، وقد افاد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الجزء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مسالة وجوب الغسل بمس القطعة المبانة من جسد الانسان ان هذا الاستصحاب لا يجري ؛ لان ادلة حجية الاستصحاب منصرفة عن هذه الحالة ، اذ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التاريخان مجهولين معاً، ولا بدّ حينئذٍ من الحكم بعدم وجوب الغسل لاستصحاب عدم تحقق المسّ بعد البرودة أو الموت، وذلك لعدم كونه معارضاً باستصحاب عدم تحققه قبلهما، لأنّه لا أثر له كما عرفت</w:t>
      </w:r>
      <w:r>
        <w:rPr>
          <w:rFonts w:eastAsia="Amiri" w:cs="Amiri" w:ascii="Amiri" w:hAnsi="Amiri"/>
          <w:color w:val="111111"/>
          <w:sz w:val="28"/>
          <w:szCs w:val="28"/>
          <w:rtl w:val="true"/>
          <w:lang w:bidi="ar-SA"/>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 xml:space="preserve">. </w:t>
      </w:r>
      <w:bookmarkStart w:id="688" w:name="pg8133_63057"/>
    </w:p>
    <w:p>
      <w:pPr>
        <w:pStyle w:val="BookText"/>
        <w:rPr/>
      </w:pPr>
      <w:bookmarkEnd w:id="688"/>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يوجد تعليق عام وهو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أسّس سابقاً لوجود عام وهو وجوبالغسل على من مسَّ ميتاً إنسانياً، وخاصٍ هو إخراج الميت إذا كان حاراً، فالمفروض أنه في جميع صور الشك في البرد تناقش المسألة في ضوء النزاع حول أيّهما يقدَّم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عموم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الشك في دخول الفرد تحت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استصحاب الخاص؟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الذي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الثانية والثالثة لا وجه له لأن أدلة حجية الاستصحاب وهي الرواية الصحيحة وسيرة العقلاء لا تشمله فهي منصرفة عن مثل هذه الحالات، فالصحيح عدم جريانه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جاء في الجزء الحادي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مسالة توريث من يموتون بحادث جماعي ،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حياة كل منهما إلى حين موت الآخر، وافترضنا عدم المانع من جريانهما معاً؛ باعتبار اختلاف الموضوع، فنتيجتهما توريث كل منهما من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نستشكل في جريان مثل هذا الاستصحاب –أي استصحاب حياة زيد إلى حين وفاة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خارج عن مفاد أدلة الحجية</w:t>
      </w:r>
      <w:r>
        <w:rPr>
          <w:rFonts w:eastAsia="Amiri" w:cs="Amiri" w:ascii="Amiri" w:hAnsi="Amiri"/>
          <w:color w:val="111111"/>
          <w:sz w:val="28"/>
          <w:szCs w:val="28"/>
          <w:rtl w:val="true"/>
          <w:lang w:bidi="ar-SA"/>
        </w:rPr>
        <w:t>.</w:t>
      </w:r>
    </w:p>
    <w:p>
      <w:pPr>
        <w:pStyle w:val="Heading6"/>
        <w:numPr>
          <w:ilvl w:val="5"/>
          <w:numId w:val="1"/>
        </w:numPr>
        <w:rPr/>
      </w:pPr>
      <w:bookmarkStart w:id="689" w:name="__RefHeading___Toc8193471_1051229030"/>
      <w:bookmarkStart w:id="690" w:name="_Toc247"/>
      <w:bookmarkEnd w:id="689"/>
      <w:r>
        <w:rPr>
          <w:rtl w:val="true"/>
        </w:rPr>
        <w:t>المسألة الحادية عشرة</w:t>
      </w:r>
      <w:r>
        <w:rPr>
          <w:rtl w:val="true"/>
        </w:rPr>
        <w:t xml:space="preserve">: </w:t>
      </w:r>
      <w:r>
        <w:rPr>
          <w:rtl w:val="true"/>
        </w:rPr>
        <w:t>الاستصحاب في الموضوع المشتبه مفهوما</w:t>
      </w:r>
      <w:r>
        <w:rPr>
          <w:rtl w:val="true"/>
        </w:rPr>
        <w:t>.</w:t>
      </w:r>
      <w:bookmarkEnd w:id="690"/>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سماحة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الجزء 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بيان الأصل العملي في القول باشتراط وحدة الأفق لثبوت الهلال في بلد عند رؤيته في اخر تطبيقًا مهما من تطبيقات عدم جريان الاستصحاب في حالة عدم احراز الموضوع ، فبيّن عدم إمكانية استصحاب شهر رمضان في البلد </w:t>
      </w:r>
    </w:p>
    <w:p>
      <w:pPr>
        <w:pStyle w:val="BookText"/>
        <w:rPr/>
      </w:pPr>
      <w:r>
        <w:rPr>
          <w:rFonts w:ascii="Amiri" w:hAnsi="Amiri" w:eastAsia="Amiri" w:cs="Amiri"/>
          <w:color w:val="111111"/>
          <w:sz w:val="28"/>
          <w:sz w:val="28"/>
          <w:szCs w:val="28"/>
          <w:rtl w:val="true"/>
          <w:lang w:bidi="ar-SA"/>
        </w:rPr>
        <w:t>الذي لم يُرَ فيه الهلال وكان قد رؤي في بلد اخر ؛ لأننا عندئذ نشك في نفس الموضوع مفهوما ، ونص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استصحاب بقاء الشهر السابق، 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يجري لوجود الشك في مفهوم دخول الشهر الجديد وثبوت الهلال وهل أنه يتحقق برؤيتهفي البلاد القريبة الخاصة أم تكفي رؤيته في البعيدة، والصحيح عدم جريان الاستصحاب فيه لعدم جريان الاستصحاب في الموضوع المشتبه مفهوماً، ومثاله الشك في بقاء العدالة عند فعل الصغيرة مع اليقين بزوالها عند فعل الكبيرة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تقريب عدم جريان الاستصحاب على مبنانا من عدم جريانه عند الشك في المقتضي وهذا من موارده لأننا نشك في مقتضي بقاء الشهر إلى اليوم الثلاثين عند تحقق الرؤية في البلد البعيد دون القريب، فإذا كانت الرؤية في البلد البعيد كافية فالشهر متيقن الارتفاع وإن كانت غير كافية فالشهر متيقن البقاء فلا يجري استصحاب بقاء الشهر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بقاء حكم الشهر السابق، وهذا أيضاً لا يجري؛ لأن الحكم متعلق بعنوان الشهر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كرمضان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القيد لوجوب الصوم والمفروض عدم إحرازه برؤية الهلال في بلد بعيد، وإنما يحتمل ذلك، واحتمال زواله وارتفاعه يكون من عدم إحراز الموضوع، ووجوب الصوم ثابت لشهر رمضان بهذا العنوان، فلا يجري استصحاب بقاء وجوب الصوم ليوم الشك من شوال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الاستصحاب يجري في اليوم المردد بين الثلاثين من شعبان والأول من رمضان فيحكم بعدم وجوب الصوم</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يجري استصحاب عدم وجوب الصوم الثابت في شعبان في يوم الشك لرمضان؛ لأنه ليس ثابتاً لعنوان شعبان بل من جهة عدم دخول </w:t>
      </w:r>
      <w:bookmarkStart w:id="691" w:name="pg8133_63059"/>
    </w:p>
    <w:p>
      <w:pPr>
        <w:pStyle w:val="BookText"/>
        <w:rPr/>
      </w:pPr>
      <w:bookmarkEnd w:id="691"/>
      <w:r>
        <w:rPr>
          <w:rFonts w:ascii="Amiri" w:hAnsi="Amiri" w:eastAsia="Amiri" w:cs="Amiri"/>
          <w:color w:val="111111"/>
          <w:sz w:val="28"/>
          <w:sz w:val="28"/>
          <w:szCs w:val="28"/>
          <w:rtl w:val="true"/>
          <w:lang w:bidi="ar-SA"/>
        </w:rPr>
        <w:t>رمضان، فهو من استصحاب عدم الحكم لا بقاء الحكم</w:t>
      </w:r>
      <w:r>
        <w:rPr>
          <w:rFonts w:eastAsia="Amiri" w:cs="Amiri" w:ascii="Amiri" w:hAnsi="Amiri"/>
          <w:color w:val="111111"/>
          <w:sz w:val="28"/>
          <w:szCs w:val="28"/>
          <w:rtl w:val="true"/>
          <w:lang w:bidi="ar-SA"/>
        </w:rPr>
        <w:t>.</w:t>
      </w:r>
    </w:p>
    <w:p>
      <w:pPr>
        <w:pStyle w:val="Heading6"/>
        <w:numPr>
          <w:ilvl w:val="5"/>
          <w:numId w:val="1"/>
        </w:numPr>
        <w:rPr/>
      </w:pPr>
      <w:bookmarkStart w:id="692" w:name="__RefHeading___Toc8193473_1051229030"/>
      <w:bookmarkStart w:id="693" w:name="_Toc248"/>
      <w:bookmarkEnd w:id="692"/>
      <w:r>
        <w:rPr>
          <w:rtl w:val="true"/>
        </w:rPr>
        <w:t>المسألة الثانية عشرة</w:t>
      </w:r>
      <w:r>
        <w:rPr>
          <w:rtl w:val="true"/>
        </w:rPr>
        <w:t xml:space="preserve">: </w:t>
      </w:r>
      <w:r>
        <w:rPr>
          <w:rtl w:val="true"/>
        </w:rPr>
        <w:t>الأصل المثبت</w:t>
      </w:r>
      <w:r>
        <w:rPr>
          <w:rtl w:val="true"/>
        </w:rPr>
        <w:t>.</w:t>
      </w:r>
      <w:bookmarkEnd w:id="693"/>
    </w:p>
    <w:p>
      <w:pPr>
        <w:pStyle w:val="BookText"/>
        <w:rPr/>
      </w:pPr>
      <w:r>
        <w:rPr>
          <w:rFonts w:ascii="Amiri" w:hAnsi="Amiri" w:eastAsia="Amiri" w:cs="Amiri"/>
          <w:color w:val="111111"/>
          <w:sz w:val="28"/>
          <w:sz w:val="28"/>
          <w:szCs w:val="28"/>
          <w:rtl w:val="true"/>
          <w:lang w:bidi="ar-SA"/>
        </w:rPr>
        <w:t>من المعلوم ان الأصول العملية لا تثبت الا لوازمها الشرعية ، وأنها لا تثبت لوازمها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اصطلحوا على اثبات الأصل العملي للازمه العقلي بالأصل المثبت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تطبيقات عدم القول بالأصل المثبت ما ذكره سماحة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الجزء العاشر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مسالة حرمة التصوير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هذه الوجوه 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ذلك كله يقوى حينئذٍ القول بالجواز في غير المجسمة الموافق للأصل وإطلاق الآيات والروايات، في الاكتساب والمشي في طلب الرزق بأي نحو كان</w:t>
      </w:r>
      <w:r>
        <w:rPr>
          <w:rFonts w:eastAsia="Amiri" w:cs="Amiri" w:ascii="Amiri" w:hAnsi="Amiri"/>
          <w:color w:val="111111"/>
          <w:sz w:val="28"/>
          <w:szCs w:val="28"/>
          <w:rtl w:val="true"/>
          <w:lang w:bidi="ar-SA"/>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للرجوع إلى الأصول والعمومات الفوقانية بعد قيام الدليل على الحرمة كما تقدم من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غاية ما يثبت هذا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طبّقه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حلّيّة الاكتساب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التكسب به ولا يثبت حلّيّة العمل إلا بناءً على القول بالأصل المثبت ولا نقول به</w:t>
      </w:r>
      <w:r>
        <w:rPr>
          <w:rFonts w:eastAsia="Amiri" w:cs="Amiri" w:ascii="Amiri" w:hAnsi="Amiri"/>
          <w:color w:val="111111"/>
          <w:sz w:val="28"/>
          <w:szCs w:val="28"/>
          <w:rtl w:val="true"/>
          <w:lang w:bidi="ar-SA"/>
        </w:rPr>
        <w:t>.</w:t>
      </w:r>
    </w:p>
    <w:p>
      <w:pPr>
        <w:pStyle w:val="Heading6"/>
        <w:numPr>
          <w:ilvl w:val="5"/>
          <w:numId w:val="1"/>
        </w:numPr>
        <w:rPr/>
      </w:pPr>
      <w:bookmarkStart w:id="694" w:name="__RefHeading___Toc8193475_1051229030"/>
      <w:bookmarkStart w:id="695" w:name="_Toc249"/>
      <w:bookmarkEnd w:id="694"/>
      <w:r>
        <w:rPr>
          <w:rtl w:val="true"/>
        </w:rPr>
        <w:t>المسألة الثالثة عشرة</w:t>
      </w:r>
      <w:r>
        <w:rPr>
          <w:rtl w:val="true"/>
        </w:rPr>
        <w:t xml:space="preserve">: </w:t>
      </w:r>
      <w:r>
        <w:rPr>
          <w:rtl w:val="true"/>
        </w:rPr>
        <w:t>الاستصحاب في مبادئ الحكم</w:t>
      </w:r>
      <w:r>
        <w:rPr>
          <w:rtl w:val="true"/>
        </w:rPr>
        <w:t>.</w:t>
      </w:r>
      <w:bookmarkEnd w:id="695"/>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في مبحث حقيقة الوجوب الكفائي كلام عن استصحاب مبادئ الحكم ، فاذا ثبت وجوب فعل ما دلنا ذلك على وجود مصلحة وإرادة لذلك الوجوب ، </w:t>
      </w:r>
    </w:p>
    <w:p>
      <w:pPr>
        <w:pStyle w:val="BookText"/>
        <w:rPr/>
      </w:pPr>
      <w:r>
        <w:rPr>
          <w:rFonts w:ascii="Amiri" w:hAnsi="Amiri" w:eastAsia="Amiri" w:cs="Amiri"/>
          <w:color w:val="111111"/>
          <w:sz w:val="28"/>
          <w:sz w:val="28"/>
          <w:szCs w:val="28"/>
          <w:rtl w:val="true"/>
          <w:lang w:bidi="ar-SA"/>
        </w:rPr>
        <w:t xml:space="preserve">فهل يمكننا استصحاب تلك المبادئ لترتيب بعض الاثار ؟ هذا ما أشار اليه سماحة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الجزء الثامن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اذ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استصحاب عدم تعلق الإرادة من قبل المولى بالعينية، لفرض كون الكلام مجملاً من هذه الناحية</w:t>
      </w:r>
      <w:r>
        <w:rPr>
          <w:rFonts w:eastAsia="Amiri" w:cs="Amiri" w:ascii="Amiri" w:hAnsi="Amiri"/>
          <w:color w:val="111111"/>
          <w:sz w:val="28"/>
          <w:szCs w:val="28"/>
          <w:rtl w:val="true"/>
          <w:lang w:bidi="ar-SA"/>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تقريراتي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ننظر إلى مرتبة إرادة المولى التي أصبحت علة في صدور هذا الأمر الذي ترددنا في كونه عينياً أو كفائياً، فهي محرزة لكننا نشك في كونها مقيدة بمنشأ انتزاع العينية أم الكفائية، فنجري أصالة عدمتقييد الإرادة بمنشأ انتزاع العينية فنضم لها أصلاً آخر في مقام الامتثال وهو البراءة عن التكليف الزائد فتثبت نتيجة الكفائية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يشكل عليه بما أورد على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أصالة عدم تقييد الإرادة بمنشأ انتزاع العينية يعارضه أصالة عدم تقييد الإرادة بمنشأ انتزاع الكفائية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في منهج الأصول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لأن الكفائية مرجعها إلى إسقاط التكليف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الشك بعد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فأصالة عدمها لا يكون سبباً لثبوت التكليف، أو قل لثبوت العينية؛ لأنه لازم عقلي، بخلاف أصالة عدم العينية، فإنها تعني بالمطابقة فراغ الذمة</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 تقريراتي فقد اعترف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بوجاهة الإشكال في عالم الثبوت إذا اعتبرنا كلا منهما قيداً، أما في عالم الإثبات فأجاب عن الإشكال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بسقوط المعارضة لأن التكليف الكفائي ليس له امتثال أكثر من امتثال واحد والمفروض تحققه –لأن الشك بعد امتثال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أصالة عدم تقييد </w:t>
      </w:r>
      <w:bookmarkStart w:id="696" w:name="pg8133_63061"/>
    </w:p>
    <w:p>
      <w:pPr>
        <w:pStyle w:val="BookText"/>
        <w:rPr/>
      </w:pPr>
      <w:bookmarkEnd w:id="696"/>
      <w:r>
        <w:rPr>
          <w:rFonts w:ascii="Amiri" w:hAnsi="Amiri" w:eastAsia="Amiri" w:cs="Amiri"/>
          <w:color w:val="111111"/>
          <w:sz w:val="28"/>
          <w:sz w:val="28"/>
          <w:szCs w:val="28"/>
          <w:rtl w:val="true"/>
          <w:lang w:bidi="ar-SA"/>
        </w:rPr>
        <w:t>الإرادة بمنشأ انتزاع الكفائية مما لا أثر له شرعاً، في حين يكون في مقابله أثر شرعي لأن العينية اشتغال ذمم كثيرة فينتج إفراغ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أن نناقشه بنقطتين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يأخذ بنظر الاعتبار ما اختاره من تفسير الوجوب الكفائي على نحو العموم الاستغراقي فيكون شاغلاً لذمم الجميع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على يقين بوجود إرادة المولى وتعلقها بصدور هذا الفعل ونشك بارتفاعها عند امتثال البعض فنستصحب بقاءها وهو يقتضي العينية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أصل الأطروحة وهي إجراء الأصل في مبادئ الحكم لا جدوى منه لأمرين على الأقل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الاستصحاب لا ثمرة فيه لأن الإرادة وسائر مبادئ الحكم مما لا تجب طاعته، فلا ثمرة تترتب على استصحاب بقائها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مناقشة التفسير الأول للوجوب الكفائي أنه على مستوى مبادئ الحكم –كالإرادة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تعلق إرادة المولى بالفعل دون ارتباطهبالفاعل لعدم وجود تكليف حتى يتطلب عهدة وذمة لإلقائه عليه، ففي هذه المرتبة لا توجد ذمة مشغولة بأي نحو من الأنحاء حتى تستصحب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وبنفس التقريب يصوَّر على مستوى الغرض ويأتي عليه نفس الرد أيضاً</w:t>
      </w:r>
      <w:r>
        <w:rPr>
          <w:rFonts w:eastAsia="Amiri" w:cs="Amiri" w:ascii="Amiri" w:hAnsi="Amiri"/>
          <w:color w:val="111111"/>
          <w:sz w:val="28"/>
          <w:szCs w:val="28"/>
          <w:rtl w:val="true"/>
          <w:lang w:bidi="ar-SA"/>
        </w:rPr>
        <w:t>.</w:t>
      </w:r>
    </w:p>
    <w:p>
      <w:pPr>
        <w:pStyle w:val="Heading6"/>
        <w:numPr>
          <w:ilvl w:val="5"/>
          <w:numId w:val="1"/>
        </w:numPr>
        <w:rPr/>
      </w:pPr>
      <w:bookmarkStart w:id="697" w:name="__RefHeading___Toc8193477_1051229030"/>
      <w:bookmarkStart w:id="698" w:name="_Toc250"/>
      <w:bookmarkEnd w:id="697"/>
      <w:r>
        <w:rPr>
          <w:rtl w:val="true"/>
        </w:rPr>
        <w:t>المسألة الرابعة عشرة</w:t>
      </w:r>
      <w:r>
        <w:rPr>
          <w:rtl w:val="true"/>
        </w:rPr>
        <w:t xml:space="preserve">: </w:t>
      </w:r>
      <w:r>
        <w:rPr>
          <w:rtl w:val="true"/>
        </w:rPr>
        <w:t>الاستصحاب القهقرائي</w:t>
      </w:r>
      <w:r>
        <w:rPr>
          <w:rtl w:val="true"/>
        </w:rPr>
        <w:t>.</w:t>
      </w:r>
      <w:bookmarkEnd w:id="698"/>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الظهور الحجة للألفاظ الواردة في الأدلة هو ظهورها في عصر صدورها لا في عصرنا الحالي ، فاعتمد البعض على الاستصحاب القهقرائي عند الشك ان الظهور الحالي لم يكن هو نفسه في عصر النص ؛ ليثبت بذلك ان هذا الظهور </w:t>
      </w:r>
    </w:p>
    <w:p>
      <w:pPr>
        <w:pStyle w:val="BookText"/>
        <w:rPr/>
      </w:pPr>
      <w:r>
        <w:rPr>
          <w:rFonts w:ascii="Amiri" w:hAnsi="Amiri" w:eastAsia="Amiri" w:cs="Amiri"/>
          <w:color w:val="111111"/>
          <w:sz w:val="28"/>
          <w:sz w:val="28"/>
          <w:szCs w:val="28"/>
          <w:rtl w:val="true"/>
          <w:lang w:bidi="ar-SA"/>
        </w:rPr>
        <w:t>هو نفس ذلك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يقول بحجية هذا الاستصحاب ؛ لعدم دلالة ادلة الحجية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جاء في هذا المقام ما نقلناه عنه في مبحث الحقيقة الشرعية ، اذ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الجزء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يُعلم ما في كلام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الحقيقة الشرعية وإن لم تثبت، لكن الاستعمال الشرعي في تلك المفاهيم ثابت، ولأجله جرت الاستعمالات عند المتشرعة عليه حتى صارت حقيقة عند المتشرعة</w:t>
      </w:r>
      <w:r>
        <w:rPr>
          <w:rFonts w:eastAsia="Amiri" w:cs="Amiri" w:ascii="Amiri" w:hAnsi="Amiri"/>
          <w:color w:val="111111"/>
          <w:sz w:val="28"/>
          <w:szCs w:val="28"/>
          <w:rtl w:val="true"/>
          <w:lang w:bidi="ar-SA"/>
        </w:rPr>
        <w:t>»</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 xml:space="preserve">فإن الآلية التي ذكرها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لتشكل المصطلحات الشرعية وإن كانت صحيحة إلا أنها بدأت بعد زمان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في زمانه فقد كانت التعبيرات بغير هذه الألفاظ ، ولو فرضنا الاستعمال في المعنى المصطلح فإن هذا المقدار لا يكفي لتشكل ظهور للفظ في هذا المعنى حتى يتبادر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كان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يستبطن الاستدلال بالاستصحاب القهقرائي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كماورد في كلمات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كبراه غير تامة لعدم حجية هذا الاستصحاب، وصغراه غير تامة لأنه قد ثبت عكس نتيجته بالاستقراء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جاء في نفس الجزء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إمكان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كلام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المعنى الاصطلاحي الفقهي لأنه اصطلاح متأخر لا تفهم في ضوئه الروايات فيحمل على الطهارة اللغوية والعرفية السائدة آنذاك وهو يعني النظافة من الوسخ أي ان قذارته غير موجودة ولا تحمل على الطهارة الحكمية</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يكتف بهذا المقدار من البيان فأضاف في اليوم التالي</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يجب ان نلتفت إلى ان النجاسة بالمعنى الفقهي تستفاد من لسان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ارق عليه الماء أو اغسله ولا يستفاد من الأعم من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يستفاد الخاص من العام لاحتمال وجود مانع آخر كعرق الجنب من حرام الذي ورد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اعم من النجاسة كما ان نقيضه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يدل على الطهارة وان حمل ألفاظ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المصطلح الفقهي يحتاج إلى إثبات، وبالاستقراء يثبت ذلك لو تم حسياً اما بالغفلة والاستصحاب القهقرائي فعهدته على مدعيه، 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الجاف على الجاف ذكي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يعني طاهر بل لا تسري النجاسة وهو احد المحتملات هنا ويحتمل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صلاته صحيحة، ومن اطمأن فاطمئنانه بسبب التربية الحوزوية ويستصحبه قهقرائياً إلى زمن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كبروياً أي ان المعنى الذي تحمل عليه الألفاظ الواردة في كلام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ان يكون مما تعارف عليه أهل اللغة في ذلك الزمان ولا يصح حملها على معانٍ ومصطلحات مستحدثة ومع الشك لا يمكن التمسك بالاستصحاب القهقرائي الا ان ينضمّ إليه ما يثبت ذلك كالاستقراء ونحوه</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الصحيح ايضاً ما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 لا يمكن التمسك بمدلول عام لإفادة معنى مخصوص كاستفادة طهارة المكان من الإذن بالصلاة فيهلان الصلاة تجوز في المكان النجس مع أمن السراية</w:t>
      </w:r>
      <w:r>
        <w:rPr>
          <w:rFonts w:eastAsia="Amiri" w:cs="Amiri" w:ascii="Amiri" w:hAnsi="Amiri"/>
          <w:color w:val="111111"/>
          <w:sz w:val="28"/>
          <w:szCs w:val="28"/>
          <w:rtl w:val="true"/>
          <w:lang w:bidi="ar-SA"/>
        </w:rPr>
        <w:t xml:space="preserve">. </w:t>
      </w:r>
      <w:bookmarkStart w:id="699" w:name="pg8133_63064"/>
    </w:p>
    <w:p>
      <w:pPr>
        <w:pStyle w:val="Heading5"/>
        <w:numPr>
          <w:ilvl w:val="4"/>
          <w:numId w:val="1"/>
        </w:numPr>
        <w:rPr/>
      </w:pPr>
      <w:bookmarkStart w:id="700" w:name="__RefHeading___Toc8193479_1051229030"/>
      <w:bookmarkStart w:id="701" w:name="_Toc251"/>
      <w:bookmarkEnd w:id="699"/>
      <w:bookmarkEnd w:id="700"/>
      <w:r>
        <w:rPr>
          <w:rtl w:val="true"/>
        </w:rPr>
        <w:t>التعارض</w:t>
      </w:r>
      <w:bookmarkEnd w:id="701"/>
    </w:p>
    <w:p>
      <w:pPr>
        <w:pStyle w:val="Heading6"/>
        <w:numPr>
          <w:ilvl w:val="5"/>
          <w:numId w:val="1"/>
        </w:numPr>
        <w:rPr/>
      </w:pPr>
      <w:bookmarkStart w:id="702" w:name="__RefHeading___Toc8193481_1051229030"/>
      <w:bookmarkStart w:id="703" w:name="_Toc252"/>
      <w:bookmarkEnd w:id="702"/>
      <w:r>
        <w:rPr>
          <w:rtl w:val="true"/>
        </w:rPr>
        <w:t>اشارة</w:t>
      </w:r>
      <w:bookmarkEnd w:id="703"/>
    </w:p>
    <w:p>
      <w:pPr>
        <w:pStyle w:val="BookText"/>
        <w:rPr/>
      </w:pPr>
      <w:r>
        <w:rPr>
          <w:rFonts w:ascii="Amiri" w:hAnsi="Amiri" w:eastAsia="Amiri" w:cs="Amiri"/>
          <w:color w:val="111111"/>
          <w:sz w:val="28"/>
          <w:sz w:val="28"/>
          <w:szCs w:val="28"/>
          <w:rtl w:val="true"/>
          <w:lang w:bidi="ar-SA"/>
        </w:rPr>
        <w:t>من اهم المباحث الابتلائية والمهمة في علم الأصول هو مبحث التعارض ، حتى أُلفت فيه الكثير من الرسائل المنفردة ؛ اذ لا يستغني الفقيه عن كليات باب التعارض في استنباطه للأحكام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ان درس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فقه الخلاف ، فهذا يعني ان كل المسائل التي يبحثها فيها خلاف وتعارض في الأدلة ؛ ولذا كانت هذه الموسوعة حافلة بذكر قواعد باب التعارض وتطبيقاتها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ان التعارض منه ما هو غير مستقر وتجري فيه قواعد الجمع العرفي ، ومنه ما هو مستقر ويرى العرف تمام التنافي والتكاذب فيه ، ولا تجري فيه قواعد الجمع العرفي ؛ سنتكلم أولا عما جاء في فقه الخلاف عن التعارض غير المستقر ثم عن التعارض المستقر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وقبل الخوض في مسائل التعارض غير المستقر والمستقر لا بد من بيان نظرية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التعامل مع الأدلة وكيفية النظر اليها ، والتي تمثل منهجًا وفكرًا يمتاز به شيخنا الأستاذ ، وأرسى أسسه وقواعده في كل مسالة من مسائل فقه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وسنلخص هذه النظرية في مسائل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تقنين الاحكام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الاحكام الدستورية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التفريط بروايات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واليك هذه المسائل بالتفاصيل</w:t>
      </w:r>
      <w:r>
        <w:rPr>
          <w:rFonts w:eastAsia="Amiri" w:cs="Amiri" w:ascii="Amiri" w:hAnsi="Amiri"/>
          <w:color w:val="111111"/>
          <w:sz w:val="28"/>
          <w:szCs w:val="28"/>
          <w:rtl w:val="true"/>
          <w:lang w:bidi="ar-SA"/>
        </w:rPr>
        <w:t xml:space="preserve">: </w:t>
      </w:r>
      <w:bookmarkStart w:id="704" w:name="pg8133_63065"/>
    </w:p>
    <w:p>
      <w:pPr>
        <w:pStyle w:val="Heading6"/>
        <w:numPr>
          <w:ilvl w:val="5"/>
          <w:numId w:val="1"/>
        </w:numPr>
        <w:rPr/>
      </w:pPr>
      <w:bookmarkStart w:id="705" w:name="__RefHeading___Toc8193483_1051229030"/>
      <w:bookmarkStart w:id="706" w:name="_Toc253"/>
      <w:bookmarkEnd w:id="704"/>
      <w:bookmarkEnd w:id="705"/>
      <w:r>
        <w:rPr>
          <w:rtl w:val="true"/>
        </w:rPr>
        <w:t>المسألة الأولى</w:t>
      </w:r>
      <w:r>
        <w:rPr>
          <w:rtl w:val="true"/>
        </w:rPr>
        <w:t xml:space="preserve">: </w:t>
      </w:r>
      <w:r>
        <w:rPr>
          <w:rtl w:val="true"/>
        </w:rPr>
        <w:t>تقنين الاحكام</w:t>
      </w:r>
      <w:r>
        <w:rPr>
          <w:rtl w:val="true"/>
        </w:rPr>
        <w:t>.</w:t>
      </w:r>
      <w:bookmarkEnd w:id="706"/>
    </w:p>
    <w:p>
      <w:pPr>
        <w:pStyle w:val="BookText"/>
        <w:rPr/>
      </w:pPr>
      <w:r>
        <w:rPr>
          <w:rFonts w:ascii="Amiri" w:hAnsi="Amiri" w:eastAsia="Amiri" w:cs="Amiri"/>
          <w:color w:val="111111"/>
          <w:sz w:val="28"/>
          <w:sz w:val="28"/>
          <w:szCs w:val="28"/>
          <w:rtl w:val="true"/>
          <w:lang w:bidi="ar-SA"/>
        </w:rPr>
        <w:t xml:space="preserve">يرى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الشريعة المقدسة تشكل منظومة قانونية مترابطة ، وان تشريعاتها لم تاتِ متجزئة او متباينة ، فهذه التشريعات تمثل بنيانا متكاملا ولكل اية او رواية في مقام تشريع الحكم مكانها المناسب في تلك المنظومة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المنطلق فانه يرفض فكرة النظر الى كل دليل بمعزل عن غيره من الأدلة ،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قراءته لتلك الأدلة يبحث عن النكتة الثبوتية التي تجمع شتات الاحكام ، وتنظمها على أساس قواعد 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صرح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المنهج في الجزء العاشر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مسالة حلية السمك اذا مات في الماء محبوسًا ، اذ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حاولت ان افهم كيف دفع القائلون بحلية الكل هذا التعارض البدوي ولا يوجد بين يديّ مصدر معتدّ به لهم، لذا توجهت بواسطة احد الإخوة باستفتاء خطي إلى شيخنا الأستاذ الفياض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حاصله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توجد مسألتان في باب تذكية السمك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صاد سمكة وأخرجها من الماء ثم ربطها بخيط أو حبل وأرسلها إلى الماء فماتت فيه لم يحل أكلها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وضع شبكة في الماء فدخلها السمك ومات فيه حل 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والسؤال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كان سبب الحرمة في الأولى انها ماتت في الذي فيه حياتها فإنه موجود في الثانية، وان كان سبب الحلية في الثانية انها ماتت تحت اليد فهذا موجود في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 دام ظله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الفرق بين المسألتين من جهة النص الخاص الدال على ان السمك إذا مات في الشبكة أو الحظيرة حلال</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وتاريخه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كتابتي لأصل البحث بشهرين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مقبول ولا يمكن الاكتفاء به إذ لا بد من تقنين الأحكام كالذي قدمناه بفضل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إحالة كل حالةعلى النص فهذا يعني توقف عملية الاجتهاد للحاجة إلى تفسير كل واقعة على حدة والجزئيات لا تنتهي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الفكرة في الجزء الثاني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مناقشة جواز قطع عضو من الانسان الميت ، اذ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النظر</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ويتفرع على هذا المطلب أن ما أسسناه في علم الأصول من دخول الفرد المشكوك تحت العام إذا لم يتيقن دخوله تحت الخاص صحيح إلا أن يكشف الخاص عن ضيق دائرة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هذه الموارد من ناحية إثباتية بأنها تخصيص في حكم الحرمة ونقول إنها خرجت بالدليل الخاص ويبقى عموم الحرمة على حاله في غيرها، لكننا نعتقد أن هذه النظرة قاصرة لأمور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المقيس عليه وهو الحي لم تكن حرمة القطع منه مطلقة وإنما في الجملة بلحاظ القيود المذكورة هناك فلا يكون المقيس أوسع من المقيس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منه تخصيص الأكثر لكثرة الموارد المستثناة من الحرمة الداخلة في العناوين الآتية</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للإحساس الوجداني بأن هذه الموارد خرجت من الحرمة لا لخصوصية فيها وإنما بني خروجها على نكتة ثبوتية علينا اكتشافها من </w:t>
      </w:r>
      <w:bookmarkStart w:id="707" w:name="pg8133_63067"/>
    </w:p>
    <w:p>
      <w:pPr>
        <w:pStyle w:val="BookText"/>
        <w:rPr/>
      </w:pPr>
      <w:bookmarkEnd w:id="707"/>
      <w:r>
        <w:rPr>
          <w:rFonts w:ascii="Amiri" w:hAnsi="Amiri" w:eastAsia="Amiri" w:cs="Amiri"/>
          <w:color w:val="111111"/>
          <w:sz w:val="28"/>
          <w:sz w:val="28"/>
          <w:szCs w:val="28"/>
          <w:rtl w:val="true"/>
          <w:lang w:bidi="ar-SA"/>
        </w:rPr>
        <w:t>الأدلة لأن هذا الإحساس ليس دليلاً بمفرده وإنما هو منبّه ومحرِّك للبحث باتجاه اكتشاف حقيقة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هذه النكتة الثبوتية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 الحكم بعدم جواز القطع غيرتام في نفسه؛ لوضوح أن مناطه هو احترام الميت وأن حرمته كحرمة الحي فيحرم من القطع ما انطبق عليه عنوان هتك الحرمة، فالموارد السابقة لم تخرج تخصيصاً وإنما تخصصاً لعدم دخولها في العنوان المحرّم</w:t>
      </w:r>
      <w:r>
        <w:rPr>
          <w:rFonts w:eastAsia="Amiri" w:cs="Amiri" w:ascii="Amiri" w:hAnsi="Amiri"/>
          <w:color w:val="111111"/>
          <w:sz w:val="28"/>
          <w:szCs w:val="28"/>
          <w:rtl w:val="true"/>
          <w:lang w:bidi="ar-SA"/>
        </w:rPr>
        <w:t>.</w:t>
      </w:r>
    </w:p>
    <w:p>
      <w:pPr>
        <w:pStyle w:val="Heading6"/>
        <w:numPr>
          <w:ilvl w:val="5"/>
          <w:numId w:val="1"/>
        </w:numPr>
        <w:rPr/>
      </w:pPr>
      <w:bookmarkStart w:id="708" w:name="__RefHeading___Toc8193485_1051229030"/>
      <w:bookmarkStart w:id="709" w:name="_Toc254"/>
      <w:bookmarkEnd w:id="708"/>
      <w:r>
        <w:rPr>
          <w:rtl w:val="true"/>
        </w:rPr>
        <w:t>المسألة الثانية</w:t>
      </w:r>
      <w:r>
        <w:rPr>
          <w:rtl w:val="true"/>
        </w:rPr>
        <w:t xml:space="preserve">: </w:t>
      </w:r>
      <w:r>
        <w:rPr>
          <w:rtl w:val="true"/>
        </w:rPr>
        <w:t>الاحكام الدستورية</w:t>
      </w:r>
      <w:r>
        <w:rPr>
          <w:rtl w:val="true"/>
        </w:rPr>
        <w:t>.</w:t>
      </w:r>
      <w:bookmarkEnd w:id="709"/>
    </w:p>
    <w:p>
      <w:pPr>
        <w:pStyle w:val="BookText"/>
        <w:rPr/>
      </w:pPr>
      <w:r>
        <w:rPr>
          <w:rFonts w:ascii="Amiri" w:hAnsi="Amiri" w:eastAsia="Amiri" w:cs="Amiri"/>
          <w:color w:val="111111"/>
          <w:sz w:val="28"/>
          <w:sz w:val="28"/>
          <w:szCs w:val="28"/>
          <w:rtl w:val="true"/>
          <w:lang w:bidi="ar-SA"/>
        </w:rPr>
        <w:t xml:space="preserve">يرى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هناك أحكاما عامة تعتبر هي الأطر والمحددات لباقي الاحكام اَي ان الاحكام الأخرى يجب ان لا تخرج عن إطارها ومقتضياتها ، وشبّه تلك الاحكام العامة بمواد الدستور ، وبقية الاحكام بالقوانين التي يجب ان لا تخالف الدستور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وصرح سماحته بهذه الرؤية في الجزء الثاني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 الأحكام العامة أُطُر ومحددات للأحكام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توجد أطروحة لعلاقة من نوع آخر بين الأدلة</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الأحكام يُنظر إليها على أنها محددات وأُطُر عامة للأحكام الأخرى فلا يجوز أن تخرج عنها، ومثاله في القوانين الوضعية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العلاقة بين مواد الدستور والقوانين، فإن القوانين يجب أن لا تخالف الدستور ولا تخرج عن إطاره، فلو أقرَّ البرلمان قانوناً يقضي بتفضيل بعض الشرائح الاجتماعية على بعض أو التمييز بينهم فإنه قانون باطل لأنه يتنافى مع مادة في الدستور تقول أن المواطنين كافة متساوون في الحقوق والواجبات ونحو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ومثاله في الشرعيات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وَعَاشِرُوهُنَّ بِالْمَعْرُوفِ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يحدد أحكام العلاقة الزوجية فلو كان الحكم المعروف بجواز ترك وطء المرأة الشابة بما لا يزيد عن أربعة</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أشهر مخالفاً للآية الكريمة فإنه لا يجوز العمل به ويحمل الدليل على وجه مناسب أو حالة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على نحو الأطروحة أن تكون الآية الكريمة أيضاً محدداً لعنوان العدالة المشروط لجواز التزويج بثانية فيشترط فيه أن لا يكون سبباً للإهانة الاجتماعية للزوجة الأولى والانتقاص منها وهو مخالف للآية الكريمة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وهذه العلاقة بين الأدلة شكل آخر لما أراده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الروايات على كتاب الله تعالى بأن يكون إطاراً ومحدداً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العلاقة أي الإطار والتحديد قد تؤدي نتيجة العلاقات المعروفة كالتخصيص أو التقييد أو التزاحم إلا أنها ليست هي لأن ملاكها مختلف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ومثالها الآخر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 بِالْعَدْلِ وَالإِحْسَانِ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إطار عام لكثير من الأحكام، مثلاً قد يكون حكمان في قضية وكلاهما عدل إلا أن أحدهما أقرب إلى الإحسان فيؤخذ به</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ويحضرني هنا تطبيق لها من قضاء النبيين الكريمين داود وسليمان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القضية التي ذكرها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وَدَاوُودَ وَسُلَيْمَانَ إِذْ يَحْكُمَانِ فِي الْحَرْثِ إِذْ نَفَشَتْ فِيهِ غَنَمُ الْقَوْمِ وَكُنَّا لِحُكْمِهِمْ شَاهِدِينَ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مجمع البيان للطبرسي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زرعٌ وقعت فيه الغنم ليلا فأكلته</w:t>
      </w:r>
      <w:r>
        <w:rPr>
          <w:rFonts w:eastAsia="Amiri" w:cs="Amiri" w:ascii="Amiri" w:hAnsi="Amiri"/>
          <w:color w:val="111111"/>
          <w:sz w:val="28"/>
          <w:szCs w:val="28"/>
          <w:rtl w:val="true"/>
          <w:lang w:bidi="ar-SA"/>
        </w:rPr>
        <w:t xml:space="preserve">. </w:t>
      </w:r>
      <w:bookmarkStart w:id="710" w:name="pg8133_63069"/>
    </w:p>
    <w:p>
      <w:pPr>
        <w:pStyle w:val="BookText"/>
        <w:rPr/>
      </w:pPr>
      <w:bookmarkEnd w:id="710"/>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كرماً وقد بدت عناقيده، فحكم داود بالغنم لصاحب الكرم، فقال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هذا يا نبي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ذاك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يدفع الكرم إلى صاحب الغنم، فيقوم عليه حتى يعود كما كان، ويدفع الغنم إلى صاحب الكرم، فيصيب منها حتى إذا عاد الكرم كما كان، ثم دفع كل واحد منهما إلى صاحبه ماله، وروي ذلك عن أبي جعفر، وأبي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عبّرت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لحكمهم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ويمكن أن يكون وجهه أنه حكم واحد صدر منهما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للعدل ولم يقل لحكميهما لكن الثاني كان أرفق بحال الضامن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والمثال الآخر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كَرَّمْنَا بَنِي آدَمَ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إطار يحدّد جملة من الأحكام تقدمت الإشارة إليها في بعض البحوث السابقة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ومحل الشاهد في المقام أن الروايات التي تحثّ على الإنجاب تشكّل إطاراً محدداً لأدلة حرمة اللمس والنظر ونافية لها بعدة تقريبات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ملاكها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تنقّح موضوع الضرورة المبيحة لارتكاب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 أدلة الحرمة عن مثل المورد لذا يجيز بعض الفقهاء العلاج عند الطبيب المخالف وإن لم يبلغ حدّ الضرورة بل بملاك العلاج نفسه</w:t>
      </w:r>
      <w:r>
        <w:rPr>
          <w:rFonts w:eastAsia="Amiri" w:cs="Amiri" w:ascii="Amiri" w:hAnsi="Amiri"/>
          <w:color w:val="111111"/>
          <w:sz w:val="28"/>
          <w:szCs w:val="28"/>
          <w:rtl w:val="true"/>
          <w:lang w:bidi="ar-SA"/>
        </w:rPr>
        <w:t>.</w:t>
      </w:r>
    </w:p>
    <w:p>
      <w:pPr>
        <w:pStyle w:val="Heading6"/>
        <w:numPr>
          <w:ilvl w:val="5"/>
          <w:numId w:val="1"/>
        </w:numPr>
        <w:rPr/>
      </w:pPr>
      <w:bookmarkStart w:id="711" w:name="__RefHeading___Toc8193487_1051229030"/>
      <w:bookmarkStart w:id="712" w:name="_Toc255"/>
      <w:bookmarkEnd w:id="711"/>
      <w:r>
        <w:rPr>
          <w:rtl w:val="true"/>
        </w:rPr>
        <w:t>المسألة الثالثة</w:t>
      </w:r>
      <w:r>
        <w:rPr>
          <w:rtl w:val="true"/>
        </w:rPr>
        <w:t xml:space="preserve">: </w:t>
      </w:r>
      <w:r>
        <w:rPr>
          <w:rtl w:val="true"/>
        </w:rPr>
        <w:t xml:space="preserve">عدم التفريط بروايات اهل البيت </w:t>
      </w:r>
      <w:r>
        <w:rPr>
          <w:rtl w:val="true"/>
        </w:rPr>
        <w:t>(</w:t>
      </w:r>
      <w:r>
        <w:rPr>
          <w:rtl w:val="true"/>
        </w:rPr>
        <w:t>علیهم السلام</w:t>
      </w:r>
      <w:r>
        <w:rPr>
          <w:rtl w:val="true"/>
        </w:rPr>
        <w:t>).</w:t>
      </w:r>
      <w:bookmarkEnd w:id="712"/>
    </w:p>
    <w:p>
      <w:pPr>
        <w:pStyle w:val="BookText"/>
        <w:rPr/>
      </w:pPr>
      <w:r>
        <w:rPr>
          <w:rFonts w:ascii="Amiri" w:hAnsi="Amiri" w:eastAsia="Amiri" w:cs="Amiri"/>
          <w:color w:val="111111"/>
          <w:sz w:val="28"/>
          <w:sz w:val="28"/>
          <w:szCs w:val="28"/>
          <w:rtl w:val="true"/>
          <w:lang w:bidi="ar-SA"/>
        </w:rPr>
        <w:t xml:space="preserve">قلنا ان المنهج الذي يتبعه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التعامل مع الروايات انها جاءت ضمن منظومة قانونية مترابطة ، وان بعضها يكمل بعضا ، وان لكل رواية موقعها المناسب في تلك المنظومة التشريعية</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فانه يرفض فكرة التفريط بهذه الروايات التي تمثل لبنات أساسية في </w:t>
      </w:r>
    </w:p>
    <w:p>
      <w:pPr>
        <w:pStyle w:val="BookText"/>
        <w:rPr/>
      </w:pPr>
      <w:r>
        <w:rPr>
          <w:rFonts w:ascii="Amiri" w:hAnsi="Amiri" w:eastAsia="Amiri" w:cs="Amiri"/>
          <w:color w:val="111111"/>
          <w:sz w:val="28"/>
          <w:sz w:val="28"/>
          <w:szCs w:val="28"/>
          <w:rtl w:val="true"/>
          <w:lang w:bidi="ar-SA"/>
        </w:rPr>
        <w:t>بناء المنظومة القانونية للتشريعات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الفكرة لشيخنا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تعتبر دستورا حاكما في كيفية التعامل مع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كلماته في هذا المقام ما جاء في الجزء الحادي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مسالة ارث الزوج والزوجة عند عدم وارث سواهما ، اذ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نصرة القول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إثبات صحة قول المشهور بعدة مستويات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المستوى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وقوع المعارضة أصلاً وسقوط المعتبرتين بنحو وآخر عن المعارضة كقول ابن إدريس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الجمع إنما يكون مع التعارض وإمكان الجمع، وهو منفي هنا؛ لأن فتوى الأصحاب لا يعارضهاخبر الواحد</w:t>
      </w:r>
      <w:r>
        <w:rPr>
          <w:rFonts w:eastAsia="Amiri" w:cs="Amiri" w:ascii="Amiri" w:hAnsi="Amiri"/>
          <w:color w:val="111111"/>
          <w:sz w:val="28"/>
          <w:szCs w:val="28"/>
          <w:rtl w:val="true"/>
          <w:lang w:bidi="ar-SA"/>
        </w:rPr>
        <w:t xml:space="preserve">»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عبارته الأخيرة قاسية على من يؤمن بعصمة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وأمثالها في جانب التفريط بالروايات دفعت إلى نشوء المنهج الأخباري الذي وقع في جانب الإفراط، وستأتي مناقشة ما ذكره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المرجّح وتوجيهه إن شاء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وكقول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سُلّم دلالتها ومعارضتها يمكن حذفها بواحدة أو بالكل مما يعارضه، ويبقى الباقي وظاهر القرآن على حالها</w:t>
      </w:r>
      <w:r>
        <w:rPr>
          <w:rFonts w:eastAsia="Amiri" w:cs="Amiri" w:ascii="Amiri" w:hAnsi="Amiri"/>
          <w:color w:val="111111"/>
          <w:sz w:val="28"/>
          <w:szCs w:val="28"/>
          <w:rtl w:val="true"/>
          <w:lang w:bidi="ar-SA"/>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لا نعتمد طريقة تسقيط الروايات المتعارضة واحدة بواحدة واعتماد الباقي لعدم الدليل عليها، بل الدليل على خلافها حيث لا تضر بالاعتبار قلة وكثرة الروايات</w:t>
      </w:r>
      <w:r>
        <w:rPr>
          <w:rFonts w:eastAsia="Amiri" w:cs="Amiri" w:ascii="Amiri" w:hAnsi="Amiri"/>
          <w:color w:val="111111"/>
          <w:sz w:val="28"/>
          <w:szCs w:val="28"/>
          <w:rtl w:val="true"/>
          <w:lang w:bidi="ar-SA"/>
        </w:rPr>
        <w:t xml:space="preserve">. </w:t>
      </w:r>
      <w:bookmarkStart w:id="713" w:name="pg8133_63071"/>
    </w:p>
    <w:p>
      <w:pPr>
        <w:pStyle w:val="Heading5"/>
        <w:numPr>
          <w:ilvl w:val="4"/>
          <w:numId w:val="1"/>
        </w:numPr>
        <w:rPr/>
      </w:pPr>
      <w:bookmarkStart w:id="714" w:name="__RefHeading___Toc8193489_1051229030"/>
      <w:bookmarkStart w:id="715" w:name="_Toc256"/>
      <w:bookmarkEnd w:id="713"/>
      <w:bookmarkEnd w:id="714"/>
      <w:r>
        <w:rPr>
          <w:rtl w:val="true"/>
        </w:rPr>
        <w:t>التعارض غير المستقر</w:t>
      </w:r>
      <w:bookmarkEnd w:id="715"/>
    </w:p>
    <w:p>
      <w:pPr>
        <w:pStyle w:val="Heading6"/>
        <w:numPr>
          <w:ilvl w:val="5"/>
          <w:numId w:val="1"/>
        </w:numPr>
        <w:rPr/>
      </w:pPr>
      <w:bookmarkStart w:id="716" w:name="__RefHeading___Toc8193491_1051229030"/>
      <w:bookmarkStart w:id="717" w:name="_Toc257"/>
      <w:bookmarkEnd w:id="716"/>
      <w:r>
        <w:rPr>
          <w:rtl w:val="true"/>
        </w:rPr>
        <w:t>اشارة</w:t>
      </w:r>
      <w:bookmarkEnd w:id="717"/>
    </w:p>
    <w:p>
      <w:pPr>
        <w:pStyle w:val="BookText"/>
        <w:rPr/>
      </w:pPr>
      <w:r>
        <w:rPr>
          <w:rFonts w:ascii="Amiri" w:hAnsi="Amiri" w:eastAsia="Amiri" w:cs="Amiri"/>
          <w:color w:val="111111"/>
          <w:sz w:val="28"/>
          <w:sz w:val="28"/>
          <w:szCs w:val="28"/>
          <w:rtl w:val="true"/>
          <w:lang w:bidi="ar-SA"/>
        </w:rPr>
        <w:t>وهنا سنذكر اهم ما جاء في فقه الخلاف من مسائل الجمع العرفي في اثنتي عشرة مسالة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حجية الجمع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الاستنباطي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المرجح المساوي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المرجح المساوي على مرجحات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تعارض الشرطيتين بالعموم من 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أولى من الطرح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الظاهر على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المانع على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تعارض المطلقين في إطلاقهما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انقلاب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المدار في التخصيص والتقييد على الظهور</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وتفصيلات هذه المسائل</w:t>
      </w:r>
      <w:r>
        <w:rPr>
          <w:rFonts w:eastAsia="Amiri" w:cs="Amiri" w:ascii="Amiri" w:hAnsi="Amiri"/>
          <w:color w:val="111111"/>
          <w:sz w:val="28"/>
          <w:szCs w:val="28"/>
          <w:rtl w:val="true"/>
          <w:lang w:bidi="ar-SA"/>
        </w:rPr>
        <w:t xml:space="preserve">: </w:t>
      </w:r>
      <w:bookmarkStart w:id="718" w:name="pg8133_63072"/>
    </w:p>
    <w:p>
      <w:pPr>
        <w:pStyle w:val="Heading6"/>
        <w:numPr>
          <w:ilvl w:val="5"/>
          <w:numId w:val="1"/>
        </w:numPr>
        <w:rPr/>
      </w:pPr>
      <w:bookmarkStart w:id="719" w:name="__RefHeading___Toc8193493_1051229030"/>
      <w:bookmarkStart w:id="720" w:name="_Toc258"/>
      <w:bookmarkEnd w:id="718"/>
      <w:bookmarkEnd w:id="719"/>
      <w:r>
        <w:rPr>
          <w:rtl w:val="true"/>
        </w:rPr>
        <w:t>المسألة الأولى</w:t>
      </w:r>
      <w:r>
        <w:rPr>
          <w:rtl w:val="true"/>
        </w:rPr>
        <w:t xml:space="preserve">: </w:t>
      </w:r>
      <w:r>
        <w:rPr>
          <w:rtl w:val="true"/>
        </w:rPr>
        <w:t>دليل حجية الجمع العرفي</w:t>
      </w:r>
      <w:r>
        <w:rPr>
          <w:rtl w:val="true"/>
        </w:rPr>
        <w:t>.</w:t>
      </w:r>
      <w:bookmarkEnd w:id="720"/>
    </w:p>
    <w:p>
      <w:pPr>
        <w:pStyle w:val="BookText"/>
        <w:rPr/>
      </w:pPr>
      <w:r>
        <w:rPr>
          <w:rFonts w:ascii="Amiri" w:hAnsi="Amiri" w:eastAsia="Amiri" w:cs="Amiri"/>
          <w:color w:val="111111"/>
          <w:sz w:val="28"/>
          <w:sz w:val="28"/>
          <w:szCs w:val="28"/>
          <w:rtl w:val="true"/>
          <w:lang w:bidi="ar-SA"/>
        </w:rPr>
        <w:t>عندما يبحث علماء الأصول مسائل علاج التعارض المستقر فانهم يستعينون بالروايات التي تبين كيفية علاج هذا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مسائل التعارض غير المستقر فيعتبرون العرف والفهم العرفي للكلام هو الدليل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ابرز في الجزء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مسالة طهارة الكحول دليلا روائيا على حجية هذا الجمع ، اذ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هذا الجمع داخل في أمر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بتعلّم أساليب أهل المحاورة ومعرفة وجوه الكلام ومنها هذا الجمع المعتمد عند أهل العرف وقد ذكرنا سابقاً أكثر من رواية ومنها خبر داوود بن فرقد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أفقه الناس إذا عرفتم معاني كلامنا، إن الكلمة لتنصرف على وجوه فلو شاء إنسان لصرف كلامه كيف شاء ولا يكذب</w:t>
      </w:r>
      <w:r>
        <w:rPr>
          <w:rFonts w:eastAsia="IRNazanin" w:cs="IRNazanin"/>
          <w:color w:val="111111"/>
          <w:sz w:val="28"/>
          <w:szCs w:val="28"/>
          <w:rtl w:val="true"/>
          <w:lang w:bidi="fa-IR"/>
        </w:rPr>
        <w:t>)</w:t>
      </w:r>
      <w:r>
        <w:rPr>
          <w:rStyle w:val="FootnoteAnchor"/>
          <w:rtl w:val="true"/>
        </w:rPr>
        <w:footnoteReference w:id="626"/>
      </w:r>
      <w:r>
        <w:rPr>
          <w:rFonts w:ascii="Amiri" w:hAnsi="Amiri" w:eastAsia="Amiri" w:cs="Amiri"/>
          <w:color w:val="111111"/>
          <w:sz w:val="28"/>
          <w:sz w:val="28"/>
          <w:szCs w:val="28"/>
          <w:rtl w:val="true"/>
          <w:lang w:bidi="ar-SA"/>
        </w:rPr>
        <w:t>وحمل المطلق على المقيد والمجمل على المبيَّن والعام على الخاص من هذه الوجوه، ومنها صرف الخبر عن ظهوره إلى الاحتمال الآخر بقرينة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جاء في الجزء الخامس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مسالة زكاة أموال الصغير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فاعتبار الحالة من المتعارضين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أفاد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عرفي إلا في الموارد التي يتحير العرف في الجمع بينها بحيث لا يعرف مرادهم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وحكى السيد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الاعتراض الكبروي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من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صاحب الكفاية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الجمع بين الروايات بما يسمى بالجمع الدلالي مما لا يمكن الموافقة عليه فإنه </w:t>
      </w:r>
    </w:p>
    <w:p>
      <w:pPr>
        <w:pStyle w:val="BookText"/>
        <w:rPr/>
      </w:pPr>
      <w:r>
        <w:rPr>
          <w:rFonts w:ascii="IRNazanin" w:hAnsi="IRNazanin" w:eastAsia="IRNazanin"/>
          <w:color w:val="111111"/>
          <w:sz w:val="28"/>
          <w:sz w:val="28"/>
          <w:szCs w:val="28"/>
          <w:rtl w:val="true"/>
          <w:lang w:bidi="fa-IR"/>
        </w:rPr>
        <w:t xml:space="preserve">مخالف للأدلة الدالة على المرجحات؛ فإن غالب الروايات المتعارضة مما يمكن فيها مثل هذا الجمع مع 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يتعرضوا للإرشاد إلى هذا الجمع، وإنما ذكروا المرجحات فقط كموافقة الكتاب ومخالفةالعامة، وذكر صاحب الكفاية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إلا أن يقال إن مثل حمل المطلق على المقيد لا بد من الالتزام به، وهكذا جمعٌ آخر كصاحب الدرر الغوالي وهكذا فإن الروايات الواردة 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نرى نوع تعارض بينها وقد ألقي كل منهما إلى جمع فتعد الروايات من المتعارضين، فحمل الدالة على الوجوب على الاستحباب مراعاة للدالة على الترخيص تكلف</w:t>
      </w:r>
      <w:r>
        <w:rPr>
          <w:rFonts w:eastAsia="IRNazanin" w:cs="IRNazanin"/>
          <w:color w:val="111111"/>
          <w:sz w:val="28"/>
          <w:szCs w:val="28"/>
          <w:rtl w:val="true"/>
          <w:lang w:bidi="fa-IR"/>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ذكرنا الدليل على هذا الجمع مضافاً إلى كونه مما يعرفه أهل المحاورة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خلالها يعرف أن مورد الجمع العرفي غير مورد التعارض واستعمال المرجحات، فالأول في ما يفهمه العارف بذوق اللغة وأساليبها بحيث لا يرى تردداً في الجمع بينها واستخلاص النتيجة، مما أوجب عدَّ مثل هذا فقيهاً في كلامهم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يكون الرجل منكم فقيهاً حتى يعرف معاريض كلامنا، وإن الكلمة من كلامنا لتنصرف على سبعين وجهاً لنا من جميعها المخرج</w:t>
      </w:r>
      <w:r>
        <w:rPr>
          <w:rFonts w:eastAsia="IRNazanin" w:cs="IRNazanin"/>
          <w:color w:val="111111"/>
          <w:sz w:val="28"/>
          <w:szCs w:val="28"/>
          <w:rtl w:val="true"/>
          <w:lang w:bidi="fa-IR"/>
        </w:rPr>
        <w:t>)</w:t>
      </w:r>
      <w:r>
        <w:rPr>
          <w:rStyle w:val="FootnoteAnchor"/>
          <w:rtl w:val="true"/>
        </w:rPr>
        <w:footnoteReference w:id="62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أما الثاني ففي مورد العجز عن ذلك والبقاء متحيراً كما يقال</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وصدور هذا ليس مستغرباً على مثل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كثرة أعدائهم وتنوعهم من سلطات وفقهاء سائرين بركابهم وحاسدين وكفار ومنافقين مع جهل العامة الذين تعتريهم الشبهات والفتن</w:t>
      </w:r>
      <w:r>
        <w:rPr>
          <w:rFonts w:eastAsia="IRNazanin" w:cs="IRNazanin"/>
          <w:color w:val="111111"/>
          <w:sz w:val="28"/>
          <w:szCs w:val="28"/>
          <w:rtl w:val="true"/>
          <w:lang w:bidi="fa-IR"/>
        </w:rPr>
        <w:t xml:space="preserve">. </w:t>
      </w:r>
      <w:bookmarkStart w:id="721" w:name="pg8133_63074"/>
    </w:p>
    <w:p>
      <w:pPr>
        <w:pStyle w:val="Heading6"/>
        <w:numPr>
          <w:ilvl w:val="5"/>
          <w:numId w:val="1"/>
        </w:numPr>
        <w:rPr/>
      </w:pPr>
      <w:bookmarkStart w:id="722" w:name="__RefHeading___Toc8193495_1051229030"/>
      <w:bookmarkStart w:id="723" w:name="_Toc259"/>
      <w:bookmarkEnd w:id="721"/>
      <w:bookmarkEnd w:id="722"/>
      <w:r>
        <w:rPr>
          <w:rtl w:val="true"/>
        </w:rPr>
        <w:t>المسألة الثانية</w:t>
      </w:r>
      <w:r>
        <w:rPr>
          <w:rtl w:val="true"/>
        </w:rPr>
        <w:t xml:space="preserve">: </w:t>
      </w:r>
      <w:r>
        <w:rPr>
          <w:rtl w:val="true"/>
        </w:rPr>
        <w:t>الجمع الاستنباطي</w:t>
      </w:r>
      <w:r>
        <w:rPr>
          <w:rtl w:val="true"/>
        </w:rPr>
        <w:t>.</w:t>
      </w:r>
      <w:bookmarkEnd w:id="723"/>
    </w:p>
    <w:p>
      <w:pPr>
        <w:pStyle w:val="BookText"/>
        <w:rPr/>
      </w:pPr>
      <w:r>
        <w:rPr>
          <w:rFonts w:ascii="IRNazanin" w:hAnsi="IRNazanin" w:eastAsia="IRNazanin"/>
          <w:color w:val="111111"/>
          <w:sz w:val="28"/>
          <w:sz w:val="28"/>
          <w:szCs w:val="28"/>
          <w:rtl w:val="true"/>
          <w:lang w:bidi="fa-IR"/>
        </w:rPr>
        <w:t xml:space="preserve">قد يتبادر الى الذهن اننا عندما نقول قواعد الجمع العرفي فاننا نريد بالعرف عامة الناس ، ولكن سماحة شيخنا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نبّه في الجزء الخامس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مسالة ما تجب فيه الزكاة على ان المقصود من العرف هنا العارفين بأساليب اللغة ، وكلام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جاء ذلك في مناقشته لكلام السيد السيستاني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اذ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وذكر بعض من حضرنا بحثه الشريف وجه المشهور بالجمع بين الروايات وقرّبه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النظر في الطائفتين يلزم منه حمل الثانية على الاستحباب، إذ الأولى توجب العفو وهو إشارة إلى وجود الملاك لكن المصلحة التسهيلية أوجبت عدم جعل الزكاة على ما سوى ذلك، والروايات المثبتة للوجوب ظاهرة فيه صريحة في الرجحان فتحمل المثبتة على الاستحباب</w:t>
      </w:r>
      <w:r>
        <w:rPr>
          <w:rFonts w:eastAsia="Amiri" w:cs="Amiri" w:ascii="Amiri" w:hAnsi="Amiri"/>
          <w:color w:val="111111"/>
          <w:sz w:val="28"/>
          <w:szCs w:val="28"/>
          <w:rtl w:val="true"/>
          <w:lang w:bidi="ar-SA"/>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في اليوم التالي عن وجه المشهور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في نفسه غير بعيد من جهة ملاحظة الطائفتين فإن القدر المسلم من النافية والصحيح منها نفي الزكاة فيما وراء الأربع على نحو ثبوتها في الأربع، خصوصاً ما عُبّر عنها بعنوان النفي، فإن ما يدل على نفي الزكاة منصرف إلى الوعيد الشديد على تاركها، وما ورد من الحث عليه وإن في إعطائها يحقن دم الشخص، وهذا كله في الواجب وهو القدر المسلم من المنفي، غاية الأمر أنه قد يدعي أحد أنه ينفي مطلق الزكاة، فيقال أن ما دلّ على الإثبات صريح في الثبوت وظاهر في المماثلة للأربع فينفى الظهور بالنص</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يرد بأنه جمع تبرعي لا عرفي، باعتبار أن المناط في العرفي فيما </w:t>
      </w:r>
    </w:p>
    <w:p>
      <w:pPr>
        <w:pStyle w:val="BookText"/>
        <w:rPr/>
      </w:pPr>
      <w:r>
        <w:rPr>
          <w:rFonts w:ascii="Amiri" w:hAnsi="Amiri" w:eastAsia="Amiri" w:cs="Amiri"/>
          <w:color w:val="111111"/>
          <w:sz w:val="28"/>
          <w:sz w:val="28"/>
          <w:szCs w:val="28"/>
          <w:rtl w:val="true"/>
          <w:lang w:bidi="ar-SA"/>
        </w:rPr>
        <w:t xml:space="preserve">إذا كان الجمع ممكناً في كلام واحد بحيث إذا جمع الكلامان يخرج منه كلام واحد مفهوم عرفاً، وما لا يكون كذلك فهو من التعارض المستقر عند العرف كما في المقام ففي بعضها ينفي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زكاة فيما سوى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بعضها يثبت فإذا جمعا فإن العرف يتحير لذا فإنه جمع غير مقبول –كما في 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سابقاً أن المعيار في الجمع ليس ما ذكر بل ما سمّيناه بالجمع الاستنباطي</w:t>
      </w:r>
      <w:r>
        <w:rPr>
          <w:rStyle w:val="FootnoteAnchor"/>
          <w:rtl w:val="true"/>
        </w:rPr>
        <w:footnoteReference w:id="630"/>
      </w:r>
      <w:r>
        <w:rPr>
          <w:rFonts w:ascii="IRNazanin" w:hAnsi="IRNazanin" w:eastAsia="IRNazanin"/>
          <w:color w:val="111111"/>
          <w:sz w:val="28"/>
          <w:sz w:val="28"/>
          <w:szCs w:val="28"/>
          <w:rtl w:val="true"/>
          <w:lang w:bidi="fa-IR"/>
        </w:rPr>
        <w:t>، وهو أن الفقيه العارف بلحن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إلقاء الحكم وملاحظتهم لجميع ما يقتضي الكتمان وعدمه، فإذا فُرض أن الفقيه لا يتحير أمام الطائفتين فليس تعارضاً وإنما يكون كل منهما قرينة على المراد الجدي من الآخر، وهذا جمع معتبر ، لذا نرى أن المشهور هو الحكم بالاستحباب ففهموا أن نفي الزكاة في روايات الطائفة الأولى ظاهر في تلك التي هي من دعائم الإسلام وهي التي كان يُبعث العمال لجمعها أما ما دلّ على ثبوت الزكاة في الطائفة الثانية فهو على نحو آخر فلا يرى العرف تنافياً ولا يتحيّر فهذا الجمع معتبر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ناقشنا به هذا الجمع من تأخره رتبةً فإنه يرد على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الحمل الذي ذكره ممكن في مثل صحيحة محمد بن مسلم التي جاء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هذا يزكّى وأشباهه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في خبر أبي مريم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هذا مما يزكّى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تفيد مطلق الرجحان ولا يجري في الروايات الأخرى 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فعليه الزكاة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تحديد النسب في صحيحة محمد بن إسماعيل أو التعليل في صحيحة أبي بصير</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تقريبه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مختص بما سوى الأربع من </w:t>
      </w:r>
      <w:bookmarkStart w:id="724" w:name="pg8133_63076"/>
    </w:p>
    <w:p>
      <w:pPr>
        <w:pStyle w:val="BookText"/>
        <w:rPr/>
      </w:pPr>
      <w:bookmarkEnd w:id="724"/>
      <w:r>
        <w:rPr>
          <w:rFonts w:ascii="Amiri" w:hAnsi="Amiri" w:eastAsia="Amiri" w:cs="Amiri"/>
          <w:color w:val="111111"/>
          <w:sz w:val="28"/>
          <w:sz w:val="28"/>
          <w:szCs w:val="28"/>
          <w:rtl w:val="true"/>
          <w:lang w:bidi="ar-SA"/>
        </w:rPr>
        <w:t>الغلات فالصحيح عرضه هناك وليس هنا حيث الكلام عن نفي الوجوب في ما سوى التسع، بل لا يستقيم له النقاش هنا لأنه يذهب إلى الاحتياط الوجوبي في زكاة أموال التجارة</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إضافة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الاستنباطي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مجدٍ، لأن الفقهاء حينما يشيرون إلى الجمع العرفي فإنهم لا يقصدون عامة الناس وإنما الفقهاء العارفين بقواعد المحاورة وفنون أهلها لأنهم وحدهم الذين لهم حق النظر في الروايات دون غيرهم، فالمعيار في صحة الجمع إمكانه عندهم وعدم تحيرهم</w:t>
      </w:r>
      <w:r>
        <w:rPr>
          <w:rFonts w:eastAsia="Amiri" w:cs="Amiri" w:ascii="Amiri" w:hAnsi="Amiri"/>
          <w:color w:val="111111"/>
          <w:sz w:val="28"/>
          <w:szCs w:val="28"/>
          <w:rtl w:val="true"/>
          <w:lang w:bidi="ar-SA"/>
        </w:rPr>
        <w:t>.</w:t>
      </w:r>
    </w:p>
    <w:p>
      <w:pPr>
        <w:pStyle w:val="Heading6"/>
        <w:numPr>
          <w:ilvl w:val="5"/>
          <w:numId w:val="1"/>
        </w:numPr>
        <w:rPr/>
      </w:pPr>
      <w:bookmarkStart w:id="725" w:name="__RefHeading___Toc8193497_1051229030"/>
      <w:bookmarkStart w:id="726" w:name="_Toc260"/>
      <w:bookmarkEnd w:id="725"/>
      <w:r>
        <w:rPr>
          <w:rtl w:val="true"/>
        </w:rPr>
        <w:t>المسألة الثالثة</w:t>
      </w:r>
      <w:r>
        <w:rPr>
          <w:rtl w:val="true"/>
        </w:rPr>
        <w:t xml:space="preserve">: </w:t>
      </w:r>
      <w:r>
        <w:rPr>
          <w:rtl w:val="true"/>
        </w:rPr>
        <w:t>المرجح المساوي</w:t>
      </w:r>
      <w:r>
        <w:rPr>
          <w:rtl w:val="true"/>
        </w:rPr>
        <w:t>.</w:t>
      </w:r>
      <w:bookmarkEnd w:id="726"/>
    </w:p>
    <w:p>
      <w:pPr>
        <w:pStyle w:val="BookText"/>
        <w:rPr/>
      </w:pPr>
      <w:r>
        <w:rPr>
          <w:rFonts w:ascii="Amiri" w:hAnsi="Amiri" w:eastAsia="Amiri" w:cs="Amiri"/>
          <w:color w:val="111111"/>
          <w:sz w:val="28"/>
          <w:sz w:val="28"/>
          <w:szCs w:val="28"/>
          <w:rtl w:val="true"/>
          <w:lang w:bidi="ar-SA"/>
        </w:rPr>
        <w:t xml:space="preserve">من اهم ابداعات سماحة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فكرة المرجح المساوي للجمع بين الأدلة المتعارضة ، وقد شرح سماحته هذه الفكرة في الجزء السادس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 حكم العقد المنقطع على الباكر من دون اذن وليها ،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المرجّح المساوي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وأعني به روايات في عرض الروايات المتعارضة وليست عموماً فوقانياً لها ولكنها لا تبتلى بالمعارضة لأنها غير مسوقة لبيان محل النزاع بالدلالة المطابقية وإنما هي بصدد بيان أحكام أخرى ويستفاد منها حكم محل النزاع بشكل عرضي</w:t>
      </w:r>
      <w:r>
        <w:rPr>
          <w:rFonts w:eastAsia="Amiri" w:cs="Amiri" w:ascii="Amiri" w:hAnsi="Amiri"/>
          <w:color w:val="111111"/>
          <w:sz w:val="28"/>
          <w:szCs w:val="28"/>
          <w:rtl w:val="true"/>
          <w:lang w:bidi="ar-SA"/>
        </w:rPr>
        <w:t>(</w:t>
      </w:r>
      <w:r>
        <w:rPr>
          <w:rStyle w:val="FootnoteAnchor"/>
          <w:rtl w:val="true"/>
        </w:rPr>
        <w:footnoteReference w:id="632"/>
      </w:r>
    </w:p>
    <w:p>
      <w:pPr>
        <w:pStyle w:val="BookText"/>
        <w:rPr/>
      </w:pPr>
      <w:r>
        <w:rPr>
          <w:rFonts w:ascii="Amiri" w:hAnsi="Amiri" w:eastAsia="Amiri" w:cs="Amiri"/>
          <w:color w:val="111111"/>
          <w:sz w:val="28"/>
          <w:sz w:val="28"/>
          <w:szCs w:val="28"/>
          <w:rtl w:val="true"/>
          <w:lang w:bidi="ar-SA"/>
        </w:rPr>
        <w:t>بتقريب ظهور الرواية في عدم رجوع الأب إلى بناته في أمر التزويج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الاستدلال إنما يكون بالإطلاق والرواية بصدد البيان من هذه الناحية إذ لعل الأب استأمرهن جميعاً في تزويجهن فكان تصرفه بالإذن والوكالة عنهن</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ووجه عدم دخولها في المتعارضين خلوّها من ملاك التعارضلعدم توجه الدليل لبيان الحكم محل التعارض مباشرة، فمثلاً إن من أسباب التعارض ما يلقيه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الخلاف بين أصحابهم صيانة لهم من الطواغيت وهذا معنى دقيق للتقية التي وردت في باب الترجيح بين الأدلة المتعارضة يضاف إلى ما ذكروه، ففي صحيحة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مسالة فأجابني، ثم جاءه رجل فسأله عنها فأجابه بخلاف ما أجابني، ثم جاء رجل آخر فأجابه بخلاف ما أجابني وأجاب صاحبي، فلما خرج الرجلان قلت يا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رجلان من أهل العراق من شيعتكم قدما يسألان فأجبتَ كل واحدٍ منهما بغير ما أجبتَ به صاحبه؟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زرارة إن هذا خيرٌ لنا وأبقى لنا ولكم ولو اجتمعتم على أمر واحد لصدّقكم الناس علينا ولكان أقلَّ لبقائنا وبقائكم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شيعتكم لو حملتموهم على الأسنة أو على النار لمضوا وهم يخرجون من عندكم مختلفين،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فأجابني بمثل جواب أبيه</w:t>
      </w:r>
      <w:r>
        <w:rPr>
          <w:rFonts w:eastAsia="IRNazanin" w:cs="IRNazanin"/>
          <w:color w:val="111111"/>
          <w:sz w:val="28"/>
          <w:szCs w:val="28"/>
          <w:rtl w:val="true"/>
          <w:lang w:bidi="fa-IR"/>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 xml:space="preserve">. </w:t>
      </w:r>
      <w:bookmarkStart w:id="727" w:name="pg8133_63078"/>
    </w:p>
    <w:p>
      <w:pPr>
        <w:pStyle w:val="BookText"/>
        <w:rPr/>
      </w:pPr>
      <w:bookmarkEnd w:id="727"/>
      <w:r>
        <w:rPr>
          <w:rFonts w:ascii="Amiri" w:hAnsi="Amiri" w:eastAsia="Amiri" w:cs="Amiri"/>
          <w:color w:val="111111"/>
          <w:sz w:val="28"/>
          <w:sz w:val="28"/>
          <w:szCs w:val="28"/>
          <w:rtl w:val="true"/>
          <w:lang w:bidi="ar-SA"/>
        </w:rPr>
        <w:t>وهذه نكتة لم تذكر في باب التعارض والتراجيح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تطبيقات المرجح المساوي التي ذكرها شيخنا الأستاذ ما جاء في الجزء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بعدها في مسالة طهارة غير المسلمين عند علاج التعارض بين الروايات الدالة على طهارة الكتابي ، والأخرى الدالة على نجاسته ،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w:t>
      </w:r>
    </w:p>
    <w:p>
      <w:pPr>
        <w:pStyle w:val="Heading6"/>
        <w:numPr>
          <w:ilvl w:val="5"/>
          <w:numId w:val="1"/>
        </w:numPr>
        <w:rPr/>
      </w:pPr>
      <w:bookmarkStart w:id="728" w:name="__RefHeading___Toc8193499_1051229030"/>
      <w:bookmarkStart w:id="729" w:name="_Toc261"/>
      <w:bookmarkEnd w:id="728"/>
      <w:r>
        <w:rPr>
          <w:rtl w:val="true"/>
        </w:rPr>
        <w:t>علاج التعارض</w:t>
      </w:r>
      <w:r>
        <w:rPr>
          <w:rtl w:val="true"/>
        </w:rPr>
        <w:t>:</w:t>
      </w:r>
      <w:bookmarkEnd w:id="729"/>
    </w:p>
    <w:p>
      <w:pPr>
        <w:pStyle w:val="BookText"/>
        <w:rPr/>
      </w:pPr>
      <w:r>
        <w:rPr>
          <w:rFonts w:ascii="Amiri" w:hAnsi="Amiri" w:eastAsia="Amiri" w:cs="Amiri"/>
          <w:color w:val="111111"/>
          <w:sz w:val="28"/>
          <w:sz w:val="28"/>
          <w:szCs w:val="28"/>
          <w:rtl w:val="true"/>
          <w:lang w:bidi="ar-SA"/>
        </w:rPr>
        <w:t xml:space="preserve">إذا تمت الروايات الدالة على المعنيين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النجاسة والطهارة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ودلالةً ولو في الجملة فإنه يقع التعارض بينهما، ويعالج التعارض من خلال عدة مراتب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دليل خاص يحل هذا التعارض ويبيّنه، وهو هنا موجود وأعني به صحيحة إسماعيل بن جابر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 طعام أهل الكتاب؟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تأكله، ثم سكت هنيئة،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لاتأكله، ثم سكت هنيئة،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تأكله ولا تتركه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حرام، ولكن تتركه تتنزه عنه إن في آنيتهم الخمر ولحم الخنزير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فإنها تبيّن أن الاجتناب والنهي إنما هو للتنزّه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ويلحق به كل الروايات التي عللت اجتناب آنيتهم وطعامهم بمباشرتهم النجاسات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الدليل لا يستوعب كل نواحي التعارض لعدم شموله لقضية المصافحة والسؤر والاغتسال في ماء واحد ونحوها</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يمكن القول بوجود المرجح في نفس روايات الطهارة باعتبارها معللة للنجاسة بأنهم يأكلون الخنزير ويشربون الخمر أو يضعونها في آنيتهم ولا يتطهرون من النجاسات، ومعللة للطهارة بأنها تغسل يديها ونحوها، والمعلل يُقدَّم على المطلق لأنه يفسر وجوب الاجتناب وغسل الملاقي المذكور في روايات النجاسة ويفسر عدم وجوب الاجتناب في </w:t>
      </w:r>
      <w:bookmarkStart w:id="730" w:name="pg8133_63079"/>
    </w:p>
    <w:p>
      <w:pPr>
        <w:pStyle w:val="BookText"/>
        <w:rPr/>
      </w:pPr>
      <w:bookmarkEnd w:id="730"/>
      <w:r>
        <w:rPr>
          <w:rFonts w:ascii="Amiri" w:hAnsi="Amiri" w:eastAsia="Amiri" w:cs="Amiri"/>
          <w:color w:val="111111"/>
          <w:sz w:val="28"/>
          <w:sz w:val="28"/>
          <w:szCs w:val="28"/>
          <w:rtl w:val="true"/>
          <w:lang w:bidi="ar-SA"/>
        </w:rPr>
        <w:t>روايات الطهارة فهي حاكمة على روايات النجاسة ومقدمة عليها ولا تصل النوبة إلى التعارض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ما سمّيناه في مسألة سابقة بالمرجح المساوي وقصدنا به الدليل الذي يكون مسوقاً لبيان حكم معين غير مادة التعارض –وهذه نكتة عدم شموله بالتعارض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ويستفاد منه حكم آخر في مادة التعارض، وهذا المرجح لإحدى الطائفتين يقتضي التصرف في ظهور الطائفة الأخرى وحملها على ما لا ينافي المجموعة الراجحة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والمرجح المساوي في مسألتنا موجود ومتحقق بعدة وجوه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الروايات الدالة على جواز النكاح المنقطع بالكتابية كصحيحة معاوية بن وهب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الرجل المؤمن يتزوج اليهودية والنصرانية،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أصاب المسلمة فما يصنع باليهودية والنصرانية؟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له فيها الهوى،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فعل فليمنعها من شرب الخمر وأكل لحمالخنزير، واعلم أن عليه في دينه غضاضة</w:t>
      </w:r>
      <w:r>
        <w:rPr>
          <w:rFonts w:eastAsia="IRNazanin" w:cs="IRNazanin"/>
          <w:color w:val="111111"/>
          <w:sz w:val="28"/>
          <w:szCs w:val="28"/>
          <w:rtl w:val="true"/>
          <w:lang w:bidi="fa-IR"/>
        </w:rPr>
        <w:t>)</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 xml:space="preserve">وخبر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نكاح اليهودية والنصرانية،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به أما علمت أنه كان تحت طلحة بن عبيد الله يهودية على عهد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1" w:name="__RefHeading___Toc8193501_1051229030"/>
      <w:bookmarkStart w:id="732" w:name="_Toc262"/>
      <w:bookmarkEnd w:id="731"/>
      <w:r>
        <w:rPr>
          <w:rtl w:val="true"/>
        </w:rPr>
        <w:t>بتقريبين</w:t>
      </w:r>
      <w:r>
        <w:rPr>
          <w:rtl w:val="true"/>
        </w:rPr>
        <w:t>:</w:t>
      </w:r>
      <w:bookmarkEnd w:id="732"/>
    </w:p>
    <w:p>
      <w:pPr>
        <w:pStyle w:val="Heading6"/>
        <w:numPr>
          <w:ilvl w:val="5"/>
          <w:numId w:val="1"/>
        </w:numPr>
        <w:rPr/>
      </w:pPr>
      <w:bookmarkStart w:id="733" w:name="__RefHeading___Toc8193503_1051229030"/>
      <w:bookmarkStart w:id="734" w:name="_Toc263"/>
      <w:bookmarkEnd w:id="733"/>
      <w:r>
        <w:rPr>
          <w:rtl w:val="true"/>
        </w:rPr>
        <w:t>اشارة</w:t>
      </w:r>
      <w:bookmarkEnd w:id="734"/>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نبّه معاوية في الصحيحة إلى منعها عن مباشرة النجاسات، وكان الأولى الإشارة إلى نجاستها الذاتية لو كانت موجودة</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كثرتها واشتهارها وعمل الأصحاب بها لم </w:t>
      </w:r>
    </w:p>
    <w:p>
      <w:pPr>
        <w:pStyle w:val="BookText"/>
        <w:rPr/>
      </w:pPr>
      <w:r>
        <w:rPr>
          <w:rFonts w:ascii="Amiri" w:hAnsi="Amiri" w:eastAsia="Amiri" w:cs="Amiri"/>
          <w:color w:val="111111"/>
          <w:sz w:val="28"/>
          <w:sz w:val="28"/>
          <w:szCs w:val="28"/>
          <w:rtl w:val="true"/>
          <w:lang w:bidi="ar-SA"/>
        </w:rPr>
        <w:t>تتعرض للتنبيه على نجاستها، فإن الملابسات والملامسات التي تكون بين الزوج والزوجة لا تمكن مع نجاسة الزوجة ولم يتعرض في تلك النصوص للإشارة إلى ذلك</w:t>
      </w:r>
      <w:r>
        <w:rPr>
          <w:rFonts w:eastAsia="Amiri" w:cs="Amiri" w:ascii="Amiri" w:hAnsi="Amiri"/>
          <w:color w:val="111111"/>
          <w:sz w:val="28"/>
          <w:szCs w:val="28"/>
          <w:rtl w:val="true"/>
          <w:lang w:bidi="ar-SA"/>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الروايات الدالة على تغسيل أهل الكتاب للميت المسلم إذا افتقد المماثل أو أحد المحارم كموثقة عمار بن موسى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مات رجلٌ مسلم، وليس معه رجل مسلم ولا امرأة مسلمة من ذوي قرابته ومعه رجال نصارى ونساء مسلمات ليس بينه وبينهن قرابة؟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يغتسل النصارى ثم يغسّلونه فقد اضطر، وعن المرأة المسلمة تموت وليس معها امرأة مسلمة ولا رجل مسلم من ذوي قرابتها ومعها نصرانية ورجال مسلمون،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تغتسل النصرانية ثم تغسّلها</w:t>
      </w:r>
      <w:r>
        <w:rPr>
          <w:rFonts w:eastAsia="IRNazanin" w:cs="IRNazanin"/>
          <w:color w:val="111111"/>
          <w:sz w:val="28"/>
          <w:szCs w:val="28"/>
          <w:rtl w:val="true"/>
          <w:lang w:bidi="fa-IR"/>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وموثقة عمرو بن خالد</w:t>
      </w:r>
      <w:r>
        <w:rPr>
          <w:rStyle w:val="FootnoteAnchor"/>
          <w:rtl w:val="true"/>
        </w:rPr>
        <w:footnoteReference w:id="638"/>
      </w:r>
      <w:r>
        <w:rPr>
          <w:rFonts w:ascii="IRNazanin" w:hAnsi="IRNazanin" w:eastAsia="IRNazanin"/>
          <w:color w:val="111111"/>
          <w:sz w:val="28"/>
          <w:sz w:val="28"/>
          <w:szCs w:val="28"/>
          <w:rtl w:val="true"/>
          <w:lang w:bidi="fa-IR"/>
        </w:rPr>
        <w:t xml:space="preserve">عن زيد بن علي عن آبائه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امرأة توفيت معنا وليس معها ذو رحم،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صنعتم بها؟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صببنا عليها الماء صباً،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وجدتم امرأة من أهل الكتاب تغسّلها؟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يممتموها</w:t>
      </w:r>
      <w:r>
        <w:rPr>
          <w:rFonts w:eastAsia="IRNazanin" w:cs="IRNazanin"/>
          <w:color w:val="111111"/>
          <w:sz w:val="28"/>
          <w:szCs w:val="28"/>
          <w:rtl w:val="true"/>
          <w:lang w:bidi="fa-IR"/>
        </w:rPr>
        <w:t>)</w:t>
      </w:r>
      <w:r>
        <w:rPr>
          <w:rStyle w:val="FootnoteAnchor"/>
          <w:rtl w:val="true"/>
        </w:rPr>
        <w:footnoteReference w:id="639"/>
      </w:r>
      <w:r>
        <w:rPr>
          <w:rFonts w:ascii="Amiri" w:hAnsi="Amiri" w:eastAsia="Amiri" w:cs="Amiri"/>
          <w:color w:val="111111"/>
          <w:sz w:val="28"/>
          <w:sz w:val="28"/>
          <w:szCs w:val="28"/>
          <w:rtl w:val="true"/>
          <w:lang w:bidi="ar-SA"/>
        </w:rPr>
        <w:t xml:space="preserve">، وهذا الحكم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المشهور كما 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مذهب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لهذا مخالفاً من الأصحاب سوى المحقق في المعتبر</w:t>
      </w:r>
      <w:r>
        <w:rPr>
          <w:rFonts w:eastAsia="Amiri" w:cs="Amiri" w:ascii="Amiri" w:hAnsi="Amiri"/>
          <w:color w:val="111111"/>
          <w:sz w:val="28"/>
          <w:szCs w:val="28"/>
          <w:rtl w:val="true"/>
          <w:lang w:bidi="ar-SA"/>
        </w:rPr>
        <w:t>»</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حاول القائلون بنجاسة أهل الكتاب التخلص من إشكالية هذه </w:t>
      </w:r>
    </w:p>
    <w:p>
      <w:pPr>
        <w:pStyle w:val="BookText"/>
        <w:rPr/>
      </w:pPr>
      <w:r>
        <w:rPr>
          <w:rFonts w:ascii="Amiri" w:hAnsi="Amiri" w:eastAsia="Amiri" w:cs="Amiri"/>
          <w:color w:val="111111"/>
          <w:sz w:val="28"/>
          <w:sz w:val="28"/>
          <w:szCs w:val="28"/>
          <w:rtl w:val="true"/>
          <w:lang w:bidi="ar-SA"/>
        </w:rPr>
        <w:t>النصوص الدالة على طهارة الكتابي، فقال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نجاستهم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تنافي صحة الغسل، إذ يمكن أن يكون الوجه في الصحة العفو عن هذه النجاسة أو عدم تنجس الماء المستعمل في الغسل ولا بدن الميت من مباشرته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أجبنا عن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عدم الانفعال بملاقاة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سبق، أما احتمال العفو عن النجاسة فغير وارد لأن المطلوب التطهير ولو عجزوا عن الماء الطاهر فالوظيفة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أن كل الروايات الدالة على طهارة أهل الكتاب يمكن ترك العمل بها لإعراض الأصحاب عنها أما هذه فاعترف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يمكن فيها ذلك لما عرفت من عمل الأصحاب بها</w:t>
      </w:r>
      <w:r>
        <w:rPr>
          <w:rFonts w:eastAsia="Amiri" w:cs="Amiri" w:ascii="Amiri" w:hAnsi="Amiri"/>
          <w:color w:val="111111"/>
          <w:sz w:val="28"/>
          <w:szCs w:val="28"/>
          <w:rtl w:val="true"/>
          <w:lang w:bidi="ar-SA"/>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بعد أن ذكر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الإشكالات التي تتوجه على العمل بالنصوص ترجع إلى 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تأتّي النية من الكافر من جهة عدم اعتقاده بمشروعية التغسيل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صلاحية الكافر للتقرب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ضعيفة السند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الكافر نجس فلا يفيد غيره طهارة لان الفاقد لا يعطي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ودفعها جميعاً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ويدفع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أنالكافر إنما يفيد غيره الطهارة بتوسط الماء، ولا مانع من تأثير الماء النجس في رفع حدث الميت وحصول الطهارة له، لاختلاف السنخ، فلا ينافي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الفاقد لا يعطي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الطهارة الخبثية الحاصلة من التغسيل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فلأنها من آثار ارتفاع الحدث لا من تأثير الماء النجس، لأن النجاسة الخبثية قائمة بالحدث فتزول بزوال موضوعها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تنجس بدن الميت بالماء النجس، فلا يهم، لأن النجاسة عرضية، وهي أخف من النجاسة الذاتية الزائلة </w:t>
      </w:r>
    </w:p>
    <w:p>
      <w:pPr>
        <w:pStyle w:val="BookText"/>
        <w:rPr/>
      </w:pPr>
      <w:r>
        <w:rPr>
          <w:rFonts w:ascii="Amiri" w:hAnsi="Amiri" w:eastAsia="Amiri" w:cs="Amiri"/>
          <w:color w:val="111111"/>
          <w:sz w:val="28"/>
          <w:sz w:val="28"/>
          <w:szCs w:val="28"/>
          <w:rtl w:val="true"/>
          <w:lang w:bidi="ar-SA"/>
        </w:rPr>
        <w:t>بالتغسيل</w:t>
      </w:r>
      <w:r>
        <w:rPr>
          <w:rFonts w:eastAsia="Amiri" w:cs="Amiri" w:ascii="Amiri" w:hAnsi="Amiri"/>
          <w:color w:val="111111"/>
          <w:sz w:val="28"/>
          <w:szCs w:val="28"/>
          <w:rtl w:val="true"/>
          <w:lang w:bidi="ar-SA"/>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وصفنا هذه المحاولات بأنها لفك ضيق الخناق وإلا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أن من شروط رفع الحدث طهارة الماء المستعمل فكيف يكفي اختلاف السنخ في رفع الحدث بماء نجس، والله المسدِّد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الفهم المرتكز لدى أصحاب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لطهارة أهل الكتاب الذي تكشف عنه أسئلتهم فقد كانوا يثيرون المشكلة من جهة مباشرتهم للنجاسات كالخمر ولحم الخنزير ولو كانت نجاسة أهل الكتاب معروفة عندهم لسألوا من ناحيتها، 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يقرّ هذا الفهم عندهم ومن الروايات في هذا الباب … صحيحة معاوية بن عمار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الثياب السابرية يعملها المجوس وهم أخباث وهم يشربون الخمر ونساؤهم على تلك الحال ألبسها، ولا أغسلها وأصلي فيها؟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فقطعت له قميصاً وخطته وفتلت له أزراراً ورداءً من السابري، ثم بعثت بها إليه في يوم جمعة حين ارتفع النهار، فكأنه عرف ما أريد فخرج بها إلى الجمعة</w:t>
      </w:r>
      <w:r>
        <w:rPr>
          <w:rFonts w:eastAsia="IRNazanin" w:cs="IRNazanin"/>
          <w:color w:val="111111"/>
          <w:sz w:val="28"/>
          <w:szCs w:val="28"/>
          <w:rtl w:val="true"/>
          <w:lang w:bidi="fa-IR"/>
        </w:rPr>
        <w:t>)</w:t>
      </w:r>
      <w:r>
        <w:rPr>
          <w:rStyle w:val="FootnoteAnchor"/>
          <w:rtl w:val="true"/>
        </w:rPr>
        <w:footnoteReference w:id="643"/>
      </w:r>
    </w:p>
    <w:p>
      <w:pPr>
        <w:pStyle w:val="BookText"/>
        <w:rPr/>
      </w:pP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تطبيقاته أيضا ما جاء في الجزء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مسالة صوم المسافر ، اذ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ويرجّح المنع –على نحو ما قلناه في المرجح المساوي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من عدم صوم ثلاثة أيام المسنونة لكل شهر في السفر وقضائها لاحقاً وهي من أوضح الصوم المندوب، فلو كان جائزاً لكان صوم الثلاثة أيام أولى من </w:t>
      </w:r>
      <w:bookmarkStart w:id="735" w:name="pg8133_63083"/>
    </w:p>
    <w:p>
      <w:pPr>
        <w:pStyle w:val="BookText"/>
        <w:rPr/>
      </w:pPr>
      <w:bookmarkEnd w:id="735"/>
      <w:r>
        <w:rPr>
          <w:rFonts w:ascii="Amiri" w:hAnsi="Amiri" w:eastAsia="Amiri" w:cs="Amiri"/>
          <w:color w:val="111111"/>
          <w:sz w:val="28"/>
          <w:sz w:val="28"/>
          <w:szCs w:val="28"/>
          <w:rtl w:val="true"/>
          <w:lang w:bidi="ar-SA"/>
        </w:rPr>
        <w:t>مصاديقه، ومما ورد في ذلك موثقة</w:t>
      </w:r>
      <w:r>
        <w:rPr>
          <w:rStyle w:val="FootnoteAnchor"/>
          <w:rtl w:val="true"/>
        </w:rPr>
        <w:footnoteReference w:id="644"/>
      </w:r>
      <w:r>
        <w:rPr>
          <w:rFonts w:ascii="IRNazanin" w:hAnsi="IRNazanin" w:eastAsia="IRNazanin"/>
          <w:color w:val="111111"/>
          <w:sz w:val="28"/>
          <w:sz w:val="28"/>
          <w:szCs w:val="28"/>
          <w:rtl w:val="true"/>
          <w:lang w:bidi="fa-IR"/>
        </w:rPr>
        <w:t>عبد الله بن سنان في حديث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يصوم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صوماً وقد وقّته على نفسه أو يصوم من</w:t>
      </w:r>
      <w:r>
        <w:rPr>
          <w:rFonts w:eastAsia="IRNazanin" w:cs="IRNazanin"/>
          <w:color w:val="111111"/>
          <w:sz w:val="28"/>
          <w:szCs w:val="28"/>
          <w:rtl w:val="true"/>
          <w:lang w:bidi="fa-IR"/>
        </w:rPr>
        <w:t>)</w:t>
      </w:r>
      <w:r>
        <w:rPr>
          <w:rStyle w:val="FootnoteAnchor"/>
          <w:rtl w:val="true"/>
        </w:rPr>
        <w:footnoteReference w:id="645"/>
      </w:r>
    </w:p>
    <w:p>
      <w:pPr>
        <w:pStyle w:val="BookText"/>
        <w:rPr/>
      </w:pPr>
      <w:r>
        <w:rPr>
          <w:rFonts w:ascii="Amiri" w:hAnsi="Amiri" w:eastAsia="Amiri" w:cs="Amiri"/>
          <w:color w:val="111111"/>
          <w:sz w:val="28"/>
          <w:sz w:val="28"/>
          <w:szCs w:val="28"/>
          <w:rtl w:val="true"/>
          <w:lang w:bidi="ar-SA"/>
        </w:rPr>
        <w:t>أشهر الحرم فيمر به الشهر والشهران، يقضيه؟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يصوم في السفر ولا يقضي شيئاً من صوم التطوع إلا الثلاثة الأيام التي كان يصومها في كل شهر، ولا يجعلها بمنزلة الواجب إلا أني أحب لك أن تدوم على العمل الصالح</w:t>
      </w:r>
      <w:r>
        <w:rPr>
          <w:rFonts w:eastAsia="Amiri" w:cs="Amiri" w:ascii="Amiri" w:hAnsi="Amiri"/>
          <w:color w:val="111111"/>
          <w:sz w:val="28"/>
          <w:szCs w:val="28"/>
          <w:rtl w:val="true"/>
          <w:lang w:bidi="ar-SA"/>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36" w:name="__RefHeading___Toc8193505_1051229030"/>
      <w:bookmarkStart w:id="737" w:name="_Toc264"/>
      <w:bookmarkEnd w:id="736"/>
      <w:r>
        <w:rPr>
          <w:rtl w:val="true"/>
        </w:rPr>
        <w:t>المسألة الرابعة</w:t>
      </w:r>
      <w:r>
        <w:rPr>
          <w:rtl w:val="true"/>
        </w:rPr>
        <w:t xml:space="preserve">: </w:t>
      </w:r>
      <w:r>
        <w:rPr>
          <w:rtl w:val="true"/>
        </w:rPr>
        <w:t>تقديم المرجح المساوي على مرجحات باب التعارض</w:t>
      </w:r>
      <w:r>
        <w:rPr>
          <w:rtl w:val="true"/>
        </w:rPr>
        <w:t>.</w:t>
      </w:r>
      <w:bookmarkEnd w:id="737"/>
    </w:p>
    <w:p>
      <w:pPr>
        <w:pStyle w:val="BookText"/>
        <w:rPr/>
      </w:pPr>
      <w:r>
        <w:rPr>
          <w:rFonts w:ascii="Amiri" w:hAnsi="Amiri" w:eastAsia="Amiri" w:cs="Amiri"/>
          <w:color w:val="111111"/>
          <w:sz w:val="28"/>
          <w:sz w:val="28"/>
          <w:szCs w:val="28"/>
          <w:rtl w:val="true"/>
          <w:lang w:bidi="ar-SA"/>
        </w:rPr>
        <w:t xml:space="preserve">بما ان نتيجة المرجح المساوي هو العمل بكلا الدليلين المتعارضين بتأويلهما فهذا يعني انه دليل خاص يعالج التعارض ويحله ؛ ولذا فانه يقدم على مرجحات باب التعارض ؛ ومن ثَمَ قال سماحة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الجزء الخامس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مسالة ما تجب فيه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كررناه في ترتيب أساليب حل التعارض والجمع بين الروايات وتتقدمها رتبة الدليل الخاص وهو موجود في المقام، وكذا الجمع العرفي وكلاهما متقدمان على الحمل على التقية ونحوها من المرجحات فلا تصل النوبة إليها</w:t>
      </w:r>
      <w:r>
        <w:rPr>
          <w:rFonts w:eastAsia="Amiri" w:cs="Amiri" w:ascii="Amiri" w:hAnsi="Amiri"/>
          <w:color w:val="111111"/>
          <w:sz w:val="28"/>
          <w:szCs w:val="28"/>
          <w:rtl w:val="true"/>
          <w:lang w:bidi="ar-SA"/>
        </w:rPr>
        <w:t>.</w:t>
      </w:r>
    </w:p>
    <w:p>
      <w:pPr>
        <w:pStyle w:val="Heading6"/>
        <w:numPr>
          <w:ilvl w:val="5"/>
          <w:numId w:val="1"/>
        </w:numPr>
        <w:rPr/>
      </w:pPr>
      <w:bookmarkStart w:id="738" w:name="__RefHeading___Toc8193507_1051229030"/>
      <w:bookmarkStart w:id="739" w:name="_Toc265"/>
      <w:bookmarkEnd w:id="738"/>
      <w:r>
        <w:rPr>
          <w:rtl w:val="true"/>
        </w:rPr>
        <w:t>المسألة الخامسة</w:t>
      </w:r>
      <w:r>
        <w:rPr>
          <w:rtl w:val="true"/>
        </w:rPr>
        <w:t xml:space="preserve">: </w:t>
      </w:r>
      <w:r>
        <w:rPr>
          <w:rtl w:val="true"/>
        </w:rPr>
        <w:t>تعارض الشرطيتين بالعموم من وجه</w:t>
      </w:r>
      <w:r>
        <w:rPr>
          <w:rtl w:val="true"/>
        </w:rPr>
        <w:t>.</w:t>
      </w:r>
      <w:bookmarkEnd w:id="739"/>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ناقش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الجزء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w:t>
      </w:r>
    </w:p>
    <w:p>
      <w:pPr>
        <w:pStyle w:val="BookText"/>
        <w:rPr/>
      </w:pPr>
      <w:r>
        <w:rPr>
          <w:rFonts w:ascii="Amiri" w:hAnsi="Amiri" w:eastAsia="Amiri" w:cs="Amiri"/>
          <w:color w:val="111111"/>
          <w:sz w:val="28"/>
          <w:sz w:val="28"/>
          <w:szCs w:val="28"/>
          <w:rtl w:val="true"/>
          <w:lang w:bidi="ar-SA"/>
        </w:rPr>
        <w:t>بعدها مسالة سفر الصائم بعد الزوال ، وكان القول الأول في المسالة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الزوال فان خرج قبله افطر ، وان خرج بعده صام ؛ استنادا الى روايات اسماها روايات 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كان القول الثاني اعتبار تبييت النية وقصد السفر قبل الفجر فان بيتها وجب الإفطار في اَي وقت خرج والا فيصوم ، واستند هذا القول الى روايات اسماها بروايات الطائفة الثانية ، وكانت هناك أقوال أخرى في المسالة 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هذان القولان المستندان الى الطائفتين ، فقد عرض سماحته عدة محاولات للجمع بينها ، وفي المحاولة الثانية طرح عدة اشكال للجمع و في الرابع منها بيّن انه في حالة تعارض احد المنطوقين مع المفهوم المستظهر من الاخر وبالعكس يجمع بينهما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اذا صرح بالمفهوم فلا ، اذ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بكلتا الطائفتين والأخذ بكلا الشرطين للإفطار على نحو البدلية أي بالجمع بينهما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إليه صاحب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فيكفي تبييت النية أو الخروج قبل الزوال للزوم الإفطار، نظير ما قيل في الأخذ بعلامتي حد الترخص وهما خفاء الجدران وخفاء الأذان فيكتفى بتحقق أحدهما، جمعاً بين دليلي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خفي الأذان فقصّر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خفيت الجدران فقصّر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النحو من الجمع إنما يمكن الأخذ به لو كان كلٌ من الدليلين متكفلاً ببيان أحد جزئي الحكم ويؤخذ الآخر من المفهوم كما في مثال حد الترخص، فيُقيَّد مفهوم كل منهما بمنطوق الآخر</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 المقام فإن كلاً من جزئي الحكم مبيَّن في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خرج قبل الزوال أفطر، وإذا خرج بعد الزوال أتم صومه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بيّت نية السفر أفطر، وإذا لم يبيّت أتم صومه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ظاهر في كون هذا الشرط سبباً وحيداً للإفطار والصوم لجعله وحده المناط فيهما نفياً وإثباتاً، فلا يقبل الجمعمع </w:t>
      </w:r>
    </w:p>
    <w:p>
      <w:pPr>
        <w:pStyle w:val="BookText"/>
        <w:rPr/>
      </w:pPr>
      <w:r>
        <w:rPr>
          <w:rFonts w:ascii="Amiri" w:hAnsi="Amiri" w:eastAsia="Amiri" w:cs="Amiri"/>
          <w:color w:val="111111"/>
          <w:sz w:val="28"/>
          <w:sz w:val="28"/>
          <w:szCs w:val="28"/>
          <w:rtl w:val="true"/>
          <w:lang w:bidi="ar-SA"/>
        </w:rPr>
        <w:t>أي سبب آخر، وإذا ورد دليل على سبب آخر فيكون معارضاً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الشكل الخامس من اشكال الجمع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بكلا الشرطين في جانب الإفطار أيضاً ولكن بضمهما وجمعهما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ويكون كل منهما جزء السبب، فيكون شرط الإفطار تبييت النية والخروج قبل الزوال معاً، فإذا تخلّف أحدهما أو كلاهما وجب إتمام الصوم، وهو قول مدرسة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المبسوط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مثل هذه الأشكال من الجمع ما عُبِّر عنه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مهما أمكن أولى من الطرح</w:t>
      </w:r>
      <w:r>
        <w:rPr>
          <w:rFonts w:eastAsia="Amiri" w:cs="Amiri" w:ascii="Amiri" w:hAnsi="Amiri"/>
          <w:color w:val="111111"/>
          <w:sz w:val="28"/>
          <w:szCs w:val="28"/>
          <w:rtl w:val="true"/>
          <w:lang w:bidi="ar-SA"/>
        </w:rPr>
        <w:t>)</w:t>
      </w:r>
      <w:r>
        <w:rPr>
          <w:rStyle w:val="FootnoteAnchor"/>
          <w:rtl w:val="true"/>
        </w:rPr>
        <w:footnoteReference w:id="647"/>
      </w:r>
      <w:r>
        <w:rPr>
          <w:rFonts w:ascii="IRNazanin" w:hAnsi="IRNazanin" w:eastAsia="IRNazanin"/>
          <w:color w:val="111111"/>
          <w:sz w:val="28"/>
          <w:sz w:val="28"/>
          <w:szCs w:val="28"/>
          <w:rtl w:val="true"/>
          <w:lang w:bidi="fa-IR"/>
        </w:rPr>
        <w:t xml:space="preserve">ونحوه من الحرص على العمل بما صحّ من روايات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والتوفيق بينها بما يمكن من المحامل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مهما أمكن أولى من الطرح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محكومة بقواعد الجمع من كونه عرفياً جارياً لدى أهل المحاورة ومستنداً إلى قرائن، ولا يصح أي جمع ولو كان تبرعياً، والجمع المذكور مما تأباه نصوص الطائفتين؛ لأن كلاً من الشرطين قد ذُكر بجزئيه نفياً وإثباتاً، وهو ظاهر في كون هذا الشرط سبباً تاماً للإفطار والصوم، ولا يقبل الانضمام إلى أي سبب آخر، كالذي قلناه عن الجمع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وإذا ورد دليل على سبب آخر فيكون معارضاً له، نعم لو ذُكر أحد شقّي الشرط وحُصِّل الآخر من المفهوم أمكن فرض تقييد مفهوم كل منهما بمنطوق الآخر</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أصحاب هذا القول لم يبيّنوا لنا الوجه في اختيار الجمع بين السببين في جانب الإفطار، ولم يجمعوا بينهما في جانب الصوم فيشترطون الخروج بعد الزوال وعدم تبييت النية معاً لوجوب إتمام </w:t>
      </w:r>
    </w:p>
    <w:p>
      <w:pPr>
        <w:pStyle w:val="BookText"/>
        <w:rPr/>
      </w:pPr>
      <w:r>
        <w:rPr>
          <w:rFonts w:ascii="Amiri" w:hAnsi="Amiri" w:eastAsia="Amiri" w:cs="Amiri"/>
          <w:color w:val="111111"/>
          <w:sz w:val="28"/>
          <w:sz w:val="28"/>
          <w:szCs w:val="28"/>
          <w:rtl w:val="true"/>
          <w:lang w:bidi="ar-SA"/>
        </w:rPr>
        <w:t>الصوم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وتظهر الثمرة في تخلف أحدهما، فعلى ما قالوه يلزم إتمام الصوم، وعلى الآخر يلزم الإفطار، وكلا الشقين منصوصان، ولا وجه لتقديم أحد اللحاظين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بيّن في الجزء السادس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علاج التعارض بين الروايات في مسالة زواج المرأة في عدتها ، ان تعارض منطوق الدليل مع المفهوم المستظهر من الاخر وبالعكس يجمع بينهما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اذ قال</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والصحيح في الجمع بحسب ما يفهمه العرف أن يأخذ بالجزء الايجابي من كل من الطائفتين ويقيد الجزء السلبي من كل منهما بالجزء الايجابي من الآخر كما لو لم يبين في المنطوق وإنما أخذ من المفهوم، فالطائفة الثالثة تؤول إلى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تحقق الدخول تحرم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والطائفة الرابعة تؤول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تحقق العلم تحرم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مثلها تكون نتيجة الجمع بين السببين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تحقق الدخول أو العلم فتحرم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الجمع بين خطابي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خفيت الجدران فقصر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خفي الآذان فقصر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الموجب للحرمة احد الأمرين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الدخول،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انضمامهما، وتكون حينئذٍ ثلاث حالات محرمة هي حالة اجتماعهما أو وجود أحدهما وحالة غير محرمة وهي صورة انتفائهما معاً وهو مضمون الطائفة الخامسة الآتية، ولحن الروايات لا يأبى ذلك فصحيحة علي بن جعفر في الطائفة الثالثة التي قالت بالحلية في صورة عدم الدخول يلوح منها جهل المرأة فإنها اعتدّت بوضع الحمل ولم تكن تعلم أن عدة الوفاة ليست كعدة الطلاق وان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وَأُوْلاتُ الأَحْمَالِ أَجَلُهُنَّ أَن يَضَعْنَ حَمْلَهُنَّ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بعدة الطلاق أما الوفاة فعدتها ابعد الأجلين</w:t>
      </w:r>
      <w:r>
        <w:rPr>
          <w:rFonts w:eastAsia="Amiri" w:cs="Amiri" w:ascii="Amiri" w:hAnsi="Amiri"/>
          <w:color w:val="111111"/>
          <w:sz w:val="28"/>
          <w:szCs w:val="28"/>
          <w:rtl w:val="true"/>
          <w:lang w:bidi="ar-SA"/>
        </w:rPr>
        <w:t xml:space="preserve">. </w:t>
      </w:r>
      <w:bookmarkStart w:id="740" w:name="pg8133_63087"/>
    </w:p>
    <w:p>
      <w:pPr>
        <w:pStyle w:val="BookText"/>
        <w:rPr/>
      </w:pPr>
      <w:bookmarkEnd w:id="740"/>
      <w:r>
        <w:rPr>
          <w:rFonts w:ascii="Amiri" w:hAnsi="Amiri" w:eastAsia="Amiri" w:cs="Amiri"/>
          <w:color w:val="111111"/>
          <w:sz w:val="28"/>
          <w:sz w:val="28"/>
          <w:szCs w:val="28"/>
          <w:rtl w:val="true"/>
          <w:lang w:bidi="ar-SA"/>
        </w:rPr>
        <w:t xml:space="preserve">كما جاء في الجزء العاشر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مسالة التذكية بمكائن الذبح الحديثة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عنه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بالأصول والقواعد المتبعة باعتبار أنه إذا وردت قضيتان شرطيتان منفصلتان بينهما عموم منوجه فإنه يقيد مفهوم كل منهما بمنطوق الأخرى التقييد المعبّر عنه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وبتعبير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القواعد المتبعة في مثل المقام أي حينما ترد علامتان منفصلتان لموضوع معين في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هنا ما يدل على كون الحيوان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يجمع بينهما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علامتي حد الترخّص</w:t>
      </w:r>
      <w:r>
        <w:rPr>
          <w:rFonts w:eastAsia="Amiri" w:cs="Amiri" w:ascii="Amiri" w:hAnsi="Amiri"/>
          <w:color w:val="111111"/>
          <w:sz w:val="28"/>
          <w:szCs w:val="28"/>
          <w:rtl w:val="true"/>
          <w:lang w:bidi="ar-SA"/>
        </w:rPr>
        <w:t>.</w:t>
      </w:r>
    </w:p>
    <w:p>
      <w:pPr>
        <w:pStyle w:val="Heading6"/>
        <w:numPr>
          <w:ilvl w:val="5"/>
          <w:numId w:val="1"/>
        </w:numPr>
        <w:rPr/>
      </w:pPr>
      <w:bookmarkStart w:id="741" w:name="__RefHeading___Toc8193509_1051229030"/>
      <w:bookmarkStart w:id="742" w:name="_Toc266"/>
      <w:bookmarkEnd w:id="741"/>
      <w:r>
        <w:rPr>
          <w:rtl w:val="true"/>
        </w:rPr>
        <w:t>المسألة السادسة</w:t>
      </w:r>
      <w:r>
        <w:rPr>
          <w:rtl w:val="true"/>
        </w:rPr>
        <w:t xml:space="preserve">: </w:t>
      </w:r>
      <w:r>
        <w:rPr>
          <w:rtl w:val="true"/>
        </w:rPr>
        <w:t>الجمع أولى من الطرح</w:t>
      </w:r>
      <w:r>
        <w:rPr>
          <w:rtl w:val="true"/>
        </w:rPr>
        <w:t>.</w:t>
      </w:r>
      <w:bookmarkEnd w:id="742"/>
    </w:p>
    <w:p>
      <w:pPr>
        <w:pStyle w:val="BookText"/>
        <w:rPr/>
      </w:pPr>
      <w:r>
        <w:rPr>
          <w:rFonts w:ascii="Amiri" w:hAnsi="Amiri" w:eastAsia="Amiri" w:cs="Amiri"/>
          <w:color w:val="111111"/>
          <w:sz w:val="28"/>
          <w:sz w:val="28"/>
          <w:szCs w:val="28"/>
          <w:rtl w:val="true"/>
          <w:lang w:bidi="ar-SA"/>
        </w:rPr>
        <w:t xml:space="preserve">تقدم في المسألة السابقة ان الجمع بين الروايات أولى من طرح بعضها ، ولكن بشرط ان يكون هذا الجمع عرفيا ، وقد ذكر سماحة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القاعدة في الجزء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مسالة صلاة الرجل والمرأة متحاذيين ، مضيفًا ان الجمع الذي لا يستلزم طرح اَي رواية أولى من الجمع الذي يستلزم طرح بعض الروايات ، اذ قال</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وأفاد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مرجحاً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لأدلة الجواز زائداً على الأصل والإطلاقات والشهرة المتأخرة وغير ذلك مما عرفته، وهو أنه بناءً على العمل بها يتجه حمل نصوص المنع على الكراهة التي هي مجاز شائع حتى ادعي مساواته للحقيقة، بخلاف العكس المقتضي لطرح أدلة الجواز التي هي أكثر عدداً وأوضح سنداً بل ودلالة</w:t>
      </w:r>
      <w:r>
        <w:rPr>
          <w:rFonts w:eastAsia="Amiri" w:cs="Amiri" w:ascii="Amiri" w:hAnsi="Amiri"/>
          <w:color w:val="111111"/>
          <w:sz w:val="28"/>
          <w:szCs w:val="28"/>
          <w:rtl w:val="true"/>
          <w:lang w:bidi="ar-SA"/>
        </w:rPr>
        <w:t>»</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 xml:space="preserve">. </w:t>
      </w:r>
      <w:bookmarkStart w:id="743" w:name="pg8133_63088"/>
    </w:p>
    <w:p>
      <w:pPr>
        <w:pStyle w:val="BookText"/>
        <w:rPr/>
      </w:pPr>
      <w:bookmarkEnd w:id="743"/>
      <w:r>
        <w:rPr>
          <w:rFonts w:ascii="Amiri" w:hAnsi="Amiri" w:eastAsia="Amiri" w:cs="Amiri"/>
          <w:color w:val="111111"/>
          <w:sz w:val="28"/>
          <w:sz w:val="28"/>
          <w:szCs w:val="28"/>
          <w:rtl w:val="true"/>
          <w:lang w:bidi="ar-SA"/>
        </w:rPr>
        <w:t>وفيه عدة تعليقات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الجمع الذي ذكرناه لم يستلزم طرح أدلة الجواز وإنما استظهرنا منها معاني لا تنافي ما اخترناه فهو أولى من الجمع الذي اختاره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أدلة الجواز ليست كما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Heading6"/>
        <w:numPr>
          <w:ilvl w:val="5"/>
          <w:numId w:val="1"/>
        </w:numPr>
        <w:rPr/>
      </w:pPr>
      <w:bookmarkStart w:id="744" w:name="__RefHeading___Toc8193511_1051229030"/>
      <w:bookmarkStart w:id="745" w:name="_Toc267"/>
      <w:bookmarkEnd w:id="744"/>
      <w:r>
        <w:rPr>
          <w:rtl w:val="true"/>
        </w:rPr>
        <w:t>المسألة السابعة</w:t>
      </w:r>
      <w:r>
        <w:rPr>
          <w:rtl w:val="true"/>
        </w:rPr>
        <w:t xml:space="preserve">: </w:t>
      </w:r>
      <w:r>
        <w:rPr>
          <w:rtl w:val="true"/>
        </w:rPr>
        <w:t>حمل الظاهر على النص</w:t>
      </w:r>
      <w:r>
        <w:rPr>
          <w:rtl w:val="true"/>
        </w:rPr>
        <w:t>.</w:t>
      </w:r>
      <w:bookmarkEnd w:id="745"/>
    </w:p>
    <w:p>
      <w:pPr>
        <w:pStyle w:val="BookText"/>
        <w:rPr/>
      </w:pPr>
      <w:r>
        <w:rPr>
          <w:rFonts w:ascii="Amiri" w:hAnsi="Amiri" w:eastAsia="Amiri" w:cs="Amiri"/>
          <w:color w:val="111111"/>
          <w:sz w:val="28"/>
          <w:sz w:val="28"/>
          <w:szCs w:val="28"/>
          <w:rtl w:val="true"/>
          <w:lang w:bidi="ar-SA"/>
        </w:rPr>
        <w:t>اذا تعارض دليلان ولكن كان احدهما نصا في معناه بينما كان الآخر ظاهرًا ، فان العرف يحمل الظاهر على النص ، كما لو كان عندنا دليل نص في الإباحة ، واخر ظاهر في المنع فنحمل الثاني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تطبيقات هذه المسالة ما جاء في الجزء السادس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مسالة حكم العقد المنقطع على الباكر دون اذن وليها ، اذ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حمل روايات المنع على الكراهة وهو مقتضى القاعدة عند اجتماعها مع ما يدل على الجواز ويدعم هذا الاتجاه روايات عديدة 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 ينفر أصحابه عن الزواج المنقطع ففي صحيحة علي بن يقطين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المتعة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وذاك قد أغناك الله عنها</w:t>
      </w:r>
      <w:r>
        <w:rPr>
          <w:rFonts w:eastAsia="IRNazanin" w:cs="IRNazanin"/>
          <w:color w:val="111111"/>
          <w:sz w:val="28"/>
          <w:szCs w:val="28"/>
          <w:rtl w:val="true"/>
          <w:lang w:bidi="fa-IR"/>
        </w:rPr>
        <w:t>)</w:t>
      </w:r>
      <w:r>
        <w:rPr>
          <w:rStyle w:val="FootnoteAnchor"/>
          <w:rtl w:val="true"/>
        </w:rPr>
        <w:footnoteReference w:id="649"/>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وكانوا ينهون أصحابهم عن الإلحاح في المتعة لما يترتب على ذلك من محاذير أخلاقية واجتماعية ويطلبون منهم الاكتفاء بها ضمن الموارد التي ذكروا فيها مصالح معينة فقد كتب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بعض مواليه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تلحّوا على المتعة إنما عليكم إقامة السنة فلا تشتغلوا بها عن فرشكم </w:t>
      </w:r>
      <w:bookmarkStart w:id="746" w:name="pg8133_63089"/>
    </w:p>
    <w:p>
      <w:pPr>
        <w:pStyle w:val="BookText"/>
        <w:rPr/>
      </w:pPr>
      <w:bookmarkEnd w:id="746"/>
      <w:r>
        <w:rPr>
          <w:rFonts w:ascii="Amiri" w:hAnsi="Amiri" w:eastAsia="Amiri" w:cs="Amiri"/>
          <w:color w:val="111111"/>
          <w:sz w:val="28"/>
          <w:sz w:val="28"/>
          <w:szCs w:val="28"/>
          <w:rtl w:val="true"/>
          <w:lang w:bidi="ar-SA"/>
        </w:rPr>
        <w:t>وحرائركم فيكفرن ويتبرّين ويدعين على الآمر بذلك ويلعنونا</w:t>
      </w:r>
      <w:r>
        <w:rPr>
          <w:rFonts w:eastAsia="Amiri" w:cs="Amiri" w:ascii="Amiri" w:hAnsi="Amiri"/>
          <w:color w:val="111111"/>
          <w:sz w:val="28"/>
          <w:szCs w:val="28"/>
          <w:rtl w:val="true"/>
          <w:lang w:bidi="ar-SA"/>
        </w:rPr>
        <w:t>)</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وعن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في المتعة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دعوها أما يستحيي أحدكم أن يُرى في موضع العورة فيحمل ذلك على صالحي إخوانه وأصحابه</w:t>
      </w:r>
      <w:r>
        <w:rPr>
          <w:rFonts w:eastAsia="IRNazanin" w:cs="IRNazanin"/>
          <w:color w:val="111111"/>
          <w:sz w:val="28"/>
          <w:szCs w:val="28"/>
          <w:rtl w:val="true"/>
          <w:lang w:bidi="fa-IR"/>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47" w:name="__RefHeading___Toc8193513_1051229030"/>
      <w:bookmarkStart w:id="748" w:name="_Toc268"/>
      <w:bookmarkEnd w:id="747"/>
      <w:r>
        <w:rPr>
          <w:rtl w:val="true"/>
        </w:rPr>
        <w:t>المسألة الثامنة</w:t>
      </w:r>
      <w:r>
        <w:rPr>
          <w:rtl w:val="true"/>
        </w:rPr>
        <w:t xml:space="preserve">: </w:t>
      </w:r>
      <w:r>
        <w:rPr>
          <w:rtl w:val="true"/>
        </w:rPr>
        <w:t>الحكومة</w:t>
      </w:r>
      <w:r>
        <w:rPr>
          <w:rtl w:val="true"/>
        </w:rPr>
        <w:t>.</w:t>
      </w:r>
      <w:bookmarkEnd w:id="748"/>
    </w:p>
    <w:p>
      <w:pPr>
        <w:pStyle w:val="BookText"/>
        <w:rPr/>
      </w:pPr>
      <w:r>
        <w:rPr>
          <w:rFonts w:ascii="Amiri" w:hAnsi="Amiri" w:eastAsia="Amiri" w:cs="Amiri"/>
          <w:color w:val="111111"/>
          <w:sz w:val="28"/>
          <w:sz w:val="28"/>
          <w:szCs w:val="28"/>
          <w:rtl w:val="true"/>
          <w:lang w:bidi="ar-SA"/>
        </w:rPr>
        <w:t>للحكومة معنى اصطلاحي خاص واخر اعم ، فالمراد من الحكومة في علم الأصول تقديم احد الدليلين على الاخر ، فاذا كان ملاك التقديم نظر الدليل الحاكم الى المحكوم كانت حكومة بالمعنى الإصلاحي ، ولكن قد يطلق لفظ الحكومة ويراد به تقديم الخاص على العام او المطلق على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بيّن سماحة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الاصطلاحي للحكومة في الجزء الخامس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مسالة زكاة أموال الصغير ، اذ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الحكومة، قال المحقق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العمومات فيجب تخصيصها بالمستفيضة المصرحة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مال اليتيم 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الحاكمة على تلك العمومات وكون النسبة بين الأخبار النافية وبين العمومات المثبتة الواردة في كل نوع من الأجناس كالغلات والمواشي وغيرهما العموم وجه غير قادح بعد ما أشرنا إليه من حكومة تلك الأخبار على الأدلة المثبتة ولذا لا يتوهم أحد ممن سمع بهذه الأخبار المعارضة بينهما</w:t>
      </w:r>
      <w:r>
        <w:rPr>
          <w:rFonts w:eastAsia="Amiri" w:cs="Amiri" w:ascii="Amiri" w:hAnsi="Amiri"/>
          <w:color w:val="111111"/>
          <w:sz w:val="28"/>
          <w:szCs w:val="28"/>
          <w:rtl w:val="true"/>
          <w:lang w:bidi="ar-SA"/>
        </w:rPr>
        <w:t>»</w:t>
      </w:r>
      <w:r>
        <w:rPr>
          <w:rStyle w:val="FootnoteAnchor"/>
          <w:rtl w:val="true"/>
        </w:rPr>
        <w:footnoteReference w:id="652"/>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وأيده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سلّمنا أن النسبة عموم من وجه، </w:t>
      </w:r>
    </w:p>
    <w:p>
      <w:pPr>
        <w:pStyle w:val="BookText"/>
        <w:rPr/>
      </w:pPr>
      <w:r>
        <w:rPr>
          <w:rFonts w:ascii="Amiri" w:hAnsi="Amiri" w:eastAsia="Amiri" w:cs="Amiri"/>
          <w:color w:val="111111"/>
          <w:sz w:val="28"/>
          <w:sz w:val="28"/>
          <w:szCs w:val="28"/>
          <w:rtl w:val="true"/>
          <w:lang w:bidi="ar-SA"/>
        </w:rPr>
        <w:t>كان الترجيح مع هذه الرواية لأنها بلسان الحكومة كما لا يخفى</w:t>
      </w:r>
      <w:r>
        <w:rPr>
          <w:rFonts w:eastAsia="Amiri" w:cs="Amiri" w:ascii="Amiri" w:hAnsi="Amiri"/>
          <w:color w:val="111111"/>
          <w:sz w:val="28"/>
          <w:szCs w:val="28"/>
          <w:rtl w:val="true"/>
          <w:lang w:bidi="ar-SA"/>
        </w:rPr>
        <w:t>»</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أرادا الحكومة بمعناها المصطلح فليس لسان الدليل النافي لسان حكومة؛ لأن الحكومة تعني نظر الدليل الحاكم إلى موضوع الدليل المحكوم بصورة غير مباشرة كما يقال، وذلك بأن يُنظر إلى حيثية لم يتعرض لها دليل المحكوم، لكنها تتصرف في موضوعه، ونكتة التقدم أن الحاكم سيكون بمنزلة الشارح للمراد من المحكوم، بل يكون كالمصحح لما يفهمه المتلقي من دليل المحكوم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المتلقي يعتقد وجوب إكرام كل عالم، فإذا ورد دليل آخر يقول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الفاسق ليس بعالم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النسّابة ليس بعالم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المتقي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بيان لمراد المتكلم وتصحيح لفهم المتلقي توسيعاً أو تضييقاً، ويتصرف في موضوع الدليل المحكوم من دون أن يتعرض لنفس قضيته وهو وجوب الإكرام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النكتة غير موجودة هنا لأن دليل النفي يتعرض لنفس قضية دليل الإثبات وهي الزكاة على مال اليتيم، نعم لو كان لسان الدليل النافي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الصغير لا 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فإنه سيكون مورداً للحكومة؛ لأن الزكاة لا تجب إلا في الملك، أو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اليتيم 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 الحكومة لأن الموضوع هو اليتيم وليس المال فتكون الحيثية الملحوظة في الحاكم غيرها في المحكوم</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أرادا من الحكومة معناها العام أي مطلق تصرف الحاكم بالمحكوم فيشمل التخصيص وغيره، فهو صحيح ويمكن انطباقه على بعض الوجوه الآتية</w:t>
      </w:r>
      <w:r>
        <w:rPr>
          <w:rFonts w:eastAsia="Amiri" w:cs="Amiri" w:ascii="Amiri" w:hAnsi="Amiri"/>
          <w:color w:val="111111"/>
          <w:sz w:val="28"/>
          <w:szCs w:val="28"/>
          <w:rtl w:val="true"/>
          <w:lang w:bidi="ar-SA"/>
        </w:rPr>
        <w:t xml:space="preserve">. </w:t>
      </w:r>
      <w:bookmarkStart w:id="749" w:name="pg8133_63091"/>
    </w:p>
    <w:p>
      <w:pPr>
        <w:pStyle w:val="Heading6"/>
        <w:numPr>
          <w:ilvl w:val="5"/>
          <w:numId w:val="1"/>
        </w:numPr>
        <w:rPr/>
      </w:pPr>
      <w:bookmarkStart w:id="750" w:name="__RefHeading___Toc8193515_1051229030"/>
      <w:bookmarkStart w:id="751" w:name="_Toc269"/>
      <w:bookmarkEnd w:id="749"/>
      <w:bookmarkEnd w:id="750"/>
      <w:r>
        <w:rPr>
          <w:rtl w:val="true"/>
        </w:rPr>
        <w:t>المسألة التاسعة</w:t>
      </w:r>
      <w:r>
        <w:rPr>
          <w:rtl w:val="true"/>
        </w:rPr>
        <w:t xml:space="preserve">: </w:t>
      </w:r>
      <w:r>
        <w:rPr>
          <w:rtl w:val="true"/>
        </w:rPr>
        <w:t>تقدم المانع على المقتضي</w:t>
      </w:r>
      <w:r>
        <w:rPr>
          <w:rtl w:val="true"/>
        </w:rPr>
        <w:t>.</w:t>
      </w:r>
      <w:bookmarkEnd w:id="751"/>
    </w:p>
    <w:p>
      <w:pPr>
        <w:pStyle w:val="BookText"/>
        <w:rPr/>
      </w:pPr>
      <w:r>
        <w:rPr>
          <w:rFonts w:ascii="Amiri" w:hAnsi="Amiri" w:eastAsia="Amiri" w:cs="Amiri"/>
          <w:color w:val="111111"/>
          <w:sz w:val="28"/>
          <w:sz w:val="28"/>
          <w:szCs w:val="28"/>
          <w:rtl w:val="true"/>
          <w:lang w:bidi="ar-SA"/>
        </w:rPr>
        <w:t>من موارد الجمع العرفي التي لم يسلط الضوء عليها كثيرا تقديم المانع على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ورد دليلان يثبت احدهما الحكم لشيء بسبب وجود المقتضي بينما ينفي الاخر الحكم عن ذلك الشيء بسبب وجود المانع ، فلا يعد هذا تعارضا بنظر العرف ؛ لان المانع يقدم على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واعتبر الشيخ المنتظري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ثبوت الزكاة في مال اليتيم من تطبيقات هذه المسالة ، الا ان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وافق على كبرى تقديم المانع على المقتضي وناقش في التطبيق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هذا الكلام في الجزء الخامس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مسالة زكاة أموال الصغير ، اذ جاءفيه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المنتظري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لسان أدلة الزكاة لسان الاقتضاء للزكاة ولسان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زكاة في مال اليتيم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بيان المانع عنها، وفي أمثال ذلك يحكم العرف بتقديم الثاني، فيكون المراد أن اليتم مانع من تعلق الزكاة مطلقاً</w:t>
      </w:r>
      <w:r>
        <w:rPr>
          <w:rFonts w:eastAsia="Amiri" w:cs="Amiri" w:ascii="Amiri" w:hAnsi="Amiri"/>
          <w:color w:val="111111"/>
          <w:sz w:val="28"/>
          <w:szCs w:val="28"/>
          <w:rtl w:val="true"/>
          <w:lang w:bidi="ar-SA"/>
        </w:rPr>
        <w:t>»</w:t>
      </w:r>
      <w:r>
        <w:rPr>
          <w:rStyle w:val="FootnoteAnchor"/>
          <w:rtl w:val="true"/>
        </w:rPr>
        <w:footnoteReference w:id="654"/>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وجود المال مقتضٍ للزكاة، واليتم مانع عنها وفي أمثال ذلك يقدَّم الدليل المانع عرفاً، فهذا جمع عرفي يحكم به العرف بمناسبة الحكم والموضوع</w:t>
      </w:r>
      <w:r>
        <w:rPr>
          <w:rFonts w:eastAsia="Amiri" w:cs="Amiri" w:ascii="Amiri" w:hAnsi="Amiri"/>
          <w:color w:val="111111"/>
          <w:sz w:val="28"/>
          <w:szCs w:val="28"/>
          <w:rtl w:val="true"/>
          <w:lang w:bidi="ar-SA"/>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الكبرى تامة إذ لا شك في تقديم المانع على المقتضي ومنعه من التأثير، لكن كون العلاقة بين الدليلين كما بين المقتضي والمانع محل النزاع بشهادة النقض الذي ذكرناه آنفاً</w:t>
      </w:r>
      <w:r>
        <w:rPr>
          <w:rFonts w:eastAsia="Amiri" w:cs="Amiri" w:ascii="Amiri" w:hAnsi="Amiri"/>
          <w:color w:val="111111"/>
          <w:sz w:val="28"/>
          <w:szCs w:val="28"/>
          <w:rtl w:val="true"/>
          <w:lang w:bidi="ar-SA"/>
        </w:rPr>
        <w:t xml:space="preserve">. </w:t>
      </w:r>
      <w:bookmarkStart w:id="752" w:name="pg8133_63092"/>
    </w:p>
    <w:p>
      <w:pPr>
        <w:pStyle w:val="Heading6"/>
        <w:numPr>
          <w:ilvl w:val="5"/>
          <w:numId w:val="1"/>
        </w:numPr>
        <w:rPr/>
      </w:pPr>
      <w:bookmarkStart w:id="753" w:name="__RefHeading___Toc8193517_1051229030"/>
      <w:bookmarkStart w:id="754" w:name="_Toc270"/>
      <w:bookmarkEnd w:id="752"/>
      <w:bookmarkEnd w:id="753"/>
      <w:r>
        <w:rPr>
          <w:rtl w:val="true"/>
        </w:rPr>
        <w:t>المسألة العاشرة</w:t>
      </w:r>
      <w:r>
        <w:rPr>
          <w:rtl w:val="true"/>
        </w:rPr>
        <w:t xml:space="preserve">: </w:t>
      </w:r>
      <w:r>
        <w:rPr>
          <w:rtl w:val="true"/>
        </w:rPr>
        <w:t>تعارض المطلقين في إطلاقهما</w:t>
      </w:r>
      <w:r>
        <w:rPr>
          <w:rtl w:val="true"/>
        </w:rPr>
        <w:t>.</w:t>
      </w:r>
      <w:bookmarkEnd w:id="754"/>
    </w:p>
    <w:p>
      <w:pPr>
        <w:pStyle w:val="BookText"/>
        <w:rPr/>
      </w:pPr>
      <w:r>
        <w:rPr>
          <w:rFonts w:ascii="Amiri" w:hAnsi="Amiri" w:eastAsia="Amiri" w:cs="Amiri"/>
          <w:color w:val="111111"/>
          <w:sz w:val="28"/>
          <w:sz w:val="28"/>
          <w:szCs w:val="28"/>
          <w:rtl w:val="true"/>
          <w:lang w:bidi="ar-SA"/>
        </w:rPr>
        <w:t xml:space="preserve">قد لا يكون هناك تنافٍ بين نفس مدلولي الدليلين ولكن يكون التنافي بين اطلاقيهما ، وفي هذه الحالة نرفع اليد عن اطلاق كل من الدليلين ، وهذا ما بيّنه سماحة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الجزء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مسالة صوم المسافر ، اذ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نجرّد كلا الطائفتين من إطلاقيهما، باعتبار أن من مقدمات الحكمة التي يثبت بها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البيان، وفي المقام تصلح كل طائفة بياناً يمنع من استمرار الإطلاق في المقدار الذي ينافي الطائفة الأخرى بعد أن انعقد ابتداءً لعدم ورود المقيِّد، فتكون كل قضية مهملة في هذا المقدار وتتحول إلى قضية موجبة جزئية بالقدر الذي لا يتنافى مع الطائفة الأولى، فمن سافر قبل الزوال أفطر ولكن ليس مطلقاً كما إذا لم يبيت وتكون ساكتة عن محل الاستثناء، ومن سافر بعد الزوال صام ولكنليس مطلقاً كما إذا بيّت حيث تكون مهملة في هذا المستثنى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من سافر قبل الزوال وبيّت النية أفطر جزماً، ومن سافر بعد الزوال ولم يبيت صام جزماً لأنهما قدر متيقن تشترك فيه الطائفتان، وبذلك يزول التعارض من أصله لزوال موضوعه وهو إطلاق الطائفتين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أن تقييد كل من الطائفتين بالأخرى محال للزوم التناقض، فهذا الوجه محال</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الوجه لا يُلزِم بتقييد كل من الطائفتين بالأخرى، بل يقف عند عدم الأخذ بإطلاقيهما، فبين الوجهين فرق، ولا توجد استحالة في ما ذكرناه</w:t>
      </w:r>
      <w:r>
        <w:rPr>
          <w:rFonts w:eastAsia="Amiri" w:cs="Amiri" w:ascii="Amiri" w:hAnsi="Amiri"/>
          <w:color w:val="111111"/>
          <w:sz w:val="28"/>
          <w:szCs w:val="28"/>
          <w:rtl w:val="true"/>
          <w:lang w:bidi="ar-SA"/>
        </w:rPr>
        <w:t xml:space="preserve">. </w:t>
      </w:r>
      <w:bookmarkStart w:id="755" w:name="pg8133_63093"/>
    </w:p>
    <w:p>
      <w:pPr>
        <w:pStyle w:val="Heading6"/>
        <w:numPr>
          <w:ilvl w:val="5"/>
          <w:numId w:val="1"/>
        </w:numPr>
        <w:rPr/>
      </w:pPr>
      <w:bookmarkStart w:id="756" w:name="__RefHeading___Toc8193519_1051229030"/>
      <w:bookmarkStart w:id="757" w:name="_Toc271"/>
      <w:bookmarkEnd w:id="755"/>
      <w:bookmarkEnd w:id="756"/>
      <w:r>
        <w:rPr>
          <w:rtl w:val="true"/>
        </w:rPr>
        <w:t>المسألة الحادية عشرة</w:t>
      </w:r>
      <w:r>
        <w:rPr>
          <w:rtl w:val="true"/>
        </w:rPr>
        <w:t xml:space="preserve">: </w:t>
      </w:r>
      <w:r>
        <w:rPr>
          <w:rtl w:val="true"/>
        </w:rPr>
        <w:t>انقلاب النسبة</w:t>
      </w:r>
      <w:r>
        <w:rPr>
          <w:rtl w:val="true"/>
        </w:rPr>
        <w:t>.</w:t>
      </w:r>
      <w:bookmarkEnd w:id="757"/>
    </w:p>
    <w:p>
      <w:pPr>
        <w:pStyle w:val="BookText"/>
        <w:rPr/>
      </w:pPr>
      <w:r>
        <w:rPr>
          <w:rFonts w:ascii="Amiri" w:hAnsi="Amiri" w:eastAsia="Amiri" w:cs="Amiri"/>
          <w:color w:val="111111"/>
          <w:sz w:val="28"/>
          <w:sz w:val="28"/>
          <w:szCs w:val="28"/>
          <w:rtl w:val="true"/>
          <w:lang w:bidi="ar-SA"/>
        </w:rPr>
        <w:t xml:space="preserve">من الأبحاث التي تناولها علم الأصول مبحث انقلاب النسبة بين الأدلة بمعنى انه لو كان هناك تعارض بين دليلين متباينين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 دليل مخصص للأول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علماء 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فقيل بان النسبة بين الأولين ستنقلب من التباين الى العموم والخصوص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ناقش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الكبرى في الجزء الحادي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مسالة ارث الزوجة من العقار ، اذ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كبرى انقلاب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عندنا ثلاث طوائف من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عمومات استحقاق الزوجة من كل ما ترك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حرمان الزوجة مطلقاً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مقطوعة ابن أذينة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حاول البعض الوصول إلى حكم التفصيل في الزوجة بين ذات الولد وغيرها بتطبيق كبرى انقلاب النسبة؛ فقد حكى السيد محمد بحر العلوم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توهمه بعض المعاصرين من تخصيص المطلقات بغير ذات الولد مع قطع النظر عن مقطوعة ابن أذينة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الاستدلال على التفصيل بين الزوجة ذات الولد وغير ذات الولد وذلك بالاستفادة من كبرى انقلاب النسبة ويراد بها أنه قد يوجد متعارضان ويرد عليهما دليل نسبته إلى أحدهما العموم والخصوص المطلق، فإذا أعملنا هذه العلاقة بينهما انقلبت النسبة بين نتيجة العام بعد تخصيصه والعام الآخر بحيث </w:t>
      </w:r>
    </w:p>
    <w:p>
      <w:pPr>
        <w:pStyle w:val="BookText"/>
        <w:rPr/>
      </w:pPr>
      <w:r>
        <w:rPr>
          <w:rFonts w:ascii="Amiri" w:hAnsi="Amiri" w:eastAsia="Amiri" w:cs="Amiri"/>
          <w:color w:val="111111"/>
          <w:sz w:val="28"/>
          <w:sz w:val="28"/>
          <w:szCs w:val="28"/>
          <w:rtl w:val="true"/>
          <w:lang w:bidi="ar-SA"/>
        </w:rPr>
        <w:t xml:space="preserve">يزول التعارض بينهما،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هذه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ورد عن المولى الأمر بإكرام العلماء وورد عنه النهي عن إكرامهم، وورد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النحويين، فالتعارض بين أكرم العلماء، ولا تكرم العلماء من تعارض المتباينين، إلا أنه بعد تخصيص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بخصوص النهي عن إكرام النحويين، لكونه أخص منه مطلقاً، انقلبت النسبة بين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إخراج من خرج منهم بالخاص، وبين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العموم والخصوص المطلق، فيحمل العام منهما على الخاص، المنتج بعد الحمل عليه لوجوب إكرام غير النحويين من العلماء، وحرمة إكرام النحويين منهم، وفيما نحن فيه كذلك</w:t>
      </w:r>
      <w:r>
        <w:rPr>
          <w:rFonts w:eastAsia="Amiri" w:cs="Amiri" w:ascii="Amiri" w:hAnsi="Amiri"/>
          <w:color w:val="111111"/>
          <w:sz w:val="28"/>
          <w:szCs w:val="28"/>
          <w:rtl w:val="true"/>
          <w:lang w:bidi="ar-SA"/>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تقريبان للاستدلال بهذه الكبرى هنا بحسب وضع طرفي النسبة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بحر العلوم من تقريب للمتوهم من دون المرور بمقطوعة ابن أذينة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بدعوى اقتضاء الترتيب في علاج الأخبار المتعارضة، وذلك بتقريب أن الأخبار الآمرة بإرثها مطلقاً من كل شيء، مخصصة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بالإجماع على حرمان غير ذات الولد، الخارجة به عن عمومها، وبعده تنقلب النسبة، وتكون بينها وبين المطلقات النافية للإرث نسبة العام والخاص المطلق، فتخصص تلك المطلقات بها، المنتج للتفصيل بعد الحمل عليه</w:t>
      </w:r>
      <w:r>
        <w:rPr>
          <w:rFonts w:eastAsia="Amiri" w:cs="Amiri" w:ascii="Amiri" w:hAnsi="Amiri"/>
          <w:color w:val="111111"/>
          <w:sz w:val="28"/>
          <w:szCs w:val="28"/>
          <w:rtl w:val="true"/>
          <w:lang w:bidi="ar-SA"/>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على الكبرى</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صحة انقلاب النسبة لعدم مساعدة العرف عليها، فإنه لا يجمع بين الخطابات بهذه الطريقة التي هي أقرب إلى العمليات الحسابية، وليس </w:t>
      </w:r>
    </w:p>
    <w:p>
      <w:pPr>
        <w:pStyle w:val="BookText"/>
        <w:rPr/>
      </w:pPr>
      <w:r>
        <w:rPr>
          <w:rFonts w:ascii="Amiri" w:hAnsi="Amiri" w:eastAsia="Amiri" w:cs="Amiri"/>
          <w:color w:val="111111"/>
          <w:sz w:val="28"/>
          <w:sz w:val="28"/>
          <w:szCs w:val="28"/>
          <w:rtl w:val="true"/>
          <w:lang w:bidi="ar-SA"/>
        </w:rPr>
        <w:t>في النصوص ما يدل على ترتيبها وأي منها ورد بلحاظ الآخر، كما في المقام إذ رُتِّب العامان مع الخاص في التقريب الأول بنحو متباين مع ما في التقريب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لاحظنا زمان صدور النصوص وعرفنا المتقدم والمتأخر أمكن معالجة الأول بالثاني وهو مبنى آخر غير انقلاب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العام يبقى على ظهوره بعد التخصيص، ولا ينقلب إلى ظهور آخر كما تفترض هذه الكبرى من ملاحظة الظهور الجديد بعد التخصيص، وملاحظة النسبة بين الأخبار إنما هو بين ظهوراتها، وقد علمنا أن نسبة ظهور العام إلى كل واحد من الأدلة الأخرى باقية كما هي نسبة واحدة، فعمومات توريث الزوجة مطلقاً لها مخصّصان في مفروض المسألة وهما الإجماع والأخبار النافية الأول بلحاظ الموضوع وهي الزوجة والثاني بلحاظ الحكم وهو الحرمان من العقار فيعمل بهما معاً، إلا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يوجد مانع كتخصيص الأكثر وهو قبيح أو إلغاء العام بالكلية فيقع التعارض بينه وبينها، ولا وجه لملاحظة النسبة بين العام وبعضها ثم ملاحظة النسبة بين الباقي بعد التخصيص وبين البعض الآخر منها</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العملية غير مثمرة ولا تأت بجديد، ففي المثال المفروض خرج بنتيجة تخصيص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النحويين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جمع عرفي اعتيادي لا علاقة له بالنظرية، وحمل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النحويين وهو يحتاج إلى قرينة وشاهد ولا يكفي فيه تطبيق هذه النظرية لعدم عرفيتها، ولعدم التنافي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النحويين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تحمل عليه، وإلا فإنه يمكن أخذ حصة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وجعلها مخصصاً للعام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وحقيقة ما جرى أن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النحويين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 شاهد جمع بين </w:t>
      </w:r>
    </w:p>
    <w:p>
      <w:pPr>
        <w:pStyle w:val="BookText"/>
        <w:rPr/>
      </w:pPr>
      <w:r>
        <w:rPr>
          <w:rFonts w:ascii="Amiri" w:hAnsi="Amiri" w:eastAsia="Amiri" w:cs="Amiri"/>
          <w:color w:val="111111"/>
          <w:sz w:val="28"/>
          <w:sz w:val="28"/>
          <w:szCs w:val="28"/>
          <w:rtl w:val="true"/>
          <w:lang w:bidi="ar-SA"/>
        </w:rPr>
        <w:t>الخطابين المتعارضين ويعود الإشكال إلى كونه تبرعياً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الصغرى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روايات المسألة ليست صغرى لانقلاب النسبة التي تفترض التعارض بين العامين؛ لأن النسبة بين العمومات المورّثة والنافية هي العموم والخصوص المطلق وليس التعارض كما هو واضح، ويبدو أن رواج هذه النظرية يومئذٍ دفعهم إلى حشرها في المقام أما المقطوعة فهي جزئية داخلة في عمومات التوريث وحصة منها، نعم مفهومها مخصِّص لهذه العمومات لكننا قلنا أنها لا مفهوم لها إلا في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تنزلنا فإن العملية لا محصّل منها؛ لأن نتيجتها نفس معقد الإجماع الذي استدل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الإجماع مدركي ولا يوجد إجماع بمعزل عن الأخبار ولولا مقطوعة ابن أذينة فإنه لا يوجد عندنا مثل هذا التفصيل أصلاً، وهذا خلاف فرضه بالاستغناء عن المقطوعة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يوجد إجماع على شيء إلا أصل الحكم في الجملة فلا وجه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للاستدلال به وإنما يجب ملاحظة مدركه، وهذا ما قررناه في أول البحث، فلم يحرم الشيخ الصدوق والسيد المرتضى الزوجة من شيء سوى تعويض حقها في عين العقار بالقيمة، مع تخصيص الشيخ الصدوق الحكم بغير ذات الولد، وحكي الخلاف عن ابن الجنيد وصاحب الدعائم في أصل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هذه العملية عدم العمل بروايات الحرمان مطلقاً؛ لأن توريث ذات الولد كان بعمومات التوريث، ومنع غير ذات الولد كان بالإجماع، وإلغاء روايات الحرمان مشكل</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منع انقلاب النسبة بعد التخصيص بالإجماع إلى كون المورِّثة مطلقاً أخص مطلقاً من النافية، بل الانقلاب إلى العموم من وجه؛ وذلك لأنّ </w:t>
      </w:r>
    </w:p>
    <w:p>
      <w:pPr>
        <w:pStyle w:val="BookText"/>
        <w:rPr/>
      </w:pPr>
      <w:r>
        <w:rPr>
          <w:rFonts w:ascii="Amiri" w:hAnsi="Amiri" w:eastAsia="Amiri" w:cs="Amiri"/>
          <w:color w:val="111111"/>
          <w:sz w:val="28"/>
          <w:sz w:val="28"/>
          <w:szCs w:val="28"/>
          <w:rtl w:val="true"/>
          <w:lang w:bidi="ar-SA"/>
        </w:rPr>
        <w:t xml:space="preserve">المورِّثة وإن كان موضوعها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التخصيص بالإجماع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خصوص ذات الولد، فتكون أخص من النافية من هذه الجهة؛ لأنّ موضوع النافية الزوجة أو النساء أو نحو ذلك إلاّ أنّها أعم من وجه آخر؛ للحكم فيها بالتوريث من كلّ شيء مطلقاً، بينما روايات الحرمان تنفي استحقاقها من العقار خاصة، نعم لو كان الحكم في كليهما على موضوع واحد وهي ذات الولد مع الاختلاف المذكور بين الحكمين كان اللازم تقديم المفصِّلة؛ فإنّه أخص، نعم احتمل بعضهم أنه حتى لو كان بينهما العموم من وجه فالتقديم لو قلنا به يكون للنافية، لكونها أظهر وأكثر وأشهر</w:t>
      </w:r>
      <w:r>
        <w:rPr>
          <w:rFonts w:eastAsia="Amiri" w:cs="Amiri" w:ascii="Amiri" w:hAnsi="Amiri"/>
          <w:color w:val="111111"/>
          <w:sz w:val="28"/>
          <w:szCs w:val="28"/>
          <w:rtl w:val="true"/>
          <w:lang w:bidi="ar-SA"/>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وقد أجاب السيد بحر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الاستدلال على التفصيل بكبرى انقلاب النسبة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إلا أنه توهم فاسد، وإن كانت الكلية مسلّمة في التخصيص بالمتصل وما يجري مجراه من كلام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المنزل منزلة كلام واحد من متكلم واحد، إلا أنها لا تجري في المقام، لعدم قيامالإجماع عليه بعنوانه المخصوص، والأخذ بالقدر المتيقن لا يكشف عن رأي المعصوم عليه، فلعل رأيه موافق لما يعمه، وعليه فيكون مبايناً لتلك الإخبار لا أخص منه، وهو 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تسليمه صحة الكبرى في المخصص المتصل لا موضوع له لأن الكبرى موضوعها المخصِّص المنفصل ففرض المتصل خارج عن الموضوع لأن الظهور ينعقد مباشرة في المخصَّص</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المناقشة في الإجماع عودة إلى الأخبار، وإلا فإنه لا يشترط في القدر المتيقن أن يكون بشرط لا عن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بعض الأعلام المعاصرين لتقريب الاستدلال على قول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w:t>
      </w:r>
      <w:r>
        <w:rPr>
          <w:rStyle w:val="FootnoteAnchor"/>
          <w:rtl w:val="true"/>
        </w:rPr>
        <w:footnoteReference w:id="66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وبمساعدة مقطوعة ابن أذينة،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لو قلنا بمبنى انقلاب النسبة أمكن أن يقال في المقام بأن روايات الحرمان بعد تخصيصها برواية ابن أذينة تكون أخص من رواية ابن أبي يعفور </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لأنها تختص بغير ذات الولد وتثبت حرمانها من إرث الأرض عيناً وقيمة، ورواية ابن أبي يعفور تشمل ذات الولد وغيرها وتنفي الحرمان فيهما مطلقاً، فبناءً على قبول كبرى انقلاب النسبة لا بد من تخصيص رواية ابن أبي يعفور وإخراج غير ذات الولد من عمومهابمقتضى روايات الحرمان بعد اختصاصها بغير ذات الولد</w:t>
      </w:r>
      <w:r>
        <w:rPr>
          <w:rFonts w:eastAsia="Amiri" w:cs="Amiri" w:ascii="Amiri" w:hAnsi="Amiri"/>
          <w:color w:val="111111"/>
          <w:sz w:val="28"/>
          <w:szCs w:val="28"/>
          <w:rtl w:val="true"/>
          <w:lang w:bidi="ar-SA"/>
        </w:rPr>
        <w:t>»</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التقريب تعديل للتقريب الأول بتغيير أطراف مرحلتي تطبيق الكبرى وترك الاستدلال بالإجماع والرجوع إلى المقطوعة وكأنه التفت إلى بعض ما أوردناه من الإشكالات، ولعله لما ذكرناه من عدم جدوى التقريب الأول ومع ذلك فإنه ترد عليه جملة الإشكالات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كبرى انقلاب النسبة</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الإشكالات الكثيرة المتقدمة على تخصيص روايات الحرمان بمقطوعة ابن أذينة</w:t>
      </w:r>
      <w:r>
        <w:rPr>
          <w:rFonts w:eastAsia="Amiri" w:cs="Amiri" w:ascii="Amiri" w:hAnsi="Amiri"/>
          <w:color w:val="111111"/>
          <w:sz w:val="28"/>
          <w:szCs w:val="28"/>
          <w:rtl w:val="true"/>
          <w:lang w:bidi="ar-SA"/>
        </w:rPr>
        <w:t xml:space="preserve">. </w:t>
      </w:r>
      <w:bookmarkStart w:id="758" w:name="pg8133_63099"/>
    </w:p>
    <w:p>
      <w:pPr>
        <w:pStyle w:val="BookText"/>
        <w:rPr/>
      </w:pPr>
      <w:bookmarkEnd w:id="758"/>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إباء صحيحة ابن أبي يعفور لحملها على ذات الولد خاصة لأن فيه إخراجاً لمورد السؤال وهي غير ذات الولد كما قدّمنا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جدوى العملية لأن النتيجة التي وصل إليها وهي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الولد ترث من الرباع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عين ما بدأ به أولاً وهي مقطوعة ابن أذينة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الحقيقة فإن ما قام به هو جعل المقطوعة شاهد جمع بين الطائفتين بحمل الروايات المورّثة على ذات الولد وروايات الحرمان على غيرها، وقد قلنا أنه غير تام لأن المقطوعة لا مفهوم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قال ببطلان كبرى انقلاب النسبة في الجزء التاسع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مسالة المشاركة في ولاية الجائر ، اذ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من بطلان القول بانقلاب النسبة عدم وجود دليل على الاستحباب النفسي خصوصاً عند القائل بالحرمة الذاتية، فإذا ثبت الوجوب المقدمي بنحو أو بآخر فلا يوجد معه استحباب نفسي له بعنوانه، نعم يمكن تقريب الاستحباب النفسي باعتبار أن هذا الوجوب المقدمي كفائي ولا يتعين على أحد، ولما كان طاعة في نفسه فيستحب التنافس فيهوالمبادرة إليه</w:t>
      </w:r>
      <w:r>
        <w:rPr>
          <w:rFonts w:eastAsia="Amiri" w:cs="Amiri" w:ascii="Amiri" w:hAnsi="Amiri"/>
          <w:color w:val="111111"/>
          <w:sz w:val="28"/>
          <w:szCs w:val="28"/>
          <w:rtl w:val="true"/>
          <w:lang w:bidi="ar-SA"/>
        </w:rPr>
        <w:t>.</w:t>
      </w:r>
    </w:p>
    <w:p>
      <w:pPr>
        <w:pStyle w:val="Heading6"/>
        <w:numPr>
          <w:ilvl w:val="5"/>
          <w:numId w:val="1"/>
        </w:numPr>
        <w:rPr/>
      </w:pPr>
      <w:bookmarkStart w:id="759" w:name="__RefHeading___Toc8193521_1051229030"/>
      <w:bookmarkStart w:id="760" w:name="_Toc272"/>
      <w:bookmarkEnd w:id="759"/>
      <w:r>
        <w:rPr>
          <w:rtl w:val="true"/>
        </w:rPr>
        <w:t>المسألة الثانية عشرة</w:t>
      </w:r>
      <w:r>
        <w:rPr>
          <w:rtl w:val="true"/>
        </w:rPr>
        <w:t xml:space="preserve">: </w:t>
      </w:r>
      <w:r>
        <w:rPr>
          <w:rtl w:val="true"/>
        </w:rPr>
        <w:t>المدار في التقييد والتخصيص على الظهور</w:t>
      </w:r>
      <w:r>
        <w:rPr>
          <w:rtl w:val="true"/>
        </w:rPr>
        <w:t>.</w:t>
      </w:r>
      <w:bookmarkEnd w:id="760"/>
    </w:p>
    <w:p>
      <w:pPr>
        <w:pStyle w:val="BookText"/>
        <w:rPr/>
      </w:pPr>
      <w:r>
        <w:rPr>
          <w:rFonts w:ascii="Amiri" w:hAnsi="Amiri" w:eastAsia="Amiri" w:cs="Amiri"/>
          <w:color w:val="111111"/>
          <w:sz w:val="28"/>
          <w:sz w:val="28"/>
          <w:szCs w:val="28"/>
          <w:rtl w:val="true"/>
          <w:lang w:bidi="ar-SA"/>
        </w:rPr>
        <w:t>بحث علماء الأصول المدار في مسالة التقييد والتخصيص ، واختلفوا في ان الخاص يخصص لاخصيته ام لقوة ظهوره ، وكذا البحث في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من بعض كلمات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يبني على ان اقوائية الظهور هي المدار في التخصيص والتقييد ، فالخاص لا يخصص بما هو خاص بل بما هو اظهر</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ما فهمناه مما جاء في بحث روايات من بلغ ، والذي جاء فيه</w:t>
      </w:r>
      <w:r>
        <w:rPr>
          <w:rFonts w:eastAsia="Amiri" w:cs="Amiri" w:ascii="Amiri" w:hAnsi="Amiri"/>
          <w:color w:val="111111"/>
          <w:sz w:val="28"/>
          <w:szCs w:val="28"/>
          <w:rtl w:val="true"/>
          <w:lang w:bidi="ar-SA"/>
        </w:rPr>
        <w:t xml:space="preserve">: </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الاستحباب الناشئ من القاعدة بحسب ما عرضوه لمّا كان مبنياً على التسامح فلا يصلح أن يتصرف في ما ثبت بدليل معتبر كتخصيص العام أو تقييد المطلق لأنه ليس أقوى ظهوراً منها</w:t>
      </w:r>
      <w:r>
        <w:rPr>
          <w:rFonts w:eastAsia="Amiri" w:cs="Amiri" w:ascii="Amiri" w:hAnsi="Amiri"/>
          <w:color w:val="111111"/>
          <w:sz w:val="28"/>
          <w:szCs w:val="28"/>
          <w:rtl w:val="true"/>
          <w:lang w:bidi="ar-SA"/>
        </w:rPr>
        <w:t xml:space="preserve">. </w:t>
      </w:r>
      <w:bookmarkStart w:id="761" w:name="pg8133_63101"/>
    </w:p>
    <w:p>
      <w:pPr>
        <w:pStyle w:val="Heading5"/>
        <w:numPr>
          <w:ilvl w:val="4"/>
          <w:numId w:val="1"/>
        </w:numPr>
        <w:rPr/>
      </w:pPr>
      <w:bookmarkStart w:id="762" w:name="__RefHeading___Toc8193523_1051229030"/>
      <w:bookmarkStart w:id="763" w:name="_Toc273"/>
      <w:bookmarkEnd w:id="761"/>
      <w:bookmarkEnd w:id="762"/>
      <w:r>
        <w:rPr>
          <w:rtl w:val="true"/>
        </w:rPr>
        <w:t>التعارض المستقر</w:t>
      </w:r>
      <w:bookmarkEnd w:id="763"/>
    </w:p>
    <w:p>
      <w:pPr>
        <w:pStyle w:val="Heading6"/>
        <w:numPr>
          <w:ilvl w:val="5"/>
          <w:numId w:val="1"/>
        </w:numPr>
        <w:rPr/>
      </w:pPr>
      <w:bookmarkStart w:id="764" w:name="__RefHeading___Toc8193525_1051229030"/>
      <w:bookmarkStart w:id="765" w:name="_Toc274"/>
      <w:bookmarkEnd w:id="764"/>
      <w:r>
        <w:rPr>
          <w:rtl w:val="true"/>
        </w:rPr>
        <w:t>اشارة</w:t>
      </w:r>
      <w:bookmarkEnd w:id="765"/>
    </w:p>
    <w:p>
      <w:pPr>
        <w:pStyle w:val="BookText"/>
        <w:rPr/>
      </w:pPr>
      <w:r>
        <w:rPr>
          <w:rFonts w:ascii="Amiri" w:hAnsi="Amiri" w:eastAsia="Amiri" w:cs="Amiri"/>
          <w:color w:val="111111"/>
          <w:sz w:val="28"/>
          <w:sz w:val="28"/>
          <w:szCs w:val="28"/>
          <w:rtl w:val="true"/>
          <w:lang w:bidi="ar-SA"/>
        </w:rPr>
        <w:t>في حالات الجمع العرفي والتعارض غير المستقر يتم الأخذ بكلا الدليلين ويبنى على صدورهما معا ، غايته يتم التصرف في ظهور احدهما او 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في التعارض المستقر فيتم الأخذ بأحد الدليلين فقط ، ويبنى على صدور احدهما وعدم صدور الاخر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والمرجح للقول بصدور احد الدليلين دون الاخر روايات الترجيح خاصة ، ولكن حصل الأشكال في تحديد هذه المرجحات و تقديم اَيها على الاخر ، وسنذكر ما جاء عن هذا الموضوع في فقه الخلاف في ضمن احدى عشرة مسالة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التعارض فرع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الشهرة المرجحة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مدخلية الشهرة الفتوائية في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الترجيح بين الأكثر والأقل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موافقة الكتاب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الترجيح بموافقة الكتاب على باقي المرجحات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 الروايات المختلفة في التحديدات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للعموم الفوقاني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الترجيح لخبر الامام المتأخر زماناً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تعارض الدليلين المثبتين</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أصالة الجهة على أصالة الظهور</w:t>
      </w:r>
      <w:r>
        <w:rPr>
          <w:rFonts w:eastAsia="Amiri" w:cs="Amiri" w:ascii="Amiri" w:hAnsi="Amiri"/>
          <w:color w:val="111111"/>
          <w:sz w:val="28"/>
          <w:szCs w:val="28"/>
          <w:rtl w:val="true"/>
          <w:lang w:bidi="ar-SA"/>
        </w:rPr>
        <w:t xml:space="preserve">. </w:t>
      </w:r>
      <w:bookmarkStart w:id="766" w:name="pg8133_63102"/>
    </w:p>
    <w:p>
      <w:pPr>
        <w:pStyle w:val="BookText"/>
        <w:rPr/>
      </w:pPr>
      <w:bookmarkEnd w:id="766"/>
      <w:r>
        <w:rPr>
          <w:rFonts w:ascii="Amiri" w:hAnsi="Amiri" w:eastAsia="Amiri" w:cs="Amiri"/>
          <w:color w:val="111111"/>
          <w:sz w:val="28"/>
          <w:sz w:val="28"/>
          <w:szCs w:val="28"/>
          <w:rtl w:val="true"/>
          <w:lang w:bidi="ar-SA"/>
        </w:rPr>
        <w:t>والتفصيل في هذه المسائل</w:t>
      </w:r>
      <w:r>
        <w:rPr>
          <w:rFonts w:eastAsia="Amiri" w:cs="Amiri" w:ascii="Amiri" w:hAnsi="Amiri"/>
          <w:color w:val="111111"/>
          <w:sz w:val="28"/>
          <w:szCs w:val="28"/>
          <w:rtl w:val="true"/>
          <w:lang w:bidi="ar-SA"/>
        </w:rPr>
        <w:t>:</w:t>
      </w:r>
    </w:p>
    <w:p>
      <w:pPr>
        <w:pStyle w:val="Heading6"/>
        <w:numPr>
          <w:ilvl w:val="5"/>
          <w:numId w:val="1"/>
        </w:numPr>
        <w:rPr/>
      </w:pPr>
      <w:bookmarkStart w:id="767" w:name="__RefHeading___Toc8193527_1051229030"/>
      <w:bookmarkStart w:id="768" w:name="_Toc275"/>
      <w:bookmarkEnd w:id="767"/>
      <w:r>
        <w:rPr>
          <w:rtl w:val="true"/>
        </w:rPr>
        <w:t>المسألة الأولى</w:t>
      </w:r>
      <w:r>
        <w:rPr>
          <w:rtl w:val="true"/>
        </w:rPr>
        <w:t xml:space="preserve">: </w:t>
      </w:r>
      <w:r>
        <w:rPr>
          <w:rtl w:val="true"/>
        </w:rPr>
        <w:t>التعارض فرع الحجية</w:t>
      </w:r>
      <w:r>
        <w:rPr>
          <w:rtl w:val="true"/>
        </w:rPr>
        <w:t>.</w:t>
      </w:r>
      <w:bookmarkEnd w:id="768"/>
    </w:p>
    <w:p>
      <w:pPr>
        <w:pStyle w:val="BookText"/>
        <w:rPr/>
      </w:pPr>
      <w:r>
        <w:rPr>
          <w:rFonts w:ascii="Amiri" w:hAnsi="Amiri" w:eastAsia="Amiri" w:cs="Amiri"/>
          <w:color w:val="111111"/>
          <w:sz w:val="28"/>
          <w:sz w:val="28"/>
          <w:szCs w:val="28"/>
          <w:rtl w:val="true"/>
          <w:lang w:bidi="ar-SA"/>
        </w:rPr>
        <w:t>لكي نقول بوجود التعارض بين مدلولي دليلين يجب ان نثبت في المرتبة السابقة ان كلا الدليلين حجة ، كما اننا لا يمكن ان ننتقل الى المرجحات الا اذا امتنع الجمع العرفي ، فيكون الترتيب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الدليلين المتعارضين ثم عدم امكان الجمع العرفي ثم اعمال المرجحات ، وهذا ما بيّنه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الجزء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مسالة طهارة غير المسلمين ، اذ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هذا الإعراض معتبراً بأن كان تعبدياً كاشفاً عن رأي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وسنناقشه إن شاء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أن يُتعامل معه على النحو الثاني لا الأول، لأن الإعراض المعتبر يلغي حجية الخبر فلا يعود حجة حتى نفترض التعارض بينه وبين الحجة الأخرى، ولو كان الإعراض من النحو الأول لما وصلت النوبة إليه لأن الترجيح بين المتعارضين لا يصحّ إلا إذا استحكم التعارض، أو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التعارض بين الدليلين واستعمال المرجّحات فرع ثبوت حجيتهما وعدم إمكان الجمع العرفي بينهما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والمفروض إمكان الجمع العرفي بينهما في المقام فلابد من تقديم المانع عن الأخذ بهذا الجمع في المرتبة السابقة عن حجيتها، فبين النحوين رتبتان وإن الجمع العرفي كأسلوب للتعاطي مع الروايات المتعارضة بدواً معروف بين الأصحاب</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يظهر الإشكال على منهجية بحث المسألة عند صاحب الحدائق والشيخ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الذين تعاملوا مع إعراض الأصحاب عن نصوص الطهارة كمرجح وهي مرتبة لاحقة للحجية وإمكان الجمع العرفي بينهما، فالصحيح اعتبار إعراض الأصحاب قادحاً في حجية </w:t>
      </w:r>
      <w:bookmarkStart w:id="769" w:name="pg8133_63103"/>
    </w:p>
    <w:p>
      <w:pPr>
        <w:pStyle w:val="BookText"/>
        <w:rPr/>
      </w:pPr>
      <w:bookmarkEnd w:id="769"/>
      <w:r>
        <w:rPr>
          <w:rFonts w:ascii="Amiri" w:hAnsi="Amiri" w:eastAsia="Amiri" w:cs="Amiri"/>
          <w:color w:val="111111"/>
          <w:sz w:val="28"/>
          <w:sz w:val="28"/>
          <w:szCs w:val="28"/>
          <w:rtl w:val="true"/>
          <w:lang w:bidi="ar-SA"/>
        </w:rPr>
        <w:t>روايات الطهارة</w:t>
      </w:r>
      <w:r>
        <w:rPr>
          <w:rFonts w:eastAsia="Amiri" w:cs="Amiri" w:ascii="Amiri" w:hAnsi="Amiri"/>
          <w:color w:val="111111"/>
          <w:sz w:val="28"/>
          <w:szCs w:val="28"/>
          <w:rtl w:val="true"/>
          <w:lang w:bidi="ar-SA"/>
        </w:rPr>
        <w:t>.</w:t>
      </w:r>
    </w:p>
    <w:p>
      <w:pPr>
        <w:pStyle w:val="Heading6"/>
        <w:numPr>
          <w:ilvl w:val="5"/>
          <w:numId w:val="1"/>
        </w:numPr>
        <w:rPr/>
      </w:pPr>
      <w:bookmarkStart w:id="770" w:name="__RefHeading___Toc8193529_1051229030"/>
      <w:bookmarkStart w:id="771" w:name="_Toc276"/>
      <w:bookmarkEnd w:id="770"/>
      <w:r>
        <w:rPr>
          <w:rtl w:val="true"/>
        </w:rPr>
        <w:t>المسألة الثانية</w:t>
      </w:r>
      <w:r>
        <w:rPr>
          <w:rtl w:val="true"/>
        </w:rPr>
        <w:t xml:space="preserve">: </w:t>
      </w:r>
      <w:r>
        <w:rPr>
          <w:rtl w:val="true"/>
        </w:rPr>
        <w:t>الشهرة المرجحة</w:t>
      </w:r>
      <w:r>
        <w:rPr>
          <w:rtl w:val="true"/>
        </w:rPr>
        <w:t>.</w:t>
      </w:r>
      <w:bookmarkEnd w:id="771"/>
    </w:p>
    <w:p>
      <w:pPr>
        <w:pStyle w:val="BookText"/>
        <w:rPr/>
      </w:pPr>
      <w:r>
        <w:rPr>
          <w:rFonts w:ascii="Amiri" w:hAnsi="Amiri" w:eastAsia="Amiri" w:cs="Amiri"/>
          <w:color w:val="111111"/>
          <w:sz w:val="28"/>
          <w:sz w:val="28"/>
          <w:szCs w:val="28"/>
          <w:rtl w:val="true"/>
          <w:lang w:bidi="ar-SA"/>
        </w:rPr>
        <w:t xml:space="preserve">مما لا اشكال فيه ان الشهرة لاحد الدليلين تعد من المرجحات ، ولكن للشهرة انحاء عدة فهناك شهرة فتوائية وثانية عملية وثالثة روائية ، وكثيرا ما يحصل الخلط في التطبيق فيرجح احد الدليلين بسبب الشهرة الفتوائية مع ان المرجح هو الشهرة الروائية حصرا ، ومن الموارد التي ذكر فيها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المسالة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الجزء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مسالة صوم المسافر ، اذ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هذه الشهرة فتوائية فلا تصلح للترجيح الذي يتحقق بالشهرة الروائية وهي متحققة في الطائفة الثانية بما لا يقل عن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الشهرة إنما تكون مرجحة في ما لو أعرض الأصحاب عن الطائفة الأخرى بحيث كانت من الشاذ النادر، وكان إعراضهم تعبدياً، وروايات الطائفة الثانية لم يعرض عنها الأصحاب حتى من لم يعمل بها فإنه تأوّلها واجتهد في فهمها على غير ظاهرها جمعاً بينهما وبين الطائفة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فالشهرة التي تمسكوا بها في المقام غير معتبرة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الجزء العاشر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مسالة حلية السمك اذا مات في الماء محبوسًا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الطائفة الثانية ليست أقل شهرة من الأولى عند الأصحاب إلا أنه لم يشتهر العمل بها فالشهرة فتوائية لا روائية والثانية هي المرجحة في باب التعارض</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الجزء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مسالة طهارة غير المسلمين</w:t>
      </w:r>
      <w:r>
        <w:rPr>
          <w:rFonts w:eastAsia="Amiri" w:cs="Amiri" w:ascii="Amiri" w:hAnsi="Amiri"/>
          <w:color w:val="111111"/>
          <w:sz w:val="28"/>
          <w:szCs w:val="28"/>
          <w:rtl w:val="true"/>
          <w:lang w:bidi="ar-SA"/>
        </w:rPr>
        <w:t xml:space="preserve">: </w:t>
      </w:r>
      <w:bookmarkStart w:id="772" w:name="pg8133_63104"/>
    </w:p>
    <w:p>
      <w:pPr>
        <w:pStyle w:val="BookText"/>
        <w:rPr/>
      </w:pPr>
      <w:bookmarkEnd w:id="772"/>
      <w:r>
        <w:rPr>
          <w:rFonts w:ascii="Amiri" w:hAnsi="Amiri" w:eastAsia="Amiri" w:cs="Amiri"/>
          <w:color w:val="111111"/>
          <w:sz w:val="28"/>
          <w:sz w:val="28"/>
          <w:szCs w:val="28"/>
          <w:rtl w:val="true"/>
          <w:lang w:bidi="ar-SA"/>
        </w:rPr>
        <w:t>إن الشهرة المرجحة في باب التعارض هي الشهرة الروائية لا الفتوائية وشهرة العمل بأحد المتعارضين، والموجودة في المقام الثانية لا الأولى فإن الروايات الدالة على الطهارة لا تقل شهرة عن الأخرى</w:t>
      </w:r>
      <w:r>
        <w:rPr>
          <w:rFonts w:eastAsia="Amiri" w:cs="Amiri" w:ascii="Amiri" w:hAnsi="Amiri"/>
          <w:color w:val="111111"/>
          <w:sz w:val="28"/>
          <w:szCs w:val="28"/>
          <w:rtl w:val="true"/>
          <w:lang w:bidi="ar-SA"/>
        </w:rPr>
        <w:t>.</w:t>
      </w:r>
    </w:p>
    <w:p>
      <w:pPr>
        <w:pStyle w:val="Heading6"/>
        <w:numPr>
          <w:ilvl w:val="5"/>
          <w:numId w:val="1"/>
        </w:numPr>
        <w:rPr/>
      </w:pPr>
      <w:bookmarkStart w:id="773" w:name="__RefHeading___Toc8193531_1051229030"/>
      <w:bookmarkStart w:id="774" w:name="_Toc277"/>
      <w:bookmarkEnd w:id="773"/>
      <w:r>
        <w:rPr>
          <w:rtl w:val="true"/>
        </w:rPr>
        <w:t>المسألة الثالثة</w:t>
      </w:r>
      <w:r>
        <w:rPr>
          <w:rtl w:val="true"/>
        </w:rPr>
        <w:t xml:space="preserve">: </w:t>
      </w:r>
      <w:r>
        <w:rPr>
          <w:rtl w:val="true"/>
        </w:rPr>
        <w:t>مدخلية الشهرة الفتوائية في الترجيح</w:t>
      </w:r>
      <w:r>
        <w:rPr>
          <w:rtl w:val="true"/>
        </w:rPr>
        <w:t>.</w:t>
      </w:r>
      <w:bookmarkEnd w:id="774"/>
    </w:p>
    <w:p>
      <w:pPr>
        <w:pStyle w:val="BookText"/>
        <w:rPr/>
      </w:pPr>
      <w:r>
        <w:rPr>
          <w:rFonts w:ascii="Amiri" w:hAnsi="Amiri" w:eastAsia="Amiri" w:cs="Amiri"/>
          <w:color w:val="111111"/>
          <w:sz w:val="28"/>
          <w:sz w:val="28"/>
          <w:szCs w:val="28"/>
          <w:rtl w:val="true"/>
          <w:lang w:bidi="ar-SA"/>
        </w:rPr>
        <w:t xml:space="preserve">مع اننا عرفنا فيما سبق ان الشهرة الروائية هي المرجحة لاحد الدليلين على الاخر ، الا ان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ابرز نكتة مهمة في الجزء السادس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مسالة حكم العقد المنقطع على الباكر من دون اذن وليها مفادها ان الشهرة الفتوائية قد تكون مرجحة ولكن بصورة غير مباشرة ، وذلك بتحديد الشاذ النادر ؛ فان ما أفتى على طبقه الاصحاب لا يسمى شاذا نادرا ، والشهرة الروائية تكون في قبال الشاذ النادر ، اذ قال</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حاجة إلى إقحام الشهرة الفتوائية فإن ما قاله أولاً كافٍ من أن دليل الترجيح بالشهرة الروائية مختص بما إذا كان المقابل شاذاً ونادراً والمقام ليس كذلك فإن الروايات الدالة على استقلال البنت عديدة ومعتبرة اللهم إلا أن يقال أن معنى الشاذ والنادر هو ما لم يجرِ العمل عليه فتكون مدخلية الشهرة الفتوائية في الترجيح ليست مباشرة وإنما لتنقيح معنى الشاذ النادر وهو صحيح إلا أنك قد علمت شهرة العمل بهذه الروايات حتى ادعي الإجماع ثم أنه بناءً على هذا تعرف المناقشة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يقال بعدم الترجيح بعمل الأصحاب</w:t>
      </w:r>
      <w:r>
        <w:rPr>
          <w:rFonts w:eastAsia="Amiri" w:cs="Amiri" w:ascii="Amiri" w:hAnsi="Amiri"/>
          <w:color w:val="111111"/>
          <w:sz w:val="28"/>
          <w:szCs w:val="28"/>
          <w:rtl w:val="true"/>
          <w:lang w:bidi="ar-SA"/>
        </w:rPr>
        <w:t xml:space="preserve">» </w:t>
      </w:r>
      <w:r>
        <w:rPr>
          <w:rStyle w:val="FootnoteAnchor"/>
          <w:rtl w:val="true"/>
        </w:rPr>
        <w:footnoteReference w:id="663"/>
      </w:r>
      <w:r>
        <w:rPr>
          <w:rFonts w:ascii="Amiri" w:hAnsi="Amiri" w:eastAsia="Amiri" w:cs="Amiri"/>
          <w:color w:val="111111"/>
          <w:sz w:val="28"/>
          <w:sz w:val="28"/>
          <w:szCs w:val="28"/>
          <w:rtl w:val="true"/>
          <w:lang w:bidi="ar-SA"/>
        </w:rPr>
        <w:t>فإن الترجيح ليس به مباشرة</w:t>
      </w:r>
      <w:r>
        <w:rPr>
          <w:rFonts w:eastAsia="Amiri" w:cs="Amiri" w:ascii="Amiri" w:hAnsi="Amiri"/>
          <w:color w:val="111111"/>
          <w:sz w:val="28"/>
          <w:szCs w:val="28"/>
          <w:rtl w:val="true"/>
          <w:lang w:bidi="ar-SA"/>
        </w:rPr>
        <w:t xml:space="preserve">. </w:t>
      </w:r>
      <w:bookmarkStart w:id="775" w:name="pg8133_63105"/>
    </w:p>
    <w:p>
      <w:pPr>
        <w:pStyle w:val="Heading6"/>
        <w:numPr>
          <w:ilvl w:val="5"/>
          <w:numId w:val="1"/>
        </w:numPr>
        <w:rPr/>
      </w:pPr>
      <w:bookmarkStart w:id="776" w:name="__RefHeading___Toc8193533_1051229030"/>
      <w:bookmarkStart w:id="777" w:name="_Toc278"/>
      <w:bookmarkEnd w:id="775"/>
      <w:bookmarkEnd w:id="776"/>
      <w:r>
        <w:rPr>
          <w:rtl w:val="true"/>
        </w:rPr>
        <w:t>المسألة الرابعة</w:t>
      </w:r>
      <w:r>
        <w:rPr>
          <w:rtl w:val="true"/>
        </w:rPr>
        <w:t xml:space="preserve">: </w:t>
      </w:r>
      <w:r>
        <w:rPr>
          <w:rtl w:val="true"/>
        </w:rPr>
        <w:t>الترجيح بين الأكثر والأقل</w:t>
      </w:r>
      <w:r>
        <w:rPr>
          <w:rtl w:val="true"/>
        </w:rPr>
        <w:t>.</w:t>
      </w:r>
      <w:bookmarkEnd w:id="777"/>
    </w:p>
    <w:p>
      <w:pPr>
        <w:pStyle w:val="BookText"/>
        <w:rPr/>
      </w:pPr>
      <w:r>
        <w:rPr>
          <w:rFonts w:ascii="Amiri" w:hAnsi="Amiri" w:eastAsia="Amiri" w:cs="Amiri"/>
          <w:color w:val="111111"/>
          <w:sz w:val="28"/>
          <w:sz w:val="28"/>
          <w:szCs w:val="28"/>
          <w:rtl w:val="true"/>
          <w:lang w:bidi="ar-SA"/>
        </w:rPr>
        <w:t>بنى العديد من العلماء على ان الشهرة الفتوائية المرجحة تعني وجود عدد كبير من الروايات في قبال عدد اقل ، فَلَو كان عندنا عشرة روايات في قبال خمسة لقدمنا العشرة على 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يرفض هذا المعنى ويذهب الى ان المراد من الشهرة خصوص الشهرة في قبال الشاذ النادر ، ولذا قال في الجزء العاشر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معالجة التعارض في الروايات الدالة على شرطية إسلام الذابح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الوجوه التي عرضوها لترجيح روايات الحرمة ما قاله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 ما في هذه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 تقابل تلك لأنها أكثر، ولا يجوز العدول عن الأكثر إلى الأقل لما قد بين في غير موضع، ولأن ممن روى هذه الأخبار قد روى أحاديث الحظر التي قدمناها،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الحلبي وأبو بصير ومحمد بن مسلم، ثم لو سلمت من هذا كله لاحتملت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الإباحة فيها إنما تضمنت في حال الضرورة دون حال الاختيار وعند الضرورة تحل الميتة، فكيف ذبيحة من خالف الإسلام، والذي يدل عليه ما رواه زكريا 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هذه الأخبار وردت للتقية لأن من خالفنا يجيز أكل ذبيحة من خالف الإسلام من أهل الذمة والذي يدل عليه ما رواه بشر بن أبي غيلان الشيباني</w:t>
      </w:r>
      <w:r>
        <w:rPr>
          <w:rFonts w:eastAsia="Amiri" w:cs="Amiri" w:ascii="Amiri" w:hAnsi="Amiri"/>
          <w:color w:val="111111"/>
          <w:sz w:val="28"/>
          <w:szCs w:val="28"/>
          <w:rtl w:val="true"/>
          <w:lang w:bidi="ar-SA"/>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وجوه</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طرح الروايات الدالة على الحلّية لكونها أقل عدداً ونحوه قال السيد صاحب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ويرد عليها قصور سند أكثرها وضعف جميعها </w:t>
      </w:r>
      <w:bookmarkStart w:id="778" w:name="pg8133_63106"/>
    </w:p>
    <w:p>
      <w:pPr>
        <w:pStyle w:val="BookText"/>
        <w:rPr/>
      </w:pPr>
      <w:bookmarkEnd w:id="778"/>
      <w:r>
        <w:rPr>
          <w:rFonts w:ascii="Amiri" w:hAnsi="Amiri" w:eastAsia="Amiri" w:cs="Amiri"/>
          <w:color w:val="111111"/>
          <w:sz w:val="28"/>
          <w:sz w:val="28"/>
          <w:szCs w:val="28"/>
          <w:rtl w:val="true"/>
          <w:lang w:bidi="ar-SA"/>
        </w:rPr>
        <w:t>عن المقاومة لما قدمناه من وجوه شتى، أعظمها اعتضادها بالشهرة العظيمة التي كادت تكون بالإجماع ملحقة، دون هذه لندرة القائل بها</w:t>
      </w:r>
      <w:r>
        <w:rPr>
          <w:rFonts w:eastAsia="Amiri" w:cs="Amiri" w:ascii="Amiri" w:hAnsi="Amiri"/>
          <w:color w:val="111111"/>
          <w:sz w:val="28"/>
          <w:szCs w:val="28"/>
          <w:rtl w:val="true"/>
          <w:lang w:bidi="ar-SA"/>
        </w:rPr>
        <w:t>»</w:t>
      </w:r>
      <w:r>
        <w:rPr>
          <w:rStyle w:val="FootnoteAnchor"/>
          <w:rtl w:val="true"/>
        </w:rPr>
        <w:footnoteReference w:id="66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وهو مردود كبروياً بعدم اعتماد هذا المرجح، وصغروياً لوضوح كثرتها وأقوائية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الاعتضاد بالشهرة العظيمة فلا حجية فيه بل لو ادعي الإجماع فإنه كذلك لما تقدم من النقاشات</w:t>
      </w:r>
      <w:r>
        <w:rPr>
          <w:rFonts w:eastAsia="Amiri" w:cs="Amiri" w:ascii="Amiri" w:hAnsi="Amiri"/>
          <w:color w:val="111111"/>
          <w:sz w:val="28"/>
          <w:szCs w:val="28"/>
          <w:rtl w:val="true"/>
          <w:lang w:bidi="ar-SA"/>
        </w:rPr>
        <w:t>.</w:t>
      </w:r>
    </w:p>
    <w:p>
      <w:pPr>
        <w:pStyle w:val="Heading6"/>
        <w:numPr>
          <w:ilvl w:val="5"/>
          <w:numId w:val="1"/>
        </w:numPr>
        <w:rPr/>
      </w:pPr>
      <w:bookmarkStart w:id="779" w:name="__RefHeading___Toc8193535_1051229030"/>
      <w:bookmarkStart w:id="780" w:name="_Toc279"/>
      <w:bookmarkEnd w:id="779"/>
      <w:r>
        <w:rPr>
          <w:rtl w:val="true"/>
        </w:rPr>
        <w:t>المسألة الخامسة</w:t>
      </w:r>
      <w:r>
        <w:rPr>
          <w:rtl w:val="true"/>
        </w:rPr>
        <w:t xml:space="preserve">: </w:t>
      </w:r>
      <w:r>
        <w:rPr>
          <w:rtl w:val="true"/>
        </w:rPr>
        <w:t>موافقة الكتاب الكريم</w:t>
      </w:r>
      <w:r>
        <w:rPr>
          <w:rtl w:val="true"/>
        </w:rPr>
        <w:t>.</w:t>
      </w:r>
      <w:bookmarkEnd w:id="780"/>
    </w:p>
    <w:p>
      <w:pPr>
        <w:pStyle w:val="BookText"/>
        <w:rPr/>
      </w:pPr>
      <w:r>
        <w:rPr>
          <w:rFonts w:ascii="Amiri" w:hAnsi="Amiri" w:eastAsia="Amiri" w:cs="Amiri"/>
          <w:color w:val="111111"/>
          <w:sz w:val="28"/>
          <w:sz w:val="28"/>
          <w:szCs w:val="28"/>
          <w:rtl w:val="true"/>
          <w:lang w:bidi="ar-SA"/>
        </w:rPr>
        <w:t xml:space="preserve">جاء في الجزء العاشر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تطبيق لترجيح الروايات لمطابقتها للقران الكريم في مسالة اشتراط إسلام الذابح ، اذ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مرتبة الترجيح تكون بعد فشل وجوه الجمع العرفي واستقرار التعارض والمدعى إمكان الجمع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الشهرة المرجحة هي الروائية، وهي لا تختص بروايات الحرمة بل إن روايات الحلية لا تقل عنها في الشهرة ونقاوة السند ووضوح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الشهرة الفتوائية فهي ليست من المرجحات، مضافاً إلى أنها لم تكن عند القدماء، وإنما حصلت لاحقاً بسبب تراكم الفتوى بالحرمة، ومثلها لا تكون حجة لأنها تعبّر عن فهم أصحابنا، ويمكن أن يكون منشأها الاحتياط، وعدم الحاجة للخروج عن القدر المتيقن، أو التقية من الرأي العام في الحوزة والمجتمع ونحوها من الدواعي</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افترضنا عدم إمكان الجمع واستقرار التعارض فإن الترجيح يكون لروايات الحلية لموافقتها للكتاب الكريم، فإن الآيات مطلقة لم تشترط </w:t>
      </w:r>
    </w:p>
    <w:p>
      <w:pPr>
        <w:pStyle w:val="BookText"/>
        <w:rPr/>
      </w:pPr>
      <w:r>
        <w:rPr>
          <w:rFonts w:ascii="Amiri" w:hAnsi="Amiri" w:eastAsia="Amiri" w:cs="Amiri"/>
          <w:color w:val="111111"/>
          <w:sz w:val="28"/>
          <w:sz w:val="28"/>
          <w:szCs w:val="28"/>
          <w:rtl w:val="true"/>
          <w:lang w:bidi="ar-SA"/>
        </w:rPr>
        <w:t xml:space="preserve">إسلام الذابح بل أهملته وجعلته مبنياً للمجهول في إشارة إلى عدم مدخليته والمهم تحقق التسمية، بقرينة الآيات في ذبح الأضاحي حيث وجّهت الخطاب إلى المسلمين في ذبح الهدي كما سنشير إلى هذه النكتة القرآنية بإذن الله تعالى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إذا حصل الاطمئنان بأن روايات الحلية لم تصدر لبيان الحكم الواقعي لوجه أو لآخر، وأنها كانت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جراب النورة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فتسقط عن الاعتبار وتبقى روايات الحرمة بلا معارض، لكن أنى لهم بذلك، وقد رواهاكبار أصحاب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المطلعون على فقههم ومثلهم لا يروونها إذا كانت كذلك، بل وجدنا إصراراً من مثل أبي بصير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صحيحة شعيب العقرقوفي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الحلية وأنه سمع ذلك من الإمامين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سمع جواب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المجلس بالنهي إلا أن أبا بصير فهم للنهي وجوهاً غير حرمة الذبيحة كالتنزه أو عدم تحقق التسمية لمعروفية أهل الجبل بقلة المبالاة بأمور الدين، ونحو ذلك</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موافقة روايات حل ذبيحة اهل الكتاب للقران الكريم ،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الجزء العاشر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bookmarkStart w:id="781" w:name="pg8133_63108"/>
    </w:p>
    <w:p>
      <w:pPr>
        <w:pStyle w:val="Heading6"/>
        <w:numPr>
          <w:ilvl w:val="5"/>
          <w:numId w:val="1"/>
        </w:numPr>
        <w:rPr/>
      </w:pPr>
      <w:bookmarkStart w:id="782" w:name="__RefHeading___Toc8193537_1051229030"/>
      <w:bookmarkStart w:id="783" w:name="_Toc280"/>
      <w:bookmarkEnd w:id="781"/>
      <w:bookmarkEnd w:id="782"/>
      <w:r>
        <w:rPr>
          <w:rtl w:val="true"/>
        </w:rPr>
        <w:t>الترجيح بموافقة الكتاب</w:t>
      </w:r>
      <w:bookmarkEnd w:id="783"/>
    </w:p>
    <w:p>
      <w:pPr>
        <w:pStyle w:val="BookText"/>
        <w:rPr/>
      </w:pPr>
      <w:r>
        <w:rPr>
          <w:rFonts w:ascii="Amiri" w:hAnsi="Amiri" w:eastAsia="Amiri" w:cs="Amiri"/>
          <w:color w:val="111111"/>
          <w:sz w:val="28"/>
          <w:sz w:val="28"/>
          <w:szCs w:val="28"/>
          <w:rtl w:val="true"/>
          <w:lang w:bidi="ar-SA"/>
        </w:rPr>
        <w:t>لو افترضنا استقرار التعارض فإن الترجيح يكون للحكم بالحلية لموافقته للكتاب الكريم لإطلاق الذابح في الآيات الكريمة، وهو إطلاق لحاظي كما قربنا فيمكن التمسك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وللتشييد العلمي الذي بنينا عليه جملة من مطالب هذا البحث، ولتوجيه كلام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المسالك الذي سيأتي بإذن الله تعالى، نقول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يمكن أن نقرب الاستدلال على الحلية من القرآن الكريم بقوله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أُحِلَّ لَكُمُ الطَّيِّبَاتُ وَطَعَامُ الَّذِينَ أُوتُواْ الْكِتَابَ حِلٌّ لَّكُمْ وَطَعَامُكُمْ حِلُّ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الشيخ الطبرسي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اختلف في الطعام المذكور في الآية،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به ذبائح أهل الكتاب، عن أكثر المفسرين وأكثر الفقهاء، وبه قال جماعة من أصحابنا، ثم اختلفوا، فمنهم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به ذباحة كل كتابي ممن أنزل عليه التوراة والإنجيل ومن دخل ملتهم ودان بدينهم، عن ابن عباس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عني به من أنزلت التوراة والإنجيل عليهم أو كان من أبنائهم، فأما من كان دخيلاً فيهم من سائر الأمم ودان بدينهم فلا تحل ذبائحهم، وقيل المراد بطعام الذين أوتوا الكتاب ذبائحهم وغيرها من الأطعمة، وقيل إنه مختص بالحبوب وما لا يحتاج فيه إلى التذكية، وهو المروي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فأما ذبائحهم فلا تحل</w:t>
      </w:r>
      <w:r>
        <w:rPr>
          <w:rFonts w:eastAsia="IRNazanin" w:cs="IRNazanin"/>
          <w:color w:val="111111"/>
          <w:sz w:val="28"/>
          <w:szCs w:val="28"/>
          <w:rtl w:val="true"/>
          <w:lang w:bidi="fa-IR"/>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وتقريب الاستدلال على إرادة الذبائح خاصةً أو عموم الطعام الشامل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فيها إشعار إلى حالة جديدة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يَئِسَ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 السياق من سورة المائدة، وليست هذه الحالة الجديدة إلا نسخ حكم </w:t>
      </w:r>
    </w:p>
    <w:p>
      <w:pPr>
        <w:pStyle w:val="BookText"/>
        <w:rPr/>
      </w:pPr>
      <w:r>
        <w:rPr>
          <w:rFonts w:ascii="IRNazanin" w:hAnsi="IRNazanin" w:eastAsia="IRNazanin"/>
          <w:color w:val="111111"/>
          <w:sz w:val="28"/>
          <w:sz w:val="28"/>
          <w:szCs w:val="28"/>
          <w:rtl w:val="true"/>
          <w:lang w:bidi="fa-IR"/>
        </w:rPr>
        <w:t xml:space="preserve">سابق، وليس هو إلا حرمة ذبائحهم، إذ أن الحبوب وأشباهها لم تكن محرمة، وربما كان منشأ هذه الحالة الجديدة ظهور الإسلام وبسط سلطنته على أهل الديانات الأخرى في السنتين الأخيرتين من حياة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حيث أن سورة المائدة التي تضمنتها هي من أواخر السور نزولاً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وحينئذٍ انتفى حكم المقاطعة والمقابلة بالمثل ونحوها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الروايات دلت على أن المقصود بالآية الحبوب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الواردة في هذا المعنى</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 xml:space="preserve">إما من تطبيق العام علىبعض مصاديقه فلا يكون لها مفهوم ينفي ما عداها كموثقة سماعة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عن طعام أهل الذمة ما يحلّ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بقرينة تعميم الخصم للحلية إلى غير الحبوب إلا اللحوم، وإما أن فيها ما يمكن دخول اللحوم فيه 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صحيحة هشام بن سالم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العدس والحمص وغير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فالحل يعم اللحوم، وإما أن إخراج اللحم لعارض كالذي ورد في الأخبار الدالة على حرمة ذبائحهم بسبب عدم التسمية ونحوها، كرواية علي بن إبراهيم في تفسيره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عنى بطعامهم هاهنا الحبوب والفاكهة غير الذبائح التي يذبحون فإنهم لا يذكرون اسم الله عليها</w:t>
      </w:r>
      <w:r>
        <w:rPr>
          <w:rFonts w:eastAsia="IRNazanin" w:cs="IRNazanin"/>
          <w:color w:val="111111"/>
          <w:sz w:val="28"/>
          <w:szCs w:val="28"/>
          <w:rtl w:val="true"/>
          <w:lang w:bidi="fa-IR"/>
        </w:rPr>
        <w:t>)</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 xml:space="preserve">وحتى صحيحة قتيبة الأعشى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الطائفة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تدخل في معنى رواية علي بن إبراهيم بقرينة تعليل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عن ذبائحهم بعدم ائتمانهم على التسمية</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وعندما سالت سماحة الشيخ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المقصود من موافقة الروايات للقران الكريم أجاب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الموافقة للكتاب تعني الانسجام مع مضامينه ودلالته التي قد يُعبّر عنها بنص لفظي ، وقد تستفاد من القرائن او السياق او ضم بعض الآيات الى بعض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وكنا قد نقلنا عن سماحته تفسيرًا لعرض الروايات على الكتاب لمعرفة موافقتها له تحت عنوان الاحكام الدستورية ، اذ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الجزء الثاني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توجد أطروحة لعلاقة من نوع آخر بين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الأحكام يُنظر إليها على أنها محددات وأُطُر عامة للأحكام الأخرى فلا يجوز أن تخرج عنها، ومثاله في القوانين الوضعية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العلاقة بين مواد الدستور والقوانين، فإن القوانين يجب أن لا تخالف الدستور ولا تخرج عن إطاره، فلو أقرَّ البرلمان قانوناً يقضي بتفضيل بعضالشرائح الاجتماعية على بعض أو التمييز بينهم فإنه قانون باطل لأنه يتنافى مع مادة في الدستور تقول أن المواطنين كافة متساوون في الحقوق والواجبات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ومثاله في الشرعيات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وَعَاشِرُوهُنَّ بِالْمَعْرُوفِ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يحدد أحكام العلاقة الزوجية فلو كان الحكم المعروف بجواز ترك وطء المرأة الشابة بما لا يزيد عن أربعة</w:t>
      </w:r>
      <w:r>
        <w:rPr>
          <w:rStyle w:val="FootnoteAnchor"/>
          <w:rtl w:val="true"/>
        </w:rPr>
        <w:footnoteReference w:id="671"/>
      </w:r>
    </w:p>
    <w:p>
      <w:pPr>
        <w:pStyle w:val="BookText"/>
        <w:rPr/>
      </w:pPr>
      <w:r>
        <w:rPr>
          <w:rFonts w:ascii="Amiri" w:hAnsi="Amiri" w:eastAsia="Amiri" w:cs="Amiri"/>
          <w:color w:val="111111"/>
          <w:sz w:val="28"/>
          <w:sz w:val="28"/>
          <w:szCs w:val="28"/>
          <w:rtl w:val="true"/>
          <w:lang w:bidi="ar-SA"/>
        </w:rPr>
        <w:t>أشهر مخالفاً للآية الكريمة فإنه لا يجوز العمل به ويحمل الدليل على وجه مناسب أو حالة خاصة</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على نحو الأطروحة أن تكون الآية الكريمة أيضاً محدداً لعنوان العدالة المشروط لجواز التزويج بثانية فيشترط فيه أن لا يكون سبباً </w:t>
      </w:r>
      <w:bookmarkStart w:id="784" w:name="pg8133_63111"/>
    </w:p>
    <w:p>
      <w:pPr>
        <w:pStyle w:val="BookText"/>
        <w:rPr/>
      </w:pPr>
      <w:bookmarkEnd w:id="784"/>
      <w:r>
        <w:rPr>
          <w:rFonts w:ascii="Amiri" w:hAnsi="Amiri" w:eastAsia="Amiri" w:cs="Amiri"/>
          <w:color w:val="111111"/>
          <w:sz w:val="28"/>
          <w:sz w:val="28"/>
          <w:szCs w:val="28"/>
          <w:rtl w:val="true"/>
          <w:lang w:bidi="ar-SA"/>
        </w:rPr>
        <w:t>للإهانة الاجتماعية للزوجة الأولى والانتقاص منها وهو مخالف للآية الكريمة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وهذه العلاقة بين الأدلة شكل آخر لما أراده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الروايات على كتاب الله تعالى بأن يكون إطاراً ومحدداً لها</w:t>
      </w:r>
      <w:r>
        <w:rPr>
          <w:rFonts w:eastAsia="IRNazanin" w:cs="IRNazanin"/>
          <w:color w:val="111111"/>
          <w:sz w:val="28"/>
          <w:szCs w:val="28"/>
          <w:rtl w:val="true"/>
          <w:lang w:bidi="fa-IR"/>
        </w:rPr>
        <w:t>.</w:t>
      </w:r>
    </w:p>
    <w:p>
      <w:pPr>
        <w:pStyle w:val="Heading6"/>
        <w:numPr>
          <w:ilvl w:val="5"/>
          <w:numId w:val="1"/>
        </w:numPr>
        <w:rPr/>
      </w:pPr>
      <w:bookmarkStart w:id="785" w:name="__RefHeading___Toc8193539_1051229030"/>
      <w:bookmarkStart w:id="786" w:name="_Toc281"/>
      <w:bookmarkEnd w:id="785"/>
      <w:r>
        <w:rPr>
          <w:rtl w:val="true"/>
        </w:rPr>
        <w:t>المسألة السادسة</w:t>
      </w:r>
      <w:r>
        <w:rPr>
          <w:rtl w:val="true"/>
        </w:rPr>
        <w:t xml:space="preserve">: </w:t>
      </w:r>
      <w:r>
        <w:rPr>
          <w:rtl w:val="true"/>
        </w:rPr>
        <w:t>تقدم الترجيح بموافقة الكتاب على باقي المرجحات</w:t>
      </w:r>
      <w:r>
        <w:rPr>
          <w:rtl w:val="true"/>
        </w:rPr>
        <w:t>.</w:t>
      </w:r>
      <w:bookmarkEnd w:id="786"/>
    </w:p>
    <w:p>
      <w:pPr>
        <w:pStyle w:val="BookText"/>
        <w:rPr/>
      </w:pPr>
      <w:r>
        <w:rPr>
          <w:rFonts w:ascii="Amiri" w:hAnsi="Amiri" w:eastAsia="Amiri" w:cs="Amiri"/>
          <w:color w:val="111111"/>
          <w:sz w:val="28"/>
          <w:sz w:val="28"/>
          <w:szCs w:val="28"/>
          <w:rtl w:val="true"/>
          <w:lang w:bidi="ar-SA"/>
        </w:rPr>
        <w:t xml:space="preserve">صرّح سماحة الشيخ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الجزء السادس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مسالة حكم العقد المنقطع على الباكر من دون اذن وليها ان الترجيح بموافقة الكتاب الكريم مقدم على الترجيح بالشهرة الروائية ، وبما ان الترجيح بالشهرة مقدم على باقي المرجحات فهذا يعني ان الترجيح بموافقة الكتاب مقدم على كل المرجحات الاخرى ،اذ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الترجيح بالشهرة الروائية متأخر عن الترجيح بموافقة الكتاب كما حقق في محله</w:t>
      </w:r>
    </w:p>
    <w:p>
      <w:pPr>
        <w:pStyle w:val="Heading6"/>
        <w:numPr>
          <w:ilvl w:val="5"/>
          <w:numId w:val="1"/>
        </w:numPr>
        <w:rPr/>
      </w:pPr>
      <w:bookmarkStart w:id="787" w:name="__RefHeading___Toc8193541_1051229030"/>
      <w:bookmarkStart w:id="788" w:name="_Toc282"/>
      <w:bookmarkEnd w:id="787"/>
      <w:r>
        <w:rPr>
          <w:rtl w:val="true"/>
        </w:rPr>
        <w:t>المسألة السابعة</w:t>
      </w:r>
      <w:r>
        <w:rPr>
          <w:rtl w:val="true"/>
        </w:rPr>
        <w:t xml:space="preserve">: </w:t>
      </w:r>
      <w:r>
        <w:rPr>
          <w:rtl w:val="true"/>
        </w:rPr>
        <w:t>الجمع بين الروايات المختلفة في التحديدات</w:t>
      </w:r>
      <w:r>
        <w:rPr>
          <w:rtl w:val="true"/>
        </w:rPr>
        <w:t>.</w:t>
      </w:r>
      <w:bookmarkEnd w:id="788"/>
    </w:p>
    <w:p>
      <w:pPr>
        <w:pStyle w:val="BookText"/>
        <w:rPr/>
      </w:pPr>
      <w:r>
        <w:rPr>
          <w:rFonts w:ascii="Amiri" w:hAnsi="Amiri" w:eastAsia="Amiri" w:cs="Amiri"/>
          <w:color w:val="111111"/>
          <w:sz w:val="28"/>
          <w:sz w:val="28"/>
          <w:szCs w:val="28"/>
          <w:rtl w:val="true"/>
          <w:lang w:bidi="ar-SA"/>
        </w:rPr>
        <w:t>كثيرا ما تواجهنا روايات في مقام تحديد كمية او مسافة او حجم او ما شابه ، كروايات تحديد حجم الكر ، وروايات تحديد المسافة التي يجب ان تفصل بين الرجل والمرأة في الصلاة ، وروايات تحديد الصاع وما شابه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والمشكلة ان هذه الروايات تختلف في تحديد هذه المقادير والأحجام ، واختلفت معها الاقوال في كيفية الجمع بينها ، ومما جاء في فقه الخلاف عن هذه المسالة</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تحديد الصاع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جاء في الجزء الخامس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مقابل ذلك </w:t>
      </w:r>
      <w:r>
        <w:rPr>
          <w:rStyle w:val="FootnoteAnchor"/>
          <w:rtl w:val="true"/>
        </w:rPr>
        <w:footnoteReference w:id="672"/>
      </w:r>
      <w:r>
        <w:rPr>
          <w:rFonts w:ascii="Amiri" w:hAnsi="Amiri" w:eastAsia="Amiri" w:cs="Amiri"/>
          <w:color w:val="111111"/>
          <w:sz w:val="28"/>
          <w:sz w:val="28"/>
          <w:szCs w:val="28"/>
          <w:rtl w:val="true"/>
          <w:lang w:bidi="ar-SA"/>
        </w:rPr>
        <w:t>يوجد</w:t>
      </w:r>
    </w:p>
    <w:p>
      <w:pPr>
        <w:pStyle w:val="BookText"/>
        <w:rPr/>
      </w:pPr>
      <w:r>
        <w:rPr>
          <w:rFonts w:ascii="Amiri" w:hAnsi="Amiri" w:eastAsia="Amiri" w:cs="Amiri"/>
          <w:color w:val="111111"/>
          <w:sz w:val="28"/>
          <w:sz w:val="28"/>
          <w:szCs w:val="28"/>
          <w:rtl w:val="true"/>
          <w:lang w:bidi="ar-SA"/>
        </w:rPr>
        <w:t>نظرياً قولان يمكن استخلاصهما من الروايات كأطروحة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الصاع خمسة أمداد وقد ورد هذا في أكثر من رواية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سماعة؛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الذي يجزي من الماء للغسل،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اغتسل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بصاع، وتوضّأ بمدّ، وكان الصاع على عهده خمسة أمداد وكان المد قدر رطل وثلاث أواق</w:t>
      </w:r>
      <w:r>
        <w:rPr>
          <w:rFonts w:eastAsia="IRNazanin" w:cs="IRNazanin"/>
          <w:color w:val="111111"/>
          <w:sz w:val="28"/>
          <w:szCs w:val="28"/>
          <w:rtl w:val="true"/>
          <w:lang w:bidi="fa-IR"/>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سليمان بن حفص المروزي؛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 الحسن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الغسل بصاع من ماء والوضوء بمد من ماء، وصاع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أمداد</w:t>
      </w:r>
      <w:r>
        <w:rPr>
          <w:rFonts w:eastAsia="IRNazanin" w:cs="IRNazanin"/>
          <w:color w:val="111111"/>
          <w:sz w:val="28"/>
          <w:szCs w:val="28"/>
          <w:rtl w:val="true"/>
          <w:lang w:bidi="fa-IR"/>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والثانية ضعيفة سنداً، أما الموثقة فقد قال عنها شيخنا الأستاذ الفياض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معارضة للروايات المتقدمة التي تحدد الصاع بأربعة أمداد وتنفي الزائد، والموثقة تدل على أن الصاع خمسة أمداد فتثبت الزائد فتكون المعارضة بينهما في الزائد فتسقطان من جهة المعارضة، فلا يثبت الزائد</w:t>
      </w:r>
      <w:r>
        <w:rPr>
          <w:rFonts w:eastAsia="Amiri" w:cs="Amiri" w:ascii="Amiri" w:hAnsi="Amiri"/>
          <w:color w:val="111111"/>
          <w:sz w:val="28"/>
          <w:szCs w:val="28"/>
          <w:rtl w:val="true"/>
          <w:lang w:bidi="ar-SA"/>
        </w:rPr>
        <w:t xml:space="preserve">» </w:t>
      </w:r>
      <w:r>
        <w:rPr>
          <w:rStyle w:val="FootnoteAnchor"/>
          <w:rtl w:val="true"/>
        </w:rPr>
        <w:footnoteReference w:id="6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جمع لا يساعد عليه العرف لأن الخمسة مأخوذة على نحو الحد فلا يقبل العرف تجزئتها فليس المقام من صغريات مسألة دوران الأمر بين الأقل والأكثر الاستقلاليين حتى يجري فيها ما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هي من مسألة المتباينين؛ كما لو ورد دليلان أحدهما مفاده أن الصلاة الكذائية ثلاث ركعات والآخر مفاده أنها أربع ركعات</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الفاصل بين الرجل والمرأة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جاء في الجزء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وكرر شيخنا الأستاذ الفياض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الذي ذكروه وزاده بياناً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الروايات الناهية عن صلاة الرجل بمحاذاة صلاة المرأة وبالعكس ظاهرة في نفسها في مانعية المحاذاة، ولكن لا يمكن الحفاظ على هذه الظاهرة العرفية وذلك لأن مانعية المحاذاة في بعض هذه الروايات قد حددت بالمسافة بينهما بأقل من شبر، وفي الآخر بأقل مما لا يتخطى، وفي الثالث بأقل من ذراع، وفي الرابع بأقل من رجل، وفي الخامس بعظم الذراع فصاعداً، وفي السادس بأقل من عشرة أذرع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أنه لا يمكن تحديد مانعيتها بهذه المراتب المتفاوتة طولاً وقصراً حيث يلزم من فرض وجوده عدمه، فإذن بطبيعة الحال يكون هذا الاختلاف بنفسه قرينة على أنها في مقام بيان الحكم الترخيصي وهو الكراهة، واختلافها يكشف عن اختلاف مراتبها في الشدة والضعف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فإذن لابد من علاج ذلك بأحد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ترفع اليد عن ظهور تلك الروايات في شرطية تلك الأبعاد ما عدا ظهورها في شرطية البعد الأول وهو الحد الأدنى منه</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ترفع اليد عن ظهورها في الجميع وحملها على بيان الحكم الترخيصي وهو الكراهة باعتبار أن لها مراتب مختلفة، واختلاف الرواياتفي تحديد مراتب البعد بينهما يكشف عن اختلاف مراتب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هو الثاني، بل هو المتعين لمجموعة من القرائن</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لازم الفرض الأول هو إلغاء كافة الروايات المتضمنة لاعتبار سائر مراتب البعد بينهما على كثرتها من جهة معارضتها للروايات </w:t>
      </w:r>
    </w:p>
    <w:p>
      <w:pPr>
        <w:pStyle w:val="BookText"/>
        <w:rPr/>
      </w:pPr>
      <w:r>
        <w:rPr>
          <w:rFonts w:ascii="Amiri" w:hAnsi="Amiri" w:eastAsia="Amiri" w:cs="Amiri"/>
          <w:color w:val="111111"/>
          <w:sz w:val="28"/>
          <w:sz w:val="28"/>
          <w:szCs w:val="28"/>
          <w:rtl w:val="true"/>
          <w:lang w:bidi="ar-SA"/>
        </w:rPr>
        <w:t>المتضمنة لاعتبار المرتبة الأولى، ومقتضى القاعدة إلغاؤها نهائياً، وهو في نفسه بعيد، وحملها على الكراهة بحاجة إلى قرينة تدل على التفكيك بينها وبين الروايات المتضمنة للمرتبة الأولى من البعد، فإن كانت القرينة اختلاف تلك الروايات في مراتب البعد فهي قرينة على حمل الجميع على الكراهة لا خصوص تلك الروايات وإن كانت شيئاً آخر فهي غير متوفرة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الفرض الأول لا يمكن تطبيقه بالنسبة إلى بعض الروايات كصحيحة زرارة</w:t>
      </w:r>
      <w:r>
        <w:rPr>
          <w:rStyle w:val="FootnoteAnchor"/>
          <w:rtl w:val="true"/>
        </w:rPr>
        <w:footnoteReference w:id="677"/>
      </w:r>
      <w:r>
        <w:rPr>
          <w:rFonts w:ascii="Amiri" w:hAnsi="Amiri" w:eastAsia="Amiri" w:cs="Amiri"/>
          <w:color w:val="111111"/>
          <w:sz w:val="28"/>
          <w:sz w:val="28"/>
          <w:szCs w:val="28"/>
          <w:rtl w:val="true"/>
          <w:lang w:bidi="ar-SA"/>
        </w:rPr>
        <w:t>التي هي ناصة في تخيير المكلف في الفصل بينه وبين المرأة بما لا يتخطى أو قدر عظم الذراع فصاعداً، وذلك لاستحالة تقييد شرطية الفصل بينهما بأحد البعدين على نحو التخيير، فإذن يكون نص الصحيحة قرينة على أن مدلولها حكم ترخيصي لا إلزامي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صحيحة الفضيل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سميت بكة لأنه تبك فيها الرجال والنساء والمرأة تصلي بين يديك وعن يمينك وعن يسارك ومعك ولا بأس بذلك وإنما يكره في سائر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بوضوح على أن المراد من الكراهة فيها إنما هي في مقابل الحكم الإلزامي، بداهة أنه لو كان المراد منها الحرمة لم يكن فرق بين مكة وغيرها، إذ لا يحتمل أن يكون الفصل بينهما بقدر شبر أو أكثر شرطاً في سائر البلدان دون مكة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فإذن لا محالة يكون المراد الفصل من الكراهة الحكم الترخيصي واختلاف مكة مع سائر البلدان إنما هو في ذلك، فإن صلاة المرأة عنيمين الرجل أو يساره أو أمامه وإن لم يكن بينهما بمقدار شبر لم تكن مكروهة فيها، وأما في سائر البلدان فهي مكروهة</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اختلاف الروايات في مراتب الفصل سعة وضيقاً وطولاً </w:t>
      </w:r>
    </w:p>
    <w:p>
      <w:pPr>
        <w:pStyle w:val="BookText"/>
        <w:rPr/>
      </w:pPr>
      <w:r>
        <w:rPr>
          <w:rFonts w:ascii="Amiri" w:hAnsi="Amiri" w:eastAsia="Amiri" w:cs="Amiri"/>
          <w:color w:val="111111"/>
          <w:sz w:val="28"/>
          <w:sz w:val="28"/>
          <w:szCs w:val="28"/>
          <w:rtl w:val="true"/>
          <w:lang w:bidi="ar-SA"/>
        </w:rPr>
        <w:t>وقصراً بنفسه قرينة على أنها لا تتضمن حكماً إلزامياً بل في مقام بيان الحكم الترخيصي وهو الكراهة</w:t>
      </w:r>
      <w:r>
        <w:rPr>
          <w:rFonts w:eastAsia="Amiri" w:cs="Amiri" w:ascii="Amiri" w:hAnsi="Amiri"/>
          <w:color w:val="111111"/>
          <w:sz w:val="28"/>
          <w:szCs w:val="28"/>
          <w:rtl w:val="true"/>
          <w:lang w:bidi="ar-SA"/>
        </w:rPr>
        <w:t>»</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اتضح مما تقدم من التقريبات والردود المناقشة في كل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ونلخصها بنقاط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المقادير ليست مسوقة لبيان مورد واحد وما ورد لتحديد مقدار تقدم الرجل متقارب عرفاً، ولا يوجد تفاوت فاحش ليلزم من وجوده عدمه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قربناه لم تبق مشكلة تحتاج إلى علاج، إذ أن التعارض قد حل بعدم المنافاة التي ذكرناها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القرائن التي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لحمل المنع في روايات الطائفة الأولى على الكراهة كلها غير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القرينة الأولى فلوجوه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استبعده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مقتضى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غض النظر عما قلناه في النقطة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أخذ به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وأجروا هذه القاعدة في حساب الكر بالمساحة مع أن التفاوت فاحش أيضاً كما قدمناه</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القرينة على حمل ما زاد على الشبر على الكراهة موجودة وهو الجمع بين اشتراط تلك المقادير لرفع المانعية وبين الترخيص فيما زاد عن الشبر الذي هو مفهوم ما دلّ على اشتراط الشبر فيحمل المنع في الزائد عنه على الكراهة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اخترناه من الجمع لا يتضمن إلغاء الروايات المبينة لمقادير البعد لأنها متقاربة وإن اختلفت التعابير ويحمل الأزيد على الاستحباب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القرينة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التخيير ليس في الحد وإنما في كيفية حسابه، فإذا حسب بالرجل كان ما لا يتخطى وإن حسب باليد كان ذراعاً وهي متقاربة عرفاً في النتيجة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بالتخيير مع تفاوت أكبر بكثير من هذا في مسألة الكر بين تقديري الوزن والحجم فالشيخ الفياض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 مقدار الكر وزناً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 غراماً وبالحجم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شبراً مكعباً وباعتبار أن متوسط طول الشبر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سنتمتراً فإن حجم الكر يساوي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لتراً أي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 غراماً والتفاوت فاحش كما هو واضح، مع أنهم قالوا أن الكر لو نقص يسيراً عن المقدار المذكور لم تجر عليه أحكام الكرية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القرينة الثالثة وهي صحيحة الفضيل فلوجوه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ناقشنا الاستدلال بها على الكراهة، وإن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يستعمل في الأعم من الحرمة والكراهة المصطلحة ويتعين هنا بالحرمة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القرينة التي جعلها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بديهة لتعين المعنى بالثاني غير تامة إذ احتمال الفرق في الحكم بين مكة وغيرها محتمل بل وارد لشدة الازدحام في الحرم المكي فيوجب الإلزام بهذا الحكم حرجاً على المكلفين فاقتضى التخفيف عنهم، والأحكام تعبدية تؤخذ من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يفسر لنا الفرق بين قبوله التفريق بين مكة وغيرها بالكراهة وبين عدم قبوله التفريق بالحرمة</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ضوء هذا فإنه لم يتم الدليل الكافي على الجواز مقابل ما استدل به على المنع من المحاذاة التامة لا مطلق المحاذاة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الجزء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اختلاف الاحكام يدل على التوسعة</w:t>
      </w:r>
      <w:r>
        <w:rPr>
          <w:rFonts w:eastAsia="Amiri" w:cs="Amiri" w:ascii="Amiri" w:hAnsi="Amiri"/>
          <w:color w:val="111111"/>
          <w:sz w:val="28"/>
          <w:szCs w:val="28"/>
          <w:rtl w:val="true"/>
          <w:lang w:bidi="ar-SA"/>
        </w:rPr>
        <w:t xml:space="preserve">: </w:t>
      </w:r>
      <w:bookmarkStart w:id="789" w:name="pg8133_63117"/>
    </w:p>
    <w:p>
      <w:pPr>
        <w:pStyle w:val="BookText"/>
        <w:rPr/>
      </w:pPr>
      <w:bookmarkEnd w:id="789"/>
      <w:r>
        <w:rPr>
          <w:rFonts w:ascii="IRNazanin" w:hAnsi="IRNazanin" w:eastAsia="IRNazanin"/>
          <w:color w:val="111111"/>
          <w:sz w:val="28"/>
          <w:sz w:val="28"/>
          <w:szCs w:val="28"/>
          <w:rtl w:val="true"/>
          <w:lang w:bidi="fa-IR"/>
        </w:rPr>
        <w:t xml:space="preserve">دلّت الروايات على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يعطي أجوبة مختلفة في مورد الأحكام الموسعة كالتخيير والترخيص مراعاة لبعض المصالح العامة والخاصة، وهذا يقتضي أنه إذا وردت أحكام مختلفة في موردٍ ما، فهذا كاشف عن كون الحكم موسعاً، والمقام منه؛ لأن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يرخص في الأحكام الإلزامية كما سيأتي في رواية الميثمي </w:t>
      </w:r>
      <w:r>
        <w:rPr>
          <w:rStyle w:val="FootnoteAnchor"/>
          <w:rtl w:val="true"/>
        </w:rPr>
        <w:footnoteReference w:id="679"/>
      </w:r>
    </w:p>
    <w:p>
      <w:pPr>
        <w:pStyle w:val="BookText"/>
        <w:rPr/>
      </w:pPr>
      <w:r>
        <w:rPr>
          <w:rFonts w:ascii="Amiri" w:hAnsi="Amiri" w:eastAsia="Amiri" w:cs="Amiri"/>
          <w:color w:val="111111"/>
          <w:sz w:val="28"/>
          <w:sz w:val="28"/>
          <w:szCs w:val="28"/>
          <w:rtl w:val="true"/>
          <w:lang w:bidi="ar-SA"/>
        </w:rPr>
        <w:t>إلا لخوف ضرورة وهي غير متوفرة هنا</w:t>
      </w:r>
      <w:r>
        <w:rPr>
          <w:rFonts w:eastAsia="Amiri" w:cs="Amiri" w:ascii="Amiri" w:hAnsi="Amiri"/>
          <w:color w:val="111111"/>
          <w:sz w:val="28"/>
          <w:szCs w:val="28"/>
          <w:rtl w:val="true"/>
          <w:lang w:bidi="ar-SA"/>
        </w:rPr>
        <w:t>.</w:t>
      </w:r>
    </w:p>
    <w:p>
      <w:pPr>
        <w:pStyle w:val="Heading6"/>
        <w:numPr>
          <w:ilvl w:val="5"/>
          <w:numId w:val="1"/>
        </w:numPr>
        <w:rPr/>
      </w:pPr>
      <w:bookmarkStart w:id="790" w:name="__RefHeading___Toc8193543_1051229030"/>
      <w:bookmarkStart w:id="791" w:name="_Toc283"/>
      <w:bookmarkEnd w:id="790"/>
      <w:r>
        <w:rPr>
          <w:rtl w:val="true"/>
        </w:rPr>
        <w:t>المسألة الثامنة</w:t>
      </w:r>
      <w:r>
        <w:rPr>
          <w:rtl w:val="true"/>
        </w:rPr>
        <w:t xml:space="preserve">: </w:t>
      </w:r>
      <w:r>
        <w:rPr>
          <w:rtl w:val="true"/>
        </w:rPr>
        <w:t>الرجوع للعموم الفوقاني</w:t>
      </w:r>
      <w:r>
        <w:rPr>
          <w:rtl w:val="true"/>
        </w:rPr>
        <w:t>.</w:t>
      </w:r>
      <w:bookmarkEnd w:id="791"/>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كان لدينا عام ثم جاءه مخصص معارض بمخصص اخر فسيتساقط المخصصان ، ونرجع الى العموم الفوقاني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افاد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هذه الكبرى في الجزء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مناقشة له مع السيد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مسالة تعدد الوطن ، اذ جاء ما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رجّح السيد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الوجهين الثاني والثالث وكأنه سلّم بعدم امكان الوجه الاول اي تقييد الطائفة الاولى بالثانية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الرابع فقال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ولنا بحث مبنائي في الاصول في اصل فكرة تساقط المتعارضين والرجوع الى المطلق الفوقاني من ابداء احتمال جعل التعارض ثلاثي الاطراف</w:t>
      </w:r>
      <w:r>
        <w:rPr>
          <w:rFonts w:eastAsia="Amiri" w:cs="Amiri" w:ascii="Amiri" w:hAnsi="Amiri"/>
          <w:color w:val="111111"/>
          <w:sz w:val="28"/>
          <w:szCs w:val="28"/>
          <w:rtl w:val="true"/>
          <w:lang w:bidi="ar-SA"/>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يتسن لنا الحصول على بحثه الشريف في الاصول لنطبق هذه الكبرى في المقام</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المظنون انه لا يريد بكلامه هذا نفي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وصفه بأنه مبنائي ومبحوث في علم الاصول يوحي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وجود عمومات فوقانية يجب الرجوع اليها عند تعارض المخصّصين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كبرى ثابتة وصحيحة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ورد دليلان متعارضان في حرمة شيء وعدمه تساقطا ويجري الاخذ بعمومات الحل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نقاشه صغروياً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ان في بعض الموارد التي يفرض فيها عموم فوقاني فإنه ليس كذلك وانما هو طرف ثالث إما لأنه ليس عموماً اصلاً او ليس فوقانياً وانما هو في عرض الدليلين المتعارضين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المعنى في نفسه صحيح لكن المورد ليس من تطبيقاته فإن عندنا اطلاقات ادلة التقصير في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منها تخصيصاً من مرّ بضيعة او منزل مملوك له بحسب الفرض ولكن هذا المخصص ابتلي بالمعارض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الطائفة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فتساقط وبقي الدليل الاصلي وهو وجوب التقصير سالماً من المعارض لأن موضوعه وهو السفر متحقق </w:t>
      </w:r>
      <w:bookmarkStart w:id="792" w:name="pg8133_63119"/>
    </w:p>
    <w:p>
      <w:pPr>
        <w:pStyle w:val="BookText"/>
        <w:rPr/>
      </w:pPr>
      <w:bookmarkEnd w:id="792"/>
      <w:r>
        <w:rPr>
          <w:rFonts w:ascii="Amiri" w:hAnsi="Amiri" w:eastAsia="Amiri" w:cs="Amiri"/>
          <w:color w:val="111111"/>
          <w:sz w:val="28"/>
          <w:sz w:val="28"/>
          <w:szCs w:val="28"/>
          <w:rtl w:val="true"/>
          <w:lang w:bidi="ar-SA"/>
        </w:rPr>
        <w:t xml:space="preserve">بحسب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التعارض ثلاثي الاطراف</w:t>
      </w:r>
      <w:r>
        <w:rPr>
          <w:rFonts w:eastAsia="Amiri" w:cs="Amiri" w:ascii="Amiri" w:hAnsi="Amiri"/>
          <w:color w:val="111111"/>
          <w:sz w:val="28"/>
          <w:szCs w:val="28"/>
          <w:rtl w:val="true"/>
          <w:lang w:bidi="ar-SA"/>
        </w:rPr>
        <w:t>.</w:t>
      </w:r>
    </w:p>
    <w:p>
      <w:pPr>
        <w:pStyle w:val="Heading6"/>
        <w:numPr>
          <w:ilvl w:val="5"/>
          <w:numId w:val="1"/>
        </w:numPr>
        <w:rPr/>
      </w:pPr>
      <w:bookmarkStart w:id="793" w:name="__RefHeading___Toc8193545_1051229030"/>
      <w:bookmarkStart w:id="794" w:name="_Toc284"/>
      <w:bookmarkEnd w:id="793"/>
      <w:r>
        <w:rPr>
          <w:rtl w:val="true"/>
        </w:rPr>
        <w:t>المسألة التاسعة</w:t>
      </w:r>
      <w:r>
        <w:rPr>
          <w:rtl w:val="true"/>
        </w:rPr>
        <w:t xml:space="preserve">: </w:t>
      </w:r>
      <w:r>
        <w:rPr>
          <w:rtl w:val="true"/>
        </w:rPr>
        <w:t>الترجيح لخبر الامام المتأخر زمانًا</w:t>
      </w:r>
      <w:r>
        <w:rPr>
          <w:rtl w:val="true"/>
        </w:rPr>
        <w:t>.</w:t>
      </w:r>
      <w:bookmarkEnd w:id="794"/>
    </w:p>
    <w:p>
      <w:pPr>
        <w:pStyle w:val="BookText"/>
        <w:rPr/>
      </w:pPr>
      <w:r>
        <w:rPr>
          <w:rFonts w:ascii="Amiri" w:hAnsi="Amiri" w:eastAsia="Amiri" w:cs="Amiri"/>
          <w:color w:val="111111"/>
          <w:sz w:val="28"/>
          <w:sz w:val="28"/>
          <w:szCs w:val="28"/>
          <w:rtl w:val="true"/>
          <w:lang w:bidi="ar-SA"/>
        </w:rPr>
        <w:t>من المرجحات التي ذكرها الاصحاب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الأخذ بالخبر الوارد عن الامام المتأخر زمانا عندما يتعارض مع خبر وارد عن امام سابق له ، وقد ناقش سماحة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المرجح وبيّن عدم الأخذ به على إطلاقه ، وانما هو مرجح في بعض الحالات ، وقد جاء هذا النقاش في الجزء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مسالة طهارة الكحول ، اذ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ورد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القواعد أنه إذا جاء خبر عن أولهم وخبر آخر عن آخرهم فإنه يجب الأخذ بالأخير وهذه القاعدة قد صرّح بها الصدوق في الفقيه في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يوصي إلى الرجلين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ولو صحّ الخبران لكان الواجب الأخذ بقول الأخير كما أمر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ريب أن صحيحة علي بن مهزيار ورواية خيران قد تضمنتا ذلك، فالواجب بمقتضى هذه القاعدة الرجوع إلى قول الإمام الأخير وهو الحكم بالنجاسة</w:t>
      </w:r>
      <w:r>
        <w:rPr>
          <w:rFonts w:eastAsia="IRNazanin" w:cs="IRNazanin"/>
          <w:color w:val="111111"/>
          <w:sz w:val="28"/>
          <w:szCs w:val="28"/>
          <w:rtl w:val="true"/>
          <w:lang w:bidi="fa-IR"/>
        </w:rPr>
        <w:t>»</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95" w:name="__RefHeading___Toc8193547_1051229030"/>
      <w:bookmarkStart w:id="796" w:name="_Toc285"/>
      <w:bookmarkEnd w:id="795"/>
      <w:r>
        <w:rPr>
          <w:rtl w:val="true"/>
        </w:rPr>
        <w:t>والوجوه كلها قابلة للمناقشة</w:t>
      </w:r>
      <w:r>
        <w:rPr>
          <w:rtl w:val="true"/>
        </w:rPr>
        <w:t>:</w:t>
      </w:r>
      <w:bookmarkEnd w:id="796"/>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فيناقش كبروياً من جهة عدم صحة إطلاقها حيث يجب تقييدها بما إذا كان الأخير حاكماً على الأول بنحو النسخ أو بيان المجمل أو التقييد أو التخصيص، وهو ثابت ودلت عليه صحيحة محمد بن مسلم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 أقوام يروون عن فلان وفلان عن </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يتّهمون بالكذب فيجيئ منكم خلافه؟قال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الحديث يُنسخ كما يُنسخ القرآن</w:t>
      </w:r>
      <w:r>
        <w:rPr>
          <w:rFonts w:eastAsia="IRNazanin" w:cs="IRNazanin"/>
          <w:color w:val="111111"/>
          <w:sz w:val="28"/>
          <w:szCs w:val="28"/>
          <w:rtl w:val="true"/>
          <w:lang w:bidi="fa-IR"/>
        </w:rPr>
        <w:t>)</w:t>
      </w:r>
      <w:r>
        <w:rPr>
          <w:rStyle w:val="FootnoteAnchor"/>
          <w:rtl w:val="true"/>
        </w:rPr>
        <w:footnoteReference w:id="68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وكما لو كانت معالجة لحالة شخصية أو للتقية ونحوها فإنه لا يلغي الحكم الأول الذي يكون هو الحكم الواقعي ومثال الأول نهي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لاثنين من أصحابه عن زواج المتعة في المدينة وتقدم ذكر الرواية في مسألة سابقة</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 xml:space="preserve">الخلاف، الجزء الاول، المسألة الثانية، في معرض الحديث عن أنحاء أوامر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ونواهيهم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ومثال الثاني الصحيحة إلى هشام بن سالم عن أبي عمرو الكناني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عمرو أرأيتك لو حدّثتك بحديث أو أفتيتك بفتيا ثم جئتني بعد ذلك فسألتني عنه فأخبرتك بخلاف ما كنت أخبرتك أو أفتيتك بخلاف ذلك بأيّهما كنت تأخذ؟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بأحدثهما وأدع الآخر،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أصبت يا أبا عمرو، أبى الله إلا أن يُعبد سرّاً، أما والله لئن فعلتم ذلك إنه لخير لي ولكم، أبى الله عز وجلّ لنا في دينه إلا التقية</w:t>
      </w:r>
      <w:r>
        <w:rPr>
          <w:rFonts w:eastAsia="IRNazanin" w:cs="IRNazanin"/>
          <w:color w:val="111111"/>
          <w:sz w:val="28"/>
          <w:szCs w:val="28"/>
          <w:rtl w:val="true"/>
          <w:lang w:bidi="fa-IR"/>
        </w:rPr>
        <w:t>)</w:t>
      </w:r>
      <w:r>
        <w:rPr>
          <w:rStyle w:val="FootnoteAnchor"/>
          <w:rtl w:val="true"/>
        </w:rPr>
        <w:footnoteReference w:id="684"/>
      </w:r>
      <w:r>
        <w:rPr>
          <w:rFonts w:ascii="IRNazanin" w:hAnsi="IRNazanin" w:eastAsia="IRNazanin"/>
          <w:color w:val="111111"/>
          <w:sz w:val="28"/>
          <w:sz w:val="28"/>
          <w:szCs w:val="28"/>
          <w:rtl w:val="true"/>
          <w:lang w:bidi="fa-IR"/>
        </w:rPr>
        <w:t xml:space="preserve">، وفي هذا الإطار يأتي قول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صحيحة عبد الرحمن بن الحجاج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أشتري ألف درهم وديناراً بألفي درهم،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بذلك إن أبي كان أجرأ على أهل المدينة مني، فكان يقول هذا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هذا الفرار، لو جاء رجلٌ بدينار لم يُعطَ ألف درهم ولو جاء بألف درهم لم يُعط ألف دينار، وكان يقول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الشيء الفرار من الحرام إلى الحلال</w:t>
      </w:r>
      <w:r>
        <w:rPr>
          <w:rFonts w:eastAsia="IRNazanin" w:cs="IRNazanin"/>
          <w:color w:val="111111"/>
          <w:sz w:val="28"/>
          <w:szCs w:val="28"/>
          <w:rtl w:val="true"/>
          <w:lang w:bidi="fa-IR"/>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الجرأة تعني قدرته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 الظروف المتاحة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بيان الحكم الواقعي بوضوح من دون إجمال أو تقيّة، والمتأخر مبتلى بذلك</w:t>
      </w:r>
      <w:r>
        <w:rPr>
          <w:rFonts w:eastAsia="Amiri" w:cs="Amiri" w:ascii="Amiri" w:hAnsi="Amiri"/>
          <w:color w:val="111111"/>
          <w:sz w:val="28"/>
          <w:szCs w:val="28"/>
          <w:rtl w:val="true"/>
          <w:lang w:bidi="ar-SA"/>
        </w:rPr>
        <w:t xml:space="preserve">. </w:t>
      </w:r>
      <w:bookmarkStart w:id="797" w:name="pg8133_63121"/>
    </w:p>
    <w:p>
      <w:pPr>
        <w:pStyle w:val="BookText"/>
        <w:rPr/>
      </w:pPr>
      <w:bookmarkEnd w:id="797"/>
      <w:r>
        <w:rPr>
          <w:rFonts w:ascii="IRNazanin" w:hAnsi="IRNazanin" w:eastAsia="IRNazanin"/>
          <w:color w:val="111111"/>
          <w:sz w:val="28"/>
          <w:sz w:val="28"/>
          <w:szCs w:val="28"/>
          <w:rtl w:val="true"/>
          <w:lang w:bidi="fa-IR"/>
        </w:rPr>
        <w:t xml:space="preserve">وفي ضوء هذا التفصيل بفهم ما دلّ على تقديم الحديث المتأخركمرسلة الحسين بن المختار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أرأيتك لو حدّثتك بحديث العام ثم جئتني من قابل فحدثتك بخلافه بأيهما كنت تأخذ؟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أأخذ بالأخير،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رحمك الله</w:t>
      </w:r>
      <w:r>
        <w:rPr>
          <w:rFonts w:eastAsia="IRNazanin" w:cs="IRNazanin"/>
          <w:color w:val="111111"/>
          <w:sz w:val="28"/>
          <w:szCs w:val="28"/>
          <w:rtl w:val="true"/>
          <w:lang w:bidi="fa-IR"/>
        </w:rPr>
        <w:t>)</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ما نقله عن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يوصي إلى الرجلين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أجنبي عن المقام لأن الوصية المتأخرة تنفي الوصية المتقدمة لما دلّ على جواز الرجوع بالوصية كصحيحة عبيد بن زرارة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للموصي أن يرجع في وصيته إن كان في صحة أو مرض</w:t>
      </w:r>
      <w:r>
        <w:rPr>
          <w:rFonts w:eastAsia="IRNazanin" w:cs="IRNazanin"/>
          <w:color w:val="111111"/>
          <w:sz w:val="28"/>
          <w:szCs w:val="28"/>
          <w:rtl w:val="true"/>
          <w:lang w:bidi="fa-IR"/>
        </w:rPr>
        <w:t>)</w:t>
      </w:r>
      <w:r>
        <w:rPr>
          <w:rStyle w:val="FootnoteAnchor"/>
          <w:rtl w:val="true"/>
        </w:rPr>
        <w:footnoteReference w:id="687"/>
      </w:r>
      <w:r>
        <w:rPr>
          <w:rFonts w:ascii="Amiri" w:hAnsi="Amiri" w:eastAsia="Amiri" w:cs="Amiri"/>
          <w:color w:val="111111"/>
          <w:sz w:val="28"/>
          <w:sz w:val="28"/>
          <w:szCs w:val="28"/>
          <w:rtl w:val="true"/>
          <w:lang w:bidi="ar-SA"/>
        </w:rPr>
        <w:t xml:space="preserve">أما ما نقله عن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تامّاً لاتّضح ذلك وأنه لا يخرج عمّا قلناه فإن بقية كلامه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وذلك أن الأخبار لها وجوه ومعانٍ وكل إمام أعلم بزمانه وأحكامه من غيره من الناس</w:t>
      </w:r>
      <w:r>
        <w:rPr>
          <w:rFonts w:eastAsia="Amiri" w:cs="Amiri" w:ascii="Amiri" w:hAnsi="Amiri"/>
          <w:color w:val="111111"/>
          <w:sz w:val="28"/>
          <w:szCs w:val="28"/>
          <w:rtl w:val="true"/>
          <w:lang w:bidi="ar-SA"/>
        </w:rPr>
        <w:t>»</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توسّعنا نسبياً في إيضاح هذه الكبرى لما وجدناه من إطلاق في كلام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w:t>
      </w:r>
    </w:p>
    <w:p>
      <w:pPr>
        <w:pStyle w:val="Heading6"/>
        <w:numPr>
          <w:ilvl w:val="5"/>
          <w:numId w:val="1"/>
        </w:numPr>
        <w:rPr/>
      </w:pPr>
      <w:bookmarkStart w:id="798" w:name="__RefHeading___Toc8193549_1051229030"/>
      <w:bookmarkStart w:id="799" w:name="_Toc286"/>
      <w:bookmarkEnd w:id="798"/>
      <w:r>
        <w:rPr>
          <w:rtl w:val="true"/>
        </w:rPr>
        <w:t>المسألة العاشرة</w:t>
      </w:r>
      <w:r>
        <w:rPr>
          <w:rtl w:val="true"/>
        </w:rPr>
        <w:t xml:space="preserve">: </w:t>
      </w:r>
      <w:r>
        <w:rPr>
          <w:rtl w:val="true"/>
        </w:rPr>
        <w:t>تعارض الدليلين المثبتين</w:t>
      </w:r>
      <w:r>
        <w:rPr>
          <w:rtl w:val="true"/>
        </w:rPr>
        <w:t>.</w:t>
      </w:r>
      <w:bookmarkEnd w:id="799"/>
    </w:p>
    <w:p>
      <w:pPr>
        <w:pStyle w:val="BookText"/>
        <w:rPr/>
      </w:pPr>
      <w:r>
        <w:rPr>
          <w:rFonts w:ascii="Amiri" w:hAnsi="Amiri" w:eastAsia="Amiri" w:cs="Amiri"/>
          <w:color w:val="111111"/>
          <w:sz w:val="28"/>
          <w:sz w:val="28"/>
          <w:szCs w:val="28"/>
          <w:rtl w:val="true"/>
          <w:lang w:bidi="ar-SA"/>
        </w:rPr>
        <w:t>من الكلمات الشائعة في علم الأصول ان الدليلين المثبتين لا يتعارضان ، فاذا قال الدليل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اكرم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الاخر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اكرم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بينهما اَي تعارض وتكاذب ، فيكرم كل من العالم والفاسق</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وانما يثبت التعارض اذا كان احد الدليلين مثبتا والآخر نافيا ، كما لو قال الدليل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اكرم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الاخر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فسيتعارضان في </w:t>
      </w:r>
    </w:p>
    <w:p>
      <w:pPr>
        <w:pStyle w:val="BookText"/>
        <w:rPr/>
      </w:pPr>
      <w:r>
        <w:rPr>
          <w:rFonts w:ascii="Amiri" w:hAnsi="Amiri" w:eastAsia="Amiri" w:cs="Amiri"/>
          <w:color w:val="111111"/>
          <w:sz w:val="28"/>
          <w:sz w:val="28"/>
          <w:szCs w:val="28"/>
          <w:rtl w:val="true"/>
          <w:lang w:bidi="ar-SA"/>
        </w:rPr>
        <w:t>العالم الفاسق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نبه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الجزء الخامس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مسالة زكاة العملات المتداولة ان الدليلين المثبتين إنما يتعارضان اذا استظهرنا وحدة الجعل ، اذ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العمومات والإطلاقات التي استدل بها على التعميم كعنوان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الصامت المنقوش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يراد بها خصوص الدينار والدرهم فتكون من باب استعمال العام ويراد منه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العنوانين مثبتان فلا يُقيّد أحدهما بالآخر كما لو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الجعل متحداً وهذا غير ظاهر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تطبيقات هذه القاعدة ما جاء في الجزء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مسالة شرط الفرسخين في وجوب صلاة الجمعة ، اذ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ومقتضى الجمع بين الطائفتين حمل المطلق على 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سقوط وجوب الحضور إلى صلاة الجمعة على من كان على رأس فرسخين مختصاً بمن كان خارج المدينة ولا يشمل من كان على هذه المسافة وهو مستوطن في نفس المدينة التي تقام فيها صلاة الجمعة لسعتها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كبغداد أو طهران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أبناء هذه المدينة مشمولون كلهم بالوجوب وإن بعدوا أزيد من هذه المسافة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يوجد تناف بين الخطابين حتى يحمل الأول على الثاني إذ يمكن الأخذ بهما معاً، نظير الخطابين المثبتين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 رقبة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تعارض بين الخطابين ويمكن الأخذ بهما معاً، وتحمل الصفة الزائدة على عناية زائدة كالاستحباب</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يقع التنافي لو كان للجملة المقيدة مفهوم فيُقيّد به </w:t>
      </w:r>
    </w:p>
    <w:p>
      <w:pPr>
        <w:pStyle w:val="BookText"/>
        <w:rPr/>
      </w:pPr>
      <w:r>
        <w:rPr>
          <w:rFonts w:ascii="Amiri" w:hAnsi="Amiri" w:eastAsia="Amiri" w:cs="Amiri"/>
          <w:color w:val="111111"/>
          <w:sz w:val="28"/>
          <w:sz w:val="28"/>
          <w:szCs w:val="28"/>
          <w:rtl w:val="true"/>
          <w:lang w:bidi="ar-SA"/>
        </w:rPr>
        <w:t>إطلاق الآخر، والجملة هنا ليس لها 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صحيح كبروياً لو كان الجعل متعدداً، كما لو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العلويين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يجب إكراممطلق العلماء مع عناية زائدة بالعلويين منهم ولا يقيَّد الأمر الأول بهذا القيد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 الجعل متحداً؛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طلبة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طلبة العلم المشتغلين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فإننا نعلم أن الأمر واحد وهو إكرام طلبة العلم، لكن ليس مطلق من حمل عنوانهم وارتدى زيّهم وإنما خصوص المشتغلين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والمقام من الثاني لظهور كون خطاب الشرط واحداً ولكنه تارة أُطلق لبيان أصل الشرط، وتارة ذُكر معللاً لبيان مورد تطبيقه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التمييز بين النوعين؟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يستظهر وحدة الجعل أو تعدده من قرائن في نفس الخطابين أو مما يعرف بمناسبات الحكم والموضوع المؤثرة في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وتفصيل البحث في مبحث المطلق والمقيد من علم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التطبيقات التي رفضها سماحة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لهذه القاعدة ما جاء في الجزء السادس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مسالة وجوب الخمس في الميراث</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أفاده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مقتضى الجمع بين الروايات المشتملة على عنوان التجارات والزراعات والاستفادة من ضروب المكاسب وبين الروايات المطلقة هو التقييد من باب حمل المطلق على المقيّد، لأنهما وإن كانا مثبتين في المقام، إلا أنه حيث يحرز وحدة الجعل وعدم تعدده جزماً، كيف وإلا لزم تعلق خمسين بالأرباح نظراً إلى انطباق عنوانين عليه وليس كذلك جزماً، فلا محالة تقع المعارضة بين العنوانين، لأن الحكم الواحد ليس له إلا موضوع واحد، فيتعين الجمع بالتقييد، لأن </w:t>
      </w:r>
    </w:p>
    <w:p>
      <w:pPr>
        <w:pStyle w:val="BookText"/>
        <w:rPr/>
      </w:pPr>
      <w:r>
        <w:rPr>
          <w:rFonts w:ascii="Amiri" w:hAnsi="Amiri" w:eastAsia="Amiri" w:cs="Amiri"/>
          <w:color w:val="111111"/>
          <w:sz w:val="28"/>
          <w:sz w:val="28"/>
          <w:szCs w:val="28"/>
          <w:rtl w:val="true"/>
          <w:lang w:bidi="ar-SA"/>
        </w:rPr>
        <w:t>ظهور القيد في الدخالة أقوى من إطلاق المطلق على ما قرر في محله</w:t>
      </w:r>
      <w:r>
        <w:rPr>
          <w:rFonts w:eastAsia="Amiri" w:cs="Amiri" w:ascii="Amiri" w:hAnsi="Amiri"/>
          <w:color w:val="111111"/>
          <w:sz w:val="28"/>
          <w:szCs w:val="28"/>
          <w:rtl w:val="true"/>
          <w:lang w:bidi="ar-SA"/>
        </w:rPr>
        <w:t>»</w:t>
      </w:r>
      <w:r>
        <w:rPr>
          <w:rStyle w:val="FootnoteAnchor"/>
          <w:rtl w:val="true"/>
        </w:rPr>
        <w:footnoteReference w:id="6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الروايات التي ذكرت العناوين الخاصة كالتجارة والزراعة ذكرت معها عنواناً عاماً كالاستفادة والإفادة والمتاع مما يعني أن ذكر هذه العناوين الخاصة لم تؤخذ على نحو التقييد وإنما على نحو المثال والمصاديق، لاحظ كمثال مصححة أحمد بن محمد بن عيسى </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 xml:space="preserve">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موضوع الخمس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ثم بيّن بعض مصاديقها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ورد في بعضها سؤال الراوي عن أشياء محددة بحسب ابتلائه كصحيحة الريان بن الصلت </w:t>
      </w:r>
      <w:r>
        <w:rPr>
          <w:rStyle w:val="FootnoteAnchor"/>
          <w:rtl w:val="true"/>
        </w:rPr>
        <w:footnoteReference w:id="691"/>
      </w:r>
      <w:r>
        <w:rPr>
          <w:rFonts w:ascii="Amiri" w:hAnsi="Amiri" w:eastAsia="Amiri" w:cs="Amiri"/>
          <w:color w:val="111111"/>
          <w:sz w:val="28"/>
          <w:sz w:val="28"/>
          <w:szCs w:val="28"/>
          <w:rtl w:val="true"/>
          <w:lang w:bidi="ar-SA"/>
        </w:rPr>
        <w:t>وهي لا تعني التقييد قطعاً</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تنزلنا وسلمنا ظهور العناوين الخاصة في التقييد فإن هذا الظهور بدوي، إذ يوجد بإزائه في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ناظراً إلى التعميم وصريحاً في ثبوت الخمس على مطلق الفائدة ، ولا شك في أن هذا الظهور أقوى من ظهور ذكر العناوين المذكورة في التقييد حتى إذا سلّمنا أصل الظهور المذكور من ورودها في لسان الروايات، فيكون الجمع العرفي في خصوص المقام برفع اليد عن هذا الظهور وحمل العناوين المذكورة على </w:t>
      </w:r>
    </w:p>
    <w:p>
      <w:pPr>
        <w:pStyle w:val="BookText"/>
        <w:rPr/>
      </w:pPr>
      <w:r>
        <w:rPr>
          <w:rFonts w:ascii="Amiri" w:hAnsi="Amiri" w:eastAsia="Amiri" w:cs="Amiri"/>
          <w:color w:val="111111"/>
          <w:sz w:val="28"/>
          <w:sz w:val="28"/>
          <w:szCs w:val="28"/>
          <w:rtl w:val="true"/>
          <w:lang w:bidi="ar-SA"/>
        </w:rPr>
        <w:t>بيان المصاديق المتعارفة للفائدة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حمل المطلق على المقيد إنما تصح فيما إذا كانت دلالته بالإطلاق ومقدمات الحكمة لا بالصراحة والنظر إلى العمومفضلاً عن التنصيص على ثبوت الحكم في مورد الافتراق، فإن هذا الظهور يكون عندئذٍ أقوى من ظهور العنوان الخاص في التقييد</w:t>
      </w:r>
      <w:r>
        <w:rPr>
          <w:rFonts w:eastAsia="Amiri" w:cs="Amiri" w:ascii="Amiri" w:hAnsi="Amiri"/>
          <w:color w:val="111111"/>
          <w:sz w:val="28"/>
          <w:szCs w:val="28"/>
          <w:rtl w:val="true"/>
          <w:lang w:bidi="ar-SA"/>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يوجد عندنا تعدد في الجعل وإنما هو جعل واحد لكن موضوعه تارة يذكر بالعنوان الجامع له ولغيره وتارة يذكر بعنوانه الخاص لنكتة أو غيرها، كما لو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زيداً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الجعل واحد وإن زيداً داخل في العنوان العام لكن ذكره خاصة ببيان آخر قد يكون لنكتة 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بتعدد الجعل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غايته ثبوت الخمس في المال الواحد من جهتين، من جهة كونه فائدة، ومن جهة كونه كسباً، ولا يلزم تعدد الخمس، لأن ثبوت الخمس مفاد وضعي قابل للتداخل وليس حكماً تكليفياً، فيثبت خمس واحد في المال الواحد بسببين وعنوانين، نظير ثبوت النجاسة في الملاقي لنجاستين</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سوف يأتي من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المشهور والصحيح أيضاً كفاية خمس واحد لمن يتخذ الغوص أو استخراج المعدن كسباً لنفسه، مع أن عنوان المعدن والغوص غير عنوان التكسب جزماً</w:t>
      </w:r>
      <w:r>
        <w:rPr>
          <w:rFonts w:eastAsia="Amiri" w:cs="Amiri" w:ascii="Amiri" w:hAnsi="Amiri"/>
          <w:color w:val="111111"/>
          <w:sz w:val="28"/>
          <w:szCs w:val="28"/>
          <w:rtl w:val="true"/>
          <w:lang w:bidi="ar-SA"/>
        </w:rPr>
        <w:t>»</w:t>
      </w:r>
      <w:r>
        <w:rPr>
          <w:rStyle w:val="FootnoteAnchor"/>
          <w:rtl w:val="true"/>
        </w:rPr>
        <w:footnoteReference w:id="693"/>
      </w:r>
      <w:r>
        <w:rPr>
          <w:rFonts w:ascii="Amiri" w:hAnsi="Amiri" w:eastAsia="Amiri" w:cs="Amiri"/>
          <w:color w:val="111111"/>
          <w:sz w:val="28"/>
          <w:sz w:val="28"/>
          <w:szCs w:val="28"/>
          <w:rtl w:val="true"/>
          <w:lang w:bidi="ar-SA"/>
        </w:rPr>
        <w:t xml:space="preserve">فلا يتعين الجمع بالتقييد الذي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bookmarkStart w:id="800" w:name="pg8133_63126"/>
    </w:p>
    <w:p>
      <w:pPr>
        <w:pStyle w:val="Heading6"/>
        <w:numPr>
          <w:ilvl w:val="5"/>
          <w:numId w:val="1"/>
        </w:numPr>
        <w:rPr/>
      </w:pPr>
      <w:bookmarkStart w:id="801" w:name="__RefHeading___Toc8193551_1051229030"/>
      <w:bookmarkStart w:id="802" w:name="_Toc287"/>
      <w:bookmarkEnd w:id="800"/>
      <w:bookmarkEnd w:id="801"/>
      <w:r>
        <w:rPr>
          <w:rtl w:val="true"/>
        </w:rPr>
        <w:t>المسألة الحادية عشرة</w:t>
      </w:r>
      <w:r>
        <w:rPr>
          <w:rtl w:val="true"/>
        </w:rPr>
        <w:t xml:space="preserve">: </w:t>
      </w:r>
      <w:r>
        <w:rPr>
          <w:rtl w:val="true"/>
        </w:rPr>
        <w:t>تقدم أصالة الجهة على أصالة الظهور</w:t>
      </w:r>
      <w:r>
        <w:rPr>
          <w:rtl w:val="true"/>
        </w:rPr>
        <w:t>.</w:t>
      </w:r>
      <w:bookmarkEnd w:id="802"/>
    </w:p>
    <w:p>
      <w:pPr>
        <w:pStyle w:val="BookText"/>
        <w:rPr/>
      </w:pPr>
      <w:r>
        <w:rPr>
          <w:rFonts w:ascii="Amiri" w:hAnsi="Amiri" w:eastAsia="Amiri" w:cs="Amiri"/>
          <w:color w:val="111111"/>
          <w:sz w:val="28"/>
          <w:sz w:val="28"/>
          <w:szCs w:val="28"/>
          <w:rtl w:val="true"/>
          <w:lang w:bidi="ar-SA"/>
        </w:rPr>
        <w:t xml:space="preserve">اذا دار الامر بين التصرف في ظهور الرواية وبين حملها على التقية ، فالمقدم هو التصرف في ظهورها ، وهذا ما بيّنه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الجزء الحادي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مسالة ارث الزوجة من العقار ، اذ قال</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الصحيحة يمكن حملها على معنى صحيح وإذا أمكن التصرف فيظهورها لم يجز حملها على التقية، وقد قيل في علم الأصول أنه إذا دار العمل بين أصالة الظهور وأصالة الجهة فالعمل بأصالة الجهة مقدَّم؛ لذا جرى الفقهاء على تخصيص العمومات إذا صحّ قبل حملها على التقية</w:t>
      </w:r>
      <w:r>
        <w:rPr>
          <w:rFonts w:eastAsia="Amiri" w:cs="Amiri" w:ascii="Amiri" w:hAnsi="Amiri"/>
          <w:color w:val="111111"/>
          <w:sz w:val="28"/>
          <w:szCs w:val="28"/>
          <w:rtl w:val="true"/>
          <w:lang w:bidi="ar-SA"/>
        </w:rPr>
        <w:t xml:space="preserve">. </w:t>
      </w:r>
      <w:bookmarkStart w:id="803" w:name="pg8133_63127"/>
    </w:p>
    <w:p>
      <w:pPr>
        <w:pStyle w:val="BookText"/>
        <w:rPr/>
      </w:pPr>
      <w:bookmarkEnd w:id="803"/>
      <w:r>
        <w:rPr>
          <w:rFonts w:ascii="Amiri" w:hAnsi="Amiri" w:eastAsia="Amiri" w:cs="Amiri"/>
          <w:color w:val="111111"/>
          <w:sz w:val="28"/>
          <w:sz w:val="28"/>
          <w:szCs w:val="28"/>
          <w:rtl w:val="true"/>
          <w:lang w:bidi="ar-SA"/>
        </w:rPr>
        <w:t>خاتمة في القواعد الفقهية</w:t>
      </w:r>
    </w:p>
    <w:p>
      <w:pPr>
        <w:pStyle w:val="Heading5"/>
        <w:numPr>
          <w:ilvl w:val="4"/>
          <w:numId w:val="1"/>
        </w:numPr>
        <w:rPr/>
      </w:pPr>
      <w:bookmarkStart w:id="804" w:name="__RefHeading___Toc8193553_1051229030"/>
      <w:bookmarkStart w:id="805" w:name="_Toc288"/>
      <w:bookmarkEnd w:id="804"/>
      <w:r>
        <w:rPr>
          <w:rtl w:val="true"/>
        </w:rPr>
        <w:t>خاتمة في القواعد الفقهية</w:t>
      </w:r>
      <w:bookmarkEnd w:id="805"/>
    </w:p>
    <w:p>
      <w:pPr>
        <w:pStyle w:val="Heading6"/>
        <w:numPr>
          <w:ilvl w:val="5"/>
          <w:numId w:val="1"/>
        </w:numPr>
        <w:rPr/>
      </w:pPr>
      <w:bookmarkStart w:id="806" w:name="__RefHeading___Toc8193555_1051229030"/>
      <w:bookmarkStart w:id="807" w:name="_Toc289"/>
      <w:bookmarkEnd w:id="806"/>
      <w:r>
        <w:rPr>
          <w:rtl w:val="true"/>
        </w:rPr>
        <w:t>اشارة</w:t>
      </w:r>
      <w:bookmarkEnd w:id="807"/>
    </w:p>
    <w:p>
      <w:pPr>
        <w:pStyle w:val="BookText"/>
        <w:rPr/>
      </w:pPr>
      <w:r>
        <w:rPr>
          <w:rFonts w:ascii="Amiri" w:hAnsi="Amiri" w:eastAsia="Amiri" w:cs="Amiri"/>
          <w:color w:val="111111"/>
          <w:sz w:val="28"/>
          <w:sz w:val="28"/>
          <w:szCs w:val="28"/>
          <w:rtl w:val="true"/>
          <w:lang w:bidi="ar-SA"/>
        </w:rPr>
        <w:t xml:space="preserve">بعد ان ذكرنا الدرر الأصولية التي نثرها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طيات موسوعة فقه الخلاف ارتأينا ان نختم الكلام بذكر بعض القواعد الفقهية التي تكلم عنها سماحته ببعض التفصيل ، وسنذكر منها سبع 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القاعدة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في الفروج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القاعدة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للفراش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القاعدة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ملكية الانسان لأعضائه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القاعدة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اشتراط المالية في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القاعدة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ضمان الطبيب وذوي المهن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القاعدة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اخذ العوض على الواجبات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القاعدة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الأيسر</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والتفصيل في هذه القواعد</w:t>
      </w:r>
      <w:r>
        <w:rPr>
          <w:rFonts w:eastAsia="Amiri" w:cs="Amiri" w:ascii="Amiri" w:hAnsi="Amiri"/>
          <w:color w:val="111111"/>
          <w:sz w:val="28"/>
          <w:szCs w:val="28"/>
          <w:rtl w:val="true"/>
          <w:lang w:bidi="ar-SA"/>
        </w:rPr>
        <w:t xml:space="preserve">: </w:t>
      </w:r>
      <w:bookmarkStart w:id="808" w:name="pg8133_63128"/>
    </w:p>
    <w:p>
      <w:pPr>
        <w:pStyle w:val="Heading6"/>
        <w:numPr>
          <w:ilvl w:val="5"/>
          <w:numId w:val="1"/>
        </w:numPr>
        <w:rPr/>
      </w:pPr>
      <w:bookmarkStart w:id="809" w:name="__RefHeading___Toc8193557_1051229030"/>
      <w:bookmarkStart w:id="810" w:name="_Toc290"/>
      <w:bookmarkEnd w:id="808"/>
      <w:bookmarkEnd w:id="809"/>
      <w:r>
        <w:rPr>
          <w:rtl w:val="true"/>
        </w:rPr>
        <w:t>القاعدة الاولى</w:t>
      </w:r>
      <w:r>
        <w:rPr>
          <w:rtl w:val="true"/>
        </w:rPr>
        <w:t xml:space="preserve">: </w:t>
      </w:r>
      <w:r>
        <w:rPr>
          <w:rtl w:val="true"/>
        </w:rPr>
        <w:t>الاحتياط في الفروج في الجملة</w:t>
      </w:r>
      <w:bookmarkEnd w:id="810"/>
    </w:p>
    <w:p>
      <w:pPr>
        <w:pStyle w:val="Heading6"/>
        <w:numPr>
          <w:ilvl w:val="5"/>
          <w:numId w:val="1"/>
        </w:numPr>
        <w:rPr/>
      </w:pPr>
      <w:bookmarkStart w:id="811" w:name="__RefHeading___Toc8193559_1051229030"/>
      <w:bookmarkStart w:id="812" w:name="_Toc291"/>
      <w:bookmarkEnd w:id="811"/>
      <w:r>
        <w:rPr>
          <w:rtl w:val="true"/>
        </w:rPr>
        <w:t>اشارة</w:t>
      </w:r>
      <w:bookmarkEnd w:id="812"/>
    </w:p>
    <w:p>
      <w:pPr>
        <w:pStyle w:val="BookText"/>
        <w:rPr/>
      </w:pPr>
      <w:r>
        <w:rPr>
          <w:rFonts w:ascii="Amiri" w:hAnsi="Amiri" w:eastAsia="Amiri" w:cs="Amiri"/>
          <w:color w:val="111111"/>
          <w:sz w:val="28"/>
          <w:sz w:val="28"/>
          <w:szCs w:val="28"/>
          <w:rtl w:val="true"/>
          <w:lang w:bidi="ar-SA"/>
        </w:rPr>
        <w:t xml:space="preserve">بحث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الجزء الثاني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 أصالة الاحتياط في الفروج ، وجاء في كلامه</w:t>
      </w:r>
      <w:r>
        <w:rPr>
          <w:rFonts w:eastAsia="Amiri" w:cs="Amiri" w:ascii="Amiri" w:hAnsi="Amiri"/>
          <w:color w:val="111111"/>
          <w:sz w:val="28"/>
          <w:szCs w:val="28"/>
          <w:rtl w:val="true"/>
          <w:lang w:bidi="ar-SA"/>
        </w:rPr>
        <w:t>:</w:t>
      </w:r>
    </w:p>
    <w:p>
      <w:pPr>
        <w:pStyle w:val="Heading6"/>
        <w:numPr>
          <w:ilvl w:val="5"/>
          <w:numId w:val="1"/>
        </w:numPr>
        <w:rPr/>
      </w:pPr>
      <w:bookmarkStart w:id="813" w:name="__RefHeading___Toc8193561_1051229030"/>
      <w:bookmarkStart w:id="814" w:name="_Toc292"/>
      <w:bookmarkEnd w:id="813"/>
      <w:r>
        <w:rPr>
          <w:rtl w:val="true"/>
        </w:rPr>
        <w:t>أصالة الاحتياط في الفروج في الجملة</w:t>
      </w:r>
      <w:bookmarkEnd w:id="814"/>
    </w:p>
    <w:p>
      <w:pPr>
        <w:pStyle w:val="BookText"/>
        <w:rPr/>
      </w:pPr>
      <w:r>
        <w:rPr>
          <w:rFonts w:ascii="Amiri" w:hAnsi="Amiri" w:eastAsia="Amiri" w:cs="Amiri"/>
          <w:color w:val="111111"/>
          <w:sz w:val="28"/>
          <w:sz w:val="28"/>
          <w:szCs w:val="28"/>
          <w:rtl w:val="true"/>
          <w:lang w:bidi="ar-SA"/>
        </w:rPr>
        <w:t>إن الأصل في الأشياء وإن كان الحلية والإباحة وهو المناسب ليسر الشريعة وسماحتها،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 اللّهُ بِكُمُ الْيُسْرَ وَلاَ يُرِيدُ بِكُمُ الْعُسْرَ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النبوي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يرسلني الله تعالى بالرهبانية ولكن بعثني بالحنفية السمحة</w:t>
      </w:r>
      <w:r>
        <w:rPr>
          <w:rFonts w:eastAsia="Amiri" w:cs="Amiri" w:ascii="Amiri" w:hAnsi="Amiri"/>
          <w:color w:val="111111"/>
          <w:sz w:val="28"/>
          <w:szCs w:val="28"/>
          <w:rtl w:val="true"/>
          <w:lang w:bidi="ar-SA"/>
        </w:rPr>
        <w:t>)</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هذا الأصل قد ينقلب إلى أصالة عدم الجواز والاحتياط في ما لو اشترط الشارع المقدس أمراً وعلّق الرخصة على وجوده فإنها لا تثبت إلا بإحرازه والعرف يقضي بذلك، ومثاله اشتراط التذكية في حلية تناول اللحم فأصبح الأصل فيه عدم الجواز</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وجه انقلاب الأصل لتقريب وجوب اجتناب النظر إلى أطراف الشبهة غير المحصورة من النساء إذا شك في كونها من المماثل أو من المحارم النسبية معللاً ذلك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من آية وجوب الغضّ أن جواز النظر مشروط بأمر وجودي وهو كونه مماثلاً أو من المحارم، فمع الشك يعمل بمقتضى العموم، لا من باب التمسك بالعموم في الشبهة المصداقية بل لاستفادة شرطية الجواز بالمماثلة أو المحرمية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وعلق الشيخ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ويدل نفس هذا التعليق على إناطة الرخصة والجواز بإحراز ذلك الأمر وعدم جواز الاقتحام عند الشك فيه ويكون من المداليل الالتزامية العرفية وهذا هو الوجه في تسالمهم على أصالة الحرمة في جميع ما كان من هذا القبيل وعليه يبتني انقلاب الأصل في النفوس والأموال والفروج في كل من الشبهات الموضوعية والحكمية وكذا أصالة انفعال الماء بملاقاة النجاسة عند الشك في العاصم وغير ذلك مما علق فيه حكم ترخيصي وضعي أو تكليفي على أمر وجودي وليس شيء من ذلك مبنيا على التمسك بالعموم في الشبهة المصداقية</w:t>
      </w:r>
      <w:r>
        <w:rPr>
          <w:rFonts w:eastAsia="Amiri" w:cs="Amiri" w:ascii="Amiri" w:hAnsi="Amiri"/>
          <w:color w:val="111111"/>
          <w:sz w:val="28"/>
          <w:szCs w:val="28"/>
          <w:rtl w:val="true"/>
          <w:lang w:bidi="ar-SA"/>
        </w:rPr>
        <w:t>»</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افتراض الانقلاب وعدمه مبني على كيفية تشكيل الأصل أو العام المستفاد من الروايات في المسألة، فقد يصاغ على أنه حرمة النظر إلى النساء إلا إذا كانت محللة كالزوجة والمحارم، وقد يصاغ على أنها حلية النظر إلى النساء إلا ما ثبتت حرمتها، وعلى الثاني لا يحرم النظر إلى مجموعة من النسوة اختلطت فيهن امرأة يحرم النظر إليها ما لم يصل الفعل إلى المخالفة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فالماتن والمعلق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بنيا على أن العام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النظر إلى المماثل والمحارم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فالفرد المشكوك لا يجوز النظر إليه لعدم تحقق شرط الحكم بالجواز</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الصياغة صحيحة إلا أنها لا تستوعب حكم المسألة فإن حرمة النظر إلى غير المماثل والمحارم لا يستفاد منها إلا بالمفهوم والجملة ليس لها مفهوم، فلا بد أن تكون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النظر إلا إلى المحارم أو المماثل والمحللة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يشمل الفرد المشكوك بأحكام العام </w:t>
      </w:r>
    </w:p>
    <w:p>
      <w:pPr>
        <w:pStyle w:val="BookText"/>
        <w:rPr/>
      </w:pPr>
      <w:r>
        <w:rPr>
          <w:rFonts w:ascii="Amiri" w:hAnsi="Amiri" w:eastAsia="Amiri" w:cs="Amiri"/>
          <w:color w:val="111111"/>
          <w:sz w:val="28"/>
          <w:sz w:val="28"/>
          <w:szCs w:val="28"/>
          <w:rtl w:val="true"/>
          <w:lang w:bidi="ar-SA"/>
        </w:rPr>
        <w:t>والخاص وبقاء الفرد المشكوك دخوله في الخاص تحت العام ونحوذلك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والمشهور هنا انقلاب الأصل إلى الاحتياط، قال المحقق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جامع المقاصد في تقريب حرمة بنت الزنا على أبيها وإن لم يثبت النسب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حلّ الفروج أمر توقيفي فيتوقف فيه على النص، وبدونه ينتفي بأصالة عدم الحل، فلا يكفي في حل الفروج عدم القطع بالمحرم، لأنه مبني على كمال الاحتياط</w:t>
      </w:r>
      <w:r>
        <w:rPr>
          <w:rFonts w:eastAsia="Amiri" w:cs="Amiri" w:ascii="Amiri" w:hAnsi="Amiri"/>
          <w:color w:val="111111"/>
          <w:sz w:val="28"/>
          <w:szCs w:val="28"/>
          <w:rtl w:val="true"/>
          <w:lang w:bidi="ar-SA"/>
        </w:rPr>
        <w:t>»</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بد إذن أولاً من تحرير الأصل أو العام الموجب للانقلاب، وفي المقام يمكن أن يقال ان ما يوجب انقلاب الأصل عن الحلية والبراءة إلى الاحتياط أمران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التشدد والاحتياط في الفروج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الأنساب من الاختلاط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استدل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بالإجماع والروايات، ويمكن مناقشة الإجماع بأنه مدركي مستند إلى الروايات، أو أنه اكتشاف لمذاق الشارع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الروايات فقد جمع صاحب الوسائل جملة منها في باب عنونه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الاحتياط في النكاح فتوى وعملاً زيادة على غيره</w:t>
      </w:r>
      <w:r>
        <w:rPr>
          <w:rFonts w:eastAsia="Amiri" w:cs="Amiri" w:ascii="Amiri" w:hAnsi="Amiri"/>
          <w:color w:val="111111"/>
          <w:sz w:val="28"/>
          <w:szCs w:val="28"/>
          <w:rtl w:val="true"/>
          <w:lang w:bidi="ar-SA"/>
        </w:rPr>
        <w:t>»</w:t>
      </w:r>
      <w:r>
        <w:rPr>
          <w:rStyle w:val="FootnoteAnchor"/>
          <w:rtl w:val="true"/>
        </w:rPr>
        <w:footnoteReference w:id="697"/>
      </w:r>
    </w:p>
    <w:p>
      <w:pPr>
        <w:pStyle w:val="BookText"/>
        <w:rPr/>
      </w:pPr>
      <w:r>
        <w:rPr>
          <w:rFonts w:ascii="Amiri" w:hAnsi="Amiri" w:eastAsia="Amiri" w:cs="Amiri"/>
          <w:color w:val="111111"/>
          <w:sz w:val="28"/>
          <w:sz w:val="28"/>
          <w:szCs w:val="28"/>
          <w:rtl w:val="true"/>
          <w:lang w:bidi="ar-SA"/>
        </w:rPr>
        <w:t>وقال في نهايته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وأحاديث الأمر بالاحتياط كثيرة جداً يأتي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الروايات</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أبي بصير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تزوج امرأة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حبلى وأنا أختك من الرضاعة وأنا على غير عدة،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p>
    <w:p>
      <w:pPr>
        <w:pStyle w:val="BookText"/>
        <w:rPr/>
      </w:pPr>
      <w:r>
        <w:rPr>
          <w:rFonts w:ascii="Amiri" w:hAnsi="Amiri" w:eastAsia="Amiri" w:cs="Amiri"/>
          <w:color w:val="111111"/>
          <w:sz w:val="28"/>
          <w:sz w:val="28"/>
          <w:szCs w:val="28"/>
          <w:rtl w:val="true"/>
          <w:lang w:bidi="ar-SA"/>
        </w:rPr>
        <w:t>كان دخل بها وواقعها فلا يصدّقها، وإن كان لم يدخل بها ولميواقعها فليختبر وليسأل إذا لم يكن عرفها قبل ذلك</w:t>
      </w:r>
      <w:r>
        <w:rPr>
          <w:rFonts w:eastAsia="Amiri" w:cs="Amiri" w:ascii="Amiri" w:hAnsi="Amiri"/>
          <w:color w:val="111111"/>
          <w:sz w:val="28"/>
          <w:szCs w:val="28"/>
          <w:rtl w:val="true"/>
          <w:lang w:bidi="ar-SA"/>
        </w:rPr>
        <w:t>)</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 الصدوق مثله إلا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فليحتط وليسأل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 الأمور التي ذكرها من باب المثال للإخبار عما يوجب حرمة النكاح وعدم قابلية الموضوع ففصّل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ما قبل الدخول وما بعده فأمر بالسؤال والاحتياط في الأول دون الثاني فهو أخصّ من المدعى وإن نفس التفصيل دليل على عدم لزومه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شعيب الحداد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من مواليك يقرئك السلام، وقد أراد أن يتزوج امرأة وقد وافقته وأعجبه بعض شأنها وقد كان لها زوج فطلقها على غير السنة، وقد كره أن يقدم على تزويجها حتى يستأمرك فتكون أنت تأمره؟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الفرج وأمر الفرج شديد، ومنه يكون الولد ونحن نحتاط فلا يتزوجها</w:t>
      </w:r>
      <w:r>
        <w:rPr>
          <w:rFonts w:eastAsia="IRNazanin" w:cs="IRNazanin"/>
          <w:color w:val="111111"/>
          <w:sz w:val="28"/>
          <w:szCs w:val="28"/>
          <w:rtl w:val="true"/>
          <w:lang w:bidi="fa-IR"/>
        </w:rPr>
        <w:t>)</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الاحتياط على ما نحن فيه غير متصور في عقيدتنا بالإمام المعصوم لأنه لا تردد عنده في الأحكام، والمطلقة لغير السنة لا مانع من زواجها إذا كانت مورداً لقاعدة الإلزام، وإن لم تكن كذلك فيحرم الزواج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فلعل الاحتياط هنا أمر إرشادي لترك الزواج من مثل هذه المرأة أو أنه نهي عمّا كان عليه فقهاء العامة من جواز الطلاق لغير السنة وجاء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بتعبير الاحتياط تقية</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مسعدة بن زياد عن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تجامعوا في النكاح على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بلغك أنك قد </w:t>
      </w:r>
    </w:p>
    <w:p>
      <w:pPr>
        <w:pStyle w:val="BookText"/>
        <w:rPr/>
      </w:pPr>
      <w:r>
        <w:rPr>
          <w:rFonts w:ascii="Amiri" w:hAnsi="Amiri" w:eastAsia="Amiri" w:cs="Amiri"/>
          <w:color w:val="111111"/>
          <w:sz w:val="28"/>
          <w:sz w:val="28"/>
          <w:szCs w:val="28"/>
          <w:rtl w:val="true"/>
          <w:lang w:bidi="ar-SA"/>
        </w:rPr>
        <w:t>رضعت من لبنها وأنها لك محرم وما أشبه ذلك، فإن الوقوف عند الشبهة خير من الاقتحام في الهلكة</w:t>
      </w:r>
      <w:r>
        <w:rPr>
          <w:rFonts w:eastAsia="Amiri" w:cs="Amiri" w:ascii="Amiri" w:hAnsi="Amiri"/>
          <w:color w:val="111111"/>
          <w:sz w:val="28"/>
          <w:szCs w:val="28"/>
          <w:rtl w:val="true"/>
          <w:lang w:bidi="ar-SA"/>
        </w:rPr>
        <w:t>)</w:t>
      </w:r>
      <w:r>
        <w:rPr>
          <w:rStyle w:val="FootnoteAnchor"/>
          <w:rtl w:val="true"/>
        </w:rPr>
        <w:footnoteReference w:id="7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من شرح الراوي فالحديث مقتصر على الجزء الأول ولعله مختص بالجماع فلا يشمل كل صور البحث، وسيأتي ما يعارض هذه الرواية في الطائفة المقابلة من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الفقيه بسنده عن</w:t>
      </w:r>
      <w:r>
        <w:rPr>
          <w:rStyle w:val="FootnoteAnchor"/>
          <w:rtl w:val="true"/>
        </w:rPr>
        <w:footnoteReference w:id="701"/>
      </w:r>
    </w:p>
    <w:p>
      <w:pPr>
        <w:pStyle w:val="BookText"/>
        <w:rPr/>
      </w:pPr>
      <w:r>
        <w:rPr>
          <w:rFonts w:ascii="IRNazanin" w:hAnsi="IRNazanin" w:eastAsia="IRNazanin"/>
          <w:color w:val="111111"/>
          <w:sz w:val="28"/>
          <w:sz w:val="28"/>
          <w:szCs w:val="28"/>
          <w:rtl w:val="true"/>
          <w:lang w:bidi="fa-IR"/>
        </w:rPr>
        <w:t>العلاء بن سيابة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امرأة وكّلت رجلاً بأن يزوّجها من رجل فقبل الوكالة فأشهدت له بذلك، فذهب الوكيل فزوجها ثم إنها أنكرت ذلك الوكيل، وزعمت أنها عزلته عن الوكالة فأقامت شاهدين أنها عزلته،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يقول من قبلكم في ذلك؟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 في ذلك فإن كانت عزلته قبل أن يزوج فالوكالة باطلة والتزويج باطل، وإن عزلته وقد زوجها فالتزويج ثابت على ما زوج الوكيل، وعلى ما اتفق معها من الوكالة إذا لم يتعد شيئاً مما أمرت به واشترطت عليه في الوكالة،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يعزلون الوكيل عن وكالتها ولم تعلمه بالعزل؟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يزعمون أنها لو وكّلت رجلاً وأشهدت في الملأ وقالت في الخلا</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اشهدوا إني قد عزلته، أبطلت وكالته بلا أن يعلم في العزل، وينقضون جميع ما فعل الوكيل في النكاح خاصة وفي غيره لا يبطلون الوكالة إلا أن يعلم الوكيل بالعزل، ويقولون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المال منه عوض لصاحبه والفرج ليس منه عوض إذا وقع منه ولد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سبحان الله ما </w:t>
      </w:r>
    </w:p>
    <w:p>
      <w:pPr>
        <w:pStyle w:val="BookText"/>
        <w:rPr/>
      </w:pPr>
      <w:r>
        <w:rPr>
          <w:rFonts w:ascii="Amiri" w:hAnsi="Amiri" w:eastAsia="Amiri" w:cs="Amiri"/>
          <w:color w:val="111111"/>
          <w:sz w:val="28"/>
          <w:sz w:val="28"/>
          <w:szCs w:val="28"/>
          <w:rtl w:val="true"/>
          <w:lang w:bidi="ar-SA"/>
        </w:rPr>
        <w:t>أجور هذا الحكم وأفسده إن النكاح أحرى وأحرى أن يحتاط فيه وهو فرج، ومنه يكون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7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بتقريب الإنكار الشديد من قبل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يفتون به وهذا كاشف عن وجوبه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ويرد عليه أن الإنكار راجع لاعتمادهم القياس والاستحسان في استنباط الأحكام فلا مجال لاستنباط وجوب الاحتياط وإلا فإن إمضاء العقد وعدمه مخالف للاحتياط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عبد الرحمن بن الحجاج عن أبي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يتزوج المرأة في عدتها بجهالة، أهي ممن لا تحل له أبداً؟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أما إذا كان بجهالة فليتزوجها بعد ما تنقضي عدتها وقد يعذر الناس في الجهالة بما هو أعظم من ذلك،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بأي الجهالتين يعذر؟ بجهالته أن يعلم أن ذلك محرم عليه أم بجهالته أنها في عدّة؟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إحدى الجهالتين أهون من الأخرى، الجهالة بأن الله حرم ذلك عليه وذلك بأنه لا يقدر على الاحتياط معها</w:t>
      </w:r>
      <w:r>
        <w:rPr>
          <w:rFonts w:eastAsia="IRNazanin" w:cs="IRNazanin"/>
          <w:color w:val="111111"/>
          <w:sz w:val="28"/>
          <w:szCs w:val="28"/>
          <w:rtl w:val="true"/>
          <w:lang w:bidi="fa-IR"/>
        </w:rPr>
        <w:t>)</w:t>
      </w:r>
      <w:r>
        <w:rPr>
          <w:rStyle w:val="FootnoteAnchor"/>
          <w:rtl w:val="true"/>
        </w:rPr>
        <w:footnoteReference w:id="704"/>
      </w:r>
    </w:p>
    <w:p>
      <w:pPr>
        <w:pStyle w:val="BookText"/>
        <w:rPr/>
      </w:pPr>
      <w:r>
        <w:rPr>
          <w:rFonts w:ascii="Amiri" w:hAnsi="Amiri" w:eastAsia="Amiri" w:cs="Amiri"/>
          <w:color w:val="111111"/>
          <w:sz w:val="28"/>
          <w:sz w:val="28"/>
          <w:szCs w:val="28"/>
          <w:rtl w:val="true"/>
          <w:lang w:bidi="ar-SA"/>
        </w:rPr>
        <w:t>بتقريب أن الاحتياط أخذ مسلّماً وإنما الكلام في إمكانه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وتوجد روايات يُفهم منها هذا المعنى من خلال الأمر بالسؤال عن المرأة والفحص عن حالها إذا أراد التمتع بها، مثل</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أبي مريم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المتعة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المتعة اليوم ليست كما كانت قبل اليوم، إنهن كنّ يومئذٍ يؤمَنّ، واليوم لا </w:t>
      </w:r>
    </w:p>
    <w:p>
      <w:pPr>
        <w:pStyle w:val="BookText"/>
        <w:rPr/>
      </w:pPr>
      <w:r>
        <w:rPr>
          <w:rFonts w:ascii="Amiri" w:hAnsi="Amiri" w:eastAsia="Amiri" w:cs="Amiri"/>
          <w:color w:val="111111"/>
          <w:sz w:val="28"/>
          <w:sz w:val="28"/>
          <w:szCs w:val="28"/>
          <w:rtl w:val="true"/>
          <w:lang w:bidi="ar-SA"/>
        </w:rPr>
        <w:t>يؤمنّ فاسألوا عنهن</w:t>
      </w:r>
      <w:r>
        <w:rPr>
          <w:rFonts w:eastAsia="Amiri" w:cs="Amiri" w:ascii="Amiri" w:hAnsi="Amiri"/>
          <w:color w:val="111111"/>
          <w:sz w:val="28"/>
          <w:szCs w:val="28"/>
          <w:rtl w:val="true"/>
          <w:lang w:bidi="ar-SA"/>
        </w:rPr>
        <w:t>)</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أبي يعفور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المرأة ولا يدري ما حالها، أيتزوجها الرجل متعة؟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يتعرض لها، فإن أجابته إلى الفجور فلا يفعل</w:t>
      </w:r>
      <w:r>
        <w:rPr>
          <w:rFonts w:eastAsia="Amiri" w:cs="Amiri" w:ascii="Amiri" w:hAnsi="Amiri"/>
          <w:color w:val="111111"/>
          <w:sz w:val="28"/>
          <w:szCs w:val="28"/>
          <w:rtl w:val="true"/>
          <w:lang w:bidi="ar-SA"/>
        </w:rPr>
        <w:t>)</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أبي عبيدة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الرجل يتزوج المرأةالبكر أو الثيب فيرخي عليه وعليها الستر أو غلق عليه وعليها الباب ثم يطلقها،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يمسّني، ويقول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أمسّها؟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يصدقان، لأنها تدفع عن نفسها العدة ويدفع عن نفسه المهر</w:t>
      </w:r>
      <w:r>
        <w:rPr>
          <w:rFonts w:eastAsia="IRNazanin" w:cs="IRNazanin"/>
          <w:color w:val="111111"/>
          <w:sz w:val="28"/>
          <w:szCs w:val="28"/>
          <w:rtl w:val="true"/>
          <w:lang w:bidi="fa-IR"/>
        </w:rPr>
        <w:t>)</w:t>
      </w:r>
      <w:r>
        <w:rPr>
          <w:rStyle w:val="FootnoteAnchor"/>
          <w:rtl w:val="true"/>
        </w:rPr>
        <w:footnoteReference w:id="707"/>
      </w:r>
    </w:p>
    <w:p>
      <w:pPr>
        <w:pStyle w:val="BookText"/>
        <w:rPr/>
      </w:pPr>
      <w:r>
        <w:rPr>
          <w:rFonts w:ascii="Amiri" w:hAnsi="Amiri" w:eastAsia="Amiri" w:cs="Amiri"/>
          <w:color w:val="111111"/>
          <w:sz w:val="28"/>
          <w:sz w:val="28"/>
          <w:szCs w:val="28"/>
          <w:rtl w:val="true"/>
          <w:lang w:bidi="ar-SA"/>
        </w:rPr>
        <w:t xml:space="preserve">ومثلها رواية أبي بصير وفي نهايتها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إذا كانا متّهمين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ويستدل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بعدة روايات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ابن سنان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يشتري الجارية ولم تحض؟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يعتزلها شهراً إن كانت قد مست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يئست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أفرأيت إن ابتاعها وهي طاهر وزعم صاحبها أنه لم يطأها منذ طهرت،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عندك أميناً فمسّها،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ذا الأمر شديد فإن كنت لا بد فاعلاً فتحفظ لا تنزل عليها</w:t>
      </w:r>
      <w:r>
        <w:rPr>
          <w:rFonts w:eastAsia="IRNazanin" w:cs="IRNazanin"/>
          <w:color w:val="111111"/>
          <w:sz w:val="28"/>
          <w:szCs w:val="28"/>
          <w:rtl w:val="true"/>
          <w:lang w:bidi="fa-IR"/>
        </w:rPr>
        <w:t>)</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ابن بزيع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الجارية تشترى من رجل مسلم يزعم أنه قد استبرأها، أيجزئ ذلك أم لا بد من استبرائها؟ قال يستبرئها بحيضتين،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يحلّ للمشتري ملامستها؟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ولا يقرب </w:t>
      </w:r>
      <w:bookmarkStart w:id="815" w:name="pg8133_63135"/>
    </w:p>
    <w:p>
      <w:pPr>
        <w:pStyle w:val="BookText"/>
        <w:rPr/>
      </w:pPr>
      <w:bookmarkEnd w:id="815"/>
      <w:r>
        <w:rPr>
          <w:rFonts w:ascii="IRNazanin" w:hAnsi="IRNazanin" w:eastAsia="IRNazanin"/>
          <w:color w:val="111111"/>
          <w:sz w:val="28"/>
          <w:sz w:val="28"/>
          <w:szCs w:val="28"/>
          <w:rtl w:val="true"/>
          <w:lang w:bidi="fa-IR"/>
        </w:rPr>
        <w:t>فرجها</w:t>
      </w:r>
      <w:r>
        <w:rPr>
          <w:rFonts w:eastAsia="IRNazanin" w:cs="IRNazanin"/>
          <w:color w:val="111111"/>
          <w:sz w:val="28"/>
          <w:szCs w:val="28"/>
          <w:rtl w:val="true"/>
          <w:lang w:bidi="fa-IR"/>
        </w:rPr>
        <w:t>)</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أبي بصير في حديث أنه قال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الرجل يشتري الجارية الصغيرة التي لم تطمث وليست بعذراء يستبرؤها؟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أمرها شديد إذا كان مثلها يعلق فليستبرئها</w:t>
      </w:r>
      <w:r>
        <w:rPr>
          <w:rFonts w:eastAsia="IRNazanin" w:cs="IRNazanin"/>
          <w:color w:val="111111"/>
          <w:sz w:val="28"/>
          <w:szCs w:val="28"/>
          <w:rtl w:val="true"/>
          <w:lang w:bidi="fa-IR"/>
        </w:rPr>
        <w:t>)</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تشريع العدة والفحص عن كون المرأة ذات بعل أو لا وأنها استبرأت أو لا، واجتناب الإنزال خاصة دون سائر الاستمتاعات بالأمة، ونحو ذلك كلها دالة على المطلوب، حتى أن الفقهاء جعلوا حرمة إنزال الزاني حكماً آخر غير حرمة الزنا نفسه وأوجبوا على الزاني أن يتجنبالإنزال</w:t>
      </w:r>
      <w:r>
        <w:rPr>
          <w:rFonts w:eastAsia="Amiri" w:cs="Amiri" w:ascii="Amiri" w:hAnsi="Amiri"/>
          <w:color w:val="111111"/>
          <w:sz w:val="28"/>
          <w:szCs w:val="28"/>
          <w:rtl w:val="true"/>
          <w:lang w:bidi="ar-SA"/>
        </w:rPr>
        <w:t>.</w:t>
      </w:r>
    </w:p>
    <w:p>
      <w:pPr>
        <w:pStyle w:val="Heading6"/>
        <w:numPr>
          <w:ilvl w:val="5"/>
          <w:numId w:val="1"/>
        </w:numPr>
        <w:rPr/>
      </w:pPr>
      <w:bookmarkStart w:id="816" w:name="__RefHeading___Toc8193563_1051229030"/>
      <w:bookmarkStart w:id="817" w:name="_Toc293"/>
      <w:bookmarkEnd w:id="816"/>
      <w:r>
        <w:rPr>
          <w:rtl w:val="true"/>
        </w:rPr>
        <w:t>روايات معارضة لأصالة الاحتياط</w:t>
      </w:r>
      <w:r>
        <w:rPr>
          <w:rtl w:val="true"/>
        </w:rPr>
        <w:t>:</w:t>
      </w:r>
      <w:bookmarkEnd w:id="817"/>
    </w:p>
    <w:p>
      <w:pPr>
        <w:pStyle w:val="BookText"/>
        <w:rPr/>
      </w:pPr>
      <w:r>
        <w:rPr>
          <w:rFonts w:ascii="Amiri" w:hAnsi="Amiri" w:eastAsia="Amiri" w:cs="Amiri"/>
          <w:color w:val="111111"/>
          <w:sz w:val="28"/>
          <w:sz w:val="28"/>
          <w:szCs w:val="28"/>
          <w:rtl w:val="true"/>
          <w:lang w:bidi="ar-SA"/>
        </w:rPr>
        <w:t>وفي مقابل هذه الروايات توجد روايات لا توجب الفحص بل في بعضها توبيخ عليه، منها</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مسعدة بن صدقة المتضمنة لقاعدة الحل فإنها طبقت القاعدة على ما نحن فيه ولولا ذلك لقلنا بتخصيصها،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شيء هو لك حلال حتى تعلم أنه حرام بعينه فتدعه من قبل نفسك، وذلك مثل الثوب يكون عليك قد اشتريته وهو سرقة والمملوك عندك لعله حرّ قد باع نفسه أو خُدِع فبيع قهراً، أو امرأة تحتك وهي أختك أو رضيعتك، والأشياء كلها على هذا حتى يتبين لك غير ذلك أو تقوم به البينة</w:t>
      </w:r>
      <w:r>
        <w:rPr>
          <w:rFonts w:eastAsia="IRNazanin" w:cs="IRNazanin"/>
          <w:color w:val="111111"/>
          <w:sz w:val="28"/>
          <w:szCs w:val="28"/>
          <w:rtl w:val="true"/>
          <w:lang w:bidi="fa-IR"/>
        </w:rPr>
        <w:t>)</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عمر بن حنظلة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تزوجت امرأة فسألت عنها فقيل فيها،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لمَ سألت أيضاً؟ ليس عليك التفتيش</w:t>
      </w:r>
      <w:r>
        <w:rPr>
          <w:rFonts w:eastAsia="IRNazanin" w:cs="IRNazanin"/>
          <w:color w:val="111111"/>
          <w:sz w:val="28"/>
          <w:szCs w:val="28"/>
          <w:rtl w:val="true"/>
          <w:lang w:bidi="fa-IR"/>
        </w:rPr>
        <w:t>)</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ميسّر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ألقى المرأة بالفلاة التي ليس فيها أحد فأقول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 زوج؟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فأتزوجها؟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هي المصدّقة على نفسها</w:t>
      </w:r>
      <w:r>
        <w:rPr>
          <w:rFonts w:eastAsia="IRNazanin" w:cs="IRNazanin"/>
          <w:color w:val="111111"/>
          <w:sz w:val="28"/>
          <w:szCs w:val="28"/>
          <w:rtl w:val="true"/>
          <w:lang w:bidi="fa-IR"/>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القول أن رواية أبي مريم المتقدمة مخصصة 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إسحاق بن عمار عن فضل مولى محمد بن راشد،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تزوجت امرأة متعة فوقع في نفسي أن لها زوجاً ففتشت عن ذلك فوجدت لها زوجاً،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فتشت؟</w:t>
      </w:r>
      <w:r>
        <w:rPr>
          <w:rFonts w:eastAsia="IRNazanin" w:cs="IRNazanin"/>
          <w:color w:val="111111"/>
          <w:sz w:val="28"/>
          <w:szCs w:val="28"/>
          <w:rtl w:val="true"/>
          <w:lang w:bidi="fa-IR"/>
        </w:rPr>
        <w:t>)</w:t>
      </w:r>
      <w:r>
        <w:rPr>
          <w:rStyle w:val="FootnoteAnchor"/>
          <w:rtl w:val="true"/>
        </w:rPr>
        <w:footnoteReference w:id="7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ونحوها مرسل مهران ورواية محمد بن عبد الله الأشعري في نفس الباب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تزوج جارية أو تمتع بها فحدثه رجل ثقة أو غير ثقة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امرأتي وليست لي بيّنة؟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ثقة فلا يقربها، وإن كان غير ثقة فلا يقبل منه</w:t>
      </w:r>
      <w:r>
        <w:rPr>
          <w:rFonts w:eastAsia="Amiri" w:cs="Amiri" w:ascii="Amiri" w:hAnsi="Amiri"/>
          <w:color w:val="111111"/>
          <w:sz w:val="28"/>
          <w:szCs w:val="28"/>
          <w:rtl w:val="true"/>
          <w:lang w:bidi="ar-SA"/>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زرارة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اشتريت جارية بالبصرة من امرأة فخبّرتني أنه لم يطأها أحد فوقعت عليها ولم استبرئها، فسألت عن ذلك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ذا أنا قد فعلت ذلك وما أريد أن أعود</w:t>
      </w:r>
      <w:r>
        <w:rPr>
          <w:rFonts w:eastAsia="IRNazanin" w:cs="IRNazanin"/>
          <w:color w:val="111111"/>
          <w:sz w:val="28"/>
          <w:szCs w:val="28"/>
          <w:rtl w:val="true"/>
          <w:lang w:bidi="fa-IR"/>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محمد بن إسماعيل بن بزيع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امرأة أحلّت لزوجها جاريتها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خاف أن تكون تمزح؟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له بما في قلبها؟ فإن علم أنها تمزح فلا</w:t>
      </w:r>
      <w:r>
        <w:rPr>
          <w:rFonts w:eastAsia="IRNazanin" w:cs="IRNazanin"/>
          <w:color w:val="111111"/>
          <w:sz w:val="28"/>
          <w:szCs w:val="28"/>
          <w:rtl w:val="true"/>
          <w:lang w:bidi="fa-IR"/>
        </w:rPr>
        <w:t>)</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صالح بن عبد الله الخثعمي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كتبت إلى أبي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أسأله عن أم ولد لي ذكرت أنها أرضعت جارية 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تقبل قولها ولا تصدقها</w:t>
      </w:r>
      <w:r>
        <w:rPr>
          <w:rFonts w:eastAsia="IRNazanin" w:cs="IRNazanin"/>
          <w:color w:val="111111"/>
          <w:sz w:val="28"/>
          <w:szCs w:val="28"/>
          <w:rtl w:val="true"/>
          <w:lang w:bidi="fa-IR"/>
        </w:rPr>
        <w:t>)</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امرأة تزعم أنها أرضعت امرأة وغلاماً ثم تنكر بعد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 إذا أنكرت ذلك،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أرضعتهما،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تصدق ولا تنعم</w:t>
      </w:r>
      <w:r>
        <w:rPr>
          <w:rFonts w:eastAsia="IRNazanin" w:cs="IRNazanin"/>
          <w:color w:val="111111"/>
          <w:sz w:val="28"/>
          <w:szCs w:val="28"/>
          <w:rtl w:val="true"/>
          <w:lang w:bidi="fa-IR"/>
        </w:rPr>
        <w:t>)</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والجمع بين الطائفتين يكون على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الاحتياط على الاستحباب، وممن ذهب إليه صاحبالجواهر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صرّح بذلك في مواضع عديدة من كتابه منها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وقاعدة الاحتياط في الفروج التي لا يجب مراعاتها</w:t>
      </w:r>
      <w:r>
        <w:rPr>
          <w:rFonts w:eastAsia="Amiri" w:cs="Amiri" w:ascii="Amiri" w:hAnsi="Amiri"/>
          <w:color w:val="111111"/>
          <w:sz w:val="28"/>
          <w:szCs w:val="28"/>
          <w:rtl w:val="true"/>
          <w:lang w:bidi="ar-SA"/>
        </w:rPr>
        <w:t>»</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بعض الروايات المتقدمة لا يناسب الاستحباب</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أمر إرشادي لمنع حصول آثار يصعب تحمّلها فيما لو ظهر أن الاحتمال في محله، كما لو احتمل أنها أخته بالرضاعة فإنه إذا أقدم عليها وأصبحت له عائلة وأولاد ثم ظهر صحة الاحتمال ولازمه وجوب الانفصال وهو قرار صعب التنفيذ وكان يمكن تجنبه من البداية لو احتاط ولم يقدم على مثلها، أو ظهر أنها ذات بعل فتحرم عليه مؤبداً؛ لذا فرّقت بعض </w:t>
      </w:r>
    </w:p>
    <w:p>
      <w:pPr>
        <w:pStyle w:val="BookText"/>
        <w:rPr/>
      </w:pPr>
      <w:r>
        <w:rPr>
          <w:rFonts w:ascii="Amiri" w:hAnsi="Amiri" w:eastAsia="Amiri" w:cs="Amiri"/>
          <w:color w:val="111111"/>
          <w:sz w:val="28"/>
          <w:sz w:val="28"/>
          <w:szCs w:val="28"/>
          <w:rtl w:val="true"/>
          <w:lang w:bidi="ar-SA"/>
        </w:rPr>
        <w:t>الروايات بين ما قبل الزواج وما بعده فاحتاطت في الأول دون الثاني باعتبار أن الأمر أصبح واقعاً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الإذعان بالتشدد ووجوب الاحتياط لأن بعض نصوصه آبية عن حملها على الاستحباب ولكن نحمله على موارد محددة كوجود علم إجمالي ولو في شبهة غير محصورة، أو إنها من موارد قاعدة الإلزام أو رجحان الظن بالشبهة الحكمية أو الموضوعية وعدم الوثوق بخبر الحلية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كانت الشبهة بدوية ومجرد احتمال فلا داعي للتثبت والسؤال والفحص، وإن الاحتياط في مثله خروج عن يسر الشريعة وسماحتها ونقض للغرض الإلهي المعبَّر عنه في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أن يؤخذ برُخَصه كما يحب أن يؤخذ بعزائمه</w:t>
      </w:r>
      <w:r>
        <w:rPr>
          <w:rFonts w:eastAsia="Amiri" w:cs="Amiri" w:ascii="Amiri" w:hAnsi="Amiri"/>
          <w:color w:val="111111"/>
          <w:sz w:val="28"/>
          <w:szCs w:val="28"/>
          <w:rtl w:val="true"/>
          <w:lang w:bidi="ar-SA"/>
        </w:rPr>
        <w:t>)</w:t>
      </w:r>
      <w:r>
        <w:rPr>
          <w:rStyle w:val="FootnoteAnchor"/>
          <w:rtl w:val="true"/>
        </w:rPr>
        <w:footnoteReference w:id="721"/>
      </w:r>
      <w:r>
        <w:rPr>
          <w:rFonts w:ascii="Amiri" w:hAnsi="Amiri" w:eastAsia="Amiri" w:cs="Amiri"/>
          <w:color w:val="111111"/>
          <w:sz w:val="28"/>
          <w:sz w:val="28"/>
          <w:szCs w:val="28"/>
          <w:rtl w:val="true"/>
          <w:lang w:bidi="ar-SA"/>
        </w:rPr>
        <w:t xml:space="preserve">، ولعله يدخل في تحريم ما أحلّ الله تعالى فيكون تشريعاً محرّماً،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آلله أذن لكم أم على الله تفترون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الأخير أقوى في مورده والوجهان الآخران قريبان في موردهما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بعض المعاصرين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مقتضى تعليل الاحتياط في الفرج والنكاح بكونه منشأ للولد هو لزوم الاحتياط في التلقيح الصناعي، ولا مجال للرجوع إلى البراءة في مثله</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فالمستفاد من هذه الروايات هو لزوم الاحتياط في الشبهات الموضوعية والحكمية في النكاح والاستيلاد، ويعتضد ذلك بما تقرر في محله من عدم جواز الرجوع إلى البراءة العقلية والشرعية في الشبهة الموضوعية والمصداقية في باب الدماء والفروج والأعراض والنفوس مستدلاً باهتمام الشارع بحفظ هذه الموارد، وهو يمنع عن الترخيص في </w:t>
      </w:r>
    </w:p>
    <w:p>
      <w:pPr>
        <w:pStyle w:val="BookText"/>
        <w:rPr/>
      </w:pPr>
      <w:r>
        <w:rPr>
          <w:rFonts w:ascii="Amiri" w:hAnsi="Amiri" w:eastAsia="Amiri" w:cs="Amiri"/>
          <w:color w:val="111111"/>
          <w:sz w:val="28"/>
          <w:sz w:val="28"/>
          <w:szCs w:val="28"/>
          <w:rtl w:val="true"/>
          <w:lang w:bidi="ar-SA"/>
        </w:rPr>
        <w:t>الاقتحام في شبهاتها وكاشف عن إيجاب الاحتياط؛ فلهذا لو رئي شبح من بعيد لم يُعلم أنه مهدور الدم أو محقونه لا يجوز رميه</w:t>
      </w:r>
      <w:r>
        <w:rPr>
          <w:rFonts w:eastAsia="Amiri" w:cs="Amiri" w:ascii="Amiri" w:hAnsi="Amiri"/>
          <w:color w:val="111111"/>
          <w:sz w:val="28"/>
          <w:szCs w:val="28"/>
          <w:rtl w:val="true"/>
          <w:lang w:bidi="ar-SA"/>
        </w:rPr>
        <w:t>»</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 ما قدّمناه من عدم الدليل على وجوب الاحتياط، أما حرمة الرمي في المثال المذكور فليس السبب منحصراً بالاحتياط في الدماء وإنما لأمر آخر كغلبة الأفراد المحقونة، أو لمنافاته لوجوب التحفظ ونحو ذلك، لذا لو كان في معركة وأراد رمي العدو أمامه واحتمل وجود رهائن أو أسرى مسلمين بينهم فإن ذلك لا يمنع من جواز الرمي ولا يجب الاحتياط لهذه الشبهة، فتأمل</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وجد امرأة على سرير الزوجية في غرفة نومه وكانت مظلمة فلا يجب عليه التبيّن لاحتمال أنها ليست زوجته</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 xml:space="preserve">. </w:t>
      </w:r>
      <w:bookmarkStart w:id="818" w:name="pg8133_63140"/>
    </w:p>
    <w:p>
      <w:pPr>
        <w:pStyle w:val="Heading6"/>
        <w:numPr>
          <w:ilvl w:val="5"/>
          <w:numId w:val="1"/>
        </w:numPr>
        <w:rPr/>
      </w:pPr>
      <w:bookmarkStart w:id="819" w:name="__RefHeading___Toc8193565_1051229030"/>
      <w:bookmarkStart w:id="820" w:name="_Toc294"/>
      <w:bookmarkEnd w:id="818"/>
      <w:bookmarkEnd w:id="819"/>
      <w:r>
        <w:rPr>
          <w:rtl w:val="true"/>
        </w:rPr>
        <w:t>القاعدة الثانية</w:t>
      </w:r>
      <w:r>
        <w:rPr>
          <w:rtl w:val="true"/>
        </w:rPr>
        <w:t xml:space="preserve">: </w:t>
      </w:r>
      <w:r>
        <w:rPr>
          <w:rtl w:val="true"/>
        </w:rPr>
        <w:t>الولد للفراش</w:t>
      </w:r>
      <w:r>
        <w:rPr>
          <w:rtl w:val="true"/>
        </w:rPr>
        <w:t>.</w:t>
      </w:r>
      <w:bookmarkEnd w:id="820"/>
    </w:p>
    <w:p>
      <w:pPr>
        <w:pStyle w:val="Heading6"/>
        <w:numPr>
          <w:ilvl w:val="5"/>
          <w:numId w:val="1"/>
        </w:numPr>
        <w:rPr/>
      </w:pPr>
      <w:bookmarkStart w:id="821" w:name="__RefHeading___Toc8193567_1051229030"/>
      <w:bookmarkStart w:id="822" w:name="_Toc295"/>
      <w:bookmarkEnd w:id="821"/>
      <w:r>
        <w:rPr>
          <w:rtl w:val="true"/>
        </w:rPr>
        <w:t>اشارة</w:t>
      </w:r>
      <w:bookmarkEnd w:id="822"/>
    </w:p>
    <w:p>
      <w:pPr>
        <w:pStyle w:val="BookText"/>
        <w:rPr/>
      </w:pPr>
      <w:r>
        <w:rPr>
          <w:rFonts w:ascii="Amiri" w:hAnsi="Amiri" w:eastAsia="Amiri" w:cs="Amiri"/>
          <w:color w:val="111111"/>
          <w:sz w:val="28"/>
          <w:sz w:val="28"/>
          <w:szCs w:val="28"/>
          <w:rtl w:val="true"/>
          <w:lang w:bidi="ar-SA"/>
        </w:rPr>
        <w:t xml:space="preserve">بحث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الجزء الثاني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 قاعدة الولد للفراش ، وجاء فيه</w:t>
      </w:r>
      <w:r>
        <w:rPr>
          <w:rFonts w:eastAsia="Amiri" w:cs="Amiri" w:ascii="Amiri" w:hAnsi="Amiri"/>
          <w:color w:val="111111"/>
          <w:sz w:val="28"/>
          <w:szCs w:val="28"/>
          <w:rtl w:val="true"/>
          <w:lang w:bidi="ar-SA"/>
        </w:rPr>
        <w:t>:</w:t>
      </w:r>
    </w:p>
    <w:p>
      <w:pPr>
        <w:pStyle w:val="Heading6"/>
        <w:numPr>
          <w:ilvl w:val="5"/>
          <w:numId w:val="1"/>
        </w:numPr>
        <w:rPr/>
      </w:pPr>
      <w:bookmarkStart w:id="823" w:name="__RefHeading___Toc8193569_1051229030"/>
      <w:bookmarkStart w:id="824" w:name="_Toc296"/>
      <w:bookmarkEnd w:id="823"/>
      <w:r>
        <w:rPr>
          <w:rtl w:val="true"/>
        </w:rPr>
        <w:t>قاعدة الولد للفراش</w:t>
      </w:r>
      <w:bookmarkEnd w:id="824"/>
    </w:p>
    <w:p>
      <w:pPr>
        <w:pStyle w:val="BookText"/>
        <w:rPr/>
      </w:pPr>
      <w:r>
        <w:rPr>
          <w:rFonts w:ascii="IRNazanin" w:hAnsi="IRNazanin" w:eastAsia="IRNazanin"/>
          <w:color w:val="111111"/>
          <w:sz w:val="28"/>
          <w:sz w:val="28"/>
          <w:szCs w:val="28"/>
          <w:rtl w:val="true"/>
          <w:lang w:bidi="fa-IR"/>
        </w:rPr>
        <w:t xml:space="preserve">وهي مستفادة من الحديث النبوي الشريف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للفراش وللعاهر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المتضمن في روايات كثيرة كصحيحة سعيد الأعرج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سألته عن رجلين وقعا على جارية في طهر واحد لمن يكون الولد؟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للذي عنده؛ لقول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 للفراش وللعاهر الحجر</w:t>
      </w:r>
      <w:r>
        <w:rPr>
          <w:rFonts w:eastAsia="IRNazanin" w:cs="IRNazanin"/>
          <w:color w:val="111111"/>
          <w:sz w:val="28"/>
          <w:szCs w:val="28"/>
          <w:rtl w:val="true"/>
          <w:lang w:bidi="fa-IR"/>
        </w:rPr>
        <w:t>)</w:t>
      </w:r>
      <w:r>
        <w:rPr>
          <w:rStyle w:val="FootnoteAnchor"/>
          <w:rtl w:val="true"/>
        </w:rPr>
        <w:footnoteReference w:id="725"/>
      </w:r>
      <w:r>
        <w:rPr>
          <w:rFonts w:ascii="Amiri" w:hAnsi="Amiri" w:eastAsia="Amiri" w:cs="Amiri"/>
          <w:color w:val="111111"/>
          <w:sz w:val="28"/>
          <w:sz w:val="28"/>
          <w:szCs w:val="28"/>
          <w:rtl w:val="true"/>
          <w:lang w:bidi="ar-SA"/>
        </w:rPr>
        <w:t>ولا نحتاج سرد المزيد من الروايات لشهرتها بين الفريقين، ولا التحقيق في السند للقطع بصدور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روايات العامة ما تقدم </w:t>
      </w:r>
      <w:r>
        <w:rPr>
          <w:rStyle w:val="FootnoteAnchor"/>
          <w:rtl w:val="true"/>
        </w:rPr>
        <w:footnoteReference w:id="726"/>
      </w:r>
      <w:r>
        <w:rPr>
          <w:rFonts w:ascii="Amiri" w:hAnsi="Amiri" w:eastAsia="Amiri" w:cs="Amiri"/>
          <w:color w:val="111111"/>
          <w:sz w:val="28"/>
          <w:sz w:val="28"/>
          <w:szCs w:val="28"/>
          <w:rtl w:val="true"/>
          <w:lang w:bidi="ar-SA"/>
        </w:rPr>
        <w:t>في قضية عتبة بن أبي وقاص وعبد بنزمعة</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وساعد على انتشار الحديث الحماقة التي ارتكبها معاوية بإلحاقه زياداً بنسبه مما حفّز الكثير من الصحابة لنقل هذا الحديث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وعدّ الفعل من مثالب معاوية وموبقاته كما في رسالة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أولستَ المدعي زياد بن سمية المولود على فراش عبيد ثقيف فزعمت أنه ابن أبيك وقد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الولد للفراش وللعاهر الحجر، فتركت 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تعمداً وتبعت هواك بغير هدى من الله</w:t>
      </w:r>
      <w:r>
        <w:rPr>
          <w:rFonts w:eastAsia="IRNazanin" w:cs="IRNazanin"/>
          <w:color w:val="111111"/>
          <w:sz w:val="28"/>
          <w:szCs w:val="28"/>
          <w:rtl w:val="true"/>
          <w:lang w:bidi="fa-IR"/>
        </w:rPr>
        <w:t>)</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وحاصل مفاد الحديث أن الولد يُنسب إلى صاحب الفراش إذا نازعه فيه غيره فادعاه لنفسه وللعاهر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الزاني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 كناية عن الخيبة والخسران وعدم الاستفادة، كما لا يستفاد من الحجر، أو كناية عن الطرد واللعن كما يرمى الكلب بالحجر لطرده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إن معنى المراد بالحجر الرجم به أي استحقاق العاهر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الزاني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للرجم، والأول أظهر لأن الزاني قد لا يكون محصناً حتى يكون حكمه الرجم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ظهور الجملة في الحصر بقرينة تعريف المبتدأ بالألف واللام كقولهم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الكرم والفصاحة في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والجملة وإن كانت خبرية إلا أنها تفيد الإنشاء أي وجوب إلحاق الولد بصاحب الفراش، فهي في مقام بيان الحكم الشرعي لتخلف الصدق عن الإخبار واقعاً وخارجاً أحياناً</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بالفراش الموجب لنسبة الولد إلى صاحبه الكناية عن وجود لقاء جنسي بين الطرفين ممضى شرعاً سواء كان بسبب النكاح بقسميه أوالملك وإنما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للتأكيد على عدم كفاية الافتراش الشأني ومجرد وجود حق الافتراش شرعاً، وأن المراد بالفراش الافتراش الفعلي </w:t>
      </w:r>
    </w:p>
    <w:p>
      <w:pPr>
        <w:pStyle w:val="BookText"/>
        <w:rPr/>
      </w:pPr>
      <w:r>
        <w:rPr>
          <w:rFonts w:ascii="Amiri" w:hAnsi="Amiri" w:eastAsia="Amiri" w:cs="Amiri"/>
          <w:color w:val="111111"/>
          <w:sz w:val="28"/>
          <w:sz w:val="28"/>
          <w:szCs w:val="28"/>
          <w:rtl w:val="true"/>
          <w:lang w:bidi="ar-SA"/>
        </w:rPr>
        <w:t xml:space="preserve">خلافاً 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يقوله العامة</w:t>
      </w:r>
      <w:r>
        <w:rPr>
          <w:rStyle w:val="FootnoteAnchor"/>
          <w:rtl w:val="true"/>
        </w:rPr>
        <w:footnoteReference w:id="728"/>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الافتراش شرعاً بمعنى أنه يحل له وطؤها فلو ولدت وإن لم يفترشها فعلاً ألحق به الولد، إذ هو مع ما فيه من فتح باب الفساد للنساء أشبه شيء بالخرافات</w:t>
      </w:r>
      <w:r>
        <w:rPr>
          <w:rFonts w:eastAsia="Amiri" w:cs="Amiri" w:ascii="Amiri" w:hAnsi="Amiri"/>
          <w:color w:val="111111"/>
          <w:sz w:val="28"/>
          <w:szCs w:val="28"/>
          <w:rtl w:val="true"/>
          <w:lang w:bidi="ar-SA"/>
        </w:rPr>
        <w:t>»</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ويلحق بالفراش وطء الشبهة لاحترامه شرعاً 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فالمتجه حينئذ الحكم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لحوق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لذي الوطء المحترم ما دام ممكناً</w:t>
      </w:r>
      <w:r>
        <w:rPr>
          <w:rFonts w:eastAsia="Amiri" w:cs="Amiri" w:ascii="Amiri" w:hAnsi="Amiri"/>
          <w:color w:val="111111"/>
          <w:sz w:val="28"/>
          <w:szCs w:val="28"/>
          <w:rtl w:val="true"/>
          <w:lang w:bidi="ar-SA"/>
        </w:rPr>
        <w:t>»</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يستدل على الإلحاق بأنه مقتضى المقابلة في الحديث مع العاهر وهو الزاني فيدخل في الجزء الأول من الحديث كل ما ليس بعهر وزنا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واطئ الشبهة ليس فراشاً وليس له هذا الحق، غاية الأمر أنه لا عقوبة عليه لجهله ولا تترتب عليه أحكام الزاني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بيان المراد من القاعدة وموارد تطبيقها من خلال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الإلحاق بصاحب الفراش مشروط بإمكانه شرعاً أو عادة أو عقلاً كأهلية صاحب الفراش للإنجاب فلو كان الرجل خصياً غير قادر على توليد الحيامن لم يلحق الولد به، ويتحقق إمكان الإلحاق باجتماع عدة أمور</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ولادته بعد مضي مدة أقل الحمل وهي ستة أشهر عن المباشرة الجنسية فإذا ولد تاماً سوياً قبل ذلك فهو من غيره، واستُدل عليه بضمّ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وَحَمْلُهُ وَفِصَالُهُ ثَلَاثُونَ شَهْراً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وَفِصَالُهُ فِي عَامَيْنِ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والروايات في ذلك مستفيضة بل </w:t>
      </w:r>
    </w:p>
    <w:p>
      <w:pPr>
        <w:pStyle w:val="BookText"/>
        <w:rPr/>
      </w:pPr>
      <w:r>
        <w:rPr>
          <w:rFonts w:ascii="Amiri" w:hAnsi="Amiri" w:eastAsia="Amiri" w:cs="Amiri"/>
          <w:color w:val="111111"/>
          <w:sz w:val="28"/>
          <w:sz w:val="28"/>
          <w:szCs w:val="28"/>
          <w:rtl w:val="true"/>
          <w:lang w:bidi="ar-SA"/>
        </w:rPr>
        <w:t>متواترة</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تزيد المدة بين المباشرة الجنسية والوضع على أقصى مدة الحمل وهي تسعة أشهر من حين العلوق وزيادة أسبوعين تقريباً من أول الطهر الذي حبلت فيه وهو الأظهر من الروايات، ويؤكده علم الطب، وإذا وجدت حالة نادرة لأكثر من ذلك فيمكن العمل بها لأهمية الموضوع وتداعياته الخطيرة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أفرط بعض العامة حتى أوصلوها إلى أربع سنين وست ونحو ذلك من الخرافات التي جعلوها مناقب لبعض أئمة مذاهبهم وقد كذّبهم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مرسلة عبد الرحمن بن سيّابة</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يحصل بين طرفي الفراش ما يمكن أن يكون سبباً للحمل وإن لم يكن على مستوى إلقاء المني في الفرج فلو ألقى خارجه على نحو يمكن أن تدخل الحيامن إلى الفرج كفى كما في رواية أبي البختري في قرب الإسناد عن جعفر بن محمد عن أبيه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جاء رجل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أعزل عن جارية لي فجاءت بولد،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الوكاء قد ينفلت، فألحق به الولد</w:t>
      </w:r>
      <w:r>
        <w:rPr>
          <w:rFonts w:eastAsia="IRNazanin" w:cs="IRNazanin"/>
          <w:color w:val="111111"/>
          <w:sz w:val="28"/>
          <w:szCs w:val="28"/>
          <w:rtl w:val="true"/>
          <w:lang w:bidi="fa-IR"/>
        </w:rPr>
        <w:t>)</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قرب الإسناد أيضاً بنفس السند عن جعفر بن محمد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رجلاً أتى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امرأتي هذه حامل وهي جارية حدثة وهي عذراء، وهي حامل في تسعة أشهر ولا أعلم إلا خيراً وأنا شيخ كبير ما افترعتها وإنها لعلى حالها، فقال 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نشدتك الله هل كنت تهريق على فرجها؟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ألحقت بك </w:t>
      </w:r>
    </w:p>
    <w:p>
      <w:pPr>
        <w:pStyle w:val="BookText"/>
        <w:rPr/>
      </w:pPr>
      <w:r>
        <w:rPr>
          <w:rFonts w:ascii="IRNazanin" w:hAnsi="IRNazanin" w:eastAsia="IRNazanin"/>
          <w:color w:val="111111"/>
          <w:sz w:val="28"/>
          <w:sz w:val="28"/>
          <w:szCs w:val="28"/>
          <w:rtl w:val="true"/>
          <w:lang w:bidi="fa-IR"/>
        </w:rPr>
        <w:t>ولدها</w:t>
      </w:r>
      <w:r>
        <w:rPr>
          <w:rFonts w:eastAsia="IRNazanin" w:cs="IRNazanin"/>
          <w:color w:val="111111"/>
          <w:sz w:val="28"/>
          <w:szCs w:val="28"/>
          <w:rtl w:val="true"/>
          <w:lang w:bidi="fa-IR"/>
        </w:rPr>
        <w:t>)</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بد من وجود هذا الاحتمال وإن لم يتأكد منه أو كان احتمالاً ضعيفاً، 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فرض إمكان سبق المني وعدم الشعور به لا سبيل حينئذٍ للقطع بنفي الاحتمال ولو بعيداً مع تحقق مسمى الدخول، على أنه يمكن التولد من الرجل بالدخول وإن لم ينزل، ولعله لتحرك نطفة المرأة واكتسابها العلوق من نطفة الرجل في محلها أو غير ذلك من الحكم التي لا يحيط بها إلا رب العزة</w:t>
      </w:r>
      <w:r>
        <w:rPr>
          <w:rFonts w:eastAsia="Amiri" w:cs="Amiri" w:ascii="Amiri" w:hAnsi="Amiri"/>
          <w:color w:val="111111"/>
          <w:sz w:val="28"/>
          <w:szCs w:val="28"/>
          <w:rtl w:val="true"/>
          <w:lang w:bidi="ar-SA"/>
        </w:rPr>
        <w:t>»</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ولعله لتحرك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غريب وبعيد عن الواقع إذ كيف يمكن حصول التلقيح من دون التقاء</w:t>
      </w:r>
      <w:r>
        <w:rPr>
          <w:rStyle w:val="FootnoteAnchor"/>
          <w:rtl w:val="true"/>
        </w:rPr>
        <w:footnoteReference w:id="736"/>
      </w:r>
      <w:r>
        <w:rPr>
          <w:rFonts w:ascii="IRNazanin" w:hAnsi="IRNazanin" w:eastAsia="IRNazanin"/>
          <w:color w:val="111111"/>
          <w:sz w:val="28"/>
          <w:sz w:val="28"/>
          <w:szCs w:val="28"/>
          <w:rtl w:val="true"/>
          <w:lang w:bidi="fa-IR"/>
        </w:rPr>
        <w:t xml:space="preserve">إلا على نحو المعجزة كما حصل للصدّيقة مريم بنت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ولعله تأثر بما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 إلى ابن سينا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يمكن أن يتحقق الانعقاد من كثرة معاشرة العاشق مع معشوقه وإن لم يتحقق دخول أصلاً كما في بعض الأمراض المعدية مثلاً، وعن العلامة أن النطفة والرحم جذابتان، وللجذب مراتب كثيرة</w:t>
      </w:r>
      <w:r>
        <w:rPr>
          <w:rFonts w:eastAsia="IRNazanin" w:cs="IRNazanin"/>
          <w:color w:val="111111"/>
          <w:sz w:val="28"/>
          <w:szCs w:val="28"/>
          <w:rtl w:val="true"/>
          <w:lang w:bidi="fa-IR"/>
        </w:rPr>
        <w:t>»</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مورد جريان القاعدة فيما إذا ولدت المرأة وشك في تكوّنه من ماء صاحب الفراش ليلحق به أو من ماء الزاني فإنه يلحق بصاحب الفراش ما دام ذلك ممكناً، فلا معنى لجريانها عند القطع بالخلاف لانتفاء موضوعها وهو الشك، ولا عند القطع بالوفاق لأنها من تحصيل الحاصل، نعم تجري عند الشك ووجود دعوى مخالفة لما تقتضيه الفراشية بل تجري حتى عند الظن بالخلاف كما لو وجد شبه بين الولد </w:t>
      </w:r>
    </w:p>
    <w:p>
      <w:pPr>
        <w:pStyle w:val="BookText"/>
        <w:rPr/>
      </w:pPr>
      <w:r>
        <w:rPr>
          <w:rFonts w:ascii="Amiri" w:hAnsi="Amiri" w:eastAsia="Amiri" w:cs="Amiri"/>
          <w:color w:val="111111"/>
          <w:sz w:val="28"/>
          <w:sz w:val="28"/>
          <w:szCs w:val="28"/>
          <w:rtl w:val="true"/>
          <w:lang w:bidi="ar-SA"/>
        </w:rPr>
        <w:t xml:space="preserve">والزاني أو قال القافة ذلك أو تحليل الحامض النووي </w:t>
      </w:r>
      <w:r>
        <w:rPr>
          <w:rFonts w:eastAsia="Times New Roman" w:cs="Times New Roman" w:ascii="Times New Roman" w:hAnsi="Times New Roman"/>
          <w:color w:val="111111"/>
          <w:sz w:val="28"/>
          <w:szCs w:val="28"/>
          <w:lang w:val="en-US" w:bidi="en-US"/>
        </w:rPr>
        <w:t>DNA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ونحو ذلك؛ لأنالشارع المقدس ألغى هذا الظن بل إن القاعدة شرعت لهذا كما في قضية ابن أبي وقاص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ضوء ما تقدم فإن زرق حيامن الزوج في رحم الزوجة من دون جماع أو إجراء التلقيح خارجاً مما يصحح إجراء القاعدة لصدق الفراشية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الأقرب أنَّ هذه القاعدة أصل وليست أمارة خلافاً لبعض المحققين الذين ألّفوا في القواعد الفقهية كالسيد البجنوردي</w:t>
      </w:r>
      <w:r>
        <w:rPr>
          <w:rStyle w:val="FootnoteAnchor"/>
          <w:rtl w:val="true"/>
        </w:rPr>
        <w:footnoteReference w:id="738"/>
      </w:r>
    </w:p>
    <w:p>
      <w:pPr>
        <w:pStyle w:val="BookText"/>
        <w:rPr/>
      </w:pPr>
      <w:r>
        <w:rPr>
          <w:rFonts w:ascii="Amiri" w:hAnsi="Amiri" w:eastAsia="Amiri" w:cs="Amiri"/>
          <w:color w:val="111111"/>
          <w:sz w:val="28"/>
          <w:sz w:val="28"/>
          <w:szCs w:val="28"/>
          <w:rtl w:val="true"/>
          <w:lang w:bidi="ar-SA"/>
        </w:rPr>
        <w:t xml:space="preserve">لأن لسانها ليس الكشف عن الواقع وإنما بيان الوظيفة العملية للشاك تعبداً كالاستصحاب ولا يكفي في اعتبارها أمارة 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غالب المطابقة، وهذا مناط جعلها أمارة</w:t>
      </w:r>
      <w:r>
        <w:rPr>
          <w:rFonts w:eastAsia="Amiri" w:cs="Amiri" w:ascii="Amiri" w:hAnsi="Amiri"/>
          <w:color w:val="111111"/>
          <w:sz w:val="28"/>
          <w:szCs w:val="28"/>
          <w:rtl w:val="true"/>
          <w:lang w:bidi="ar-SA"/>
        </w:rPr>
        <w:t>»</w:t>
      </w:r>
      <w:r>
        <w:rPr>
          <w:rStyle w:val="FootnoteAnchor"/>
          <w:rtl w:val="true"/>
        </w:rPr>
        <w:footnoteReference w:id="739"/>
      </w:r>
    </w:p>
    <w:p>
      <w:pPr>
        <w:pStyle w:val="BookText"/>
        <w:rPr/>
      </w:pPr>
      <w:r>
        <w:rPr>
          <w:rFonts w:ascii="Amiri" w:hAnsi="Amiri" w:eastAsia="Amiri" w:cs="Amiri"/>
          <w:color w:val="111111"/>
          <w:sz w:val="28"/>
          <w:sz w:val="28"/>
          <w:szCs w:val="28"/>
          <w:rtl w:val="true"/>
          <w:lang w:bidi="ar-SA"/>
        </w:rPr>
        <w:t>بل المناط ما ذكرناه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لطيف ما يشهد على أنها 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قضية عتبة بن أبي وقاص وابن عبد بن زمعة فقد ثبتت الفراشية لابن زمعة إلا أنه لم يثبت لوازمها كجواز تكشف أم المؤمنين سودة بنت زمعة فأمرها بالحجاب منه وهو أخوها بحسب القاعدة، وإن كان يمكن إرجاع الأمر إلى الاحتياط وهو حسن وأليق بعفاف نساء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لكن التردد الموجب للاحتياط غير متصور في حق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أنه من باب عمل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بعلمه الواقعي وإن كان يجري القاعدة ظاهراً</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باب فتح الذهن على كل الاحتمالات ننقل ما ذكره بعض العلماء من أن قاعدة الفراش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حكم حكومي من ناحيته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حفاظاً على مصالح </w:t>
      </w:r>
    </w:p>
    <w:p>
      <w:pPr>
        <w:pStyle w:val="BookText"/>
        <w:rPr/>
      </w:pPr>
      <w:r>
        <w:rPr>
          <w:rFonts w:ascii="IRNazanin" w:hAnsi="IRNazanin" w:eastAsia="IRNazanin"/>
          <w:color w:val="111111"/>
          <w:sz w:val="28"/>
          <w:sz w:val="28"/>
          <w:szCs w:val="28"/>
          <w:rtl w:val="true"/>
          <w:lang w:bidi="fa-IR"/>
        </w:rPr>
        <w:t>النظام وصوناً للنسب والميراث؟ فإنه أوفق بظواهر الأحاديث، مثل حديث البحار حيث قال 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فإني لم أنفه بل نفاه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نسبة النفي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الله تعالى يكشف عن كونه من أحكامه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تجب إطاعته فيها بحكم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وَأَطِيعُوا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ومثل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وليصبر؛ لقول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رواية الصيقل، وعلي بن جعفر، وسعيد؛ فإنه لو كان من حكم الله تعالى لكان الصبر لحكم الله، وكذا 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رواية عائشة، فإنه ظاهر في إنشاء الحكم في موارد التنازع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ويؤيد الوجه الأول 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باحتجاب سودة بعد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حديث عائشة؛ فإنه نوع احتياط حفظاً للواقع ولو في بعض آثاره</w:t>
      </w:r>
      <w:r>
        <w:rPr>
          <w:rFonts w:eastAsia="IRNazanin" w:cs="IRNazanin"/>
          <w:color w:val="111111"/>
          <w:sz w:val="28"/>
          <w:szCs w:val="28"/>
          <w:rtl w:val="true"/>
          <w:lang w:bidi="fa-IR"/>
        </w:rPr>
        <w:t>»</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هنا عدة تعليقات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إننا ناقشنا حمل تصرف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الاحتياط فيما سبق وقدّمنا وجهاً لفهمه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لازم هذه الأطروحة أخذ القاعدة على نحو الموضوعية وهي ليست كذلك وإنما هي طريق للواقع فلو قطع بأن الولد من الزنا كما لو كان الزوج منقطع عن التواصل مع الزوجة فلا يمكن تطبيق القاعدة وإلحاقه بالزوج لذا تقدم اشتراط فعلية الفراش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تجري القاعدة مع احتمال الفراش ولو كان ضعيفاً وهذا يعطيها شائبة موضوعية كما سنشير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الولد صاحب الفراش وواطئ الشبهة سواء كانت الشبهة حكمية كما لو تزوج امرأة قد طُلّقت طلاقاً غير صحيح، أو </w:t>
      </w:r>
    </w:p>
    <w:p>
      <w:pPr>
        <w:pStyle w:val="BookText"/>
        <w:rPr/>
      </w:pPr>
      <w:r>
        <w:rPr>
          <w:rFonts w:ascii="Amiri" w:hAnsi="Amiri" w:eastAsia="Amiri" w:cs="Amiri"/>
          <w:color w:val="111111"/>
          <w:sz w:val="28"/>
          <w:sz w:val="28"/>
          <w:szCs w:val="28"/>
          <w:rtl w:val="true"/>
          <w:lang w:bidi="ar-SA"/>
        </w:rPr>
        <w:t>موضوعية كما لو لم يعلم أنها أخته من الرضاعة، وهو وطء محترم شرعاً وليس عهراً، ففي المسألة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الأصحاب أنه يُقرع بينهما</w:t>
      </w:r>
      <w:r>
        <w:rPr>
          <w:rFonts w:eastAsia="Amiri" w:cs="Amiri" w:ascii="Amiri" w:hAnsi="Amiri"/>
          <w:color w:val="111111"/>
          <w:sz w:val="28"/>
          <w:szCs w:val="28"/>
          <w:rtl w:val="true"/>
          <w:lang w:bidi="ar-SA"/>
        </w:rPr>
        <w:t>»</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 xml:space="preserve">لأن القاعدة لا تجري باعتبار أن مورد جريانها كون التعارض بين دعوى صاحب الفراش ودعوى الزاني مع إمكان كل منهما فهذا التقابل شرط في جريانالقاعدة، والمقام ليس منه لأن الدعويين محترمتان شرعاً، ولا مرجّح لأحدهما على الأخرى وقد دلّت عليه عدّة روايات مثل صحيحة أبي بصير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اليمن فقال له حين 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بأعجب ما ورد عليك،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أتاني قوم قد تبايعوا جارية فوطئوها جميعاً في طهر واحد فولدت غلاماً واحتجّوا فيه كلهم يدعيه، فأسهمت بينهم وجعلته للذي خرج سهمه، وضمّنته نصيبهم،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ليس من قوم تنازعوا ثم فوضوا أمرهم إلى الله عز وجل إلا خرج سهم المحق</w:t>
      </w:r>
      <w:r>
        <w:rPr>
          <w:rFonts w:eastAsia="IRNazanin" w:cs="IRNazanin"/>
          <w:color w:val="111111"/>
          <w:sz w:val="28"/>
          <w:szCs w:val="28"/>
          <w:rtl w:val="true"/>
          <w:lang w:bidi="fa-IR"/>
        </w:rPr>
        <w:t>)</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الرواية التنازع بين أصحاب فراش لأنهم وطأوا في الملك وإن خالف المشترون اللاحقون فوطأوا من غير استبراء، نعم يمكن تقريب كونه وطء شبهة باعتبار الوطء في مدة الاستبراء كوطء المعتدة جهلاً لكنه قياس مع الفارق لأن الجارية خلال مدة الاستبراء مما تحلّ له أما المعتدة فلا تحلّ له</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وتوجد روايات كثيرة توجب الرجوع إلى القرعة عند الاشتباه بالولد استدل بها على قول المشهور لكنها كلها خارجة عن فرض المسألة لأنها إما </w:t>
      </w:r>
    </w:p>
    <w:p>
      <w:pPr>
        <w:pStyle w:val="BookText"/>
        <w:rPr/>
      </w:pPr>
      <w:r>
        <w:rPr>
          <w:rFonts w:ascii="Amiri" w:hAnsi="Amiri" w:eastAsia="Amiri" w:cs="Amiri"/>
          <w:color w:val="111111"/>
          <w:sz w:val="28"/>
          <w:sz w:val="28"/>
          <w:szCs w:val="28"/>
          <w:rtl w:val="true"/>
          <w:lang w:bidi="ar-SA"/>
        </w:rPr>
        <w:t>بين أصحاب فراش أو زناة مثل صحيحة معاوية بن عمار وصحيحة سليمان بن خالد وصحيحة محمد بن مسلم والحلبي</w:t>
      </w:r>
      <w:r>
        <w:rPr>
          <w:rStyle w:val="FootnoteAnchor"/>
          <w:rtl w:val="true"/>
        </w:rPr>
        <w:footnoteReference w:id="743"/>
      </w:r>
      <w:r>
        <w:rPr>
          <w:rFonts w:ascii="Amiri" w:hAnsi="Amiri" w:eastAsia="Amiri" w:cs="Amiri"/>
          <w:color w:val="111111"/>
          <w:sz w:val="28"/>
          <w:sz w:val="28"/>
          <w:szCs w:val="28"/>
          <w:rtl w:val="true"/>
          <w:lang w:bidi="ar-SA"/>
        </w:rPr>
        <w:t>وصحيحة أخرى للحلبي</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يقال بجريان القاعدة في المقام ويكون الولد لصاحب الفراش مطلقاً تمسكاً بإطلاق الجزء الأول من الحديث والنظر إليه كقاعدة مستقلة وأن الولد ما دام يمكن أن يكون من الفراش فهو للفراش خاصة سواءكانت الدعوى المقابلة للزاني أو لواطئ الشبهة الذي هو ليس صاحب فراش كما قلنا سابقاً ولا حاجة لتقييد الجزء الأول من الحديث بالجزء الثاني الذي جيء به لرد دعوى الزاني ولا يقيد إطلاق الأول، ومما يستدل به على ذلك رواية علي بن جعفر الآتية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فالاحتمال دائر فيها بين صاحبي فراش أو فراش وشبهة باعتبار أن وطء المرأة في مدة الاستبراء كوطء المعتدة وإن كانت تحلّ له، ومع ذلك طبق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بجزئه الأول إذ لا يوجد عاهر في البين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وحينئذٍ لا وجه للقول بالقرعة لأنها لكل أمرٍ مشكل، والمفروض أن إجراء القاعدة قد حلّ الإشكال وألحق الولد بصاحب الفراش فلا موضوع للقرعة</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ترجيح صاحب الوطء الأخير سواء كان هو صاحب الفراش أو واطئ الشبهة ونقصد بالواطئ الأخير من لم يفصل وطؤه عن الوضع بوطءٍ آخر والذي وصفه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الذي عنده المرأة، وقد دلّت عليه الروايات كصحيحة جميل بن دراج في الفقيه ومرسلة الشيخ في التهذيب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المرأة تتزوج في عدتها،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يُفرَّق بينهما وتعتد عدة واحدة </w:t>
      </w:r>
    </w:p>
    <w:p>
      <w:pPr>
        <w:pStyle w:val="BookText"/>
        <w:rPr/>
      </w:pPr>
      <w:r>
        <w:rPr>
          <w:rFonts w:ascii="Amiri" w:hAnsi="Amiri" w:eastAsia="Amiri" w:cs="Amiri"/>
          <w:color w:val="111111"/>
          <w:sz w:val="28"/>
          <w:sz w:val="28"/>
          <w:szCs w:val="28"/>
          <w:rtl w:val="true"/>
          <w:lang w:bidi="ar-SA"/>
        </w:rPr>
        <w:t>منهما جميعاً فإن جاءت بولد لستة أشهر أو أكثر فهو للأخير وإن جاءت بولد لأقل من ستة أشهر فهو للأول</w:t>
      </w:r>
      <w:r>
        <w:rPr>
          <w:rFonts w:eastAsia="Amiri" w:cs="Amiri" w:ascii="Amiri" w:hAnsi="Amiri"/>
          <w:color w:val="111111"/>
          <w:sz w:val="28"/>
          <w:szCs w:val="28"/>
          <w:rtl w:val="true"/>
          <w:lang w:bidi="ar-SA"/>
        </w:rPr>
        <w:t>)</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ومحل الشاهد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جاءت بولد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مجيء الولد بعد ستة أشهر يجعله محتمل الانتساب إليهما لكن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نسبه لواطئ الشبهة لأنه الأخير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وصحيحة سعيد الأعرج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رجلين وقعا على جارية في طهر واحد لمن يكون الولد؟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للذي عنده لقول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 للفراش وللعاهر الحجر</w:t>
      </w:r>
      <w:r>
        <w:rPr>
          <w:rFonts w:eastAsia="IRNazanin" w:cs="IRNazanin"/>
          <w:color w:val="111111"/>
          <w:sz w:val="28"/>
          <w:szCs w:val="28"/>
          <w:rtl w:val="true"/>
          <w:lang w:bidi="fa-IR"/>
        </w:rPr>
        <w:t>)</w:t>
      </w:r>
      <w:r>
        <w:rPr>
          <w:rStyle w:val="FootnoteAnchor"/>
          <w:rtl w:val="true"/>
        </w:rPr>
        <w:footnoteReference w:id="7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وتقريب الاستدلال بناءًعلى أن الثاني وطأها بعد أن اشتراها أو عقد عليها من دون استبرائها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تعارضت دعويان لصاحبي فراش وكان بالإمكان إلحاق الولد بكليهما كما لو ولدت بعد مرور ستة أشهر من وطء الثاني وقبل انتهاء تسعة أشهر من وطء الأول بأن طلقها الأول واعتدّت بثلاثة قروء استمرت أقل من ثلاثة أشهر وتزوجت آخر ، حكى السيد البجنوردي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بناء الأصحاب على الإلحاق بالثاني</w:t>
      </w:r>
      <w:r>
        <w:rPr>
          <w:rFonts w:eastAsia="Amiri" w:cs="Amiri" w:ascii="Amiri" w:hAnsi="Amiri"/>
          <w:color w:val="111111"/>
          <w:sz w:val="28"/>
          <w:szCs w:val="28"/>
          <w:rtl w:val="true"/>
          <w:lang w:bidi="ar-SA"/>
        </w:rPr>
        <w:t>»</w:t>
      </w:r>
      <w:r>
        <w:rPr>
          <w:rStyle w:val="FootnoteAnchor"/>
          <w:rtl w:val="true"/>
        </w:rPr>
        <w:footnoteReference w:id="747"/>
      </w:r>
    </w:p>
    <w:p>
      <w:pPr>
        <w:pStyle w:val="BookText"/>
        <w:rPr/>
      </w:pPr>
      <w:r>
        <w:rPr>
          <w:rFonts w:ascii="Amiri" w:hAnsi="Amiri" w:eastAsia="Amiri" w:cs="Amiri"/>
          <w:color w:val="111111"/>
          <w:sz w:val="28"/>
          <w:sz w:val="28"/>
          <w:szCs w:val="28"/>
          <w:rtl w:val="true"/>
          <w:lang w:bidi="ar-SA"/>
        </w:rPr>
        <w:t>واستدل له بأن المراد بالفراش هو الفراش الفعلي، ولا شك أن الفراش الفعلي هو الثاني دون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وأشكل عليه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 الفعلية في الفراش أمر مسلَّم، ولكن في زمان الوطء لا في زمان الوضع، والمفروض أنه في زمان الوطء كان كلاهما فعليين</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بعد فرض فعلية الفراش لكليهما حين الوطء يكون المقدّم صاحب الفراش عند الوضع الذي اتصل وطؤه بالوضع، ويدل عليه عدة روايات كصحيحة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كان للرجل منكم الجارية يطؤها فيعتقها فاعتدت ونكحت، فإن وضعت لخمسة أشهر فإنه من </w:t>
      </w:r>
    </w:p>
    <w:p>
      <w:pPr>
        <w:pStyle w:val="BookText"/>
        <w:rPr/>
      </w:pPr>
      <w:r>
        <w:rPr>
          <w:rFonts w:ascii="Amiri" w:hAnsi="Amiri" w:eastAsia="Amiri" w:cs="Amiri"/>
          <w:color w:val="111111"/>
          <w:sz w:val="28"/>
          <w:sz w:val="28"/>
          <w:szCs w:val="28"/>
          <w:rtl w:val="true"/>
          <w:lang w:bidi="ar-SA"/>
        </w:rPr>
        <w:t>مولاها الذي أعتقها، وإن وضعت بعد ما تزوجت لستة أشهر فإنه لزوجها الأخير</w:t>
      </w:r>
      <w:r>
        <w:rPr>
          <w:rFonts w:eastAsia="Amiri" w:cs="Amiri" w:ascii="Amiri" w:hAnsi="Amiri"/>
          <w:color w:val="111111"/>
          <w:sz w:val="28"/>
          <w:szCs w:val="28"/>
          <w:rtl w:val="true"/>
          <w:lang w:bidi="ar-SA"/>
        </w:rPr>
        <w:t>)</w:t>
      </w:r>
      <w:r>
        <w:rPr>
          <w:rStyle w:val="FootnoteAnchor"/>
          <w:rtl w:val="true"/>
        </w:rPr>
        <w:footnoteReference w:id="74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ورواية علي بن جعفر عن أخيه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رجل وطأ جارية فباعها قبل أن تحيض، فوطأها الذي اشتراها في ذلك الطهر، فولدت له، لمن الولد؟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للذي عنده، فليصبر لقول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الولد للفراش وللعاهر الحجر</w:t>
      </w:r>
      <w:r>
        <w:rPr>
          <w:rFonts w:eastAsia="IRNazanin" w:cs="IRNazanin"/>
          <w:color w:val="111111"/>
          <w:sz w:val="28"/>
          <w:szCs w:val="28"/>
          <w:rtl w:val="true"/>
          <w:lang w:bidi="fa-IR"/>
        </w:rPr>
        <w:t>))</w:t>
      </w:r>
      <w:r>
        <w:rPr>
          <w:rStyle w:val="FootnoteAnchor"/>
          <w:rtl w:val="true"/>
        </w:rPr>
        <w:footnoteReference w:id="749"/>
      </w:r>
    </w:p>
    <w:p>
      <w:pPr>
        <w:pStyle w:val="BookText"/>
        <w:rPr/>
      </w:pPr>
      <w:r>
        <w:rPr>
          <w:rFonts w:ascii="Amiri" w:hAnsi="Amiri" w:eastAsia="Amiri" w:cs="Amiri"/>
          <w:color w:val="111111"/>
          <w:sz w:val="28"/>
          <w:sz w:val="28"/>
          <w:szCs w:val="28"/>
          <w:rtl w:val="true"/>
          <w:lang w:bidi="ar-SA"/>
        </w:rPr>
        <w:t>ومثلها رواية الحسن الصيقل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بالقرعة لصحيحة أبي بصير المتقدمة </w:t>
      </w:r>
      <w:r>
        <w:rPr>
          <w:rStyle w:val="FootnoteAnchor"/>
          <w:rtl w:val="true"/>
        </w:rPr>
        <w:footnoteReference w:id="750"/>
      </w:r>
    </w:p>
    <w:p>
      <w:pPr>
        <w:pStyle w:val="BookText"/>
        <w:rPr/>
      </w:pPr>
      <w:r>
        <w:rPr>
          <w:rFonts w:ascii="Amiri" w:hAnsi="Amiri" w:eastAsia="Amiri" w:cs="Amiri"/>
          <w:color w:val="111111"/>
          <w:sz w:val="28"/>
          <w:sz w:val="28"/>
          <w:szCs w:val="28"/>
          <w:rtl w:val="true"/>
          <w:lang w:bidi="ar-SA"/>
        </w:rPr>
        <w:t>فإن الواطئينأصحاب فراش وإن كنّا قرّبنا وجهاً لاعتبار وطئهم 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حال فما ذهب إليه المشهور أقرب ومعه لا يبقى موضوع للقرعة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تنازع في الولد واطئا شبهة أو أكثر أقرع بينهما مع إمكان الإلحاق بهما وقد يقال بإلحاقه بالأخير بنحو ما ذكرناه بمقتضى الروايات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تنازع واطئ شبهة مع زاني فهنا وجهان</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إلحاق الولد بواطئ الشبهة تمسّكاً بإطلاق الحديث الشريف في جزئه الثاني؛ لأنه يقتضى طرد الزاني ولا يُسمع ادعاؤه مطلقاً سواء كان المدعي المقابل صاحب فراش أو واطئ شبهة ولا نسب للزاني مع الوليد، </w:t>
      </w:r>
    </w:p>
    <w:p>
      <w:pPr>
        <w:pStyle w:val="BookText"/>
        <w:rPr/>
      </w:pPr>
      <w:r>
        <w:rPr>
          <w:rFonts w:ascii="Amiri" w:hAnsi="Amiri" w:eastAsia="Amiri" w:cs="Amiri"/>
          <w:color w:val="111111"/>
          <w:sz w:val="28"/>
          <w:sz w:val="28"/>
          <w:szCs w:val="28"/>
          <w:rtl w:val="true"/>
          <w:lang w:bidi="ar-SA"/>
        </w:rPr>
        <w:t>وقد حكي اتفاق الأصحاب عليه</w:t>
      </w:r>
      <w:r>
        <w:rPr>
          <w:rStyle w:val="FootnoteAnchor"/>
          <w:rtl w:val="true"/>
        </w:rPr>
        <w:footnoteReference w:id="751"/>
      </w:r>
      <w:r>
        <w:rPr>
          <w:rFonts w:ascii="IRNazanin" w:hAnsi="IRNazanin" w:eastAsia="IRNazanin"/>
          <w:color w:val="111111"/>
          <w:sz w:val="28"/>
          <w:sz w:val="28"/>
          <w:szCs w:val="28"/>
          <w:rtl w:val="true"/>
          <w:lang w:bidi="fa-IR"/>
        </w:rPr>
        <w:t xml:space="preserve">خصوصاً مع تعبير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مكاتبة محمد بن الحسن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لغية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أن نسب ابن الزنا ملغى لكننا قلنا أن هذا الإلغاء بلحاظ الميراث لا مطلقاً بحسب ما ورد في نص الرواية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الاقتراع بينهما إذا اقتصرنا على مورد الحديث وهو التقابل بين دعوى الفراش والزنا، ووطء الشبهة ليس منهما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والأول أظهر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الموارد التي حكم فيها بالرجوع إلى القرعة يجب اليوم الاستفادة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البصمة الوراثية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البنية الجينية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إلى الجينات أي المورثات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تدل على هوية كل إنسان بعينه؛ لأن القرعة لكل أمر مشكل، والمفروض أن هذه الوسيلة العلمية تعطي نتائج دقيقة في إسناد العينة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يمكن أخذها من خلية بشرية سواء من الدم أواللعاب أو المني أو البول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صاحبها، وبذلك يرتفع موضوع القرعة بزوال الإشكال والحيرة، فقاعدة القرعة هنا محكومة على نحو الورود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البصمة الوراثية وسيلة علمية يطمأن إليها</w:t>
      </w:r>
      <w:r>
        <w:rPr>
          <w:rStyle w:val="FootnoteAnchor"/>
          <w:rtl w:val="true"/>
        </w:rPr>
        <w:footnoteReference w:id="752"/>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إسناد العينة إلى صاحبها وتقوم دليلاً على العلاقة النسبية بين الوالدين وأولادهما إلا أنه لا يجوز العمل بنتيجتها عند وجود حكم شرعي أو قاعدة شرعية حاكمة كقاعدة الولد للفراش لأن هذه القاعدة حاكمة على النتائج العلمية حيث</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أسّسها الشارع المقدس لحفظ النظام الاجتماعي العام بغضّ النظر عن الواقع، كما في رواية ابن زمعة حيث ألحقه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بصاحب الفراش مع شبهه بالزاني وعلمه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الواقعي بكونه من الزنا لذا أمر أم المؤمنين سودة بنت زمعة بالتحجب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ويشترط في الاستفادة منها ومن سائر الوسائل العلمية إفادة العلم أو الاطمئنان وعدم وجود دليل شرعي حاكم في المورد فلا يثبت بالبصمة الوراثية انتفاء نسب ولد على فراش الزوجية، ولا يثبت الزنا في ما لو كشف تحليل البصمة على أن هذا الماء الموجود في مهبل المرأة من أجنبي أو أن بصمة الولد طابقت بصمة رجل أجنبي لاشتراط الشهود في إثبات العملية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 قاعدة الفراش مأخوذة على نحو الطريقية فلو قطع بأن الولد ليس من الزوج فإنه لا يجوز إلحاقه به، وعلى هذا فالوسائل العلمية القطعية حاكمة عليها فلماذا لا يصح إثبات النسب بالبصمة الوراثيةحتى في حالة وجود الفراش؟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نسبة الخطأ في البصمة الوراثية وغيرها من الوسائل العلمية موجودة ولا يمكن إهمالها ولو من جهة القائمين على عملية الفحص وقراءة النتائج لغايةٍ ما خصوصاً مع تفشي الفساد المالي والإداري، ومع وجود هذا الاحتمال فإن قاعدة الفراش محكّمة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قاعدة الفراش تجري طالما وجد احتمال لنسبة الولد إلى صاحب الفراش ولو كان ضئيلاً وهو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القوة من الحجية حتى في مورد الاحتمال الضعيف يعطيها شائبة موضوعية تممت هذه الكاشفية الضعيفة مراعاة لحفظ النظام الاجتماعي</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والخلاصة أنه يستفاد من البصمة الوراثية كوسيلة إثبات في المواضع </w:t>
      </w:r>
    </w:p>
    <w:p>
      <w:pPr>
        <w:pStyle w:val="BookText"/>
        <w:rPr/>
      </w:pPr>
      <w:r>
        <w:rPr>
          <w:rFonts w:ascii="Amiri" w:hAnsi="Amiri" w:eastAsia="Amiri" w:cs="Amiri"/>
          <w:color w:val="111111"/>
          <w:sz w:val="28"/>
          <w:sz w:val="28"/>
          <w:szCs w:val="28"/>
          <w:rtl w:val="true"/>
          <w:lang w:bidi="ar-SA"/>
        </w:rPr>
        <w:t>التي لا يوجد فيها دليل شرعي حاكم، ومن تلك الموارد</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التعرف على الجاني لتبرئة غيره عندما تتطابق العينة مع صاحبها، أما ثبوت العقوبة على المتهم صاحب العيّنة فيمكن دفعه 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الحدود تدرأ بالشبهات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حالات الاشتباه بين المواليد كما في المستشفيات ومراكز رعاية الأطفال وكذا الاشتباه في أطفال الأنابيب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النصوص الواردة في تمييز مثل هذا الاشتباه بوسائل الإثبات المعروفة صحيحة محمد بن قيس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لرجل على عهد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جاريتان فولدتا جميعاً في ليلة واحدة، فولدت إحداهما ابنا والأخرى بنتاً، فعمدت صاحبة البنت فوضعت بنتها في المهد الذي فيه الابن وأخذت ابنها، فقالت صاحبة البنت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الابن ابني، وقالت صاحبةالابن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الابن ابني فتحاكما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فأمر أن يوزن لبنهما،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أيتهما كانت أثقل لبناً فالابن لها</w:t>
      </w:r>
      <w:r>
        <w:rPr>
          <w:rFonts w:eastAsia="IRNazanin" w:cs="IRNazanin"/>
          <w:color w:val="111111"/>
          <w:sz w:val="28"/>
          <w:szCs w:val="28"/>
          <w:rtl w:val="true"/>
          <w:lang w:bidi="fa-IR"/>
        </w:rPr>
        <w:t>)</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 تجريد ثقل اللبن عن الخصوصية وإنما هو وسيلة للتمييز فيُعمَّم إلى الوسائل الأخرى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حالات التنازع على مجهول النسب في موارد عدم جريان قاعدة الولد للفراش وانتفاء الأدلة أو تساويهما كما لو دار أمر الولد بين زانيين أو واطئ شبهة، أو بين صاحب فراش وواطئ شبهة كما ذهب إليه المشهور باعتبار عدم وجود عاهر حتى يطرد حيث أوكل الفقهاء الحل إلى القرعة</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حالات ضياع الأطفال واختلافهم بسبب الحوادث أو الحروب وتعذر </w:t>
      </w:r>
    </w:p>
    <w:p>
      <w:pPr>
        <w:pStyle w:val="BookText"/>
        <w:rPr/>
      </w:pPr>
      <w:r>
        <w:rPr>
          <w:rFonts w:ascii="Amiri" w:hAnsi="Amiri" w:eastAsia="Amiri" w:cs="Amiri"/>
          <w:color w:val="111111"/>
          <w:sz w:val="28"/>
          <w:sz w:val="28"/>
          <w:szCs w:val="28"/>
          <w:rtl w:val="true"/>
          <w:lang w:bidi="ar-SA"/>
        </w:rPr>
        <w:t>معرفة أهلهم، أو وجود جثث لم يمكن التعرف على هويتها، أو بقصد التحقق من هويات أسرى الحروب والمفقودين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تنقيح موضوع حرمة النكاح بين رجل وامرأة بأن ادعى شخص أن هذه المرأة أخت الرجل فتحرم عليه ونفى الآخر، فإذا ثبت بالبصمة الوراثية أنها أخته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بغضّ النظر عن جريان قاعدة الفراش في المرتبة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نكاحها، وإنما خصصنا العنوان بحرمة النكاح دون بقية آثار النسب للإجماع على حرمة النكاح بالمحارم وإن كانت من الزنا، أما لو كان الأثر لا يترتب إلا على الابن من الفراش فإن نتيجة البصمة لا تنفع لأنها لا تميّز بين ابن الفراش وابن الزنا، كما لو ادعى أحد استحقاقه من الميراث وثبت بالبصمة أنه ابن فهذا لا يكفي في اشتراكه بالميراث لاحتمال أنه ابن من الزنا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لزيادة الاطمئنان وإزالة الشك بانتساب ولده الذي ولد على فراشه إليه وقد وردت بعض الروايات في إفادة الشبه بين الرجل وولده هذه النتيجة كصحيحة يعقوب بن يزيد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كتبت إلى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وقع على جاريته ثم شك في ولده؟ فكتب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فيه مشابهة منه فهو ولده</w:t>
      </w:r>
      <w:r>
        <w:rPr>
          <w:rFonts w:eastAsia="IRNazanin" w:cs="IRNazanin"/>
          <w:color w:val="111111"/>
          <w:sz w:val="28"/>
          <w:szCs w:val="28"/>
          <w:rtl w:val="true"/>
          <w:lang w:bidi="fa-IR"/>
        </w:rPr>
        <w:t>)</w:t>
      </w:r>
      <w:r>
        <w:rPr>
          <w:rStyle w:val="FootnoteAnchor"/>
          <w:rtl w:val="true"/>
        </w:rPr>
        <w:footnoteReference w:id="755"/>
      </w:r>
    </w:p>
    <w:p>
      <w:pPr>
        <w:pStyle w:val="BookText"/>
        <w:rPr/>
      </w:pP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21/168</w:t>
      </w:r>
      <w:r>
        <w:rPr>
          <w:rFonts w:ascii="Amiri" w:hAnsi="Amiri" w:eastAsia="Amiri" w:cs="Amiri"/>
          <w:color w:val="111111"/>
          <w:sz w:val="28"/>
          <w:sz w:val="28"/>
          <w:szCs w:val="28"/>
          <w:rtl w:val="true"/>
          <w:lang w:bidi="ar-SA"/>
        </w:rPr>
        <w:t xml:space="preserve">، أبواب نكاح العبيد، باب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رواية أخرى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من كان يطأ جاريته ثم شك في حملها من غيره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الولد لك أو فيه مشابهة فلا تبعهما، فإن ذلك لا يحل لك، وإن كان الولد ليس منك ولا فيه مشابهة منك فبعه وبع أمه</w:t>
      </w:r>
      <w:r>
        <w:rPr>
          <w:rFonts w:eastAsia="IRNazanin" w:cs="IRNazanin"/>
          <w:color w:val="111111"/>
          <w:sz w:val="28"/>
          <w:szCs w:val="28"/>
          <w:rtl w:val="true"/>
          <w:lang w:bidi="fa-IR"/>
        </w:rPr>
        <w:t xml:space="preserve">) </w:t>
      </w:r>
      <w:r>
        <w:rPr>
          <w:rStyle w:val="FootnoteAnchor"/>
          <w:rtl w:val="true"/>
        </w:rPr>
        <w:footnoteReference w:id="756"/>
      </w:r>
      <w:r>
        <w:rPr>
          <w:rFonts w:ascii="IRNazanin" w:hAnsi="IRNazanin" w:eastAsia="IRNazanin"/>
          <w:color w:val="111111"/>
          <w:sz w:val="28"/>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فالمشابهة هنا تعزّز الانتساب بقاعدة الفراش وليست دليلاً مستقلاً،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كان الولد ليس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w:t>
      </w:r>
    </w:p>
    <w:p>
      <w:pPr>
        <w:pStyle w:val="BookText"/>
        <w:rPr/>
      </w:pPr>
      <w:r>
        <w:rPr>
          <w:rFonts w:ascii="Amiri" w:hAnsi="Amiri" w:eastAsia="Amiri" w:cs="Amiri"/>
          <w:color w:val="111111"/>
          <w:sz w:val="28"/>
          <w:sz w:val="28"/>
          <w:szCs w:val="28"/>
          <w:rtl w:val="true"/>
          <w:lang w:bidi="ar-SA"/>
        </w:rPr>
        <w:t>لم يولد على فراشك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ضوء هذا الحمل يُعلم النقاش في استدلال فقهاء العامة ببعض الروايات الواردة في صحاحهم كالمروي عن عائشة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عليّ مسروراً تبرق أسارير وجهه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تري مجزّراً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المدلجي الكناني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آنفاً إلى زيد بن حارثة وأسامة بن زيد،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الأقدام بعضها من بعض</w:t>
      </w:r>
      <w:r>
        <w:rPr>
          <w:rFonts w:eastAsia="IRNazanin" w:cs="IRNazanin"/>
          <w:color w:val="111111"/>
          <w:sz w:val="28"/>
          <w:szCs w:val="28"/>
          <w:rtl w:val="true"/>
          <w:lang w:bidi="fa-IR"/>
        </w:rPr>
        <w:t xml:space="preserve">) </w:t>
      </w:r>
      <w:r>
        <w:rPr>
          <w:rStyle w:val="FootnoteAnchor"/>
          <w:rtl w:val="true"/>
        </w:rPr>
        <w:footnoteReference w:id="757"/>
      </w:r>
    </w:p>
    <w:p>
      <w:p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1/505</w:t>
      </w:r>
      <w:r>
        <w:rPr>
          <w:rFonts w:ascii="Amiri" w:hAnsi="Amiri" w:eastAsia="Amiri" w:cs="Amiri"/>
          <w:color w:val="111111"/>
          <w:sz w:val="28"/>
          <w:sz w:val="28"/>
          <w:szCs w:val="28"/>
          <w:rtl w:val="true"/>
          <w:lang w:bidi="ar-SA"/>
        </w:rPr>
        <w:t xml:space="preserve">، باب في القافة، ح </w:t>
      </w:r>
      <w:r>
        <w:rPr>
          <w:rFonts w:eastAsia="Amiri" w:cs="Amiri" w:ascii="Amiri" w:hAnsi="Amiri"/>
          <w:color w:val="111111"/>
          <w:sz w:val="28"/>
          <w:szCs w:val="28"/>
          <w:lang w:bidi="ar-SA"/>
        </w:rPr>
        <w:t>2267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3/298</w:t>
      </w:r>
      <w:r>
        <w:rPr>
          <w:rFonts w:ascii="Amiri" w:hAnsi="Amiri" w:eastAsia="Amiri" w:cs="Amiri"/>
          <w:color w:val="111111"/>
          <w:sz w:val="28"/>
          <w:sz w:val="28"/>
          <w:szCs w:val="28"/>
          <w:rtl w:val="true"/>
          <w:lang w:bidi="ar-SA"/>
        </w:rPr>
        <w:t xml:space="preserve">، باب ما جاء في القافة، ح </w:t>
      </w:r>
      <w:r>
        <w:rPr>
          <w:rFonts w:eastAsia="Amiri" w:cs="Amiri" w:ascii="Amiri" w:hAnsi="Amiri"/>
          <w:color w:val="111111"/>
          <w:sz w:val="28"/>
          <w:szCs w:val="28"/>
          <w:lang w:bidi="ar-SA"/>
        </w:rPr>
        <w:t>2212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زيد أبيضاً وأسامة أسود على حجية قول القائف وإن اختلفوا في التفاصيل</w:t>
      </w:r>
      <w:r>
        <w:rPr>
          <w:rStyle w:val="FootnoteAnchor"/>
          <w:rtl w:val="true"/>
        </w:rPr>
        <w:footnoteReference w:id="758"/>
      </w:r>
    </w:p>
    <w:p>
      <w:pPr>
        <w:pStyle w:val="BookText"/>
        <w:rPr/>
      </w:pPr>
      <w:r>
        <w:rPr>
          <w:rFonts w:ascii="Amiri" w:hAnsi="Amiri" w:eastAsia="Amiri" w:cs="Amiri"/>
          <w:color w:val="111111"/>
          <w:sz w:val="28"/>
          <w:sz w:val="28"/>
          <w:szCs w:val="28"/>
          <w:rtl w:val="true"/>
          <w:lang w:bidi="ar-SA"/>
        </w:rPr>
        <w:t>الفقه الإسلامي والقضايا المعاصرة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ليس صحيحاً وإن الحجة هي قاعدة الفراش وإنما يفيد الشبه هنا سكون النفس واطمئنانها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الغريب مناقشة بعض فقهاء العامة المعاصرين في حجية البصمة الوراثية مع ذهابهم إلى حجية قول القائف لوضوح الفرق في قوة الإثبات بين القيافة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إثبات النسب بالشبهة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تفيد الظن والبصمة الوراثية التي تفيد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الفرق وجود النص على حجية القيافة دون البصمةالوراثية</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المشكلة ليست إثباتية حتى يكون الفيصل هو النص وإنما هي ثبوتية باعتبار أن حجية القيافة من باب أنها طريق للواقع ووسيلة للإثبات فيلاحظ هذا الملاك في البصمة الوراثية</w:t>
      </w:r>
      <w:r>
        <w:rPr>
          <w:rFonts w:eastAsia="Amiri" w:cs="Amiri" w:ascii="Amiri" w:hAnsi="Amiri"/>
          <w:color w:val="111111"/>
          <w:sz w:val="28"/>
          <w:szCs w:val="28"/>
          <w:rtl w:val="true"/>
          <w:lang w:bidi="ar-SA"/>
        </w:rPr>
        <w:t xml:space="preserve">. </w:t>
      </w:r>
      <w:bookmarkStart w:id="825" w:name="pg8133_63156"/>
    </w:p>
    <w:p>
      <w:pPr>
        <w:pStyle w:val="Heading6"/>
        <w:numPr>
          <w:ilvl w:val="5"/>
          <w:numId w:val="1"/>
        </w:numPr>
        <w:rPr/>
      </w:pPr>
      <w:bookmarkStart w:id="826" w:name="__RefHeading___Toc8193571_1051229030"/>
      <w:bookmarkStart w:id="827" w:name="_Toc297"/>
      <w:bookmarkEnd w:id="825"/>
      <w:bookmarkEnd w:id="826"/>
      <w:r>
        <w:rPr>
          <w:rtl w:val="true"/>
        </w:rPr>
        <w:t>القاعدة الثالثة</w:t>
      </w:r>
      <w:r>
        <w:rPr>
          <w:rtl w:val="true"/>
        </w:rPr>
        <w:t xml:space="preserve">: </w:t>
      </w:r>
      <w:r>
        <w:rPr>
          <w:rtl w:val="true"/>
        </w:rPr>
        <w:t>ملكية الإنسان لأعضائه</w:t>
      </w:r>
      <w:r>
        <w:rPr>
          <w:rtl w:val="true"/>
        </w:rPr>
        <w:t>.</w:t>
      </w:r>
      <w:bookmarkEnd w:id="827"/>
    </w:p>
    <w:p>
      <w:pPr>
        <w:pStyle w:val="Heading6"/>
        <w:numPr>
          <w:ilvl w:val="5"/>
          <w:numId w:val="1"/>
        </w:numPr>
        <w:rPr/>
      </w:pPr>
      <w:bookmarkStart w:id="828" w:name="__RefHeading___Toc8193573_1051229030"/>
      <w:bookmarkStart w:id="829" w:name="_Toc298"/>
      <w:bookmarkEnd w:id="828"/>
      <w:r>
        <w:rPr>
          <w:rtl w:val="true"/>
        </w:rPr>
        <w:t>اشارة</w:t>
      </w:r>
      <w:bookmarkEnd w:id="829"/>
    </w:p>
    <w:p>
      <w:pPr>
        <w:pStyle w:val="BookText"/>
        <w:rPr/>
      </w:pPr>
      <w:r>
        <w:rPr>
          <w:rFonts w:ascii="Amiri" w:hAnsi="Amiri" w:eastAsia="Amiri" w:cs="Amiri"/>
          <w:color w:val="111111"/>
          <w:sz w:val="28"/>
          <w:sz w:val="28"/>
          <w:szCs w:val="28"/>
          <w:rtl w:val="true"/>
          <w:lang w:bidi="ar-SA"/>
        </w:rPr>
        <w:t>تعتبر ملكية الانسان لأعضائه واحدة من المسائل التي لاقت اهتماما وبحثا في الفترات المتأخرة ولاكثر من سبب ،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تبرع الانسان بأعضائه ، وبيعه لها ، وجواز قطعها او جرحها ، وما شابه ذلك ، فكل هذه التصرفات موقوفة على طبيعة العلاقة الرابطة بين الانسان وأعضائه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بحث سماحة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المسالة في الجزء الثاني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 ، اذ قال سماحته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شك لدى العقلاء أن للإنسان سلطة على نفسه وأعضائه، بل هو عين نفسه ولا يمكن التفكيك بين أجزائه، لذا فهو يتصرف فيها بما يشاء لا يوقفه عن ذلك إلا نهي الشارع كقتل النفس والإضرار بها أو إذا منعته القوانين العقلائية والوضعية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بنى الشارع المقدس على هذه السلطنة كما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النَّبِيُّ أَوْلَى بِالْمُؤْمِنِينَ مِنْ أَنفُسِهِمْ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تسلِّم بولاية الإنسان على نفسه وتريد أن تثبت أولوية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أي شخص بالولاية على نفسه وأن ولاية المعصوم أشد وأأكد، وأشهدَ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أصحابه على ذلك وأخذ إقرارهم بها حيث استنشدهم في خطبة الغدير المتواترة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 أولى بالمؤمنين من أنفسهم</w:t>
      </w:r>
      <w:r>
        <w:rPr>
          <w:rFonts w:eastAsia="IRNazanin" w:cs="IRNazanin"/>
          <w:color w:val="111111"/>
          <w:sz w:val="28"/>
          <w:szCs w:val="28"/>
          <w:rtl w:val="true"/>
          <w:lang w:bidi="fa-IR"/>
        </w:rPr>
        <w:t>)</w:t>
      </w:r>
      <w:r>
        <w:rPr>
          <w:rStyle w:val="FootnoteAnchor"/>
          <w:rtl w:val="true"/>
        </w:rPr>
        <w:footnoteReference w:id="759"/>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يَشْرِي نَفْسَهُ ابْتِغَاء مَرْضَاتِ اللّهِ وَاللّهُ رَؤُوفٌ بِالْعِبَادِ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يصح بيع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 معنى أريد من البيع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كان أمرها موكولاً إليه</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الأحاديث موثقة سماعة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فوّضإلى </w:t>
      </w:r>
    </w:p>
    <w:p>
      <w:pPr>
        <w:pStyle w:val="BookText"/>
        <w:rPr/>
      </w:pPr>
      <w:r>
        <w:rPr>
          <w:rFonts w:ascii="Amiri" w:hAnsi="Amiri" w:eastAsia="Amiri" w:cs="Amiri"/>
          <w:color w:val="111111"/>
          <w:sz w:val="28"/>
          <w:sz w:val="28"/>
          <w:szCs w:val="28"/>
          <w:rtl w:val="true"/>
          <w:lang w:bidi="ar-SA"/>
        </w:rPr>
        <w:t>المؤمن أموره كلها ولم يفوض إليه أن يذل نفسه ألم تسمع لقول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العزة ولرسوله وللمؤمنين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فالمؤمن ينبغي أن يكون عزيزاً ولا يكون ذليلاً، يعزه الله بالإيمان والإسلام</w:t>
      </w:r>
      <w:r>
        <w:rPr>
          <w:rFonts w:eastAsia="Amiri" w:cs="Amiri" w:ascii="Amiri" w:hAnsi="Amiri"/>
          <w:color w:val="111111"/>
          <w:sz w:val="28"/>
          <w:szCs w:val="28"/>
          <w:rtl w:val="true"/>
          <w:lang w:bidi="ar-SA"/>
        </w:rPr>
        <w:t>)</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ولذا استحق دون غيره الدية والقصاص إزاء أي جناية تجري عليه أو العفو عن الجاني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ولذا أيضاً لم يجز التصرف في أعضائه إلا بإذنه مهما كان التصرف بسيطاً حتى على مستوى غمز اليد كما في صحيحة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عندنا الجامعة،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الجامعة؟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صحيفة فيها كل حلال وحرام وكل شيء يحتاج إليه الناس حتى الأرش في الخدش، وضرب بيده إلي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أتأذن يا أبا محمد؟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إنما أنا لك فاصنع ما شئت، فغمزني بيده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أرش هذا</w:t>
      </w:r>
      <w:r>
        <w:rPr>
          <w:rFonts w:eastAsia="IRNazanin" w:cs="IRNazanin"/>
          <w:color w:val="111111"/>
          <w:sz w:val="28"/>
          <w:szCs w:val="28"/>
          <w:rtl w:val="true"/>
          <w:lang w:bidi="fa-IR"/>
        </w:rPr>
        <w:t>)</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واستدل بعض أعلام العصر بمفهوم الموافقة والأولوية من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w:t>
      </w:r>
      <w:r>
        <w:rPr>
          <w:rStyle w:val="FootnoteAnchor"/>
          <w:rtl w:val="true"/>
        </w:rPr>
        <w:footnoteReference w:id="762"/>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بتقريب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مقتضى سلطنة الناسعلى </w:t>
      </w:r>
    </w:p>
    <w:p>
      <w:pPr>
        <w:pStyle w:val="BookText"/>
        <w:rPr/>
      </w:pPr>
      <w:r>
        <w:rPr>
          <w:rFonts w:ascii="Amiri" w:hAnsi="Amiri" w:eastAsia="Amiri" w:cs="Amiri"/>
          <w:color w:val="111111"/>
          <w:sz w:val="28"/>
          <w:sz w:val="28"/>
          <w:szCs w:val="28"/>
          <w:rtl w:val="true"/>
          <w:lang w:bidi="ar-SA"/>
        </w:rPr>
        <w:t>أموالهم سلطنتهم على أنفسهم بطريق أولى، بل يكون ذلك من شؤون هذا</w:t>
      </w:r>
      <w:r>
        <w:rPr>
          <w:rFonts w:eastAsia="Amiri" w:cs="Amiri" w:ascii="Amiri" w:hAnsi="Amiri"/>
          <w:color w:val="111111"/>
          <w:sz w:val="28"/>
          <w:szCs w:val="28"/>
          <w:rtl w:val="true"/>
          <w:lang w:bidi="ar-SA"/>
        </w:rPr>
        <w:t>»</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الأولوية بعيدة عرفاً ومتشرعياً؛ للقطع بأن مساحة التصرف بالمال أوسع من النفس فقد يقال بسلطنة الإنسان على ماله ولا يلزم منه القول بسلطنته على نفسه، ولعله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 فيها جانب النفي لا الإثبات أي أنه إذا لم يجز التصرف بالمال إلا برضا مالكه، فمن باب أولى لا يجوز التصرف في نفسه إلا بإذنه لأن حرمة النفس أشد من حرمة المال في الجملة، وهو معنى صحيح، لكن لا يصلح الاستدلال به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تصوّر أن السلطة على النفس أوسع من السلطة على المال لأن في المال نحو حق للمجتمع لذا حرم اكتنازه وجعلت ضريبة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تجميده وعدم استثماره في تحريك عجلة الاقتصاد، فافهم</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ولمعرفة جواز تصرفه بأعضائه من التبرع بها أو الوصية بها بعد وفاته ينبغي أن نحقق في شكل سلطنته على أعضائه</w:t>
      </w:r>
      <w:r>
        <w:rPr>
          <w:rFonts w:eastAsia="Amiri" w:cs="Amiri" w:ascii="Amiri" w:hAnsi="Amiri"/>
          <w:color w:val="111111"/>
          <w:sz w:val="28"/>
          <w:szCs w:val="28"/>
          <w:rtl w:val="true"/>
          <w:lang w:bidi="ar-SA"/>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شك أن سلطنة الإنسان على أعضائه ليست على نحو الملكية الحقيقية التكوينية لأنها خالصة لله تعالى الخالق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مُلْكُ السَّمَاوَاتِ وَالأَرْضِ وَمَا بَيْنَهُمَا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حق الإيجاد والإعدام والتصرف المستقل، وقد استخلف الإنسان على ما في 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وَيَجْعَلُكُمْ خُلَفَاء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ملكية أمواله فإنها في طول هذاالاستخلاف، قال </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آمِنُوا بِاللَّهِ وَرَسُولِهِ وَأَنفِقُوا مِمَّا جَعَلَكُم مُّسْتَخْلَفِينَ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ومقتضى هذا الاستخلاف والسلطنة والولاية على النفس جواز التصرف بالبدن إلا ما ورد النهي عنه وممن اختار هذا المعنى السيد الخميني،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وربما تعتبر السلطنة في بعض الموارد، ولا يعتبر الحق ولا الملك، كسلطنة الناس على نفوسهم، فإنها عقلائية، فكما أن الإنسان مسلط على أمواله، مسلط على نفسه، فله التصرف فيها بأي نحو شاء، لولا المنع القانوني لدى العقلاء، والشرعي لدى المتشرعة</w:t>
      </w:r>
      <w:r>
        <w:rPr>
          <w:rFonts w:eastAsia="Amiri" w:cs="Amiri" w:ascii="Amiri" w:hAnsi="Amiri"/>
          <w:color w:val="111111"/>
          <w:sz w:val="28"/>
          <w:szCs w:val="28"/>
          <w:rtl w:val="true"/>
          <w:lang w:bidi="ar-SA"/>
        </w:rPr>
        <w:t>»</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المعنى أوسع مما قاله بعض الأعلام من أن قاعدة السلطنة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تدل بنفسها على جواز كل تصرف، بل تدل على جوازه في كل مورد ثبت جوازه ومشروعيته من الخارج</w:t>
      </w:r>
      <w:r>
        <w:rPr>
          <w:rFonts w:eastAsia="Amiri" w:cs="Amiri" w:ascii="Amiri" w:hAnsi="Amiri"/>
          <w:color w:val="111111"/>
          <w:sz w:val="28"/>
          <w:szCs w:val="28"/>
          <w:rtl w:val="true"/>
          <w:lang w:bidi="ar-SA"/>
        </w:rPr>
        <w:t>»</w:t>
      </w:r>
      <w:r>
        <w:rPr>
          <w:rStyle w:val="FootnoteAnchor"/>
          <w:rtl w:val="true"/>
        </w:rPr>
        <w:footnoteReference w:id="766"/>
      </w:r>
      <w:r>
        <w:rPr>
          <w:rFonts w:ascii="Amiri" w:hAnsi="Amiri" w:eastAsia="Amiri" w:cs="Amiri"/>
          <w:color w:val="111111"/>
          <w:sz w:val="28"/>
          <w:sz w:val="28"/>
          <w:szCs w:val="28"/>
          <w:rtl w:val="true"/>
          <w:lang w:bidi="ar-SA"/>
        </w:rPr>
        <w:t>للقطع بجواز ما لا يحصى من التصرفات من دون ورود دليل شرعي على جوازها بخصوصها سوى هذه السلطنة، فأجاز الفقهاء بيع الدم مثلاً لغرض عقلائي وهو جزء من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هي حدود ملكية الإنسان للتصرف في أعضائه بغضّ النظر عن العناوين والمصطلحات التي جرت على ألسن العلماء ثم صارت محلاً للنزاع فسمّيت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الملكية الذاتية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الملكية الاعتبارية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العلاقة التمليكية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ونفى بعض الأعلام أن يكون الإنسان مالكاً لماله فضلاً عن بدنه، وإنما هي أمانة عنده، وحكي عنه أنه وصف من يقول غير ذلك بالنظرة القارونية، ولعله يشير إلى القول المحكي عن قارون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إِنَّمَا أُوتِيتُهُ عَلَى </w:t>
      </w:r>
    </w:p>
    <w:p>
      <w:pPr>
        <w:pStyle w:val="BookText"/>
        <w:rPr/>
      </w:pPr>
      <w:r>
        <w:rPr>
          <w:rFonts w:ascii="Amiri" w:hAnsi="Amiri" w:eastAsia="Amiri" w:cs="Amiri"/>
          <w:color w:val="111111"/>
          <w:sz w:val="28"/>
          <w:sz w:val="28"/>
          <w:szCs w:val="28"/>
          <w:rtl w:val="true"/>
          <w:lang w:bidi="ar-SA"/>
        </w:rPr>
        <w:t>عِلْمٍ عِندِي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مراجعة كلماته تكشف عن نفيه الملكية المستقلة عن الله تعالى لا مطلق الملك، وإنما وصف بالقارونية مناعتقد باستقلال ملكه عن الله تعالى،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المسألة الأخرى في مجال معرفة الحقوق الإنسانية هي موضوع ملكية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أنّ الإنسان صاحب عقل وإرادة وقدرة على اتخاذ القرار، وقادر على القيام بالعمل، لكن هل يملك تقرير مصيره أيضاً بحيث يمكنه أن يرسمه وفقاً لما يريد؟ وهل يملك أمواله ملكاً تامّاً بحيث يمكنه إنفاقها حيث يرغب ويحب؟ وهل يملك حياته ملكية مستقلّة، وهو مختار أن ينهي حياته متى شاء وبأيّة طريقة شاء؟ وهل للإنسان ولاية وملكية مطلقة على نفسه وماله وعرضه وأبنائه بحيث له الحق في التصرّف فيها بالبيع والهبة أو الإجارة والرهن؟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عقيدتنا الدينية قائمة على أنّ وجود الإنسان وهويته ومصيره أمانة إلهية، وهو أمين لله، فلا يمكنه أن يتدخّل ويتصرّف في مصيره بأيّ نحو أراد، فشخصية الإنسان وهويته هي من الحقوق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وفقاً لمبنى الأمانة فإنّ حقوق وتكاليف الإنسان تُنَظَّم بنحو توجهه في مسار كونه أميناً على ماله، وهويته ومصيره</w:t>
      </w:r>
      <w:r>
        <w:rPr>
          <w:rFonts w:eastAsia="Amiri" w:cs="Amiri" w:ascii="Amiri" w:hAnsi="Amiri"/>
          <w:color w:val="111111"/>
          <w:sz w:val="28"/>
          <w:szCs w:val="28"/>
          <w:rtl w:val="true"/>
          <w:lang w:bidi="ar-SA"/>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الذي تكون نظريته الاعتقادية قائمة على أساس الملكية، وليس الأمانة؛ فإنّه يحمل فكراً قارونياً وفرعونياً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والقرآن الكريم يعرض المجابهة بين منطقي الملكية والأمانة بنحو رائع، ويخبرنا عن قوم شعيب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يَا شُعَيْبُ أَصَلَاتُكَ تَأْمُرُكَ أَنْ نَتْرُكَ مَا يَعْبُدُ آَبَاؤُنَا أَوْ أَنْ نَفْعَلَ فِي أَمْوَالِنَا مَا نَشَاءُ إِنَّكَ لأَنْتَ الْحَلِيمُ الرَّشِيدُ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فمنطق النبي شعيب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أنّكم أمناء على الأمانة الإلهية، ومنطق قومه هو أنّه بما أنّنا كسبنا هذا الأموال فيحق لنا أن نتصرّف فيها كيف 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مسألة الحياة فالأمر أيضاً كذلك؛ أي إذا رأى الشخص نفسه مالكاً لحياته ولنفسه فربّما يرى أنّ </w:t>
      </w:r>
    </w:p>
    <w:p>
      <w:pPr>
        <w:pStyle w:val="BookText"/>
        <w:rPr/>
      </w:pPr>
      <w:r>
        <w:rPr>
          <w:rFonts w:ascii="Amiri" w:hAnsi="Amiri" w:eastAsia="Amiri" w:cs="Amiri"/>
          <w:color w:val="111111"/>
          <w:sz w:val="28"/>
          <w:sz w:val="28"/>
          <w:szCs w:val="28"/>
          <w:rtl w:val="true"/>
          <w:lang w:bidi="ar-SA"/>
        </w:rPr>
        <w:t>له الحق في الانتحار، أو حينما يتصور أنّه مالك لجسمه فسوف يرى أنّ حقه البديهي هو جواز بيعه أو رهنه أو إجارته للآخرين، أو أن يسلّمجسمه للرذيلة</w:t>
      </w:r>
      <w:r>
        <w:rPr>
          <w:rFonts w:eastAsia="Amiri" w:cs="Amiri" w:ascii="Amiri" w:hAnsi="Amiri"/>
          <w:color w:val="111111"/>
          <w:sz w:val="28"/>
          <w:szCs w:val="28"/>
          <w:rtl w:val="true"/>
          <w:lang w:bidi="ar-SA"/>
        </w:rPr>
        <w:t>...»</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يقصد بالأمانة الإلهية معنى الاستخلاف الذي ذكرناه المتضمن للملكية غير المستقلة عن الله تعالى، وليس المعنى الشرعي مقابل الملكية، ولو كان مراده من الأمانة هذا المعنى لما جاز للأمين التصرف فيها بأي نحو كان لأن واجبه حفظها كما هي وهو ما لا يقول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 أن العقلاء يرون أن ملكية الإنسان لجسده ملكية حقيقية لأن البدن جزء من حقيقته فإنه حينما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يريد بها مجموع بدنه وروحه ولا يمكن التفكيك بينه وبين أجزائه، وهذه الملكية وجدت معه باستخلاف الله تعالى له عليه وليست اعتبارية نشأت من الجعل والاعتبار من أحد ببيع أو شراء أو هبة أو إباحة أو غيرها، لكن مع الالتفات إلى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الملكية ليست مستقلة عن ملك الله تعالى الخالق البارئ؛ لذا عليه أن يتقيد بحدود الاستخلاف التي يضعها له الشارع المقدس كعدم إلقاء النفس في التهلكة وعدم الإضرار بها والإذلال لها، مما ذكره الأعلام وسنشير إليها في المطلب الآتي إن شاء الله تعالى</w:t>
      </w:r>
      <w:r>
        <w:rPr>
          <w:rFonts w:eastAsia="Amiri" w:cs="Amiri" w:ascii="Amiri" w:hAnsi="Amiri"/>
          <w:color w:val="111111"/>
          <w:sz w:val="28"/>
          <w:szCs w:val="28"/>
          <w:rtl w:val="true"/>
          <w:lang w:bidi="ar-SA"/>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بد أيضاً أن نضيف قيداً آخر لهذه الملكية، إذ ليس للإنسان سلطة على بدنه بحيث يستعمله في المعصية كسقيه خمراً أو إطعامه الميتة أو خروج المرأة سافرة فضلاً عن تسليم جسدها للرذيلة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الدليل على هذه السلطنة هو بناء العقلاء فلا بد أن نضيف إلى القيود قيداً آخر وهو أن لا يكون هناك مانع عقلائي بحيث يُعَدُّ الفعل سفهياً أو عبثياً أو غير عقلائي كقطع جزء من جلده أو لحمه أو إحداثجرح في رأسه أو في أي جزء آخر ونزف الدم منه أو التقلب في الأوحال الآسنة أو ضرب الظهر بسكاكين حادة أو ممارسة بعض الرياضات العنيفة كالملاكمة، فإنها كلها مما تتوفر فيها القيود المذكورة عند الفقهاء ويكون مقتضى كلماتهم جوازها وهو كما ترى، إذ لا يتردد العقلاء في استهجانها وتشديد النكير على فاعليها، فسلطة الإنسان على نفسه لا تتسع لمثل هذه التصرفات، وما ذكروه من القيود غير كافٍ للمنع من أفعال كثيرة يقضي وجدان الفقهاء وارتكازهم بالمنع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ليست كملكية الإنسان للأموال وإنما هي ملكية الزمام والسلطنة على التصرف فيها فلا يقال إن القول بالملكية يلزم وجوب الخمس عليه وتحقق الاستطاعة للحج وخروجه عن حد الحاجة والفقر لأنه يملك يداً بكذا وعيناً بكذا وكلية بكذا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يقرَّب الجواب بأن ملكية هذه الأعضاء شأنية كملكيته للجاه الاجتماعي الذي يستطيع أن يجني به أموالاً كثيرة، بينما يتوقف تنجيز الأحكام المذكورة على فعلية التملك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ويصدق عنوان الملكية على السلطنة بهذا النحو نظير ملكية الرجل لزمام الزوجية وعصمة المرأة فإنها بيده وقد عبّرت الروايات عنها بالملك كموثقة معمر بن يحيى آل سام عن أبي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يطلّق الرجل إلا ما ملك، ولا يعتق إلا ما ملك، ولا يتصدق إلا بما ملك</w:t>
      </w:r>
      <w:r>
        <w:rPr>
          <w:rFonts w:eastAsia="IRNazanin" w:cs="IRNazanin"/>
          <w:color w:val="111111"/>
          <w:sz w:val="28"/>
          <w:szCs w:val="28"/>
          <w:rtl w:val="true"/>
          <w:lang w:bidi="fa-IR"/>
        </w:rPr>
        <w:t>)</w:t>
      </w:r>
      <w:r>
        <w:rPr>
          <w:rStyle w:val="FootnoteAnchor"/>
          <w:rtl w:val="true"/>
        </w:rPr>
        <w:footnoteReference w:id="768"/>
      </w:r>
      <w:r>
        <w:rPr>
          <w:rFonts w:ascii="IRNazanin" w:hAnsi="IRNazanin" w:eastAsia="IRNazanin"/>
          <w:color w:val="111111"/>
          <w:sz w:val="28"/>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w:t>
      </w:r>
      <w:bookmarkStart w:id="830" w:name="pg8133_63163"/>
    </w:p>
    <w:p>
      <w:pPr>
        <w:pStyle w:val="BookText"/>
        <w:rPr/>
      </w:pPr>
      <w:bookmarkEnd w:id="830"/>
      <w:r>
        <w:rPr>
          <w:rFonts w:ascii="IRNazanin" w:hAnsi="IRNazanin" w:eastAsia="IRNazanin"/>
          <w:color w:val="111111"/>
          <w:sz w:val="28"/>
          <w:sz w:val="28"/>
          <w:szCs w:val="28"/>
          <w:rtl w:val="true"/>
          <w:lang w:bidi="fa-IR"/>
        </w:rPr>
        <w:t xml:space="preserve">متحدة المعنى مع الحديث النبوي الذي جمع الأمور كلها في لفظ واحد وهي رواية عامية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يجوز طلاق ولا بيع ولا عتق ولا وفاء نذر في ما لا يملك</w:t>
      </w:r>
      <w:r>
        <w:rPr>
          <w:rFonts w:eastAsia="IRNazanin" w:cs="IRNazanin"/>
          <w:color w:val="111111"/>
          <w:sz w:val="28"/>
          <w:szCs w:val="28"/>
          <w:rtl w:val="true"/>
          <w:lang w:bidi="fa-IR"/>
        </w:rPr>
        <w:t>)</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31" w:name="__RefHeading___Toc8193575_1051229030"/>
      <w:bookmarkStart w:id="832" w:name="_Toc299"/>
      <w:bookmarkEnd w:id="831"/>
      <w:r>
        <w:rPr>
          <w:rtl w:val="true"/>
        </w:rPr>
        <w:t>حكم قطع أعضاء الإنسان</w:t>
      </w:r>
      <w:bookmarkEnd w:id="832"/>
    </w:p>
    <w:p>
      <w:pPr>
        <w:pStyle w:val="BookText"/>
        <w:rPr/>
      </w:pPr>
      <w:r>
        <w:rPr>
          <w:rFonts w:ascii="Amiri" w:hAnsi="Amiri" w:eastAsia="Amiri" w:cs="Amiri"/>
          <w:color w:val="111111"/>
          <w:sz w:val="28"/>
          <w:sz w:val="28"/>
          <w:szCs w:val="28"/>
          <w:rtl w:val="true"/>
          <w:lang w:bidi="ar-SA"/>
        </w:rPr>
        <w:t xml:space="preserve">بعد ان تبين مما سبق تبني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سلطنة للإنسان على أعضائه ؛ يأتي البحث في مسالة جواز قطعه لتلك الأعضاء باعتباره مستخلفا عليها ، وليس له حرية التصرف فيها كيفما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المسالة تارة فيما اذا قطع العضو من إنسان حي ، واُخرى فيما اذا قطع من إنسان 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 هذا البحث في الجزء الثاني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 ، ونص ما جاء فيه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انتهينا في المطلب الأول إلى أن الإنسان له سلطنة على أجزاء بدنه ونتيجته جواز تصرفه فيها بأنحاء التصرفات ومنها منحها إلى آخر وأن القطع مشروط بإذنه وإلا كان تصرفاً في سلطان الغير من دون إذنه وهو أولى من أخذ الأموال بالحرمة، وكان هتكاً لحرمته وهو فعل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الجواز مقيد بعدم ورود النهي عنه في الشريعة لأن الإنسان مستخلف على بدنه وليس حرّاً يعمل فيه 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ولمعرفة هذه القيود نقسِّم الكلام إلى جهتين</w:t>
      </w:r>
      <w:r>
        <w:rPr>
          <w:rFonts w:eastAsia="Amiri" w:cs="Amiri" w:ascii="Amiri" w:hAnsi="Amiri"/>
          <w:color w:val="111111"/>
          <w:sz w:val="28"/>
          <w:szCs w:val="28"/>
          <w:rtl w:val="true"/>
          <w:lang w:bidi="ar-SA"/>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المقطوع منه حيّاً وكان مسلماً أو غيره من محترم النفس والمال، وهنا عدة قيود</w:t>
      </w:r>
      <w:r>
        <w:rPr>
          <w:rFonts w:eastAsia="Amiri" w:cs="Amiri" w:ascii="Amiri" w:hAnsi="Amiri"/>
          <w:color w:val="111111"/>
          <w:sz w:val="28"/>
          <w:szCs w:val="28"/>
          <w:rtl w:val="true"/>
          <w:lang w:bidi="ar-SA"/>
        </w:rPr>
        <w:t xml:space="preserve">: </w:t>
      </w:r>
      <w:bookmarkStart w:id="833" w:name="pg8133_63164"/>
    </w:p>
    <w:p>
      <w:pPr>
        <w:pStyle w:val="Heading6"/>
        <w:numPr>
          <w:ilvl w:val="5"/>
          <w:numId w:val="1"/>
        </w:numPr>
        <w:rPr/>
      </w:pPr>
      <w:bookmarkStart w:id="834" w:name="__RefHeading___Toc8193577_1051229030"/>
      <w:bookmarkStart w:id="835" w:name="_Toc300"/>
      <w:bookmarkEnd w:id="833"/>
      <w:bookmarkEnd w:id="834"/>
      <w:r>
        <w:rPr>
          <w:rtl w:val="true"/>
        </w:rPr>
        <w:t>القيد الأول</w:t>
      </w:r>
      <w:r>
        <w:rPr>
          <w:rtl w:val="true"/>
        </w:rPr>
        <w:t xml:space="preserve">: </w:t>
      </w:r>
      <w:r>
        <w:rPr>
          <w:rtl w:val="true"/>
        </w:rPr>
        <w:t>أن لا يؤدي إلى قتل النفس</w:t>
      </w:r>
      <w:bookmarkEnd w:id="835"/>
    </w:p>
    <w:p>
      <w:pPr>
        <w:pStyle w:val="BookText"/>
        <w:rPr/>
      </w:pPr>
      <w:r>
        <w:rPr>
          <w:rFonts w:ascii="Amiri" w:hAnsi="Amiri" w:eastAsia="Amiri" w:cs="Amiri"/>
          <w:color w:val="111111"/>
          <w:sz w:val="28"/>
          <w:sz w:val="28"/>
          <w:szCs w:val="28"/>
          <w:rtl w:val="true"/>
          <w:lang w:bidi="ar-SA"/>
        </w:rPr>
        <w:t>فإن حرمة قتل النفس من المسلَّمات لأن إيجاد الحياة وإعدامها من مختصات الخالق تبارك وتعالى تكويناً وتشريعاً، ومن الآيات الكريمة الدالة على الحرمة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تَقْتُلُواْ أَنفُسَكُمْ إِنَّ اللّهَ كَانَ بِكُمْ رَحِيماً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في تعظيم قتل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مَن قَتَلَ نَفْساً بِغَيْرِ نَفْسٍ أَوْ فَسَادٍ فِي الأَرْضِ فَكَأَنَّمَا قَتَلَ النَّاسَ جَمِيعاً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شاملةبإطلاقها لقتل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والنهي لا يقتصر على قتل النفس مباشرة أي الانتحار بل تعم الأفعال المسببة لقتل النفس كإلقاء نفسه وسط الأعداء ليقتلوه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تُلْقُواْ بِأَيْدِيكُمْ إِلَى التَّهْلُكَةِ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وأوضح مصاديق التهلكة السبب المؤدي إلى قتل النفس كأن يذهب إلى موضع وباء قاتل بلا إجراءات وقائية، فهو تعبير أبلغ عن حرمة قتل النفس بالنهي عن أسبابها ومقدماتها كما في معتبرة محمد بن مسكين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فلاناً أصابته جنابة وهو مجدور فغسلوه فمات،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قتلوه، ألا سألوا؟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يمموه؟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شفاء العيّ السؤال</w:t>
      </w:r>
      <w:r>
        <w:rPr>
          <w:rFonts w:eastAsia="IRNazanin" w:cs="IRNazanin"/>
          <w:color w:val="111111"/>
          <w:sz w:val="28"/>
          <w:szCs w:val="28"/>
          <w:rtl w:val="true"/>
          <w:lang w:bidi="fa-IR"/>
        </w:rPr>
        <w:t>)</w:t>
      </w:r>
      <w:r>
        <w:rPr>
          <w:rStyle w:val="FootnoteAnchor"/>
          <w:rtl w:val="true"/>
        </w:rPr>
        <w:footnoteReference w:id="770"/>
      </w:r>
      <w:r>
        <w:rPr>
          <w:rFonts w:ascii="Amiri" w:hAnsi="Amiri" w:eastAsia="Amiri" w:cs="Amiri"/>
          <w:color w:val="111111"/>
          <w:sz w:val="28"/>
          <w:sz w:val="28"/>
          <w:szCs w:val="28"/>
          <w:rtl w:val="true"/>
          <w:lang w:bidi="ar-SA"/>
        </w:rPr>
        <w:t>فإنهم قتلوه بجهلهم باعتبار أنهم لم يكونوا يعلمون أن الغسل سيؤدي إلى الموت لكنهم أقدموا على مظنة الخطر</w:t>
      </w:r>
      <w:r>
        <w:rPr>
          <w:rFonts w:eastAsia="Amiri" w:cs="Amiri" w:ascii="Amiri" w:hAnsi="Amiri"/>
          <w:color w:val="111111"/>
          <w:sz w:val="28"/>
          <w:szCs w:val="28"/>
          <w:rtl w:val="true"/>
          <w:lang w:bidi="ar-SA"/>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دلّت الروايات على حرمة قتل النفس ومنها صحيحة أبي ولاد الحناط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قتل نفسه متعمداً فهو في نار جهنم خالداً فيها</w:t>
      </w:r>
      <w:r>
        <w:rPr>
          <w:rFonts w:eastAsia="IRNazanin" w:cs="IRNazanin"/>
          <w:color w:val="111111"/>
          <w:sz w:val="28"/>
          <w:szCs w:val="28"/>
          <w:rtl w:val="true"/>
          <w:lang w:bidi="fa-IR"/>
        </w:rPr>
        <w:t>)</w:t>
      </w:r>
      <w:r>
        <w:rPr>
          <w:rStyle w:val="FootnoteAnchor"/>
          <w:rtl w:val="true"/>
        </w:rPr>
        <w:footnoteReference w:id="771"/>
      </w:r>
      <w:r>
        <w:rPr>
          <w:rFonts w:ascii="IRNazanin" w:hAnsi="IRNazanin" w:eastAsia="IRNazanin"/>
          <w:color w:val="111111"/>
          <w:sz w:val="28"/>
          <w:sz w:val="28"/>
          <w:szCs w:val="28"/>
          <w:rtl w:val="true"/>
          <w:lang w:bidi="fa-IR"/>
        </w:rPr>
        <w:t xml:space="preserve">وفي رواية ناجية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المؤمن </w:t>
      </w:r>
      <w:bookmarkStart w:id="836" w:name="pg8133_63165"/>
    </w:p>
    <w:p>
      <w:pPr>
        <w:pStyle w:val="BookText"/>
        <w:rPr/>
      </w:pPr>
      <w:bookmarkEnd w:id="836"/>
      <w:r>
        <w:rPr>
          <w:rFonts w:ascii="Amiri" w:hAnsi="Amiri" w:eastAsia="Amiri" w:cs="Amiri"/>
          <w:color w:val="111111"/>
          <w:sz w:val="28"/>
          <w:sz w:val="28"/>
          <w:szCs w:val="28"/>
          <w:rtl w:val="true"/>
          <w:lang w:bidi="ar-SA"/>
        </w:rPr>
        <w:t>يبتلى بكل بلية ويموت بكل ميتة إلا أنه لا يقتل نفسه</w:t>
      </w:r>
      <w:r>
        <w:rPr>
          <w:rFonts w:eastAsia="Amiri" w:cs="Amiri" w:ascii="Amiri" w:hAnsi="Amiri"/>
          <w:color w:val="111111"/>
          <w:sz w:val="28"/>
          <w:szCs w:val="28"/>
          <w:rtl w:val="true"/>
          <w:lang w:bidi="ar-SA"/>
        </w:rPr>
        <w:t>)</w:t>
      </w:r>
      <w:r>
        <w:rPr>
          <w:rStyle w:val="FootnoteAnchor"/>
          <w:rtl w:val="true"/>
        </w:rPr>
        <w:footnoteReference w:id="772"/>
      </w:r>
      <w:r>
        <w:rPr>
          <w:rFonts w:ascii="IRNazanin" w:hAnsi="IRNazanin" w:eastAsia="IRNazanin"/>
          <w:color w:val="111111"/>
          <w:sz w:val="28"/>
          <w:sz w:val="28"/>
          <w:szCs w:val="28"/>
          <w:rtl w:val="true"/>
          <w:lang w:bidi="fa-IR"/>
        </w:rPr>
        <w:t xml:space="preserve">، وفي رسالة الحقوق للإمام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وحقّ السلطان أن تعلم أنك جُعلت له فتنة وأنه مبتلى فيك بما جعله الله عز وجل له عليك من السلطان، وأن عليك أن لا تتعرض لسخطه فتلقي بيدك إلى التهلكة، وتكون شريكاً له فيما يأتي إليك من سوء</w:t>
      </w:r>
      <w:r>
        <w:rPr>
          <w:rFonts w:eastAsia="IRNazanin" w:cs="IRNazanin"/>
          <w:color w:val="111111"/>
          <w:sz w:val="28"/>
          <w:szCs w:val="28"/>
          <w:rtl w:val="true"/>
          <w:lang w:bidi="fa-IR"/>
        </w:rPr>
        <w:t>)</w:t>
      </w:r>
      <w:r>
        <w:rPr>
          <w:rStyle w:val="FootnoteAnchor"/>
          <w:rtl w:val="true"/>
        </w:rPr>
        <w:footnoteReference w:id="7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والروايات التي دلّت على حرمة قتل النفس ووجوب حفظها مما لا يُحصى كثرة وهي شاملة بإطلاقها لمن قتل نفسه، روي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المؤمن أعظم عند الله من زوال الدنيا</w:t>
      </w:r>
      <w:r>
        <w:rPr>
          <w:rFonts w:eastAsia="IRNazanin" w:cs="IRNazanin"/>
          <w:color w:val="111111"/>
          <w:sz w:val="28"/>
          <w:szCs w:val="28"/>
          <w:rtl w:val="true"/>
          <w:lang w:bidi="fa-IR"/>
        </w:rPr>
        <w:t>)</w:t>
      </w:r>
      <w:r>
        <w:rPr>
          <w:rStyle w:val="FootnoteAnchor"/>
          <w:rtl w:val="true"/>
        </w:rPr>
        <w:footnoteReference w:id="774"/>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أعظم حرمة من الكعبة</w:t>
      </w:r>
      <w:r>
        <w:rPr>
          <w:rFonts w:eastAsia="Amiri" w:cs="Amiri" w:ascii="Amiri" w:hAnsi="Amiri"/>
          <w:color w:val="111111"/>
          <w:sz w:val="28"/>
          <w:szCs w:val="28"/>
          <w:rtl w:val="true"/>
          <w:lang w:bidi="ar-SA"/>
        </w:rPr>
        <w:t>)</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37" w:name="__RefHeading___Toc8193579_1051229030"/>
      <w:bookmarkStart w:id="838" w:name="_Toc301"/>
      <w:bookmarkEnd w:id="837"/>
      <w:r>
        <w:rPr>
          <w:rtl w:val="true"/>
        </w:rPr>
        <w:t>القيد الثاني</w:t>
      </w:r>
      <w:r>
        <w:rPr>
          <w:rtl w:val="true"/>
        </w:rPr>
        <w:t xml:space="preserve">: </w:t>
      </w:r>
      <w:r>
        <w:rPr>
          <w:rtl w:val="true"/>
        </w:rPr>
        <w:t>حرمة الإضرار بالبدن</w:t>
      </w:r>
      <w:bookmarkEnd w:id="838"/>
    </w:p>
    <w:p>
      <w:pPr>
        <w:pStyle w:val="BookText"/>
        <w:rPr/>
      </w:pPr>
      <w:r>
        <w:rPr>
          <w:rFonts w:ascii="Amiri" w:hAnsi="Amiri" w:eastAsia="Amiri" w:cs="Amiri"/>
          <w:color w:val="111111"/>
          <w:sz w:val="28"/>
          <w:sz w:val="28"/>
          <w:szCs w:val="28"/>
          <w:rtl w:val="true"/>
          <w:lang w:bidi="ar-SA"/>
        </w:rPr>
        <w:t>والكبرى ثابتة والصغرى متحققة لأن فقدان العضو ضرر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بيان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الحديث المتواتر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w:t>
      </w:r>
      <w:r>
        <w:rPr>
          <w:rStyle w:val="FootnoteAnchor"/>
          <w:rtl w:val="true"/>
        </w:rPr>
        <w:footnoteReference w:id="776"/>
      </w:r>
      <w:r>
        <w:rPr>
          <w:rFonts w:ascii="Amiri" w:hAnsi="Amiri" w:eastAsia="Amiri" w:cs="Amiri"/>
          <w:color w:val="111111"/>
          <w:sz w:val="28"/>
          <w:sz w:val="28"/>
          <w:szCs w:val="28"/>
          <w:rtl w:val="true"/>
          <w:lang w:bidi="ar-SA"/>
        </w:rPr>
        <w:t>جملة خبرية فهو ينفي وجود حكم ضرري في الإسلام ولو بلسان نفي الموضوع، وأنه لا يشرع للمكلفين حكماً فيه ضرر عليهم، ولو أدّى حكم عند تطبيقه إلى ضرر فإنه غير داخل في إطار الشريعة وليس منها ولا بد أن خللاً ما في التطبيق قد حصل كما في قضية سمرة بن جندب</w:t>
      </w:r>
      <w:r>
        <w:rPr>
          <w:rFonts w:eastAsia="Amiri" w:cs="Amiri" w:ascii="Amiri" w:hAnsi="Amiri"/>
          <w:color w:val="111111"/>
          <w:sz w:val="28"/>
          <w:szCs w:val="28"/>
          <w:rtl w:val="true"/>
          <w:lang w:bidi="ar-SA"/>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يكون جملة إنشائية فيفيد النهي عن كل ما يوجب الضرر </w:t>
      </w:r>
    </w:p>
    <w:p>
      <w:pPr>
        <w:pStyle w:val="BookText"/>
        <w:rPr/>
      </w:pPr>
      <w:r>
        <w:rPr>
          <w:rFonts w:ascii="Amiri" w:hAnsi="Amiri" w:eastAsia="Amiri" w:cs="Amiri"/>
          <w:color w:val="111111"/>
          <w:sz w:val="28"/>
          <w:sz w:val="28"/>
          <w:szCs w:val="28"/>
          <w:rtl w:val="true"/>
          <w:lang w:bidi="ar-SA"/>
        </w:rPr>
        <w:t xml:space="preserve">بالنفس والإضرار بالآخرين؛ لأن النهي عن المعلول أبلغ في الدلالة عن النهي عن العلة، ولأن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الضرر معلول لعلل وأسباب مختلفة، فنفي المعلول نفي لجميع أنحاء علله سواء كانت العلة هي الأحكام الشرعية، فإن العمل بها ربما يكون موجباً للضرر، أو إطلاق السلطنة على المال والنفس، فإنه ربما يؤدي إلى الضرر، أو لزوم بعض المعاملات، أو عدم جعل حق الشفعة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فإطلاق نفي المعلول يدل على نفي العلل</w:t>
      </w:r>
      <w:r>
        <w:rPr>
          <w:rFonts w:eastAsia="Amiri" w:cs="Amiri" w:ascii="Amiri" w:hAnsi="Amiri"/>
          <w:color w:val="111111"/>
          <w:sz w:val="28"/>
          <w:szCs w:val="28"/>
          <w:rtl w:val="true"/>
          <w:lang w:bidi="ar-SA"/>
        </w:rPr>
        <w:t>»</w:t>
      </w:r>
      <w:r>
        <w:rPr>
          <w:rStyle w:val="FootnoteAnchor"/>
          <w:rtl w:val="true"/>
        </w:rPr>
        <w:footnoteReference w:id="7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قيل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مفاد الفقرة الأولى أنه لا يتوجه إلى المكلف في محيط الشرع ضرر فهي ناظرة إلى ورود الضرر عليه من الخارج ومنصرفة عن ورود الضرر على الإنسان من ناحية نفسه، فلازمها أنه لا يصل إلى الإنسان ضرر في محيط القانون، فلم يحمّل عليه ما يضرّ به، ولم يجوّز للغير إيراد الضرر عليه وأما إضرار الإنسان بنفسه فهو خارج ومنصرف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ظاهر المصدر في الفقرة الثانية أيضاً هو الإضرار بالغير وإيراد الضرر عليه فلا يعم إيراد الشخص للضرر على نفسه</w:t>
      </w:r>
      <w:r>
        <w:rPr>
          <w:rFonts w:eastAsia="Amiri" w:cs="Amiri" w:ascii="Amiri" w:hAnsi="Amiri"/>
          <w:color w:val="111111"/>
          <w:sz w:val="28"/>
          <w:szCs w:val="28"/>
          <w:rtl w:val="true"/>
          <w:lang w:bidi="ar-SA"/>
        </w:rPr>
        <w:t>»</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لدعوى الانصراف مع ظهور الحديث في الإطلاق، ولو تنزّلنا فإن ما قيل لا يضرُّ بالاستدلال لأن الحديث حينئذٍ يدل بالأولوية على حرمة إيقاع الضرر على النفس لأن الحديث مبني على استثارة هذه الحقيقة المركوزة في الفطرة، فكما أن الإنسان لا يرضى بإيقاع الضرر على نفسه منه بل يتحرى لها كل خير ومنفعة وسعادة ورفاهية ودعة، وإن الشريعة أقرَّت ذلك وبنت عليه وتوقفت عن تشريع أي حكم ضرري، كذلك على الإنسان أن لا يتسبب بإيقاع الضرر على الآخرين، ولا يجوز للآخرين أن </w:t>
      </w:r>
    </w:p>
    <w:p>
      <w:pPr>
        <w:pStyle w:val="BookText"/>
        <w:rPr/>
      </w:pPr>
      <w:r>
        <w:rPr>
          <w:rFonts w:ascii="Amiri" w:hAnsi="Amiri" w:eastAsia="Amiri" w:cs="Amiri"/>
          <w:color w:val="111111"/>
          <w:sz w:val="28"/>
          <w:sz w:val="28"/>
          <w:szCs w:val="28"/>
          <w:rtl w:val="true"/>
          <w:lang w:bidi="ar-SA"/>
        </w:rPr>
        <w:t>يلحقوا الضرر به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الروايات الدالة على حرمة الإضرار بالبدن الروايات الدالة على أن ملاك الأحكام الشرعية هي المصالح والمفاسد فلا بد أن تدور أفعال الإنسان في مدارها، وهي من الروايات التأسيسية لفقه المصالح، كرواية محمد بن عذافر عن أبيه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حرم الله الخمر والميتة ولحم الخنزير والدم؟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وتعالى لم يحرم ذلك على عباده وأحل لهم ما وراء ذلك من رغبة في ما أحل لهم، ولا زهد فيما حرمه عليهم، ولكنه خلق الخلق فعلم ما تقوم به أبدانهم وما يصلحهم فأحله لهم وأباحه لهم وعلم ما يضرهم فنهاهم عنه، ثم أحلهللمضطر في الوقت الذي لا يقوم بدنه إلا به</w:t>
      </w:r>
      <w:r>
        <w:rPr>
          <w:rFonts w:eastAsia="IRNazanin" w:cs="IRNazanin"/>
          <w:color w:val="111111"/>
          <w:sz w:val="28"/>
          <w:szCs w:val="28"/>
          <w:rtl w:val="true"/>
          <w:lang w:bidi="fa-IR"/>
        </w:rPr>
        <w:t>)</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ومثلها رواية تحف العقول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عمّا يحل أكله مما أخرجت الأرض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شيء من الحب مما يكون فيه غذاء الإنسان في بدنه وقوته فحلال أكله، وكل شيء يكون فيه المضرة على الإنسان في بدنه فحرام أكله إلا في حال 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والصنف الثاني ما أخرجت الأرض من جميع صنوف الثمار كلها مما يكون فيه غذاء الإنسان ومنفعة له وقوة به فحلال أكله وما كان فيه المضرة على الإنسان في أكله فحرام أكله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والصنف الثالث جميع صنوف البقول والنبات وكل شيء تنبت من البقول كلها مما فيه منافع الإنسان وغذاء له فحلال أكله وما كان من صنوف البقول مما فيه المضرة على الإنسان في أكله نظير بقول السموم القاتلة ونظير الدفلى وغير ذلك من صنوف السم القاتل فحرام أكله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بتقريب أن الرواية دلّت على أن علّة تحريم ما نهاهم عنه هو ضرره على الإنسان وهي كبرى كلية تدلّ على حرمة الإضرار بالنفس وضعف سند الرواية مجبور بإطباق جوامع الحديث على روايتها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ومثلها رواية العلل عن محمد بن سنان 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 يحلّ إلا لما فيه من المصلحة للأبدان، وحرَّم ما حرّم لما فيه من الفساد</w:t>
      </w:r>
      <w:r>
        <w:rPr>
          <w:rFonts w:eastAsia="IRNazanin" w:cs="IRNazanin"/>
          <w:color w:val="111111"/>
          <w:sz w:val="28"/>
          <w:szCs w:val="28"/>
          <w:rtl w:val="true"/>
          <w:lang w:bidi="fa-IR"/>
        </w:rPr>
        <w:t>)</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 ما دلّ على سقوط الواجبات الشرعية مثل الصوم والغسل والأمر بالمعروف والنهي عن المنكر إذا أضرّت بالإنسان كحديث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الفقيه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ما أضرّ به الصوم فالإفطار له واجب</w:t>
      </w:r>
      <w:r>
        <w:rPr>
          <w:rFonts w:eastAsia="IRNazanin" w:cs="IRNazanin"/>
          <w:color w:val="111111"/>
          <w:sz w:val="28"/>
          <w:szCs w:val="28"/>
          <w:rtl w:val="true"/>
          <w:lang w:bidi="fa-IR"/>
        </w:rPr>
        <w:t>)</w:t>
      </w:r>
      <w:r>
        <w:rPr>
          <w:rStyle w:val="FootnoteAnchor"/>
          <w:rtl w:val="true"/>
        </w:rPr>
        <w:footnoteReference w:id="782"/>
      </w:r>
      <w:r>
        <w:rPr>
          <w:rFonts w:ascii="IRNazanin" w:hAnsi="IRNazanin" w:eastAsia="IRNazanin"/>
          <w:color w:val="111111"/>
          <w:sz w:val="28"/>
          <w:sz w:val="28"/>
          <w:szCs w:val="28"/>
          <w:rtl w:val="true"/>
          <w:lang w:bidi="fa-IR"/>
        </w:rPr>
        <w:t xml:space="preserve">وصحيحة البزنطي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الرجل تصيبه الجنابة وبه قروح أو جروح، أو يكون يخاف على نفسه من البرد؟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يغتسل ويتمم</w:t>
      </w:r>
      <w:r>
        <w:rPr>
          <w:rFonts w:eastAsia="IRNazanin" w:cs="IRNazanin"/>
          <w:color w:val="111111"/>
          <w:sz w:val="28"/>
          <w:szCs w:val="28"/>
          <w:rtl w:val="true"/>
          <w:lang w:bidi="fa-IR"/>
        </w:rPr>
        <w:t>)</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 من الأحاديث في نفس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 أن كبرى حرمة الضرر ثابتة شرعاً في الجملة وعند العقلاء وحكي عليها الإجماع وهو حكم موافق للفطرة السليمة وحكم العقل بلزوم دفع الضرر المحتمل إذا كان ذا أهمية وقد زوَّد الله تعالى الإنسان بما يستشعر به الخطر ويدفعه للابتعاد عنه كالمثال الذي ذكرناه في كتاب الرياضيات للفقيه</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للقطع بأن ليس كل ضرر حراماً ولو كان بسيطاً يتسامح به العقلاء، كالتملّي من الطعام فتقيَّد الحرمة بالضرر المعتد به، </w:t>
      </w:r>
    </w:p>
    <w:p>
      <w:pPr>
        <w:pStyle w:val="BookText"/>
        <w:rPr/>
      </w:pPr>
      <w:r>
        <w:rPr>
          <w:rFonts w:ascii="Amiri" w:hAnsi="Amiri" w:eastAsia="Amiri" w:cs="Amiri"/>
          <w:color w:val="111111"/>
          <w:sz w:val="28"/>
          <w:sz w:val="28"/>
          <w:szCs w:val="28"/>
          <w:rtl w:val="true"/>
          <w:lang w:bidi="ar-SA"/>
        </w:rPr>
        <w:t>ويمكن أن يستدل على هذا التقييد بأكثر من 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الروايات المتقدمة لاستعمالها ألفاظاً تعبّر عن هذا المستوى من الضرر 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رواية العلل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 الفساد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العقلاء على ذلك مما يشكل دليلاً لبّياً ارتكازياً على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كل عضو في جسم الإنسان يؤدي وظيفة معينة فقطعه يلزم منه الإخلال بتلك الوظيفة ونقص في البدن، وما الضرر إلا هذا النقص في النفس كالمال، ومن أمثلته التبرع باليدين أو الرجلين أو العينين أو اللسان، وأمثال ذلك مما يفهم عدم جوازه من مذاق الشارع، أو التعرض للإصابة بأمراض خطرة مضرة بحياته وأهله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كالشلل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أوبئة سارية مضرّة لغيره من المسلمين وهو لا يقدر على ضبطها وعدمنشرها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كل قطع يسبب نقصاً في الوظيفة كالتبرع بكلية واحدة فإن الكلية الأخرى تتكيف لإنجاز الوظيفة وحدها فلا يحرم، لكن إذا خاف الضرر لاحتمال فشل هذه الكلية أو عدم قدرتها على أداء الوظيفة بشكل جيد ولو مستقبلاً حرم التبرع بها لأن وجوب دفع الضرر عن النفس ثابت ابتداءً واستدامةً أي في الحال والمستقبل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كل نقص في النفس أو المال يعدّه العقلاء ضرراً فلو كان لغرض عقلائي فإنه ليس كذلك كالتبرع بالمال في وجوه البر والإحسان أو التضحية بالنفس من أجل غاية نبيلة، ومنها منح أحد أعضائه لقضاء حاجة مهمة وبإذنه واختياره</w:t>
      </w:r>
      <w:r>
        <w:rPr>
          <w:rFonts w:eastAsia="Amiri" w:cs="Amiri" w:ascii="Amiri" w:hAnsi="Amiri"/>
          <w:color w:val="111111"/>
          <w:sz w:val="28"/>
          <w:szCs w:val="28"/>
          <w:rtl w:val="true"/>
          <w:lang w:bidi="ar-SA"/>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عُدّ ضرراً فقد لا يكون الضرر حراماً أو قبيحاً إذا تحقق بارتكابه غرض أهم منه مادي أو معنوي كصرف المال في سفرة سياحية للنزهة، وكذهاب التجار في أسفار مخيفة خصوصاً في الأزمنة السابقة من أجل </w:t>
      </w:r>
      <w:bookmarkStart w:id="839" w:name="pg8133_63170"/>
    </w:p>
    <w:p>
      <w:pPr>
        <w:pStyle w:val="BookText"/>
        <w:rPr/>
      </w:pPr>
      <w:bookmarkEnd w:id="839"/>
      <w:r>
        <w:rPr>
          <w:rFonts w:ascii="Amiri" w:hAnsi="Amiri" w:eastAsia="Amiri" w:cs="Amiri"/>
          <w:color w:val="111111"/>
          <w:sz w:val="28"/>
          <w:sz w:val="28"/>
          <w:szCs w:val="28"/>
          <w:rtl w:val="true"/>
          <w:lang w:bidi="ar-SA"/>
        </w:rPr>
        <w:t>تحقيق أرباح مالية؛ لذا لم يحرّم أغلب الفقهاء التدخين مع إقرارهم بمضارّه لأن المدخن يجد فيه راحة نفسية أو تهدئة للبال ونحو ذلك مما ذكروه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فإطلاق الصغرى غير تام في المقام وإنما تصحّ في الجملة عندما يكون الضرر معتداً به عند العقلاء فلا مانع من قطع العضو مع ما فيه من الضرر وإدخال النقص على بدنه إذا كان لغرض عقلائي راجح ولم يكن الضرر مما يتسامح به العقلاء لولا هذا الغرض، أي أنه ضرر لكن يجوز ارتكابه فلا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الدواعي العقلائية لا تخرج التنقيض عن كونه ضرراً</w:t>
      </w:r>
      <w:r>
        <w:rPr>
          <w:rFonts w:eastAsia="Amiri" w:cs="Amiri" w:ascii="Amiri" w:hAnsi="Amiri"/>
          <w:color w:val="111111"/>
          <w:sz w:val="28"/>
          <w:szCs w:val="28"/>
          <w:rtl w:val="true"/>
          <w:lang w:bidi="ar-SA"/>
        </w:rPr>
        <w:t>»</w:t>
      </w:r>
      <w:r>
        <w:rPr>
          <w:rStyle w:val="FootnoteAnchor"/>
          <w:rtl w:val="true"/>
        </w:rPr>
        <w:footnoteReference w:id="785"/>
      </w:r>
      <w:r>
        <w:rPr>
          <w:rFonts w:ascii="Amiri" w:hAnsi="Amiri" w:eastAsia="Amiri" w:cs="Amiri"/>
          <w:color w:val="111111"/>
          <w:sz w:val="28"/>
          <w:sz w:val="28"/>
          <w:szCs w:val="28"/>
          <w:rtl w:val="true"/>
          <w:lang w:bidi="ar-SA"/>
        </w:rPr>
        <w:t>لأن النظر إلى الحكم وليس إلى الموضوع</w:t>
      </w:r>
      <w:r>
        <w:rPr>
          <w:rFonts w:eastAsia="Amiri" w:cs="Amiri" w:ascii="Amiri" w:hAnsi="Amiri"/>
          <w:color w:val="111111"/>
          <w:sz w:val="28"/>
          <w:szCs w:val="28"/>
          <w:rtl w:val="true"/>
          <w:lang w:bidi="ar-SA"/>
        </w:rPr>
        <w:t>.</w:t>
      </w:r>
    </w:p>
    <w:p>
      <w:pPr>
        <w:pStyle w:val="Heading6"/>
        <w:numPr>
          <w:ilvl w:val="5"/>
          <w:numId w:val="1"/>
        </w:numPr>
        <w:rPr/>
      </w:pPr>
      <w:bookmarkStart w:id="840" w:name="__RefHeading___Toc8193581_1051229030"/>
      <w:bookmarkStart w:id="841" w:name="_Toc302"/>
      <w:bookmarkEnd w:id="840"/>
      <w:r>
        <w:rPr>
          <w:rtl w:val="true"/>
        </w:rPr>
        <w:t>القيد الثالث</w:t>
      </w:r>
      <w:r>
        <w:rPr>
          <w:rtl w:val="true"/>
        </w:rPr>
        <w:t xml:space="preserve">: </w:t>
      </w:r>
      <w:r>
        <w:rPr>
          <w:rtl w:val="true"/>
        </w:rPr>
        <w:t>عدم إذلال النفس</w:t>
      </w:r>
      <w:bookmarkEnd w:id="841"/>
    </w:p>
    <w:p>
      <w:pPr>
        <w:pStyle w:val="BookText"/>
        <w:rPr/>
      </w:pPr>
      <w:r>
        <w:rPr>
          <w:rFonts w:ascii="Amiri" w:hAnsi="Amiri" w:eastAsia="Amiri" w:cs="Amiri"/>
          <w:color w:val="111111"/>
          <w:sz w:val="28"/>
          <w:sz w:val="28"/>
          <w:szCs w:val="28"/>
          <w:rtl w:val="true"/>
          <w:lang w:bidi="ar-SA"/>
        </w:rPr>
        <w:t>فلو تسبَّب التبرع بالعضو في إذلال المؤمن وتحقيره حَرُم كقطع الأنف مثلاً أو قطع اليد مما يوهم بأنه سارق أو قطع الأذن عندما كان يشير إلى ارتكاب جريمة ما ونحو ذلك ، حيث ورد في الروايات الكثيرة أن الله تعالى حين استخلف الإنسان على ما خوّله به فإنه لم يأذن له بأن يذلّ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فوّض إلى المؤمن أموره كلها، ولم يفوّض إليه أن يذلّ نفسه، أما تسمع لقول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الْعِزَّةُ وَلِرَسُولِهِ وَلِلْمُؤْمِنِينَ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فالمؤمن ينبغي أن يكون عزيزاً ولا يكون ذليلاً؛ يعزّه الله بالإيمان والإسلام</w:t>
      </w:r>
      <w:r>
        <w:rPr>
          <w:rFonts w:eastAsia="Amiri" w:cs="Amiri" w:ascii="Amiri" w:hAnsi="Amiri"/>
          <w:color w:val="111111"/>
          <w:sz w:val="28"/>
          <w:szCs w:val="28"/>
          <w:rtl w:val="true"/>
          <w:lang w:bidi="ar-SA"/>
        </w:rPr>
        <w:t>)</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فوض إلى </w:t>
      </w:r>
    </w:p>
    <w:p>
      <w:pPr>
        <w:pStyle w:val="BookText"/>
        <w:rPr/>
      </w:pPr>
      <w:r>
        <w:rPr>
          <w:rFonts w:ascii="Amiri" w:hAnsi="Amiri" w:eastAsia="Amiri" w:cs="Amiri"/>
          <w:color w:val="111111"/>
          <w:sz w:val="28"/>
          <w:sz w:val="28"/>
          <w:szCs w:val="28"/>
          <w:rtl w:val="true"/>
          <w:lang w:bidi="ar-SA"/>
        </w:rPr>
        <w:t>المؤمن كل شيء إلا إذلال نفسه</w:t>
      </w:r>
      <w:r>
        <w:rPr>
          <w:rFonts w:eastAsia="Amiri" w:cs="Amiri" w:ascii="Amiri" w:hAnsi="Amiri"/>
          <w:color w:val="111111"/>
          <w:sz w:val="28"/>
          <w:szCs w:val="28"/>
          <w:rtl w:val="true"/>
          <w:lang w:bidi="ar-SA"/>
        </w:rPr>
        <w:t>)</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أحدث قطع العضو شيناً يوجب ذلّه للمؤمن فإنه منهي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هي القيود التي ذكرها الأعلام لعملية قطع عضو من البدن، وقد تحصَّل من البحث في هذه الجهة جواز القطع بعد مراعاة القيود المذكورة، لكن إطلاق هذه النتيجة وسعتها فيه محذور التشجيع على بيع الأعضاء البشرية والمتاجرة بها مما يستهجنه العقلاء، كما أنها لا تمنع من التصرفات غير العقلائية التي أشرنا إليها </w:t>
      </w:r>
      <w:r>
        <w:rPr>
          <w:rStyle w:val="FootnoteAnchor"/>
          <w:rtl w:val="true"/>
        </w:rPr>
        <w:footnoteReference w:id="788"/>
      </w:r>
    </w:p>
    <w:p>
      <w:pPr>
        <w:pStyle w:val="BookText"/>
        <w:rPr/>
      </w:pPr>
      <w:r>
        <w:rPr>
          <w:rFonts w:ascii="Amiri" w:hAnsi="Amiri" w:eastAsia="Amiri" w:cs="Amiri"/>
          <w:color w:val="111111"/>
          <w:sz w:val="28"/>
          <w:sz w:val="28"/>
          <w:szCs w:val="28"/>
          <w:rtl w:val="true"/>
          <w:lang w:bidi="ar-SA"/>
        </w:rPr>
        <w:t>لذا لا بد من إضافةقيد آخر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القيد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مسوِّغ شرعي وغرض عقلائي كإنقاذ نفس محترمة أو التخلص من حرج شديد أو أمر الولي الفقيه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ويستدل على هذا التقييد بأمور</w:t>
      </w:r>
      <w:r>
        <w:rPr>
          <w:rFonts w:eastAsia="Amiri" w:cs="Amiri" w:ascii="Amiri" w:hAnsi="Amiri"/>
          <w:color w:val="111111"/>
          <w:sz w:val="28"/>
          <w:szCs w:val="28"/>
          <w:rtl w:val="true"/>
          <w:lang w:bidi="ar-SA"/>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ارتكاز المتشرعة على عدم سعة النتيجة التي ذكروها لأن وجدانهم يقضي بالمنع من كثير من التصرفات التي لا تقع ضمن هذه القيود الثلاثة </w:t>
      </w:r>
    </w:p>
    <w:p>
      <w:pPr>
        <w:pStyle w:val="BookText"/>
        <w:rPr/>
      </w:pPr>
      <w:r>
        <w:rPr>
          <w:rFonts w:ascii="Amiri" w:hAnsi="Amiri" w:eastAsia="Amiri" w:cs="Amiri"/>
          <w:color w:val="111111"/>
          <w:sz w:val="28"/>
          <w:sz w:val="28"/>
          <w:szCs w:val="28"/>
          <w:rtl w:val="true"/>
          <w:lang w:bidi="ar-SA"/>
        </w:rPr>
        <w:t xml:space="preserve">وقد ذكرنا أمثلة عليها هنا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Style w:val="FootnoteAnchor"/>
          <w:rtl w:val="true"/>
        </w:rPr>
        <w:footnoteReference w:id="789"/>
      </w:r>
    </w:p>
    <w:p>
      <w:pPr>
        <w:pStyle w:val="BookText"/>
        <w:rPr/>
      </w:pPr>
      <w:r>
        <w:rPr>
          <w:rFonts w:ascii="Amiri" w:hAnsi="Amiri" w:eastAsia="Amiri" w:cs="Amiri"/>
          <w:color w:val="111111"/>
          <w:sz w:val="28"/>
          <w:sz w:val="28"/>
          <w:szCs w:val="28"/>
          <w:rtl w:val="true"/>
          <w:lang w:bidi="ar-SA"/>
        </w:rPr>
        <w:t>ولا بد أيضاً أن نضيف قيداً آخر لهذه الملكية، إذ ليس للإنسان سلطة على بدنه بحيث يستعمله في المعصية كسقيه خمراً أو إطعامه الميتة أو خروج المرأة سافرة فضلاً عن تسليم جسدها للرذيلة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العقلاء الذي هو الدليل على السلطنة مطابق لهذا الارتكاز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 أدلة السلطنة عن هذه السعة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لذا يجب أن نفهم ما جوّزه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كلامه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قطع الجلد والفخذ على أساس هذا القيد أي لغرض شرعي أو عقلائي وليس مطلقاً، إذ أنه بدون هذا القيد يكون العمل مستنكراً لدى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ذكر الأصحاب جواز قطع شيء من لحم الفخذ ونحوه من الأجزاءاللحمة في باب الاضطرار المؤدي إلى الهلاك المبيح لأكل الميتة وستأتي بعض كلماتهم في الفرع الآتي</w:t>
      </w:r>
      <w:r>
        <w:rPr>
          <w:rFonts w:eastAsia="Amiri" w:cs="Amiri" w:ascii="Amiri" w:hAnsi="Amiri"/>
          <w:color w:val="111111"/>
          <w:sz w:val="28"/>
          <w:szCs w:val="28"/>
          <w:rtl w:val="true"/>
          <w:lang w:bidi="ar-SA"/>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نكتة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نقارن فيها بين ما ذكرناه هنا من قيود جواز قطع الأعضاء مع ما ذكرناه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Style w:val="FootnoteAnchor"/>
          <w:rtl w:val="true"/>
        </w:rPr>
        <w:footnoteReference w:id="790"/>
      </w:r>
      <w:r>
        <w:rPr>
          <w:rFonts w:ascii="Amiri" w:hAnsi="Amiri" w:eastAsia="Amiri" w:cs="Amiri"/>
          <w:color w:val="111111"/>
          <w:sz w:val="28"/>
          <w:sz w:val="28"/>
          <w:szCs w:val="28"/>
          <w:rtl w:val="true"/>
          <w:lang w:bidi="ar-SA"/>
        </w:rPr>
        <w:t xml:space="preserve">من حدود سلطنة الإنسان على نفسه حيث ذكرنا هناك عدم وجود مانع عقلائي أما هنا فاشترطنا وجود غرض عقلائي والأول أوسع من الثاني للتسالم على جواز موارد عديدة كالتملّي من الطعام أزيد من الحاجة لإقامة أوده حيث ورد في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حسب </w:t>
      </w:r>
      <w:bookmarkStart w:id="842" w:name="pg8133_63173"/>
    </w:p>
    <w:p>
      <w:pPr>
        <w:pStyle w:val="BookText"/>
        <w:rPr/>
      </w:pPr>
      <w:bookmarkEnd w:id="842"/>
      <w:r>
        <w:rPr>
          <w:rFonts w:ascii="Amiri" w:hAnsi="Amiri" w:eastAsia="Amiri" w:cs="Amiri"/>
          <w:color w:val="111111"/>
          <w:sz w:val="28"/>
          <w:sz w:val="28"/>
          <w:szCs w:val="28"/>
          <w:rtl w:val="true"/>
          <w:lang w:bidi="ar-SA"/>
        </w:rPr>
        <w:t>ابن آدم لقيمات يقمن صلبه</w:t>
      </w:r>
      <w:r>
        <w:rPr>
          <w:rFonts w:eastAsia="Amiri" w:cs="Amiri" w:ascii="Amiri" w:hAnsi="Amiri"/>
          <w:color w:val="111111"/>
          <w:sz w:val="28"/>
          <w:szCs w:val="28"/>
          <w:rtl w:val="true"/>
          <w:lang w:bidi="ar-SA"/>
        </w:rPr>
        <w:t>)</w:t>
      </w:r>
      <w:r>
        <w:rPr>
          <w:rStyle w:val="FootnoteAnchor"/>
          <w:rtl w:val="true"/>
        </w:rPr>
        <w:footnoteReference w:id="791"/>
      </w:r>
      <w:r>
        <w:rPr>
          <w:rFonts w:ascii="Amiri" w:hAnsi="Amiri" w:eastAsia="Amiri" w:cs="Amiri"/>
          <w:color w:val="111111"/>
          <w:sz w:val="28"/>
          <w:sz w:val="28"/>
          <w:szCs w:val="28"/>
          <w:rtl w:val="true"/>
          <w:lang w:bidi="ar-SA"/>
        </w:rPr>
        <w:t>وغيره من الأفعال الكثيرة التي لا يمانع العقلاء من ممارسة الإنسان سلطنته على نفسه في مواردها مع عدم وجود غرض عقلائي فيها بينما لا يسمحون بقطع العضو ونحوه من التصرفات بالبدن إلا عند وجود غرض عقلائي راجح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الأعضاء التي يجوز قطعها والتي لا يجوز بلحاظ كون العضو رئيسياً أم لا،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يجوز قطع عضو من أعضاء إنسان حي للترقيع إذا رضي به؟ فيه 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من الأعضاء الرئيسية للبدن كالعين واليد والرجل وما شاكلها لم يجز، وأما إذا كان من قبيل قطعة جلد أو لحم فلا بأس به، وهل يجوز له أخذ مال لقاء ذلك؟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w:t>
      </w:r>
      <w:r>
        <w:rPr>
          <w:rFonts w:eastAsia="Amiri" w:cs="Amiri" w:ascii="Amiri" w:hAnsi="Amiri"/>
          <w:color w:val="111111"/>
          <w:sz w:val="28"/>
          <w:szCs w:val="28"/>
          <w:rtl w:val="true"/>
          <w:lang w:bidi="ar-SA"/>
        </w:rPr>
        <w:t>»</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43" w:name="__RefHeading___Toc8193583_1051229030"/>
      <w:bookmarkStart w:id="844" w:name="_Toc303"/>
      <w:bookmarkEnd w:id="843"/>
      <w:r>
        <w:rPr>
          <w:rtl w:val="true"/>
        </w:rPr>
        <w:t>أقول</w:t>
      </w:r>
      <w:r>
        <w:rPr>
          <w:rtl w:val="true"/>
        </w:rPr>
        <w:t xml:space="preserve">: </w:t>
      </w:r>
      <w:r>
        <w:rPr>
          <w:rtl w:val="true"/>
        </w:rPr>
        <w:t xml:space="preserve">في كلامه </w:t>
      </w:r>
      <w:r>
        <w:rPr>
          <w:rtl w:val="true"/>
        </w:rPr>
        <w:t>(</w:t>
      </w:r>
      <w:r>
        <w:rPr>
          <w:rtl w:val="true"/>
        </w:rPr>
        <w:t>قدس سرّه</w:t>
      </w:r>
      <w:r>
        <w:rPr>
          <w:rtl w:val="true"/>
        </w:rPr>
        <w:t xml:space="preserve">) </w:t>
      </w:r>
      <w:r>
        <w:rPr>
          <w:rtl w:val="true"/>
        </w:rPr>
        <w:t>عدة مواضع للنظر</w:t>
      </w:r>
      <w:r>
        <w:rPr>
          <w:rtl w:val="true"/>
        </w:rPr>
        <w:t>:-</w:t>
      </w:r>
      <w:bookmarkEnd w:id="844"/>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مما تقدم عناوين القيود الموجبة للحرمة وليس منها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فالعبرة بتلك العناوين، فالعين من الأجزاء الرئيسية ولا يجوز التبرع بها ولكن إذا كان الشخص فاقد البصر لسبب ما ولا أمل في شفائه لكنبعض أجزاء عينه كالقرنية أو الشبكية يمكن لغيره الاستفادة منها لمعالجة بصره فقد يقال بجواز التبرع بها لعدم منافاة القيود المذكورة فالعبرة بها، اللهم إلا أن يكون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العضو الرئيسي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انتزاعياً جامعاً للأعضاء التي ينافي قطعها أحد تلك القيود ولا بأس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التعليق الآنف على إطلاق الجواز في قطع شيء من الجلد أو اللحم</w:t>
      </w:r>
      <w:r>
        <w:rPr>
          <w:rFonts w:eastAsia="Amiri" w:cs="Amiri" w:ascii="Amiri" w:hAnsi="Amiri"/>
          <w:color w:val="111111"/>
          <w:sz w:val="28"/>
          <w:szCs w:val="28"/>
          <w:rtl w:val="true"/>
          <w:lang w:bidi="ar-SA"/>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ذكره قطعة الجلد واللحم في الشق الثاني ليس من باب </w:t>
      </w:r>
    </w:p>
    <w:p>
      <w:pPr>
        <w:pStyle w:val="BookText"/>
        <w:rPr/>
      </w:pPr>
      <w:r>
        <w:rPr>
          <w:rFonts w:ascii="Amiri" w:hAnsi="Amiri" w:eastAsia="Amiri" w:cs="Amiri"/>
          <w:color w:val="111111"/>
          <w:sz w:val="28"/>
          <w:sz w:val="28"/>
          <w:szCs w:val="28"/>
          <w:rtl w:val="true"/>
          <w:lang w:bidi="ar-SA"/>
        </w:rPr>
        <w:t>المثال وإنما هو تنظير لمستوى الأجزاء التي يجوز قطعها وأكّد هذا في جواب استفتاء وُجِّه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المقصود من الأعضاء الرئيسية للبدن التي لا يجوز قطعها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في قبال قطعة لحم أو جلد من الأجزاء اليسيرة</w:t>
      </w:r>
      <w:r>
        <w:rPr>
          <w:rFonts w:eastAsia="Amiri" w:cs="Amiri" w:ascii="Amiri" w:hAnsi="Amiri"/>
          <w:color w:val="111111"/>
          <w:sz w:val="28"/>
          <w:szCs w:val="28"/>
          <w:rtl w:val="true"/>
          <w:lang w:bidi="ar-SA"/>
        </w:rPr>
        <w:t>»</w:t>
      </w:r>
      <w:r>
        <w:rPr>
          <w:rStyle w:val="FootnoteAnchor"/>
          <w:rtl w:val="true"/>
        </w:rPr>
        <w:footnoteReference w:id="793"/>
      </w:r>
      <w:r>
        <w:rPr>
          <w:rFonts w:ascii="Amiri" w:hAnsi="Amiri" w:eastAsia="Amiri" w:cs="Amiri"/>
          <w:color w:val="111111"/>
          <w:sz w:val="28"/>
          <w:sz w:val="28"/>
          <w:szCs w:val="28"/>
          <w:rtl w:val="true"/>
          <w:lang w:bidi="ar-SA"/>
        </w:rPr>
        <w:t>فيكون الجواز عنده أضيق لكن مقتضى المقابلة مع الأعضاء الرئيسية أوسع من ذلك، وقد صرّح به في موضع آخر، فقد سُئل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يجوز للإنسان أن يتبرع إلى أخيه المؤمن بإحدى عينيه أو إحدى كليتيه أو بعض أعضاء جسمه التي يمكن الاستغناء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التبرع بإحدى الكليتين أو بعض أعضاء الجسم مما لا يكون من الأعضاء الرئيسية كاليد أو الرجل فلا بأس به، وأما التبرع بإحدى العينين فهو غير جائز</w:t>
      </w:r>
      <w:r>
        <w:rPr>
          <w:rFonts w:eastAsia="Amiri" w:cs="Amiri" w:ascii="Amiri" w:hAnsi="Amiri"/>
          <w:color w:val="111111"/>
          <w:sz w:val="28"/>
          <w:szCs w:val="28"/>
          <w:rtl w:val="true"/>
          <w:lang w:bidi="ar-SA"/>
        </w:rPr>
        <w:t>»</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يجب قطع العضو من البدن عندما يكون تركه سبباً لسريان الضرر إلى أجزاء البدن الأخرى فضلاً عما لو كان يؤدي إلى الهلاك فكان حفظ حياته متوقفاً على قطعه</w:t>
      </w:r>
      <w:r>
        <w:rPr>
          <w:rFonts w:eastAsia="Amiri" w:cs="Amiri" w:ascii="Amiri" w:hAnsi="Amiri"/>
          <w:color w:val="111111"/>
          <w:sz w:val="28"/>
          <w:szCs w:val="28"/>
          <w:rtl w:val="true"/>
          <w:lang w:bidi="ar-SA"/>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لتوقف إنقاذ حياته على قطع شيء من جسده ليأكله عند الاضطرار لحفظ الحياة، 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عبارة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لم يجد المضطر ما يمسك رمقه سوى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يقطع قطعة من فخذهونحوه من المواضع اللحمة فإن كان الخوف فيه كالخوف على نفسه في ترك الأكل أو أشد حرم القطع قطعاً، وإن علم السلامة حل قطعاً، بل 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أرجى للسلامة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له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يأكل من المواضع اللحمة كالفخذ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إتلاف بعض لاستبقاء الكل، فأشبه قطع اليد مثلاً بسبب الآكلة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فيه دفع الضرر بالضرر، ولا كذلك جواز قطع </w:t>
      </w:r>
    </w:p>
    <w:p>
      <w:pPr>
        <w:pStyle w:val="BookText"/>
        <w:rPr/>
      </w:pPr>
      <w:r>
        <w:rPr>
          <w:rFonts w:ascii="Amiri" w:hAnsi="Amiri" w:eastAsia="Amiri" w:cs="Amiri"/>
          <w:color w:val="111111"/>
          <w:sz w:val="28"/>
          <w:sz w:val="28"/>
          <w:szCs w:val="28"/>
          <w:rtl w:val="true"/>
          <w:lang w:bidi="ar-SA"/>
        </w:rPr>
        <w:t>الآكلة، لأن الجواز هناك إنما هو لقطع السراية الحاصلة، وهنا إحداث سراية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يناقش بأن حدوث السراية على هذا التقدير غير معلوم، والفرض كون المضطر خائف الهلاك بسراية الجوع على نفسه كسراية الآكلة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للمنع حتى لو احتملنا السراية لأنه يدفع بذلك ضرر الهلاك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وهنا إحداث سراية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المنع من مطلق قطع الأعضاء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يسدّ باب عملية زرع الأعضاء من أولها لكن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التحريم لأجل العنوان الثانوي وهو سراية الجرح وليس لأصل القطع، فلو كانت العملية الجراحية تجرى بإتقان كما في الأزمنة المعاصرة فلا مانع من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بيّن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قطع شيء من جسد الآخر لينقذ به حياته أو قطع شيء من جسده لإنقاذ حياة الآخر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لا يجوز له أن يقطع من غيره ممن هو معصوم الدم اتفاقاً، كما في المسالك، إذ ليس فيه إتلاف البعض لإبقاء الكل، بل الظاهر ذلك وإن قطع بسلامة المقطوع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لا يجوز للإنسان أن يقطع جزءاً منه للمضطر وإن قطع بالسلامة إلا أن يكون المضطر نبياً، فإنه يجوز وإن قطع بالسراية، والله العالم</w:t>
      </w:r>
      <w:r>
        <w:rPr>
          <w:rFonts w:eastAsia="Amiri" w:cs="Amiri" w:ascii="Amiri" w:hAnsi="Amiri"/>
          <w:color w:val="111111"/>
          <w:sz w:val="28"/>
          <w:szCs w:val="28"/>
          <w:rtl w:val="true"/>
          <w:lang w:bidi="ar-SA"/>
        </w:rPr>
        <w:t>»</w:t>
      </w:r>
      <w:r>
        <w:rPr>
          <w:rStyle w:val="FootnoteAnchor"/>
          <w:rtl w:val="true"/>
        </w:rPr>
        <w:footnoteReference w:id="7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 قطع الأعضاء لإنقاذ الآخرين مطلقاً وينسبه إلى اتفاق الأصحاب</w:t>
      </w:r>
      <w:r>
        <w:rPr>
          <w:rFonts w:eastAsia="Amiri" w:cs="Amiri" w:ascii="Amiri" w:hAnsi="Amiri"/>
          <w:color w:val="111111"/>
          <w:sz w:val="28"/>
          <w:szCs w:val="28"/>
          <w:rtl w:val="true"/>
          <w:lang w:bidi="ar-SA"/>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ويلاحظ على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الجواز لا يختص بما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النفس المراد إنقاذها للنبي بل مطلق النفس المحترمة؛ لأن مما لا شك فيه </w:t>
      </w:r>
    </w:p>
    <w:p>
      <w:pPr>
        <w:pStyle w:val="BookText"/>
        <w:rPr/>
      </w:pPr>
      <w:r>
        <w:rPr>
          <w:rFonts w:ascii="Amiri" w:hAnsi="Amiri" w:eastAsia="Amiri" w:cs="Amiri"/>
          <w:color w:val="111111"/>
          <w:sz w:val="28"/>
          <w:sz w:val="28"/>
          <w:szCs w:val="28"/>
          <w:rtl w:val="true"/>
          <w:lang w:bidi="ar-SA"/>
        </w:rPr>
        <w:t>أن من أعظم ما اهتم به الشارع المقدس حفظ حياة الناس ووجودهم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أَحْيَاهَا فَكَأَنَّمَا أَحْيَا النَّاسَ جَمِيعاً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أوجب تعلّم مهنة الطب وجوباً كفائياً لمعالجة مرضاهم حتى أوجب القتال للدفع عنهم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لَكُمْ لاَ تُقَاتِلُونَ فِي سَبِيلِ اللّهِ وَالْمُسْتَضْعَفِينَ مِنَ الرِّجَالِ وَالنِّسَاء وَالْوِلْدَانِ الَّذِينَ يَقُولُونَ رَبَّنَا أَخْرِجْنَا مِنْ هَذِهِ الْقَرْيَةِ الظَّالِمِ أَهْلُهَا وَاجْعَل لَّنَا مِن لَّدُنكَ وَلِيّاً وَاجْعَل لَّنَا مِن لَّدُنكَ نَصِيراً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 السكوني عن جعفر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سمع رجلا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للمسلمين فلم يجبه فليس بمسلم</w:t>
      </w:r>
      <w:r>
        <w:rPr>
          <w:rFonts w:eastAsia="Amiri" w:cs="Amiri" w:ascii="Amiri" w:hAnsi="Amiri"/>
          <w:color w:val="111111"/>
          <w:sz w:val="28"/>
          <w:szCs w:val="28"/>
          <w:rtl w:val="true"/>
          <w:lang w:bidi="ar-SA"/>
        </w:rPr>
        <w:t>)</w:t>
      </w:r>
      <w:r>
        <w:rPr>
          <w:rStyle w:val="FootnoteAnchor"/>
          <w:rtl w:val="true"/>
        </w:rPr>
        <w:footnoteReference w:id="796"/>
      </w:r>
      <w:r>
        <w:rPr>
          <w:rFonts w:ascii="IRNazanin" w:hAnsi="IRNazanin" w:eastAsia="IRNazanin"/>
          <w:color w:val="111111"/>
          <w:sz w:val="28"/>
          <w:sz w:val="28"/>
          <w:szCs w:val="28"/>
          <w:rtl w:val="true"/>
          <w:lang w:bidi="fa-IR"/>
        </w:rPr>
        <w:t xml:space="preserve">، وبالأولوية من قول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ردّ عن قومٍ من المسلمين عادية ماءٍ أو نار، وجبت له الجنة</w:t>
      </w:r>
      <w:r>
        <w:rPr>
          <w:rFonts w:eastAsia="IRNazanin" w:cs="IRNazanin"/>
          <w:color w:val="111111"/>
          <w:sz w:val="28"/>
          <w:szCs w:val="28"/>
          <w:rtl w:val="true"/>
          <w:lang w:bidi="fa-IR"/>
        </w:rPr>
        <w:t>)</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فيكون المقام حينئذٍ من موارد التزاحم بين حرمة القطع ووجوب حفظ النفس، والثاني أهم، فيقدم</w:t>
      </w:r>
      <w:r>
        <w:rPr>
          <w:rFonts w:eastAsia="Amiri" w:cs="Amiri" w:ascii="Amiri" w:hAnsi="Amiri"/>
          <w:color w:val="111111"/>
          <w:sz w:val="28"/>
          <w:szCs w:val="28"/>
          <w:rtl w:val="true"/>
          <w:lang w:bidi="ar-SA"/>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الواضح فقهياً جواز ارتكاب المحرّمات لحفظ النفس كالحلف كاذباً والتصرف بالمغصوب وجواز تقطيع الولد الميت في بطن الأم وإخراجه لحفظ حياتها، وجواز شق بطن الأم الميتة لإنقاذ الجنين الحي في بطنها؛ بضميمة عدم الفرق في حرمة القطع بين الحي والميت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العمل يقرّه بناء العقلاء فقد جوزوا اقتحام المخاطر كالحريق ولجج الماء لإنقاذ الغريق والمحترق والمهدّد بالقتل ويعدّونه فعلاً نبيلاً يستحق المدح والثناء</w:t>
      </w:r>
      <w:r>
        <w:rPr>
          <w:rFonts w:eastAsia="Amiri" w:cs="Amiri" w:ascii="Amiri" w:hAnsi="Amiri"/>
          <w:color w:val="111111"/>
          <w:sz w:val="28"/>
          <w:szCs w:val="28"/>
          <w:rtl w:val="true"/>
          <w:lang w:bidi="ar-SA"/>
        </w:rPr>
        <w:t xml:space="preserve">. </w:t>
      </w:r>
      <w:bookmarkStart w:id="845" w:name="pg8133_63177"/>
    </w:p>
    <w:p>
      <w:pPr>
        <w:pStyle w:val="Heading6"/>
        <w:numPr>
          <w:ilvl w:val="5"/>
          <w:numId w:val="1"/>
        </w:numPr>
        <w:rPr/>
      </w:pPr>
      <w:bookmarkStart w:id="846" w:name="__RefHeading___Toc8193585_1051229030"/>
      <w:bookmarkStart w:id="847" w:name="_Toc304"/>
      <w:bookmarkEnd w:id="845"/>
      <w:bookmarkEnd w:id="846"/>
      <w:r>
        <w:rPr>
          <w:rtl w:val="true"/>
        </w:rPr>
        <w:t>(</w:t>
      </w:r>
      <w:r>
        <w:rPr>
          <w:rtl w:val="true"/>
        </w:rPr>
        <w:t>الجهة الثانية</w:t>
      </w:r>
      <w:r>
        <w:rPr>
          <w:rtl w:val="true"/>
        </w:rPr>
        <w:t xml:space="preserve">) </w:t>
      </w:r>
      <w:r>
        <w:rPr>
          <w:rtl w:val="true"/>
        </w:rPr>
        <w:t>إذا كان المقطوع منه ميتاً</w:t>
      </w:r>
      <w:bookmarkEnd w:id="847"/>
    </w:p>
    <w:p>
      <w:pPr>
        <w:pStyle w:val="BookText"/>
        <w:rPr/>
      </w:pPr>
      <w:r>
        <w:rPr>
          <w:rFonts w:ascii="Amiri" w:hAnsi="Amiri" w:eastAsia="Amiri" w:cs="Amiri"/>
          <w:color w:val="111111"/>
          <w:sz w:val="28"/>
          <w:sz w:val="28"/>
          <w:szCs w:val="28"/>
          <w:rtl w:val="true"/>
          <w:lang w:bidi="ar-SA"/>
        </w:rPr>
        <w:t>يمكن الاستدلال على حرمة قطع شيء من أعضاء الميت بعدد كبير من الروايات يمكن تقسيمها إلى طائفتين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الطائفة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الروايات الدالة على حرمة التمثيل بالميت حتى لو كان كافراً محارباً وقد تكرّر هذا النهي في وصايا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لقادة الجيوش والسرايا التي كان يرسلها كما في صحيحة جميل بن درّاج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وخبر مسعدة بن صدقة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798"/>
      </w:r>
      <w:r>
        <w:rPr>
          <w:rFonts w:ascii="IRNazanin" w:hAnsi="IRNazanin" w:eastAsia="IRNazanin"/>
          <w:color w:val="111111"/>
          <w:sz w:val="28"/>
          <w:sz w:val="28"/>
          <w:szCs w:val="28"/>
          <w:rtl w:val="true"/>
          <w:lang w:bidi="fa-IR"/>
        </w:rPr>
        <w:t xml:space="preserve">وفيهما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تغلّوا ولا تمثّلوا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ورد في وصية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لولديه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ضربه اللعين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انظروا إن أنا متّ من ضربته هذه فاضربوه ضربة بضربة، ولا تمثّلوا بالرجل فإني سمعت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إياكم والمُثلة ولو بالكلب العقور</w:t>
      </w:r>
      <w:r>
        <w:rPr>
          <w:rFonts w:eastAsia="IRNazanin" w:cs="IRNazanin"/>
          <w:color w:val="111111"/>
          <w:sz w:val="28"/>
          <w:szCs w:val="28"/>
          <w:rtl w:val="true"/>
          <w:lang w:bidi="fa-IR"/>
        </w:rPr>
        <w:t>)</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على الاستدلال بها بما في معاجم اللغة من أن التمثيل هو القطع بهدف التنكيل والمبالغة في العقوبة فالدليل أخص من المدّعى الذي هو حرمة القطع مطلقاً</w:t>
      </w:r>
      <w:r>
        <w:rPr>
          <w:rFonts w:eastAsia="Amiri" w:cs="Amiri" w:ascii="Amiri" w:hAnsi="Amiri"/>
          <w:color w:val="111111"/>
          <w:sz w:val="28"/>
          <w:szCs w:val="28"/>
          <w:rtl w:val="true"/>
          <w:lang w:bidi="ar-SA"/>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الطائفة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الأحاديث الشريفة الدالة على حرمة الميت كحرمة الحي بمعنى أن كرامة الميت واحترامه مصونان محفوظان كما لو كان حياً، ومنها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عبد الله 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رجل قطع رأس الميت؟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الدية لأن حرمته ميتاً كحرمته وهو حي</w:t>
      </w:r>
      <w:r>
        <w:rPr>
          <w:rFonts w:eastAsia="IRNazanin" w:cs="IRNazanin"/>
          <w:color w:val="111111"/>
          <w:sz w:val="28"/>
          <w:szCs w:val="28"/>
          <w:rtl w:val="true"/>
          <w:lang w:bidi="fa-IR"/>
        </w:rPr>
        <w:t>)</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بتقريب أن وجوب الدية لا يلازم عرفاً حرمة الفعل، أو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يشر إلى حرمة الفعل لوضوحه فانتقل إلى بيان وجوب الدية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مسمع كردين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كسر عظم ميت؟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حرمته ميتاً أعظم من حرمته وهو حي</w:t>
      </w:r>
      <w:r>
        <w:rPr>
          <w:rFonts w:eastAsia="IRNazanin" w:cs="IRNazanin"/>
          <w:color w:val="111111"/>
          <w:sz w:val="28"/>
          <w:szCs w:val="28"/>
          <w:rtl w:val="true"/>
          <w:lang w:bidi="fa-IR"/>
        </w:rPr>
        <w:t>)</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جميل وصفوان عن رجالهم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أبى الله أن يظن بالمؤمن إلا خيراً، وكسرك عظامه حياً وميتاً سواء</w:t>
      </w:r>
      <w:r>
        <w:rPr>
          <w:rFonts w:eastAsia="IRNazanin" w:cs="IRNazanin"/>
          <w:color w:val="111111"/>
          <w:sz w:val="28"/>
          <w:szCs w:val="28"/>
          <w:rtl w:val="true"/>
          <w:lang w:bidi="fa-IR"/>
        </w:rPr>
        <w:t>)</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محمد بن مسلم في الكافي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وفاة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حرم من المؤمنين أمواتاً ما حرم منهم أحياء</w:t>
      </w:r>
      <w:r>
        <w:rPr>
          <w:rFonts w:eastAsia="IRNazanin" w:cs="IRNazanin"/>
          <w:color w:val="111111"/>
          <w:sz w:val="28"/>
          <w:szCs w:val="28"/>
          <w:rtl w:val="true"/>
          <w:lang w:bidi="fa-IR"/>
        </w:rPr>
        <w:t>)</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العلا بن سيابة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المسلم ميتاً كحرمته وهو حي سواء</w:t>
      </w:r>
      <w:r>
        <w:rPr>
          <w:rFonts w:eastAsia="Amiri" w:cs="Amiri" w:ascii="Amiri" w:hAnsi="Amiri"/>
          <w:color w:val="111111"/>
          <w:sz w:val="28"/>
          <w:szCs w:val="28"/>
          <w:rtl w:val="true"/>
          <w:lang w:bidi="ar-SA"/>
        </w:rPr>
        <w:t>)</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الحسين 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بطريق البرقي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سئل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قطع رأس ميت؟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حرّم منه ميتاً كل ما حرَّم منه حيّاً</w:t>
      </w:r>
      <w:r>
        <w:rPr>
          <w:rFonts w:eastAsia="IRNazanin" w:cs="IRNazanin"/>
          <w:color w:val="111111"/>
          <w:sz w:val="28"/>
          <w:szCs w:val="28"/>
          <w:rtl w:val="true"/>
          <w:lang w:bidi="fa-IR"/>
        </w:rPr>
        <w:t>)</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وحاصل هذه الروايات حرمة كل تصرف في بدن الميت كما يحرم ببدن الحي إلا بإذنه حتى على مستوى غمز اليد كما تقدم في رواية أبيبصير حيث استأذنه الإمام في ذلك</w:t>
      </w:r>
      <w:r>
        <w:rPr>
          <w:rFonts w:eastAsia="Amiri" w:cs="Amiri" w:ascii="Amiri" w:hAnsi="Amiri"/>
          <w:color w:val="111111"/>
          <w:sz w:val="28"/>
          <w:szCs w:val="28"/>
          <w:rtl w:val="true"/>
          <w:lang w:bidi="ar-SA"/>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يجوز قطع عضو من الميت كما لا يجوز من الحي، وفي بعض </w:t>
      </w:r>
    </w:p>
    <w:p>
      <w:pPr>
        <w:pStyle w:val="BookText"/>
        <w:rPr/>
      </w:pPr>
      <w:r>
        <w:rPr>
          <w:rFonts w:ascii="IRNazanin" w:hAnsi="IRNazanin" w:eastAsia="IRNazanin"/>
          <w:color w:val="111111"/>
          <w:sz w:val="28"/>
          <w:sz w:val="28"/>
          <w:szCs w:val="28"/>
          <w:rtl w:val="true"/>
          <w:lang w:bidi="fa-IR"/>
        </w:rPr>
        <w:t>الروايات يشمل النهي حتى الشعر والظفر ففي معتبرة عبد الرحمن بن أبي عبد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الميت يكون عليه الشعر فيحلق عنه أو يُقلَّم،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يمسّ منه شيء، اغسلْه وادفنه</w:t>
      </w:r>
      <w:r>
        <w:rPr>
          <w:rFonts w:eastAsia="IRNazanin" w:cs="IRNazanin"/>
          <w:color w:val="111111"/>
          <w:sz w:val="28"/>
          <w:szCs w:val="28"/>
          <w:rtl w:val="true"/>
          <w:lang w:bidi="fa-IR"/>
        </w:rPr>
        <w:t>)</w:t>
      </w:r>
      <w:r>
        <w:rPr>
          <w:rStyle w:val="FootnoteAnchor"/>
          <w:rtl w:val="true"/>
        </w:rPr>
        <w:footnoteReference w:id="806"/>
      </w:r>
      <w:r>
        <w:rPr>
          <w:rFonts w:ascii="IRNazanin" w:hAnsi="IRNazanin" w:eastAsia="IRNazanin"/>
          <w:color w:val="111111"/>
          <w:sz w:val="28"/>
          <w:sz w:val="28"/>
          <w:szCs w:val="28"/>
          <w:rtl w:val="true"/>
          <w:lang w:bidi="fa-IR"/>
        </w:rPr>
        <w:t xml:space="preserve">ومصححة ابن أبي عمير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يُمَسُّ من الميت شعرٌ ولا ظفر وإن سقط منه شيء فاجعله في كفنه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فيجب دفن جميع أجزائه 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ومقتضى إطلاق هذه الروايات حرمة قطع أعضاء الميت مطلقاً سواء كانت للعدوان والتشفي والعبث أو لأغراض عقلائية كتعليم طلبة الطب أو لزرعها في إنسان آخر</w:t>
      </w:r>
      <w:r>
        <w:rPr>
          <w:rFonts w:eastAsia="Amiri" w:cs="Amiri" w:ascii="Amiri" w:hAnsi="Amiri"/>
          <w:color w:val="111111"/>
          <w:sz w:val="28"/>
          <w:szCs w:val="28"/>
          <w:rtl w:val="true"/>
          <w:lang w:bidi="ar-SA"/>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هذا الإطلاق منقوض بما دلّ على الرخصة في بعض الحالات كموت الولد في بطن أمه فيقطَّع ويخرج، أو عند موت الأم وبقاء الجنين حياً فتُشَقُّ بطن الأم ويخرج، ففي مصححة ابن أبي عمير عن بعض أصحابه</w:t>
      </w:r>
      <w:r>
        <w:rPr>
          <w:rStyle w:val="FootnoteAnchor"/>
          <w:rtl w:val="true"/>
        </w:rPr>
        <w:footnoteReference w:id="807"/>
      </w: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المرأة تموت ويتحرك الولد في بطنها، أيُشق بطنها ويخرج الولد؟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ويخاط بطنها</w:t>
      </w:r>
      <w:r>
        <w:rPr>
          <w:rFonts w:eastAsia="IRNazanin" w:cs="IRNazanin"/>
          <w:color w:val="111111"/>
          <w:sz w:val="28"/>
          <w:szCs w:val="28"/>
          <w:rtl w:val="true"/>
          <w:lang w:bidi="fa-IR"/>
        </w:rPr>
        <w:t>)</w:t>
      </w:r>
      <w:r>
        <w:rPr>
          <w:rStyle w:val="FootnoteAnchor"/>
          <w:rtl w:val="true"/>
        </w:rPr>
        <w:footnoteReference w:id="808"/>
      </w:r>
      <w:r>
        <w:rPr>
          <w:rFonts w:ascii="IRNazanin" w:hAnsi="IRNazanin" w:eastAsia="IRNazanin"/>
          <w:color w:val="111111"/>
          <w:sz w:val="28"/>
          <w:sz w:val="28"/>
          <w:szCs w:val="28"/>
          <w:rtl w:val="true"/>
          <w:lang w:bidi="fa-IR"/>
        </w:rPr>
        <w:t xml:space="preserve">وفي موثقة علي بن يقطين عن العبد الصالح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يُشَق بطنها ويخرج ولدها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ومثلها روايات عديدة، وفي صحيحة أبي البختري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المرأة يموت في بطنها الولد فيتخوف عليها،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أن يدخلالرجل يده فيقطعه ويخرجه</w:t>
      </w:r>
      <w:r>
        <w:rPr>
          <w:rFonts w:eastAsia="IRNazanin" w:cs="IRNazanin"/>
          <w:color w:val="111111"/>
          <w:sz w:val="28"/>
          <w:szCs w:val="28"/>
          <w:rtl w:val="true"/>
          <w:lang w:bidi="fa-IR"/>
        </w:rPr>
        <w:t>)</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ومنقوض برواية الحسين بن زرارة </w:t>
      </w:r>
      <w:r>
        <w:rPr>
          <w:rStyle w:val="FootnoteAnchor"/>
          <w:rtl w:val="true"/>
        </w:rPr>
        <w:footnoteReference w:id="810"/>
      </w:r>
      <w:r>
        <w:rPr>
          <w:rFonts w:ascii="Amiri" w:hAnsi="Amiri" w:eastAsia="Amiri" w:cs="Amiri"/>
          <w:color w:val="111111"/>
          <w:sz w:val="28"/>
          <w:sz w:val="28"/>
          <w:szCs w:val="28"/>
          <w:rtl w:val="true"/>
          <w:lang w:bidi="ar-SA"/>
        </w:rPr>
        <w:t>في جواز فعل من أخذ سنّ الميت ووضعه في أسنانه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النظر</w:t>
      </w:r>
      <w:r>
        <w:rPr>
          <w:rStyle w:val="FootnoteAnchor"/>
          <w:rtl w:val="true"/>
        </w:rPr>
        <w:footnoteReference w:id="811"/>
      </w:r>
    </w:p>
    <w:p>
      <w:pPr>
        <w:pStyle w:val="BookText"/>
        <w:rPr/>
      </w:pPr>
      <w:r>
        <w:rPr>
          <w:rFonts w:ascii="Amiri" w:hAnsi="Amiri" w:eastAsia="Amiri" w:cs="Amiri"/>
          <w:color w:val="111111"/>
          <w:sz w:val="28"/>
          <w:sz w:val="28"/>
          <w:szCs w:val="28"/>
          <w:rtl w:val="true"/>
          <w:lang w:bidi="ar-SA"/>
        </w:rPr>
        <w:t>ويتفرع على هذا المطلب أن ما أسسناه في علم الأصول من دخول الفرد المشكوك تحت العام إذا لم يتيقن دخوله تحت الخاص صحيح إلا أن يكشف الخاص عن ضيق دائرة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هذه الموارد من ناحية إثباتية بأنها تخصيص في حكم الحرمة ونقول إنها خرجت بالدليل الخاص ويبقى عموم الحرمة على حاله في غيرها، لكننا نعتقد أن هذه النظرة قاصرة لأمور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المقيس عليه وهو الحي لم تكن حرمة القطع منه مطلقة وإنما في الجملة بلحاظ القيود المذكورة هناك فلا يكون المقيس أوسع من المقيس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منه تخصيص الأكثر لكثرة الموارد المستثناة من الحرمة الداخلة في العناوين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للإحساس الوجداني بأن هذه الموارد خرجت من الحرمة لا لخصوصية فيها وإنما بني خروجها على نكتة ثبوتية علينا اكتشافها من الأدلة لأن هذا الإحساس ليس دليلاً بمفرده وإنما هو منبّه ومحرِّكللبحث باتجاه اكتشاف حقيقة ما</w:t>
      </w:r>
      <w:r>
        <w:rPr>
          <w:rFonts w:eastAsia="Amiri" w:cs="Amiri" w:ascii="Amiri" w:hAnsi="Amiri"/>
          <w:color w:val="111111"/>
          <w:sz w:val="28"/>
          <w:szCs w:val="28"/>
          <w:rtl w:val="true"/>
          <w:lang w:bidi="ar-SA"/>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وحاصل هذه النكتة الثبوتية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إطلاق الحكم بعدم جواز القطع غير </w:t>
      </w:r>
    </w:p>
    <w:p>
      <w:pPr>
        <w:pStyle w:val="BookText"/>
        <w:rPr/>
      </w:pPr>
      <w:r>
        <w:rPr>
          <w:rFonts w:ascii="Amiri" w:hAnsi="Amiri" w:eastAsia="Amiri" w:cs="Amiri"/>
          <w:color w:val="111111"/>
          <w:sz w:val="28"/>
          <w:sz w:val="28"/>
          <w:szCs w:val="28"/>
          <w:rtl w:val="true"/>
          <w:lang w:bidi="ar-SA"/>
        </w:rPr>
        <w:t>تام في نفسه؛ لوضوح أن مناطه هو احترام الميت وأن حرمته كحرمة الحي فيحرم من القطع ما انطبق عليه عنوان هتك الحرمة، فالموارد السابقة لم تخرج تخصيصاً وإنما تخصصاً لعدم دخولها في العنوان المحرّم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المعنى ظاهر من معتبرة الفضل بن يونس الكاتب عن أبي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حرمة بدن المؤمن ميتاً كحرمته حياً، فوارِ بدنه وعورته وجهّزه وكفّنه وحنّطه واحتسب ذلك من الزكاة</w:t>
      </w:r>
      <w:r>
        <w:rPr>
          <w:rFonts w:eastAsia="IRNazanin" w:cs="IRNazanin"/>
          <w:color w:val="111111"/>
          <w:sz w:val="28"/>
          <w:szCs w:val="28"/>
          <w:rtl w:val="true"/>
          <w:lang w:bidi="fa-IR"/>
        </w:rPr>
        <w:t>)</w:t>
      </w:r>
      <w:r>
        <w:rPr>
          <w:rStyle w:val="FootnoteAnchor"/>
          <w:rtl w:val="true"/>
        </w:rPr>
        <w:footnoteReference w:id="812"/>
      </w:r>
      <w:r>
        <w:rPr>
          <w:rFonts w:ascii="IRNazanin" w:hAnsi="IRNazanin" w:eastAsia="IRNazanin"/>
          <w:color w:val="111111"/>
          <w:sz w:val="28"/>
          <w:sz w:val="28"/>
          <w:szCs w:val="28"/>
          <w:rtl w:val="true"/>
          <w:lang w:bidi="fa-IR"/>
        </w:rPr>
        <w:t xml:space="preserve">فإن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وجوب هذه الأفعال على حرمة الميت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لم يصدق على المورد هتك لحرمة الميت كما في الروايات المتقدمة جاز القطع كما جاز للحي الذي نُزِّل منزلته في الحرمة، فلا بد من تقييد الحرمة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ولكن يمكن أن يستظهر أن حرمة القطع من الميت مطلقة ولا تدور مدار الهتك وجوداً وعدماً لمساواة حرمته مع حرمة الحي في الروايات المتقدمة وهي مطلقة وأن ما ورد آنفاً في معتبرة الفضل بن يونس، وفي حديث العلل للفضل بن شاذان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أمر بدفنه؟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يظهر الناس على فساد جسده وقبح منظره وتغيّر رائحته</w:t>
      </w:r>
      <w:r>
        <w:rPr>
          <w:rFonts w:eastAsia="IRNazanin" w:cs="IRNazanin"/>
          <w:color w:val="111111"/>
          <w:sz w:val="28"/>
          <w:szCs w:val="28"/>
          <w:rtl w:val="true"/>
          <w:lang w:bidi="fa-IR"/>
        </w:rPr>
        <w:t>)</w:t>
      </w:r>
      <w:r>
        <w:rPr>
          <w:rStyle w:val="FootnoteAnchor"/>
          <w:rtl w:val="true"/>
        </w:rPr>
        <w:footnoteReference w:id="813"/>
      </w:r>
      <w:r>
        <w:rPr>
          <w:rFonts w:ascii="Amiri" w:hAnsi="Amiri" w:eastAsia="Amiri" w:cs="Amiri"/>
          <w:color w:val="111111"/>
          <w:sz w:val="28"/>
          <w:sz w:val="28"/>
          <w:szCs w:val="28"/>
          <w:rtl w:val="true"/>
          <w:lang w:bidi="ar-SA"/>
        </w:rPr>
        <w:t>فهو من قبيل الحكمة لا العلة؛ لذا وجب دفن ظفره وشعره وليس في بقائها هتك لحرمته، وإن دفنه واجب وإن لم يستلزم بقاؤه بلا دفن هتكاً لحرمته كما لو حفظ في مكان مناسب فالهتك ليس علة ينتفي الحكم بانتفائها</w:t>
      </w:r>
      <w:r>
        <w:rPr>
          <w:rFonts w:eastAsia="Amiri" w:cs="Amiri" w:ascii="Amiri" w:hAnsi="Amiri"/>
          <w:color w:val="111111"/>
          <w:sz w:val="28"/>
          <w:szCs w:val="28"/>
          <w:rtl w:val="true"/>
          <w:lang w:bidi="ar-SA"/>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 عليه أن حرمة الحي منوطة أيضاً بصدق هذا العنوان فلا يزيد </w:t>
      </w:r>
    </w:p>
    <w:p>
      <w:pPr>
        <w:pStyle w:val="BookText"/>
        <w:rPr/>
      </w:pPr>
      <w:r>
        <w:rPr>
          <w:rFonts w:ascii="Amiri" w:hAnsi="Amiri" w:eastAsia="Amiri" w:cs="Amiri"/>
          <w:color w:val="111111"/>
          <w:sz w:val="28"/>
          <w:sz w:val="28"/>
          <w:szCs w:val="28"/>
          <w:rtl w:val="true"/>
          <w:lang w:bidi="ar-SA"/>
        </w:rPr>
        <w:t>المقيس على المقيس عليه، فإذا لم يتحقق فيه هذا العنوان لأذنه مثلاًجاز كمن يصفع إنساناً آخر فإنه عمل محرم لكنه لو كان جزءاً من عملٍ مسرحي أو فيلم بالاتفاق مع الممثل وبإذنه ومقابل أجر فإنه سيكون جائزاً، ويخرج من كونه إذلالاً للمؤمن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وضع الرجل على رأس الشخص وهو ملقى على الأرض فإنه تحقير محرَّم لكنه جائز بإذنه لغرض عقلائي كالمروي</w:t>
      </w:r>
      <w:r>
        <w:rPr>
          <w:rStyle w:val="FootnoteAnchor"/>
          <w:rtl w:val="true"/>
        </w:rPr>
        <w:footnoteReference w:id="814"/>
      </w:r>
    </w:p>
    <w:p>
      <w:pPr>
        <w:pStyle w:val="BookText"/>
        <w:rPr/>
      </w:pPr>
      <w:r>
        <w:rPr>
          <w:rFonts w:ascii="IRNazanin" w:hAnsi="IRNazanin" w:eastAsia="IRNazanin"/>
          <w:color w:val="111111"/>
          <w:sz w:val="28"/>
          <w:sz w:val="28"/>
          <w:szCs w:val="28"/>
          <w:rtl w:val="true"/>
          <w:lang w:bidi="fa-IR"/>
        </w:rPr>
        <w:t xml:space="preserve">ورويت حادثة قريبة منها عن أبي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البحار عن كتاب الحسين بن سعيد الزهد أو المؤمن عن أبي جعفر وأبي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أبا ذر عيّر رجلاً على عهد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السوداء، وكانت أمه سوداء، فقال له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تعيره بأمه يا أبا 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يزل أبو ذر يمرّغ وجهه في التراب ورأسه حتى رضي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22/411</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فعل علي بن يقطين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صدر منه ما أزعج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ولم يعترض على فعله فيكون إقراراً من المعصوم وغير داخل في الإذلال المحرّم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أي حال فقد قيل باستثناء عدة موارد من حكم الحرمة فيجوز فيها القطع حتى مع صدق عنوان الهتك في بعضها لملاك 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إنقاذ حق للغير سواء كان مادياً أو معنوياً، كما لو مات بجناية وتوقف التحقيق في القضية وتبرئة غير الجاني وإدانة القاتل على تشريح الجثة لتحصيل حقوق ذوي المجني عليه منه، فإن ملاكه أقوى عند التزاحم إلا أن يتنازلوا رعاية لحرمة الميت، وقد لا يستطيع ولي الميت الامتناع إذا أمرت السلطات الحاكمة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إذا كان التشريح لأجل معرفة ما يستحق ذوو المجني عليه أو ما يجب على الجاني دفعه بالدقة كما لو كانت المرأة القتيلة حاملاً ولم يعرف أنه ذكر أو أنثى فلا يجوز التشريح لورود صحيحة عن كتاب ظريف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قتلت امرأة وهي حبلى متم فلم يسقط ولدها ولم يعلم أذكر هو أو أنثى ولم يعلم أبعدها مات أم قبلها فديته نصفين نصف دية الذكر ونصف دية الأنثى ودية المرأة كاملة بعد ذلك</w:t>
      </w:r>
      <w:r>
        <w:rPr>
          <w:rFonts w:eastAsia="IRNazanin" w:cs="IRNazanin"/>
          <w:color w:val="111111"/>
          <w:sz w:val="28"/>
          <w:szCs w:val="28"/>
          <w:rtl w:val="true"/>
          <w:lang w:bidi="fa-IR"/>
        </w:rPr>
        <w:t>)</w:t>
      </w:r>
      <w:r>
        <w:rPr>
          <w:rStyle w:val="FootnoteAnchor"/>
          <w:rtl w:val="true"/>
        </w:rPr>
        <w:footnoteReference w:id="815"/>
      </w:r>
      <w:r>
        <w:rPr>
          <w:rFonts w:ascii="Amiri" w:hAnsi="Amiri" w:eastAsia="Amiri" w:cs="Amiri"/>
          <w:color w:val="111111"/>
          <w:sz w:val="28"/>
          <w:sz w:val="28"/>
          <w:szCs w:val="28"/>
          <w:rtl w:val="true"/>
          <w:lang w:bidi="ar-SA"/>
        </w:rPr>
        <w:t xml:space="preserve">التي تلزم الطرفين بالتصالح على نصف دية ذكر ونصف دية أنثى، ويمكن أن يكون هذا الدليل الخاص كاشفاً عن نكتة ثبوتية أوسع من مورده تمنع من التشريح كالذي قلناه </w:t>
      </w:r>
      <w:r>
        <w:rPr>
          <w:rStyle w:val="FootnoteAnchor"/>
          <w:rtl w:val="true"/>
        </w:rPr>
        <w:footnoteReference w:id="816"/>
      </w:r>
    </w:p>
    <w:p>
      <w:pPr>
        <w:pStyle w:val="BookText"/>
        <w:rPr/>
      </w:pPr>
      <w:r>
        <w:rPr>
          <w:rFonts w:ascii="Amiri" w:hAnsi="Amiri" w:eastAsia="Amiri" w:cs="Amiri"/>
          <w:color w:val="111111"/>
          <w:sz w:val="28"/>
          <w:sz w:val="28"/>
          <w:szCs w:val="28"/>
          <w:rtl w:val="true"/>
          <w:lang w:bidi="ar-SA"/>
        </w:rPr>
        <w:t>وحاصل هذه النكتة الثبوتية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 الحكم بعدم جواز القطع غير تام في نفسه؛ لوضوح أن مناطه هو احترام الميت وأن حرمته كحرمة الحي فيحرم من القطع ما انطبق عليه عنوان هتك الحرمة، فالموارد السابقة لم تخرج تخصيصاً وإنما تخصصاً لعدم دخولها في العنوان المحرّم</w:t>
      </w:r>
      <w:r>
        <w:rPr>
          <w:rFonts w:eastAsia="Amiri" w:cs="Amiri" w:ascii="Amiri" w:hAnsi="Amiri"/>
          <w:color w:val="111111"/>
          <w:sz w:val="28"/>
          <w:szCs w:val="28"/>
          <w:rtl w:val="true"/>
          <w:lang w:bidi="ar-SA"/>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وقد تناول الفقهاء مسألة ضمن هذا المجال في من بلع ماله أو مال غيره فمات، فإن تلف فلا موضوع لتشريحه وإن بقي في جوفه، 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بلع الحي جوهراً ومات، فإن كان ملكاً لغيره 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يشق جوفه ويخرج، وإن كان ملكاً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يُشق جوفه لأنه ملك للورثة،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يشق لأنه بمنزلة ما أكل من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لنا في هذه المسألة نص، والأولى أن نقول لا يشق جوفه على كل حال، لما روي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المؤمن ميتاً كحرمته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حياً لا يُشق جوفه بلا خلاف، فينبغي أن يكون ذلك حكمه بعد موته</w:t>
      </w:r>
      <w:r>
        <w:rPr>
          <w:rFonts w:eastAsia="Amiri" w:cs="Amiri" w:ascii="Amiri" w:hAnsi="Amiri"/>
          <w:color w:val="111111"/>
          <w:sz w:val="28"/>
          <w:szCs w:val="28"/>
          <w:rtl w:val="true"/>
          <w:lang w:bidi="ar-SA"/>
        </w:rPr>
        <w:t>»</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المال ماله حين بلعه فهو تصرف في ماله مسلط عليه ولا حق للورثة فيه لأنه بحكم التالف عليهم وإن كانت عينه باقية، أما إذا كان المال لغيره فيقع التزاحم ويقدَّم الأهم وعلى القاطع الدية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ونشير هنا إلى ما رواه صاحب المناقب في قضايا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أمر بنبش قبر ميت وإخراج ضلع من أضلاعه لإثبات حق الميراث لشخص ادعى أنه ولده</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تطلبت دراسة المرض الذي مات به تشريح جثة الميت </w:t>
      </w:r>
    </w:p>
    <w:p>
      <w:pPr>
        <w:pStyle w:val="BookText"/>
        <w:rPr/>
      </w:pPr>
      <w:r>
        <w:rPr>
          <w:rFonts w:ascii="Amiri" w:hAnsi="Amiri" w:eastAsia="Amiri" w:cs="Amiri"/>
          <w:color w:val="111111"/>
          <w:sz w:val="28"/>
          <w:sz w:val="28"/>
          <w:szCs w:val="28"/>
          <w:rtl w:val="true"/>
          <w:lang w:bidi="ar-SA"/>
        </w:rPr>
        <w:t>لمعرفة أسبابه وطرق علاجه لحماية الناس الآخرين من الابتلاء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توقف إنقاذ حياة مسلم على ترقيع بدنه بجزء من الميت؛للتزاحم بين وجوب حفظ حياة المسلم وحرمة قطع عضو من الميت فيقدم الأول لأهميته، إذ أن حفظ النفس أقوى ملاكاً من كل واجب وحرام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استفادة تقريب لذلك من كلمات بعض الأعلام</w:t>
      </w:r>
      <w:r>
        <w:rPr>
          <w:rStyle w:val="FootnoteAnchor"/>
          <w:rtl w:val="true"/>
        </w:rPr>
        <w:footnoteReference w:id="819"/>
      </w:r>
      <w:r>
        <w:rPr>
          <w:rFonts w:ascii="IRNazanin" w:hAnsi="IRNazanin" w:eastAsia="IRNazanin"/>
          <w:color w:val="111111"/>
          <w:sz w:val="28"/>
          <w:sz w:val="28"/>
          <w:szCs w:val="28"/>
          <w:rtl w:val="true"/>
          <w:lang w:bidi="fa-IR"/>
        </w:rPr>
        <w:t xml:space="preserve">، إذ أن التقية تسوِّغ ترك كل واجب وارتكاب كل حرام لما ورد في صحيحة الفضلاء عن أبي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التقية في كل شيء يضطر إليه ابن آدم فقد أحلّه الله</w:t>
      </w:r>
      <w:r>
        <w:rPr>
          <w:rFonts w:eastAsia="IRNazanin" w:cs="IRNazanin"/>
          <w:color w:val="111111"/>
          <w:sz w:val="28"/>
          <w:szCs w:val="28"/>
          <w:rtl w:val="true"/>
          <w:lang w:bidi="fa-IR"/>
        </w:rPr>
        <w:t>)</w:t>
      </w:r>
      <w:r>
        <w:rPr>
          <w:rStyle w:val="FootnoteAnchor"/>
          <w:rtl w:val="true"/>
        </w:rPr>
        <w:footnoteReference w:id="8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وورد في صحيحة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جعل التقية ليحقن بها الدم، فإذا بلغ الدم فلا تقية</w:t>
      </w:r>
      <w:r>
        <w:rPr>
          <w:rFonts w:eastAsia="IRNazanin" w:cs="IRNazanin"/>
          <w:color w:val="111111"/>
          <w:sz w:val="28"/>
          <w:szCs w:val="28"/>
          <w:rtl w:val="true"/>
          <w:lang w:bidi="fa-IR"/>
        </w:rPr>
        <w:t>)</w:t>
      </w:r>
      <w:r>
        <w:rPr>
          <w:rStyle w:val="FootnoteAnchor"/>
          <w:rtl w:val="true"/>
        </w:rPr>
        <w:footnoteReference w:id="821"/>
      </w:r>
      <w:r>
        <w:rPr>
          <w:rFonts w:ascii="Amiri" w:hAnsi="Amiri" w:eastAsia="Amiri" w:cs="Amiri"/>
          <w:color w:val="111111"/>
          <w:sz w:val="28"/>
          <w:sz w:val="28"/>
          <w:szCs w:val="28"/>
          <w:rtl w:val="true"/>
          <w:lang w:bidi="ar-SA"/>
        </w:rPr>
        <w:t>، فحرمة الدم أقوى من التقية التي يباح فيها كل 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قطع عضو من أعضاء الميت المسلم كعينه أو نحو ذلك لإلحاقه ببدن الحي، فلو قطع فعليه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توقف حفظ حياة مسلم على ذلك جاز، ولكن على القاطع الدية، ولو قطع وارتكب هذا المحرم فهل يجوز الإلحاق بعده؟ الظاهر جوازه، وتترتب عليه بعد الإلحاق أحكام بدن الحي نظراً إلى أنه أصبح جزءاً له</w:t>
      </w:r>
      <w:r>
        <w:rPr>
          <w:rFonts w:eastAsia="Amiri" w:cs="Amiri" w:ascii="Amiri" w:hAnsi="Amiri"/>
          <w:color w:val="111111"/>
          <w:sz w:val="28"/>
          <w:szCs w:val="28"/>
          <w:rtl w:val="true"/>
          <w:lang w:bidi="ar-SA"/>
        </w:rPr>
        <w:t>»</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أشكل بعض الفقهاء على الاستثناء المذكور باعتبار أن هذا الجواز لم يثبت في حق الأحياء ومقتضى الاشتراك في الروايات عدم ثبوته في الأموات أيضاً، وربما يشفع له ما تقدم من كلام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حرمة قطع شيء من الحي لإنقاذ نفس وتقييد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الجواز بكون </w:t>
      </w:r>
    </w:p>
    <w:p>
      <w:pPr>
        <w:pStyle w:val="BookText"/>
        <w:rPr/>
      </w:pPr>
      <w:r>
        <w:rPr>
          <w:rFonts w:ascii="Amiri" w:hAnsi="Amiri" w:eastAsia="Amiri" w:cs="Amiri"/>
          <w:color w:val="111111"/>
          <w:sz w:val="28"/>
          <w:sz w:val="28"/>
          <w:szCs w:val="28"/>
          <w:rtl w:val="true"/>
          <w:lang w:bidi="ar-SA"/>
        </w:rPr>
        <w:t>المنقذ نبياً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رددنا عليه بما دلَّ من الشرع المقدس ومن تباني العقلاء علىالجواز ما لم يكن القطع منافياً لأحد القيود المذكورة ككونه سبباً للهلاك </w:t>
      </w:r>
      <w:r>
        <w:rPr>
          <w:rStyle w:val="FootnoteAnchor"/>
          <w:rtl w:val="true"/>
        </w:rPr>
        <w:footnoteReference w:id="823"/>
      </w:r>
    </w:p>
    <w:p>
      <w:pPr>
        <w:pStyle w:val="BookText"/>
        <w:rPr/>
      </w:pPr>
      <w:r>
        <w:rPr>
          <w:rFonts w:ascii="Amiri" w:hAnsi="Amiri" w:eastAsia="Amiri" w:cs="Amiri"/>
          <w:color w:val="111111"/>
          <w:sz w:val="28"/>
          <w:sz w:val="28"/>
          <w:szCs w:val="28"/>
          <w:rtl w:val="true"/>
          <w:lang w:bidi="ar-SA"/>
        </w:rPr>
        <w:t>لكن قد يناقش بأن حدوث السراية على هذا التقدير غير معلوم، والفرض كون المضطر خائف الهلاك بسراية الجوع على نفسه كسراية الآكلة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للمنع حتى لو احتملنا السراية لأنه يدفع بذلك ضرر الهلاك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وهنا إحداث سراية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المنع من مطلق قطع الأعضاء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يسدّ باب عملية زرع الأعضاء من أولها لكن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التحريم لأجل العنوان الثانوي وهو سراية الجرح وليس لأصل القطع، فلو كانت العملية الجراحية تجرى بإتقان كما في الأزمنة المعاصرة فلا مانع من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بيّن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قطع شيء من جسد الآخر لينقذ به حياته أو قطع شيء من جسده لإنقاذ حياة الآخر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لا يجوز له أن يقطع من غيره ممن هو معصوم الدم اتفاقاً، كما في المسالك، إذ ليس فيه إتلاف البعض لإبقاء الكل، بل الظاهر ذلك وإن قطع بسلامة المقطوع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لا يجوز للإنسان أن يقطع جزءاً منه للمضطر وإن قطع بالسلامة إلا أن يكون المضطر نبياً، فإنه يجوز وإن قطع بالسراية، والله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الالتفات إلى أنّ هذا الاشتراك بين الحي والميت بلحاظ حفظ الاحترام والكرامة وعدم جواز الهتك لا مطلقاً، فإن قيود جواز القطع من الحي تختلف عن الميت، مثلاً يحرم قطع العضو إذا كان سبباً لهلاكه وهذا </w:t>
      </w:r>
    </w:p>
    <w:p>
      <w:pPr>
        <w:pStyle w:val="BookText"/>
        <w:rPr/>
      </w:pPr>
      <w:r>
        <w:rPr>
          <w:rFonts w:ascii="Amiri" w:hAnsi="Amiri" w:eastAsia="Amiri" w:cs="Amiri"/>
          <w:color w:val="111111"/>
          <w:sz w:val="28"/>
          <w:sz w:val="28"/>
          <w:szCs w:val="28"/>
          <w:rtl w:val="true"/>
          <w:lang w:bidi="ar-SA"/>
        </w:rPr>
        <w:t>غير موجود في الميت لانتفاء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القطع بأمر الولي الفقيه، قال بعض الفقهاء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ولي أمر المسلمين بما أنه وليّهم فله أن يعزم في كل ما فيه صلاح للأمة، ويكون عزمه وتصميمه قائماً مقام عزم المولَّى عليهم ورضاهم، وليس للناس حينئذٍ إلا التسليم في قبال عزمه، وإن كان اللازم عليه ولا محالة يراعي في عزمه مصلحة الأمة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فإذا رأى الأصلح بالأمة الإسلامية أن يعالج مريض من مرضاهم بترقيع بعض أعضائه مما لا يتوقف عليه أصل حياته، كما إذا كان من رؤساء الجند وأمرائهم فابتلي بنقص في بعض أعضائه، كأن فقدت إحدى عينيه وكان علاجها بالترقيع أولى للأمة بملاحظة مقابلته لأمراء جنود الكفر، فإذا رأى المصلحة في ترقيع عينه جاز له الأمر بأخذها من بعض آخر من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محالة يأمر بأن يكون هذا المأخوذ من الموارد المعدّة الجائزة في نفسها، ولا يتعدّى إلى ما لا يجوز، إلا إذا توقّفت عملية الترقيع على أخذ عضو خصوص من لا يرضى بأخذه، فإذا أذن وليّ الأمر فيه قام إذنه مقام إذن صاحب العضو، وجاز بل وجب أخذه والترقيع به</w:t>
      </w:r>
      <w:r>
        <w:rPr>
          <w:rFonts w:eastAsia="Amiri" w:cs="Amiri" w:ascii="Amiri" w:hAnsi="Amiri"/>
          <w:color w:val="111111"/>
          <w:sz w:val="28"/>
          <w:szCs w:val="28"/>
          <w:rtl w:val="true"/>
          <w:lang w:bidi="ar-SA"/>
        </w:rPr>
        <w:t>»</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حررنا في مباحثنا عن ولاية الفقيه أنه يتحرك في الحدود التي أجازها الشارع المقدس لأن ولايته تنفيذية وليست تشريعية أي أن ولايته لا تجيز له إنشاء حكم بالعنوان الثانوي مستقلاً عن عنوان شرعي مبيح كرفع الضرر أو حفظ النظام أو تقديم الأهم على المهم عند التزاحم وغير ذلك، وليس منها جلب مصلحة ما إلا إذا صدق عليه أحد تلك العناوين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اقتضت حرمة الميت أو مصلحته ذلك كما لو مات تحت الأنقاض بسبب قصف أو زلزال ولم يمكن إخراجه إلا بقطع بعض أعضائه فإنه يجوز القطع لإخراجه وإجراء الأحكام الشرعية عليه حفظاًلكرامته وصوناً لحرمته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أوصى الشخص بالتبرع بأعضائه بعد وفاته، 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وهل يجوز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الإيصاء من الميت، فيه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جوازه ولا دية على القاطع أيضاً</w:t>
      </w:r>
      <w:r>
        <w:rPr>
          <w:rFonts w:eastAsia="Amiri" w:cs="Amiri" w:ascii="Amiri" w:hAnsi="Amiri"/>
          <w:color w:val="111111"/>
          <w:sz w:val="28"/>
          <w:szCs w:val="28"/>
          <w:rtl w:val="true"/>
          <w:lang w:bidi="ar-SA"/>
        </w:rPr>
        <w:t>»</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جواب سؤال ورد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الأفراد هنا يوصون بإعطاء عين أو عضو آخر من الجسم بعد وفاتهم لمستشفى أو شخص محتاج، فهل يجوز اقتلاع العضو من الميت ولو بوصيته؟ وهل يجوز للموصي الوصية بذلك؟ وإذا وقعت على أي حال من الأحوال هل يجب إنفاذها وهل تصح هذه الوصية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الوصية المذكورة صحيحة، ويجب إنفاذها</w:t>
      </w:r>
      <w:r>
        <w:rPr>
          <w:rFonts w:eastAsia="Amiri" w:cs="Amiri" w:ascii="Amiri" w:hAnsi="Amiri"/>
          <w:color w:val="111111"/>
          <w:sz w:val="28"/>
          <w:szCs w:val="28"/>
          <w:rtl w:val="true"/>
          <w:lang w:bidi="ar-SA"/>
        </w:rPr>
        <w:t>»</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ويمكن المناقشة في جواز الوصية بالأعضاء باعتبار أن الجسد يعود إلى خالقه بعد الموت وينتهي استخلاف الإنسان عليه الذي بمقتضاه تصرّف فيه فلا ولاية له عليه بعد موته ويشير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ذلك لما 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أصبحت يا ابن رسول الله؟ فأجاب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أصبحت مطلوباً بثمانٍ، الله يطالبني بالفرائض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والقبر بالجسد</w:t>
      </w:r>
      <w:r>
        <w:rPr>
          <w:rFonts w:eastAsia="IRNazanin" w:cs="IRNazanin"/>
          <w:color w:val="111111"/>
          <w:sz w:val="28"/>
          <w:szCs w:val="28"/>
          <w:rtl w:val="true"/>
          <w:lang w:bidi="fa-IR"/>
        </w:rPr>
        <w:t>)</w:t>
      </w:r>
      <w:r>
        <w:rPr>
          <w:rStyle w:val="FootnoteAnchor"/>
          <w:rtl w:val="true"/>
        </w:rPr>
        <w:footnoteReference w:id="827"/>
      </w:r>
      <w:r>
        <w:rPr>
          <w:rFonts w:ascii="Amiri" w:hAnsi="Amiri" w:eastAsia="Amiri" w:cs="Amiri"/>
          <w:color w:val="111111"/>
          <w:sz w:val="28"/>
          <w:sz w:val="28"/>
          <w:szCs w:val="28"/>
          <w:rtl w:val="true"/>
          <w:lang w:bidi="ar-SA"/>
        </w:rPr>
        <w:t xml:space="preserve">فيصبح الجسد مجرى للأحكام التي أمر الله بها من وجوب التغسيل والصلاة ثم </w:t>
      </w:r>
    </w:p>
    <w:p>
      <w:pPr>
        <w:pStyle w:val="BookText"/>
        <w:rPr/>
      </w:pPr>
      <w:r>
        <w:rPr>
          <w:rFonts w:ascii="Amiri" w:hAnsi="Amiri" w:eastAsia="Amiri" w:cs="Amiri"/>
          <w:color w:val="111111"/>
          <w:sz w:val="28"/>
          <w:sz w:val="28"/>
          <w:szCs w:val="28"/>
          <w:rtl w:val="true"/>
          <w:lang w:bidi="ar-SA"/>
        </w:rPr>
        <w:t xml:space="preserve">الدفن، ودلّت الروايات المتقدمة على وجوب إلحاق كل أجزاء الميت به حتى الشعر والظفر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على الجواز بوجهين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بعض تلامذته</w:t>
      </w:r>
      <w:r>
        <w:rPr>
          <w:rStyle w:val="FootnoteAnchor"/>
          <w:rtl w:val="true"/>
        </w:rPr>
        <w:footnoteReference w:id="829"/>
      </w:r>
      <w:r>
        <w:rPr>
          <w:rFonts w:ascii="Amiri" w:hAnsi="Amiri" w:eastAsia="Amiri" w:cs="Amiri"/>
          <w:color w:val="111111"/>
          <w:sz w:val="28"/>
          <w:sz w:val="28"/>
          <w:szCs w:val="28"/>
          <w:rtl w:val="true"/>
          <w:lang w:bidi="ar-SA"/>
        </w:rPr>
        <w:t xml:space="preserve">وغيره من عدم شمول أدلة الحرمة له، باعتبار أن الحرمة الواردة في الروايات المتقدمة لوحظ فيها الهتك وعدم حفظ الكرامة الإنسانية أما إذا لم يستلزم القطع شيئاً من ذلك فيجوز كما لو أوصى الشخص بالتبرع بأعضائه بعد موته أو باعها في حياته على أن تؤخذ منه بعد موته،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الوجه في حرمة قطع عضو من أعضاء الميت هو هتكه وعدم احترامه، ولا هتك مع إيصائه بنفسه بذلك</w:t>
      </w:r>
      <w:r>
        <w:rPr>
          <w:rFonts w:eastAsia="Amiri" w:cs="Amiri" w:ascii="Amiri" w:hAnsi="Amiri"/>
          <w:color w:val="111111"/>
          <w:sz w:val="28"/>
          <w:szCs w:val="28"/>
          <w:rtl w:val="true"/>
          <w:lang w:bidi="ar-SA"/>
        </w:rPr>
        <w:t>»</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استظهرناه من احتمال حرمة القطع من الميت مطلقاً وأن الهتك حكمة للحرمة وليس علة فلا يدور الحكم مداره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العرف بتحقق عنوان الهتك وإن كان القطع بإذنه لأن احترامه وحفظ كرامته باقيان وليس له الإذن في هتك حرمته، كما أن الحي لو أذن باغتيابه وإهانته وإذلاله لم يجز لغيره فعل ذلك معه، لكنه لو هتك حرمته بنفسه كالفاسق المتجاهر جازت غيبته لسقوط حرمته</w:t>
      </w:r>
      <w:r>
        <w:rPr>
          <w:rFonts w:eastAsia="Amiri" w:cs="Amiri" w:ascii="Amiri" w:hAnsi="Amiri"/>
          <w:color w:val="111111"/>
          <w:sz w:val="28"/>
          <w:szCs w:val="28"/>
          <w:rtl w:val="true"/>
          <w:lang w:bidi="ar-SA"/>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عمومات الوصية فإنها تدل على جواز الوصية بكل ما يقع تحت تصرفه وسلطنته فكما تجوز الوصية بالأموال كذلك تجوز بالأعضاء؛ لأن حرمتهما واحدة وقد قرنت الأحاديث الشريفة بينهما كقول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p>
    <w:p>
      <w:pPr>
        <w:pStyle w:val="BookText"/>
        <w:rPr/>
      </w:pPr>
      <w:r>
        <w:rPr>
          <w:rFonts w:ascii="Amiri" w:hAnsi="Amiri" w:eastAsia="Amiri" w:cs="Amiri"/>
          <w:color w:val="111111"/>
          <w:sz w:val="28"/>
          <w:sz w:val="28"/>
          <w:szCs w:val="28"/>
          <w:rtl w:val="true"/>
          <w:lang w:bidi="ar-SA"/>
        </w:rPr>
        <w:t>منى حين قضى مناسكها في حجة الوداع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دماءكم وأموالكم عليكم حرام كحرمة يومكم هذا في شهركم هذا في بلدكم هذا إلى يوم تلقونه فيسألكم عن أعمالكم</w:t>
      </w:r>
      <w:r>
        <w:rPr>
          <w:rFonts w:eastAsia="Amiri" w:cs="Amiri" w:ascii="Amiri" w:hAnsi="Amiri"/>
          <w:color w:val="111111"/>
          <w:sz w:val="28"/>
          <w:szCs w:val="28"/>
          <w:rtl w:val="true"/>
          <w:lang w:bidi="ar-SA"/>
        </w:rPr>
        <w:t>)</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بعض الفقهاء المعاصرين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فثبوت هذه الحرمة للميت علىحد ما كانت ثابتة له زمن حياته يوجب فيما نحن فيه تعلّق حق له بأعضائه حذو ما كان له قبل موته، ولا محالة ليس لأحد أن يبادر إلى نقل شيء من أعضائه للترقيع به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أوصى مثلاً بأن يعطى عضو منه مستشفى الترقيع ليستفاد منه في ترقيع المحتاجين فالمتَّبَع هو وصيته، فإن المستفاد عرفاً من أدلة الوصية أنها إدامة لاختيارات الإنسان الثابتة له في حياته لما بعد وفاته</w:t>
      </w:r>
      <w:r>
        <w:rPr>
          <w:rFonts w:eastAsia="Amiri" w:cs="Amiri" w:ascii="Amiri" w:hAnsi="Amiri"/>
          <w:color w:val="111111"/>
          <w:sz w:val="28"/>
          <w:szCs w:val="28"/>
          <w:rtl w:val="true"/>
          <w:lang w:bidi="ar-SA"/>
        </w:rPr>
        <w:t>»</w:t>
      </w:r>
      <w:r>
        <w:rPr>
          <w:rStyle w:val="FootnoteAnchor"/>
          <w:rtl w:val="true"/>
        </w:rPr>
        <w:footnoteReference w:id="832"/>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كان من حقه أن يعطي عضواً له إنساناً آخر لينتفع بترقيعه فهكذا له أن يوصي بذلك، ويجب العمل بوصيته كما أوصى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نسلّمه من ظهور أدلة الاشتراك في الحرمة بين الحي والميت هو عدم جواز تصرّف الغير في أعضاء الميت كالحي أي العقد السلبي للقضية، أما جواز تصرف الحي بأعضائه الثابت له حال الحياة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العقد الإيجابي للقضية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نسلِّم دلالة الروايات على الاشتراك فيه مع الميت أي انتقاله له في ما بعد الوفاة بالوصية لوجود الموانع التي تقدّم بيانها، كما أن أمواله التي كانت له سلطة التصرف بها جميعاً في حياته لم يأذن الشارع المقدس بالتصرف بها في ما يزيد عن الثلث</w:t>
      </w:r>
      <w:r>
        <w:rPr>
          <w:rFonts w:eastAsia="Amiri" w:cs="Amiri" w:ascii="Amiri" w:hAnsi="Amiri"/>
          <w:color w:val="111111"/>
          <w:sz w:val="28"/>
          <w:szCs w:val="28"/>
          <w:rtl w:val="true"/>
          <w:lang w:bidi="ar-SA"/>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ما ذكرناه من انتهاء حالة الاستخلاف بالموت وعودة الجسد </w:t>
      </w:r>
    </w:p>
    <w:p>
      <w:pPr>
        <w:pStyle w:val="BookText"/>
        <w:rPr/>
      </w:pPr>
      <w:r>
        <w:rPr>
          <w:rFonts w:ascii="Amiri" w:hAnsi="Amiri" w:eastAsia="Amiri" w:cs="Amiri"/>
          <w:color w:val="111111"/>
          <w:sz w:val="28"/>
          <w:sz w:val="28"/>
          <w:szCs w:val="28"/>
          <w:rtl w:val="true"/>
          <w:lang w:bidi="ar-SA"/>
        </w:rPr>
        <w:t>إلى خالقه، ولم يثبت أن له حق الوصية بكل ما كانت له سلطنة عليه في حياته كالمال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ضوء هذا تُعلم المناقشة في الملازمة التي أوردها الفقيه المذكور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محالة فحدود وصية الإنسان إنما هي حقوقه الشرعية الثابتة له في حياته ليعمل على ما أراد بعد وفاته، فإذا كان من حقّه أن يعطي عضواً له إنساناً آخر لينتفع بترقيعه فهكذا له أن يوصي بذلك، ويجب العمل بوصيته كما أوصى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غير ثابتة في الأموال كما ذكرنا آنفاً فضلاًعن النفوس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النقض على ما ذكرناه من انتهاء حالة الاستخلاف بجواز إعادة العضو المقطوع من البدن إلى موضعه، وهذا الجواز ثابت بلا خلاف ولا إشكال فتأمل</w:t>
      </w:r>
      <w:r>
        <w:rPr>
          <w:rStyle w:val="FootnoteAnchor"/>
          <w:rtl w:val="true"/>
        </w:rPr>
        <w:footnoteReference w:id="833"/>
      </w:r>
      <w:r>
        <w:rPr>
          <w:rFonts w:ascii="Amiri" w:hAnsi="Amiri" w:eastAsia="Amiri" w:cs="Amiri"/>
          <w:color w:val="111111"/>
          <w:sz w:val="28"/>
          <w:sz w:val="28"/>
          <w:szCs w:val="28"/>
          <w:rtl w:val="true"/>
          <w:lang w:bidi="ar-SA"/>
        </w:rPr>
        <w:t>، وهذا كاشف عن استمرار سلطنة الإنسان على أعضائه بعد القطع فيما إذا وجد غرض عقلائي للاستفادة منه وتكون أدلة إجراء الأحكام الشرعية منصرفة عن مثل المورد حيث إنها تجري عندما لا يمكن تصور أي غرض عقلائي من أجزاء بدن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النقض بتحديد سلطة الميت على الوصية بماله بمقدار الثلث قياس مع الفارق لأن المال يراد له أن يتوزّع على الورثة بميزان عادل ليديموا الحياة، أما أعضاء الميت فلا يتصور فيها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شككنا فإن مقتضى الاستصحاب جواز القطع من الميت كما كان ثابتاً له في حال الحياة</w:t>
      </w:r>
      <w:r>
        <w:rPr>
          <w:rFonts w:eastAsia="Amiri" w:cs="Amiri" w:ascii="Amiri" w:hAnsi="Amiri"/>
          <w:color w:val="111111"/>
          <w:sz w:val="28"/>
          <w:szCs w:val="28"/>
          <w:rtl w:val="true"/>
          <w:lang w:bidi="ar-SA"/>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إجراء الاستصحاب هنا لعدم وحدة القضية المشكوكة </w:t>
      </w:r>
    </w:p>
    <w:p>
      <w:pPr>
        <w:pStyle w:val="BookText"/>
        <w:rPr/>
      </w:pPr>
      <w:r>
        <w:rPr>
          <w:rFonts w:ascii="Amiri" w:hAnsi="Amiri" w:eastAsia="Amiri" w:cs="Amiri"/>
          <w:color w:val="111111"/>
          <w:sz w:val="28"/>
          <w:sz w:val="28"/>
          <w:szCs w:val="28"/>
          <w:rtl w:val="true"/>
          <w:lang w:bidi="ar-SA"/>
        </w:rPr>
        <w:t>فبدن الحي غير بدن الميت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هذا الفرق موجود لكنه لا يؤثر على جريان الاستصحاب لوضوح عدم الفرق بين الحياة والموت في جواز القطع للروايات الكثيرة الدالة على اشتراكهما في الحرمة، بلا فرق بين العقد الإيجابي والسلبي لأن الأول متضمن في الثاني لاستثنائه من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إلا بإذنه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بإذنه، بل إن الجواز في الميت أولى لعدم وجود الموانع والقيود كحرمة إزهاق النفس وإلحاق الأذى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فالقول بجواز الوصية بالأعضاء ليس بعيداً، لكن التبرع يجب أن يكون مقيداً بأمور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ملاك أهم يغلب حرمة القطع كإنقاذ حياة إنسان فلا يكفي قطع العضو لتجميل الآخر به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يصدق هتك حرمة الميت عرفاً كما لو أوصى بأعضاء عديدة كأنفه ومذاكيره وغيره مما يؤدي إلى تمزيق جسده وتشويهه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الوجود الفعلي لمسوّغات القطع التي ذكرناها لأن الإنسان لا يملك سلطنة على نفسه أكثر من ذلك، فلا تجوز الوصية بمنح الأعضاء إلى مستشفى الترقيع أو وضع العضو في البنوك؛ لأن الجواز مشروط بالوجود الفعلي للمسوِّغ، خلافاً لإطلاق كلام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بجواز التبرع إلى المستشفى </w:t>
      </w:r>
      <w:r>
        <w:rPr>
          <w:rStyle w:val="FootnoteAnchor"/>
          <w:rtl w:val="true"/>
        </w:rPr>
        <w:footnoteReference w:id="834"/>
      </w:r>
      <w:r>
        <w:rPr>
          <w:rFonts w:ascii="IRNazanin" w:hAnsi="IRNazanin" w:eastAsia="IRNazanin"/>
          <w:color w:val="111111"/>
          <w:sz w:val="28"/>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قاله بعض الفقهاء من جواز التبرع به </w:t>
      </w:r>
    </w:p>
    <w:p>
      <w:pPr>
        <w:pStyle w:val="BookText"/>
        <w:rPr/>
      </w:pPr>
      <w:r>
        <w:rPr>
          <w:rFonts w:ascii="Amiri" w:hAnsi="Amiri" w:eastAsia="Amiri" w:cs="Amiri"/>
          <w:color w:val="111111"/>
          <w:sz w:val="28"/>
          <w:sz w:val="28"/>
          <w:szCs w:val="28"/>
          <w:rtl w:val="true"/>
          <w:lang w:bidi="ar-SA"/>
        </w:rPr>
        <w:t>لمستشفى الترقيع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الشرط تجده في كلماتهم عن مسألة تشريح الميت، كقول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توقف حفظ حياة المسلم على التشريح ولم يمكن تشريح غير المسلم فالظاهر جوازه، وأما لمجرد التعلم فلا يجوز ما لم تتوقف حياة مسلم عليه</w:t>
      </w:r>
      <w:r>
        <w:rPr>
          <w:rFonts w:eastAsia="Amiri" w:cs="Amiri" w:ascii="Amiri" w:hAnsi="Amiri"/>
          <w:color w:val="111111"/>
          <w:sz w:val="28"/>
          <w:szCs w:val="28"/>
          <w:rtl w:val="true"/>
          <w:lang w:bidi="ar-SA"/>
        </w:rPr>
        <w:t>»</w:t>
      </w:r>
      <w:r>
        <w:rPr>
          <w:rStyle w:val="FootnoteAnchor"/>
          <w:rtl w:val="true"/>
        </w:rPr>
        <w:footnoteReference w:id="835"/>
      </w:r>
      <w:r>
        <w:rPr>
          <w:rFonts w:ascii="Amiri" w:hAnsi="Amiri" w:eastAsia="Amiri" w:cs="Amiri"/>
          <w:color w:val="111111"/>
          <w:sz w:val="28"/>
          <w:sz w:val="28"/>
          <w:szCs w:val="28"/>
          <w:rtl w:val="true"/>
          <w:lang w:bidi="ar-SA"/>
        </w:rPr>
        <w:t>فاشترط فعلية المسوّغ علماً بأن تعلم الطب فيه شأنية إنقاذ المسلم والاحتياج إليه في وقت ما، وقال مثله الشيخ المنتظري</w:t>
      </w:r>
      <w:r>
        <w:rPr>
          <w:rStyle w:val="FootnoteAnchor"/>
          <w:rtl w:val="true"/>
        </w:rPr>
        <w:footnoteReference w:id="8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يفرغ هذا الشرط الوصية من أثرها ومفعولها ما دام الجواز يدور مدار الضرورة والأهمية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فروع</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جاز قطع الأعضاء من الميت بالوصية أو غيرها فإنه تتحقق عدة 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الجواز يشمل حتى الأعضاء التي تتوقف عليها حياته كالقلب أو تلافيف الدماغ ونحو ذلك لانتفاء المانع وهو الإلقاء في التهلكة أو الضرر</w:t>
      </w:r>
      <w:r>
        <w:rPr>
          <w:rFonts w:eastAsia="Amiri" w:cs="Amiri" w:ascii="Amiri" w:hAnsi="Amiri"/>
          <w:color w:val="111111"/>
          <w:sz w:val="28"/>
          <w:szCs w:val="28"/>
          <w:rtl w:val="true"/>
          <w:lang w:bidi="ar-SA"/>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دية على منفّذ الوصية لأنه مأذون كقطع العضو من الحي بإذنه ولأن الدية وصفت في الروايات بأنها غرامة ولا غرامة مع الإذن، ففي صحيحة عبد الله 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السن إذا ضربت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لم تقع واسودّت أُغرِم ثلثي ديتها</w:t>
      </w:r>
      <w:r>
        <w:rPr>
          <w:rFonts w:eastAsia="IRNazanin" w:cs="IRNazanin"/>
          <w:color w:val="111111"/>
          <w:sz w:val="28"/>
          <w:szCs w:val="28"/>
          <w:rtl w:val="true"/>
          <w:lang w:bidi="fa-IR"/>
        </w:rPr>
        <w:t>)</w:t>
      </w:r>
      <w:r>
        <w:rPr>
          <w:rStyle w:val="FootnoteAnchor"/>
          <w:rtl w:val="true"/>
        </w:rPr>
        <w:footnoteReference w:id="837"/>
      </w:r>
      <w:r>
        <w:rPr>
          <w:rFonts w:ascii="IRNazanin" w:hAnsi="IRNazanin" w:eastAsia="IRNazanin"/>
          <w:color w:val="111111"/>
          <w:sz w:val="28"/>
          <w:sz w:val="28"/>
          <w:szCs w:val="28"/>
          <w:rtl w:val="true"/>
          <w:lang w:bidi="fa-IR"/>
        </w:rPr>
        <w:t xml:space="preserve">وفي صحيحة أبي بصير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قضى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قطع فرج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أغرمه لها نصف الدية</w:t>
      </w:r>
      <w:r>
        <w:rPr>
          <w:rFonts w:eastAsia="Amiri" w:cs="Amiri" w:ascii="Amiri" w:hAnsi="Amiri"/>
          <w:color w:val="111111"/>
          <w:sz w:val="28"/>
          <w:szCs w:val="28"/>
          <w:rtl w:val="true"/>
          <w:lang w:bidi="ar-SA"/>
        </w:rPr>
        <w:t>)</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الدية على القاطع إذا كان القطع لغير الوصية من المسوِّغات كإنقاذ حياة المسلم؛ لإطلاقات وجوبها بالقطع ولا إذن من صاحب العضو بإسقاط حقه، وهذه المسوِّغات لا تلغي الحكم الوضعي وإنما تبيح مخالفة الحكم التكليفي فقط أي أن حرمة القطع من الميت باقية وترخِّص في ارتكابها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سقوط الحكم التكليفي للتزاحم لا يلزم منه سقوط الحكم الوضعي وهو ضمان الدية كما أن الاضطرار إلى أكل شيء من الغير لا يسقط ضمانه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يُقال أن روايات شق بطن المرأة الميتة وإخراج طفلها الحي أو تقطيع الطفل الميت في بطن أمه وإخراجه سكتت عن ضمان الدية معالحاجة إلى البيان في حين أن الروايات أوجبت الدية في حالات القطع الأخرى كصحيحة عبد الله بن سنان المتقدمة </w:t>
      </w:r>
      <w:r>
        <w:rPr>
          <w:rStyle w:val="FootnoteAnchor"/>
          <w:rtl w:val="true"/>
        </w:rPr>
        <w:footnoteReference w:id="839"/>
      </w:r>
      <w:r>
        <w:rPr>
          <w:rFonts w:ascii="Amiri" w:hAnsi="Amiri" w:eastAsia="Amiri" w:cs="Amiri"/>
          <w:color w:val="111111"/>
          <w:sz w:val="28"/>
          <w:sz w:val="28"/>
          <w:szCs w:val="28"/>
          <w:rtl w:val="true"/>
          <w:lang w:bidi="ar-SA"/>
        </w:rPr>
        <w:t>، فالقطع من الميت لحفظ حياة الحي مما لا يوجب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قياس مع الفارق وتجريد عن الخصوصية في غير محلّه لأن الميت في هذه الروايات سبب لهلاك الحي لو لم يقطّع وما نحن فيه ليس كذلك، ولو تنزّلنا باعتبار اشتراك الموردين في تقطيع الميت لإنقاذ الحي فإن الدليل مختص بالمورد دون موارد القطع الأخرى</w:t>
      </w:r>
      <w:r>
        <w:rPr>
          <w:rFonts w:eastAsia="Amiri" w:cs="Amiri" w:ascii="Amiri" w:hAnsi="Amiri"/>
          <w:color w:val="111111"/>
          <w:sz w:val="28"/>
          <w:szCs w:val="28"/>
          <w:rtl w:val="true"/>
          <w:lang w:bidi="ar-SA"/>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وجوب الدية من باب أولى فيما لو قطع أحد عضواً من الميت من دون مسوّغ شرعي وإن كان لغرض عقلائي كتعليم مهنة الطب وليس </w:t>
      </w:r>
    </w:p>
    <w:p>
      <w:pPr>
        <w:pStyle w:val="BookText"/>
        <w:rPr/>
      </w:pPr>
      <w:r>
        <w:rPr>
          <w:rFonts w:ascii="Amiri" w:hAnsi="Amiri" w:eastAsia="Amiri" w:cs="Amiri"/>
          <w:color w:val="111111"/>
          <w:sz w:val="28"/>
          <w:sz w:val="28"/>
          <w:szCs w:val="28"/>
          <w:rtl w:val="true"/>
          <w:lang w:bidi="ar-SA"/>
        </w:rPr>
        <w:t>للتشفّي أو العبث ونحوهما للإطلاق الوارد في الروايات كصحيحة عبد الله بن سنان المتقدمة مع التجريد عن خصوصية الرأس، وتصرف الدية في وجوه البر والإحسان لمصلحة الميت بحسب صحيحة</w:t>
      </w:r>
      <w:r>
        <w:rPr>
          <w:rStyle w:val="FootnoteAnchor"/>
          <w:rtl w:val="true"/>
        </w:rPr>
        <w:footnoteReference w:id="840"/>
      </w:r>
      <w:r>
        <w:rPr>
          <w:rFonts w:ascii="Amiri" w:hAnsi="Amiri" w:eastAsia="Amiri" w:cs="Amiri"/>
          <w:color w:val="111111"/>
          <w:sz w:val="28"/>
          <w:sz w:val="28"/>
          <w:szCs w:val="28"/>
          <w:rtl w:val="true"/>
          <w:lang w:bidi="ar-SA"/>
        </w:rPr>
        <w:t>الحسين بن خالد عن الإمام موسى بن جعفر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إن حرمة قطع الأعضاء تختص بمحقون الدم المحترم شرعاً، فلو كان الميت كافراً غير محترم شرعاً أمكن اقتطاع عضو منه وإلحاقه ببدن الحي وليس عليه دفع شيء من ثمنه وتترتب عليه أحكام البدن الجديد بالانتقال، 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قطع عضو من بدن ميت كافر أو مشكوك الإسلام للترقيع ببدن المسلم</w:t>
      </w:r>
      <w:r>
        <w:rPr>
          <w:rFonts w:eastAsia="Amiri" w:cs="Amiri" w:ascii="Amiri" w:hAnsi="Amiri"/>
          <w:color w:val="111111"/>
          <w:sz w:val="28"/>
          <w:szCs w:val="28"/>
          <w:rtl w:val="true"/>
          <w:lang w:bidi="ar-SA"/>
        </w:rPr>
        <w:t>»</w:t>
      </w:r>
      <w:r>
        <w:rPr>
          <w:rStyle w:val="FootnoteAnchor"/>
          <w:rtl w:val="true"/>
        </w:rPr>
        <w:footnoteReference w:id="841"/>
      </w:r>
    </w:p>
    <w:p>
      <w:pPr>
        <w:pStyle w:val="BookText"/>
        <w:rPr/>
      </w:pPr>
      <w:r>
        <w:rPr>
          <w:rFonts w:ascii="Amiri" w:hAnsi="Amiri" w:eastAsia="Amiri" w:cs="Amiri"/>
          <w:color w:val="111111"/>
          <w:sz w:val="28"/>
          <w:sz w:val="28"/>
          <w:szCs w:val="28"/>
          <w:rtl w:val="true"/>
          <w:lang w:bidi="ar-SA"/>
        </w:rPr>
        <w:t>الصالحين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 xml:space="preserve">، 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وفي جواب استفتاء عن التشريح،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الكافر أو المشكوك إسلامه فلا بأسبتشريحه مطلقاً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وقال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تشريح الميت المسلم، فلو فعل ذلك ففي قطع رأسه وجوارحه دية، وأما غير المسلم فيجوز ذمّياً كان أو غيره ولا دية عليه ولا إثم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الكافر الحربي فالحكم فيه واضح لعدم حرمته شرعاً، وأما الذمي فلانتهاء الذمة بموته</w:t>
      </w:r>
      <w:r>
        <w:rPr>
          <w:rFonts w:eastAsia="Amiri" w:cs="Amiri" w:ascii="Amiri" w:hAnsi="Amiri"/>
          <w:color w:val="111111"/>
          <w:sz w:val="28"/>
          <w:szCs w:val="28"/>
          <w:rtl w:val="true"/>
          <w:lang w:bidi="ar-SA"/>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على هذا الإطلاق بأن لأهل الذمة حرمة فلا يجوز الاعتداء عليهم وقطع أعضائهم فضلاً عن قتلهم؛ للروايات الكثيرة الدالة على ذلك ووجوب دفع الدية على من فعل ذلك من المسلمين كموثقة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w:t>
      </w:r>
    </w:p>
    <w:p>
      <w:pPr>
        <w:pStyle w:val="BookText"/>
        <w:rPr/>
      </w:pP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مسلم قتل ذمياً؟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شيء شديد لا يحتمله الناس فليعط أهله دية المسلم حتى ينكل عن قتل أهل السواد، وعن قتل الذمي،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مسلماً غضب على ذمي فأراد أن يقتله ويأخذ أرضه ويؤدي إلى أهله ثمانمائة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وهي دية الذمي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يكثر القتل في الذميين</w:t>
      </w:r>
      <w:r>
        <w:rPr>
          <w:rStyle w:val="FootnoteAnchor"/>
          <w:rtl w:val="true"/>
        </w:rPr>
        <w:footnoteReference w:id="842"/>
      </w:r>
      <w:r>
        <w:rPr>
          <w:rFonts w:ascii="Amiri" w:hAnsi="Amiri" w:eastAsia="Amiri" w:cs="Amiri"/>
          <w:color w:val="111111"/>
          <w:sz w:val="28"/>
          <w:sz w:val="28"/>
          <w:szCs w:val="28"/>
          <w:rtl w:val="true"/>
          <w:lang w:bidi="ar-SA"/>
        </w:rPr>
        <w:t>، ومن قتل ذمياً ظلماً فإنه ليحرم على المسلم أن يقتل ذمياً حراماً ما آمن بالجزية وأداها ولم يجحدها</w:t>
      </w:r>
      <w:r>
        <w:rPr>
          <w:rFonts w:eastAsia="Amiri" w:cs="Amiri" w:ascii="Amiri" w:hAnsi="Amiri"/>
          <w:color w:val="111111"/>
          <w:sz w:val="28"/>
          <w:szCs w:val="28"/>
          <w:rtl w:val="true"/>
          <w:lang w:bidi="ar-SA"/>
        </w:rPr>
        <w:t>)</w:t>
      </w:r>
      <w:r>
        <w:rPr>
          <w:rStyle w:val="FootnoteAnchor"/>
          <w:rtl w:val="true"/>
        </w:rPr>
        <w:footnoteReference w:id="843"/>
      </w:r>
      <w:r>
        <w:rPr>
          <w:rFonts w:ascii="IRNazanin" w:hAnsi="IRNazanin" w:eastAsia="IRNazanin"/>
          <w:color w:val="111111"/>
          <w:sz w:val="28"/>
          <w:sz w:val="28"/>
          <w:szCs w:val="28"/>
          <w:rtl w:val="true"/>
          <w:lang w:bidi="fa-IR"/>
        </w:rPr>
        <w:t>ومنها صحيحة بريد العجلي،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مسلم فقأ عين نصراني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دية عين النصراني أربعمائة درهم</w:t>
      </w:r>
      <w:r>
        <w:rPr>
          <w:rFonts w:eastAsia="IRNazanin" w:cs="IRNazanin"/>
          <w:color w:val="111111"/>
          <w:sz w:val="28"/>
          <w:szCs w:val="28"/>
          <w:rtl w:val="true"/>
          <w:lang w:bidi="fa-IR"/>
        </w:rPr>
        <w:t>)</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يصل الحكم إلى استحقاق المسلم القتل إذا لم يرتدع عن قتل الذميين واعتاد عليه ففي موثقة إسماعيل بن الفضل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دماء المجوس واليهود والنصارى، هل عليهم وعلى من قتلهم شيء إذا غشوا المسلمين وأظهروا العداوة 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أن يكون متعوداً لقتلهم،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المسلم هل يُقتل بأهل الذمة وأهل الكتاب إذا قتلهم؟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أن يكون معتاداً لذلك لا يدع قتلهم، فيقتل وهو صاغر</w:t>
      </w:r>
      <w:r>
        <w:rPr>
          <w:rFonts w:eastAsia="IRNazanin" w:cs="IRNazanin"/>
          <w:color w:val="111111"/>
          <w:sz w:val="28"/>
          <w:szCs w:val="28"/>
          <w:rtl w:val="true"/>
          <w:lang w:bidi="fa-IR"/>
        </w:rPr>
        <w:t>)</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انضم إلى هذه الصغرى إطلاق كبرى الملازمة بين حرمة الميت والحي في الروايات المتقدمة كمعتبرة الحسين بن خالد وفيها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سئل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قطع رأس ميت؟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حرّم منه ميتاً كل ما حرّم </w:t>
      </w:r>
    </w:p>
    <w:p>
      <w:pPr>
        <w:pStyle w:val="BookText"/>
        <w:rPr/>
      </w:pPr>
      <w:r>
        <w:rPr>
          <w:rFonts w:ascii="Amiri" w:hAnsi="Amiri" w:eastAsia="Amiri" w:cs="Amiri"/>
          <w:color w:val="111111"/>
          <w:sz w:val="28"/>
          <w:sz w:val="28"/>
          <w:szCs w:val="28"/>
          <w:rtl w:val="true"/>
          <w:lang w:bidi="ar-SA"/>
        </w:rPr>
        <w:t>منه حياً</w:t>
      </w:r>
      <w:r>
        <w:rPr>
          <w:rFonts w:eastAsia="Amiri" w:cs="Amiri" w:ascii="Amiri" w:hAnsi="Amiri"/>
          <w:color w:val="111111"/>
          <w:sz w:val="28"/>
          <w:szCs w:val="28"/>
          <w:rtl w:val="true"/>
          <w:lang w:bidi="ar-SA"/>
        </w:rPr>
        <w:t>)</w:t>
      </w:r>
      <w:r>
        <w:rPr>
          <w:rStyle w:val="FootnoteAnchor"/>
          <w:rtl w:val="true"/>
        </w:rPr>
        <w:footnoteReference w:id="846"/>
      </w:r>
      <w:r>
        <w:rPr>
          <w:rFonts w:ascii="Amiri" w:hAnsi="Amiri" w:eastAsia="Amiri" w:cs="Amiri"/>
          <w:color w:val="111111"/>
          <w:sz w:val="28"/>
          <w:sz w:val="28"/>
          <w:szCs w:val="28"/>
          <w:rtl w:val="true"/>
          <w:lang w:bidi="ar-SA"/>
        </w:rPr>
        <w:t>كانت النتيجة حرمة القطع من الذمي الميت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الملازمة ظاهرة في المسلم بقرينة مقدار الدية المذكور في بعضها، وتعميم الملازمة إلى غيره محل إشكال لعدم الدليل عليها، بل الدليل على خلافها لأن هذه الحرمة هي للذمة وليس لأهل الذمة فلا يكون مشمولاً بإطلاق الملازمة بين حرمة الحي والميت، لاحظ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أَحَدٌ مِّنَ الْمُشْرِكِينَ اسْتَجَارَكَ فَأَجِرْهُ حَتَّى يَسْمَعَ كَلاَمَ اللّهِ ثُمَّ أَبْلِغْهُ مَأْمَنَهُ ذَلِكَ بِأَنَّهُمْ قَوْمٌ لاَّ يَعْلَمُونَ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التغليظ الذي ذكره تعالى في الآية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انسَلَخَ الأَشْهُرُ الْحُرُمُ فَاقْتُلُواْ الْمُشْرِكِينَ حَيْثُ وَجَدتُّمُوهُمْ وَخُذُوهُمْ وَاحْصُرُوهُمْ وَاقْعُدُواْ لَهُمْ كُلَّ مَرْصَدٍ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مما يعني أن الواجب هو مراعاة العهود والمواثيق التي تعقد مع غير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ضوء ما تقدم فإن حرمة قطع الأعضاء من الذمي محددة بإطار الذمة الإسلامية فقد تكون له ما دام حياً ثم ينتهي عقد الذمة وقد تكون لهحتى بعد وفاته كما لو تضمن عقد الذمة مراعاة طقوسهم الدينية في الموتى من احترام وتوديع ودفن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فجواز أخذ العضو من الذمي لا بد أن يلحظ فيه مقتضى العقد مع دولة الإسلام فقد يتضمن غير ذلك فيجب الالتزام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أَوْفُواْ بِالْعُقُودِ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في غير الذمي فإطلاق الجواز في محله إلا أن يكون له عقد معهم فيعمل بمقتضاه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ويلاحظ في كل ذلك أن لا يصدق عنوان المثلة على نتيجة التقطيع سواء قصدها القاطع أو لم يقصدها لحرمة المثلة مطلقاً كما تقدم</w:t>
      </w:r>
      <w:r>
        <w:rPr>
          <w:rFonts w:eastAsia="Amiri" w:cs="Amiri" w:ascii="Amiri" w:hAnsi="Amiri"/>
          <w:color w:val="111111"/>
          <w:sz w:val="28"/>
          <w:szCs w:val="28"/>
          <w:rtl w:val="true"/>
          <w:lang w:bidi="ar-SA"/>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تترتب على العضو المزروع أحكام البدن الجديد المنقول إليه إذا </w:t>
      </w:r>
    </w:p>
    <w:p>
      <w:pPr>
        <w:pStyle w:val="BookText"/>
        <w:rPr/>
      </w:pPr>
      <w:r>
        <w:rPr>
          <w:rFonts w:ascii="Amiri" w:hAnsi="Amiri" w:eastAsia="Amiri" w:cs="Amiri"/>
          <w:color w:val="111111"/>
          <w:sz w:val="28"/>
          <w:sz w:val="28"/>
          <w:szCs w:val="28"/>
          <w:rtl w:val="true"/>
          <w:lang w:bidi="ar-SA"/>
        </w:rPr>
        <w:t xml:space="preserve">أصبح جزءاً منه وسرت فيه الحياة فإن كان مسلماً طهر بالانتقال إليه، 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المسألة الآنفة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وتترتب عليه بعده أحكام بدنه، لأنه صار جزءاً له، كما أنه لا بأس في الترقيع بعضو من أعضاء بدن حيوان نجس العين كالكلب ونحوه، وتترتب عليه أحكام بدنه وتجوز الصلاة فيه باعتبار طهارته بصيرورته جزءاً من بدن الحي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 المعاصرين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العضو المطلوب قطعه من الداخل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كالكلية والقلب والرئة والكبد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قطعه قبل غسل الميت وبعده، وإذا كان من 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كاليد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أخذه ونزعه بعد الغسل جمعاً بين الحكمين، إلا إذا كان تأخير قطعه إلى ما بعد الغسل مفسداً لزرعه في الحي</w:t>
      </w:r>
      <w:r>
        <w:rPr>
          <w:rFonts w:eastAsia="Amiri" w:cs="Amiri" w:ascii="Amiri" w:hAnsi="Amiri"/>
          <w:color w:val="111111"/>
          <w:sz w:val="28"/>
          <w:szCs w:val="28"/>
          <w:rtl w:val="true"/>
          <w:lang w:bidi="ar-SA"/>
        </w:rPr>
        <w:t>»</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هذا الإجراء لأجل المنقول إليه فإنه لا يفرق فيه كون العضو داخلياً أو خارجياً؛ لأن العضو الداخلي سيكون بعد القطع قطعة مبانة محكومة بالميتة فتجب أحكامها فلا فرق بين الداخلي والخارجي من هذه الناحية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بعد زرع العضو الداخلي كالكلية والكبد يكون من المحمول النجس ولا إشكال فيه من ناحية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إذا كان بلحاظ المنقول منه فقد قلنا بأن أحكام ما بعد الموت إنما تجب في ما لو لم يوجد مسوِّغ لزرع العضو المقطوع في بدنه أو بدن آخر كما في رواية إعادة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 المقطوع بالسرقة إلى صاحبها </w:t>
      </w:r>
      <w:r>
        <w:rPr>
          <w:rStyle w:val="FootnoteAnchor"/>
          <w:rtl w:val="true"/>
        </w:rPr>
        <w:footnoteReference w:id="8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ووضع المقطوع إلى موضعه فصح و صلح كما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حيث</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يجر عليها الأحكام الشرعية، نعم يحسُن الاحتياط بإجراء ما </w:t>
      </w:r>
    </w:p>
    <w:p>
      <w:pPr>
        <w:pStyle w:val="BookText"/>
        <w:rPr/>
      </w:pPr>
      <w:r>
        <w:rPr>
          <w:rFonts w:ascii="Amiri" w:hAnsi="Amiri" w:eastAsia="Amiri" w:cs="Amiri"/>
          <w:color w:val="111111"/>
          <w:sz w:val="28"/>
          <w:sz w:val="28"/>
          <w:szCs w:val="28"/>
          <w:rtl w:val="true"/>
          <w:lang w:bidi="ar-SA"/>
        </w:rPr>
        <w:t xml:space="preserve">تقتضيه القطعة المبانة من أحكام ثم زرعها جمعاً بين الحكمين كما أفاد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وتشهد له معتبرة الحلبي ورواية عبد الله بن سنان </w:t>
      </w:r>
      <w:r>
        <w:rPr>
          <w:rStyle w:val="FootnoteAnchor"/>
          <w:rtl w:val="true"/>
        </w:rPr>
        <w:footnoteReference w:id="849"/>
      </w:r>
    </w:p>
    <w:p>
      <w:pPr>
        <w:pStyle w:val="BookText"/>
        <w:rPr/>
      </w:pPr>
      <w:r>
        <w:rPr>
          <w:rFonts w:ascii="IRNazanin" w:hAnsi="IRNazanin" w:eastAsia="IRNazanin"/>
          <w:color w:val="111111"/>
          <w:sz w:val="28"/>
          <w:sz w:val="28"/>
          <w:szCs w:val="28"/>
          <w:rtl w:val="true"/>
          <w:lang w:bidi="fa-IR"/>
        </w:rPr>
        <w:t xml:space="preserve">ورواية مكارم الأخلاق عن عبد الله 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ينفصم سنّه أيصلح أن يشدَّها بالذهب؟ وإن سقطت، أيصلح أن يجعل مكانها سنّ شاة؟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شاء وليشدّها بعد أن تكون ذكية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وليس في رواية الحسين بن زرارة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إطلاق من هذه الجهة ليدل علىجواز أخذ العضو قبل الغسل</w:t>
      </w:r>
      <w:r>
        <w:rPr>
          <w:rFonts w:eastAsia="Amiri" w:cs="Amiri" w:ascii="Amiri" w:hAnsi="Amiri"/>
          <w:color w:val="111111"/>
          <w:sz w:val="28"/>
          <w:szCs w:val="28"/>
          <w:rtl w:val="true"/>
          <w:lang w:bidi="ar-SA"/>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اشتراط إذن ولي الميت بالقطع منضمّاً إلى المسوّغات المتقدمة في جواز القطع لتعلق حق الولي بشؤون الميت في الجملة ولاحتمال لحوق شين اجتماعي بهم بسبب القطع ونحو ذلك، ولو منع الولي من القطع لمانع ذكره فيلحظ تقديم الأهم على المهم من المسوِّغ والمانع، إلا في الوصية فليس للولي المنع من إنفاذها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إذن ولي الميت مستقلاً عن المسوّغات المذكورة فإنه غير مبيح للقطع، ولم يكن حال الحياة حتى يستصحب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دلّ من الروايات على جواز شق بطن المرأة الميتة لإخراج الجنين الحي فهي ناظرة إلى أمر آخر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وتسميته ولياً في النصوص الشرعية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قُتِلَ مَظْلُوماً فَقَدْ جَعَلْنَا لِوَلِيِّهِ سُلْطَاناً فَلاَ يُسْرِف فِّي الْقَتْلِ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بلحاظ القصاص واستحقاق الدية ونحو ذلك، وكذا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يغسِّل الميت أولى الناس به، أو من يأمره الولي بذلك</w:t>
      </w:r>
      <w:r>
        <w:rPr>
          <w:rFonts w:eastAsia="Amiri" w:cs="Amiri" w:ascii="Amiri" w:hAnsi="Amiri"/>
          <w:color w:val="111111"/>
          <w:sz w:val="28"/>
          <w:szCs w:val="28"/>
          <w:rtl w:val="true"/>
          <w:lang w:bidi="ar-SA"/>
        </w:rPr>
        <w:t>)</w:t>
      </w:r>
      <w:r>
        <w:rPr>
          <w:rStyle w:val="FootnoteAnchor"/>
          <w:rtl w:val="true"/>
        </w:rPr>
        <w:footnoteReference w:id="850"/>
      </w:r>
      <w:r>
        <w:rPr>
          <w:rFonts w:ascii="IRNazanin" w:hAnsi="IRNazanin" w:eastAsia="IRNazanin"/>
          <w:color w:val="111111"/>
          <w:sz w:val="28"/>
          <w:sz w:val="28"/>
          <w:szCs w:val="28"/>
          <w:rtl w:val="true"/>
          <w:lang w:bidi="fa-IR"/>
        </w:rPr>
        <w:t xml:space="preserve">ومصححة ابن أبي عمير عن بعض أصحابه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يصلّي على الجنازة أولى الناس بها، أو يأمر من يجب</w:t>
      </w:r>
      <w:r>
        <w:rPr>
          <w:rFonts w:eastAsia="IRNazanin" w:cs="IRNazanin"/>
          <w:color w:val="111111"/>
          <w:sz w:val="28"/>
          <w:szCs w:val="28"/>
          <w:rtl w:val="true"/>
          <w:lang w:bidi="fa-IR"/>
        </w:rPr>
        <w:t>)</w:t>
      </w:r>
      <w:r>
        <w:rPr>
          <w:rStyle w:val="FootnoteAnchor"/>
          <w:rtl w:val="true"/>
        </w:rPr>
        <w:footnoteReference w:id="851"/>
      </w:r>
      <w:r>
        <w:rPr>
          <w:rFonts w:ascii="Amiri" w:hAnsi="Amiri" w:eastAsia="Amiri" w:cs="Amiri"/>
          <w:color w:val="111111"/>
          <w:sz w:val="28"/>
          <w:sz w:val="28"/>
          <w:szCs w:val="28"/>
          <w:rtl w:val="true"/>
          <w:lang w:bidi="ar-SA"/>
        </w:rPr>
        <w:t>فإنها بلحاظ إجراء الأحكام المتعلقة به بعد وفاته ولا تدل على الولاية المطلقة للوارث على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 سريرياً وهو المصاب بموت الدماغ بحكم الحي ما دامالقلب والرئتان تعملان ولو بمساعدة الأجهزة بحسب ما يفهمه العرف من معنى الموت، وهو المرجع في فهم مداليل الألفاظ التي تكون موضوعات لأحكام شرعية وإن كان رأي الطب غير ذلك، وتجري عليه أحكام الحي لا الميت، أما إذا كان القلب متوقفاً ويتحرك الدم بواسطة مضخة والرئتان متوقفة ويتنفس بواسطة جهاز تنفس اصطناعي مثلاً فهو في عداد الموتى</w:t>
      </w:r>
      <w:r>
        <w:rPr>
          <w:rFonts w:eastAsia="Amiri" w:cs="Amiri" w:ascii="Amiri" w:hAnsi="Amiri"/>
          <w:color w:val="111111"/>
          <w:sz w:val="28"/>
          <w:szCs w:val="28"/>
          <w:rtl w:val="true"/>
          <w:lang w:bidi="ar-SA"/>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كون المورد مما تصح الوصية به وعدمه فلا يجوز التمسّك بعمومات الوصية لتجويزه لأنه من التمسّك بالعام في الشبهة المصداقية</w:t>
      </w:r>
      <w:r>
        <w:rPr>
          <w:rFonts w:eastAsia="Amiri" w:cs="Amiri" w:ascii="Amiri" w:hAnsi="Amiri"/>
          <w:color w:val="111111"/>
          <w:sz w:val="28"/>
          <w:szCs w:val="28"/>
          <w:rtl w:val="true"/>
          <w:lang w:bidi="ar-SA"/>
        </w:rPr>
        <w:t xml:space="preserve">. </w:t>
      </w:r>
      <w:bookmarkStart w:id="848" w:name="pg8133_63201"/>
    </w:p>
    <w:p>
      <w:pPr>
        <w:pStyle w:val="Heading6"/>
        <w:numPr>
          <w:ilvl w:val="5"/>
          <w:numId w:val="1"/>
        </w:numPr>
        <w:rPr/>
      </w:pPr>
      <w:bookmarkStart w:id="849" w:name="__RefHeading___Toc8193587_1051229030"/>
      <w:bookmarkStart w:id="850" w:name="_Toc305"/>
      <w:bookmarkEnd w:id="848"/>
      <w:bookmarkEnd w:id="849"/>
      <w:r>
        <w:rPr>
          <w:rtl w:val="true"/>
        </w:rPr>
        <w:t>القاعدة الرابعة</w:t>
      </w:r>
      <w:r>
        <w:rPr>
          <w:rtl w:val="true"/>
        </w:rPr>
        <w:t xml:space="preserve">: </w:t>
      </w:r>
      <w:r>
        <w:rPr>
          <w:rtl w:val="true"/>
        </w:rPr>
        <w:t>عدم اشتراط المالية في المبيع</w:t>
      </w:r>
      <w:r>
        <w:rPr>
          <w:rtl w:val="true"/>
        </w:rPr>
        <w:t>.</w:t>
      </w:r>
      <w:bookmarkEnd w:id="850"/>
    </w:p>
    <w:p>
      <w:pPr>
        <w:pStyle w:val="Heading6"/>
        <w:numPr>
          <w:ilvl w:val="5"/>
          <w:numId w:val="1"/>
        </w:numPr>
        <w:rPr/>
      </w:pPr>
      <w:bookmarkStart w:id="851" w:name="__RefHeading___Toc8193589_1051229030"/>
      <w:bookmarkStart w:id="852" w:name="_Toc306"/>
      <w:bookmarkEnd w:id="851"/>
      <w:r>
        <w:rPr>
          <w:rtl w:val="true"/>
        </w:rPr>
        <w:t>اشارة</w:t>
      </w:r>
      <w:bookmarkEnd w:id="852"/>
    </w:p>
    <w:p>
      <w:pPr>
        <w:pStyle w:val="BookText"/>
        <w:rPr/>
      </w:pPr>
      <w:r>
        <w:rPr>
          <w:rFonts w:ascii="Amiri" w:hAnsi="Amiri" w:eastAsia="Amiri" w:cs="Amiri"/>
          <w:color w:val="111111"/>
          <w:sz w:val="28"/>
          <w:sz w:val="28"/>
          <w:szCs w:val="28"/>
          <w:rtl w:val="true"/>
          <w:lang w:bidi="ar-SA"/>
        </w:rPr>
        <w:t xml:space="preserve">ناقش سماحة الشيخ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فيوضاته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اخذ الأموال إزاء أعضاء الجسم التي يمنحها الانسان لشخص اخر ، ولو قلنا بالجواز فهل سياخذ المانح تلك الأموال باعتبار هذا العقد عقد بيع او لسبب اخر ؟</w:t>
      </w:r>
    </w:p>
    <w:p>
      <w:pPr>
        <w:pStyle w:val="BookText"/>
        <w:rPr/>
      </w:pPr>
      <w:r>
        <w:rPr>
          <w:rFonts w:ascii="Amiri" w:hAnsi="Amiri" w:eastAsia="Amiri" w:cs="Amiri"/>
          <w:color w:val="111111"/>
          <w:sz w:val="28"/>
          <w:sz w:val="28"/>
          <w:szCs w:val="28"/>
          <w:rtl w:val="true"/>
          <w:lang w:bidi="ar-SA"/>
        </w:rPr>
        <w:t>وقد تضمن هذا البحث أموراً مهمة جدا ،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اشتراط المالية في المبيع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مناقشة قاعدة لا بيع الا في 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بيع الميتة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بيع الأعيان النجسة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بيع المني والبويضة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بحث سماحته هذه القاعدة في الجزء الثاني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 ، وكان نص كلامه فيها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تصور عدة أنحاء لأخذ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المال مقابل موافقة صاحب العضو المقطوع على إجراء العملية والقيام ببعض مقدماتها كالذهاب إلى المستشفى وهذا جائز بلا خلاف، ومن الفقهاء من حدَّد جواز أخذ المال بهذا النحو كالسيد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كلامه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المال بإزاء إسقاط حقه في العضو واختصاصه به وإنهاء سلطنته على التصرف فيه بعد قطعه، وقد اتفقوا على جوازه أيضاً</w:t>
      </w:r>
      <w:r>
        <w:rPr>
          <w:rFonts w:eastAsia="Amiri" w:cs="Amiri" w:ascii="Amiri" w:hAnsi="Amiri"/>
          <w:color w:val="111111"/>
          <w:sz w:val="28"/>
          <w:szCs w:val="28"/>
          <w:rtl w:val="true"/>
          <w:lang w:bidi="ar-SA"/>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تقدّم الإشكال على مثله لاحتمال أن هذا الحق وهذه السلطنة تسقط تلقائياً عند القطع لانتهاء أمد التخويل وانتفاء موضوعه لأن الله تعالى استخلفه على بدنه وخوّله التصرف فيه ما دام حياً وما دام العضو في بدنه </w:t>
      </w:r>
    </w:p>
    <w:p>
      <w:pPr>
        <w:pStyle w:val="BookText"/>
        <w:rPr/>
      </w:pPr>
      <w:r>
        <w:rPr>
          <w:rFonts w:ascii="Amiri" w:hAnsi="Amiri" w:eastAsia="Amiri" w:cs="Amiri"/>
          <w:color w:val="111111"/>
          <w:sz w:val="28"/>
          <w:sz w:val="28"/>
          <w:szCs w:val="28"/>
          <w:rtl w:val="true"/>
          <w:lang w:bidi="ar-SA"/>
        </w:rPr>
        <w:t>فإذا قطع فإنه يعود إلى مالكه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دفع الإشكال بتقريبين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الاستخلاف قابل للتمديد إلى ما بعد الموت إذا أراد الشخص ذلك كما في الوصية فلو أوصى خرج ما أوصى به مما يقتضيه انتهاء الاستخلاف من توزيع المال على الورثة، وكتدبير العبد الذي يقول له مولاه أنت حرّ دبر وفاتي فينال حريته بوفاة مالكه فهو تصرف في ما بعد الموت وانتهاء الاستخلاف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انتهى الاستخلاف فإن جريان أحكام ما بعده كدفن أعضاء الميت منصرف عن حالة إمكان انتفاع أحد آخر به، أما مع إمكان الانتفاع فلا تجري تلك الأحكام ويجوز نقل العضو إلى الغير للانتفاع به فالدليل على وجوب إجراء أحكام الميت ليس مطلقاً وهو منصرف عن مثل المورد، ونقل هذا الحق إلى الغير مختص به لزوال المانع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المال بإزاء بيع العضو وأخذه عوضاً عنه، ودخول المورد في عمومات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وَأَحَلَّ اللّهُ الْبَيْعَ وَحَرَّمَ الرِّبَا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تَكُونَ تِجَارَةً عَن تَرَاضٍ مِّنكُمْ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منعه جمع كالسيد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سئل عن شراء بعض أعضاء الإنسان كالقرنية من البنوك في الدولالأجنبية إن كان محتاجاً إليها،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يجوز إن كانت تنفع المشتري أن يقتني بغير عنوان البيع فيدفع ثمناً لأخذها ولا يقصد الشراء به</w:t>
      </w:r>
      <w:r>
        <w:rPr>
          <w:rFonts w:eastAsia="Amiri" w:cs="Amiri" w:ascii="Amiri" w:hAnsi="Amiri"/>
          <w:color w:val="111111"/>
          <w:sz w:val="28"/>
          <w:szCs w:val="28"/>
          <w:rtl w:val="true"/>
          <w:lang w:bidi="ar-SA"/>
        </w:rPr>
        <w:t>»</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اختلفوا في جوازه حيث أشكلوا من عدة جهات</w:t>
      </w:r>
      <w:r>
        <w:rPr>
          <w:rFonts w:eastAsia="Amiri" w:cs="Amiri" w:ascii="Amiri" w:hAnsi="Amiri"/>
          <w:color w:val="111111"/>
          <w:sz w:val="28"/>
          <w:szCs w:val="28"/>
          <w:rtl w:val="true"/>
          <w:lang w:bidi="ar-SA"/>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الإنسان الحر ليس مالاً لذا لا يجوز بيعه وهبته ولا تصح </w:t>
      </w:r>
    </w:p>
    <w:p>
      <w:pPr>
        <w:pStyle w:val="BookText"/>
        <w:rPr/>
      </w:pPr>
      <w:r>
        <w:rPr>
          <w:rFonts w:ascii="Amiri" w:hAnsi="Amiri" w:eastAsia="Amiri" w:cs="Amiri"/>
          <w:color w:val="111111"/>
          <w:sz w:val="28"/>
          <w:sz w:val="28"/>
          <w:szCs w:val="28"/>
          <w:rtl w:val="true"/>
          <w:lang w:bidi="ar-SA"/>
        </w:rPr>
        <w:t>معاوضته بأي نحو كان، فأعضاؤه كذلك، ويشترط في المبيع أن يكون 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كون الإنسان مالاً بلحاظ حريته وكرامته لا ينفي كون أجزائه المقطوعة مالاً لعدم الملازمة بينهما شرعاً وعرفاً بعد اقتطاعها منه وانتفاء جزئيتها والحرية والكرامة راجعتان إلى مجموعه المتكون من روحه وبدنه ولم يثبت أن بيع جزئه المقطوع منافٍ لكرامته، والعقلاء يرون أن عضو الإنسان المقطوع مالٌ أو أنه يقوَّم بالمالية لما فيه من انتفاع وسد حاجة، وما رواه العياشي عن محمد بن مسلم، عن أحدهما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كفارة اليمين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وصوم ثلاثة أيام إن شئت أن تصوم، إنما الصوم من جسدك ليس من مالك ولا غيره</w:t>
      </w:r>
      <w:r>
        <w:rPr>
          <w:rFonts w:eastAsia="Amiri" w:cs="Amiri" w:ascii="Amiri" w:hAnsi="Amiri"/>
          <w:color w:val="111111"/>
          <w:sz w:val="28"/>
          <w:szCs w:val="28"/>
          <w:rtl w:val="true"/>
          <w:lang w:bidi="ar-SA"/>
        </w:rPr>
        <w:t>)</w:t>
      </w:r>
      <w:r>
        <w:rPr>
          <w:rStyle w:val="FootnoteAnchor"/>
          <w:rtl w:val="true"/>
        </w:rPr>
        <w:footnoteReference w:id="853"/>
      </w:r>
      <w:r>
        <w:rPr>
          <w:rFonts w:ascii="Amiri" w:hAnsi="Amiri" w:eastAsia="Amiri" w:cs="Amiri"/>
          <w:color w:val="111111"/>
          <w:sz w:val="28"/>
          <w:sz w:val="28"/>
          <w:szCs w:val="28"/>
          <w:rtl w:val="true"/>
          <w:lang w:bidi="ar-SA"/>
        </w:rPr>
        <w:t>ناظر إلى معنى آخر أي أن الصوم فعل بدني وليس مالياً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نحتاج أن نستدل على ماليته بفرض الدية في الجناية عليه؛ لأن الدية غرامة مالية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صرّحت به الروايات التي ذكرناها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لفوات منفعة العضو وليست قيمة العضو ولذا كان الحكم الأولي في الجناية هو القصاص</w:t>
      </w:r>
      <w:r>
        <w:rPr>
          <w:rFonts w:eastAsia="Amiri" w:cs="Amiri" w:ascii="Amiri" w:hAnsi="Amiri"/>
          <w:color w:val="111111"/>
          <w:sz w:val="28"/>
          <w:szCs w:val="28"/>
          <w:rtl w:val="true"/>
          <w:lang w:bidi="ar-SA"/>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تنزّلنا فإنه لا يشترط في المبيع أن يكون مالاً والشرط أن يصحّ بذل المال بإزائه بأن ينتج من عملية البيع حصول المشتري على ما ينتفعبه منفعة محللة مقصودة عند العقلاء وتخرج المعاملة عن كونها سفهية وهي متحققة في المقام، 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يعتبر في البيع أن يكون العوضان مالاً أي مما يرغب فيه العقلاء، بل لو اشترى شيئاً لغرض </w:t>
      </w:r>
      <w:bookmarkStart w:id="853" w:name="pg8133_63204"/>
    </w:p>
    <w:p>
      <w:pPr>
        <w:pStyle w:val="BookText"/>
        <w:rPr/>
      </w:pPr>
      <w:bookmarkEnd w:id="853"/>
      <w:r>
        <w:rPr>
          <w:rFonts w:ascii="Amiri" w:hAnsi="Amiri" w:eastAsia="Amiri" w:cs="Amiri"/>
          <w:color w:val="111111"/>
          <w:sz w:val="28"/>
          <w:sz w:val="28"/>
          <w:szCs w:val="28"/>
          <w:rtl w:val="true"/>
          <w:lang w:bidi="ar-SA"/>
        </w:rPr>
        <w:t>شخصه وإن لم يرغب فيه العقلاء كان بيعاً صحيحاً، كما إذا اشتاق إلى خط جدّه وكان ذلك عند أحد معدوداً من الزبالات واشتراه منه بثمن كذا</w:t>
      </w:r>
      <w:r>
        <w:rPr>
          <w:rFonts w:eastAsia="Amiri" w:cs="Amiri" w:ascii="Amiri" w:hAnsi="Amiri"/>
          <w:color w:val="111111"/>
          <w:sz w:val="28"/>
          <w:szCs w:val="28"/>
          <w:rtl w:val="true"/>
          <w:lang w:bidi="ar-SA"/>
        </w:rPr>
        <w:t>»</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54" w:name="__RefHeading___Toc8193591_1051229030"/>
      <w:bookmarkStart w:id="855" w:name="_Toc307"/>
      <w:bookmarkEnd w:id="854"/>
      <w:r>
        <w:rPr>
          <w:rtl w:val="true"/>
        </w:rPr>
        <w:t xml:space="preserve">« </w:t>
      </w:r>
      <w:r>
        <w:rPr>
          <w:rtl w:val="true"/>
        </w:rPr>
        <w:t xml:space="preserve">مناقشة قاعدة لا بيع الا في ملك </w:t>
      </w:r>
      <w:r>
        <w:rPr>
          <w:rtl w:val="true"/>
        </w:rPr>
        <w:t>»</w:t>
      </w:r>
      <w:bookmarkEnd w:id="855"/>
    </w:p>
    <w:p>
      <w:pPr>
        <w:pStyle w:val="BookText"/>
        <w:rPr/>
      </w:pPr>
      <w:r>
        <w:rPr>
          <w:rFonts w:ascii="Amiri" w:hAnsi="Amiri" w:eastAsia="Amiri" w:cs="Amiri"/>
          <w:color w:val="111111"/>
          <w:sz w:val="28"/>
          <w:sz w:val="28"/>
          <w:szCs w:val="28"/>
          <w:rtl w:val="true"/>
          <w:lang w:bidi="ar-SA"/>
        </w:rPr>
        <w:t>ثانيتها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أنه لا بيع إلا في ملك ، والإنسان لا يملك أعضاءه فبيعها 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الكبرى فقد قيل أنه حديث نبوي مشهور لكن بعض المتتبعين أفاد بأنه مضمون عدة روايات في مصادر العامة ترجع إلى رواية واحدة عن عمرو بن شعيب عن أبيه عن جده، ومنها ما رواه البيهقي في سننه بالإسناد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على الرجل طلاق في ما لا يملك، ولا بيع في ما لا يملك، ولا عتق في ما لا يملك</w:t>
      </w:r>
      <w:r>
        <w:rPr>
          <w:rFonts w:eastAsia="IRNazanin" w:cs="IRNazanin"/>
          <w:color w:val="111111"/>
          <w:sz w:val="28"/>
          <w:szCs w:val="28"/>
          <w:rtl w:val="true"/>
          <w:lang w:bidi="fa-IR"/>
        </w:rPr>
        <w:t>)</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فالرواية غير تامة سنداً، ومن الوضوح بمكان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خصوصاً مع ملاحظة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على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النافية للعهدة والالتزام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الرواية أجنبية عن المراد في المقام إذ أنها ظاهرة في عدم نفوذ هذه المعاملات وإلزامها قبل أن يكون أمرها بيد المتعاقد ليستطيع نقلها إلى الطرف الآخر وإلا فإنه سيكون أجنبياً عن العقد كالفضولي، وقلنا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أمر هذه المعاملات المذكورة كالطلاق والبيع لأن القضية أوسع من ملكية العين المبحوث عنها بقرينة دخول الطلاق في المعاملات المذكورةوالرجل لا يملك زوجته كما تملك الأموال</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والروايات التي نهت عن بيع الشيء قبل ملكه أرادت هذا المعنى أي </w:t>
      </w:r>
    </w:p>
    <w:p>
      <w:pPr>
        <w:pStyle w:val="BookText"/>
        <w:rPr/>
      </w:pPr>
      <w:r>
        <w:rPr>
          <w:rFonts w:ascii="IRNazanin" w:hAnsi="IRNazanin" w:eastAsia="IRNazanin"/>
          <w:color w:val="111111"/>
          <w:sz w:val="28"/>
          <w:sz w:val="28"/>
          <w:szCs w:val="28"/>
          <w:rtl w:val="true"/>
          <w:lang w:bidi="fa-IR"/>
        </w:rPr>
        <w:t xml:space="preserve">النهي عن بيع الشيء قبل أن يكون أمر المبيع بيده وتحت سلطته واختياره ليتمكن من تسليط المشتري عليه كصحيحة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أتاه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ابتع لي متاعاً لعلي أشتريه منك بنقد أو نسيئة، فابتاعه الرجل من أجله،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به بأس إنما يشتريه منه بعد ما يملكه</w:t>
      </w:r>
      <w:r>
        <w:rPr>
          <w:rFonts w:eastAsia="IRNazanin" w:cs="IRNazanin"/>
          <w:color w:val="111111"/>
          <w:sz w:val="28"/>
          <w:szCs w:val="28"/>
          <w:rtl w:val="true"/>
          <w:lang w:bidi="fa-IR"/>
        </w:rPr>
        <w:t>)</w:t>
      </w:r>
      <w:r>
        <w:rPr>
          <w:rStyle w:val="FootnoteAnchor"/>
          <w:rtl w:val="true"/>
        </w:rPr>
        <w:footnoteReference w:id="857"/>
      </w:r>
      <w:r>
        <w:rPr>
          <w:rFonts w:ascii="IRNazanin" w:hAnsi="IRNazanin" w:eastAsia="IRNazanin"/>
          <w:color w:val="111111"/>
          <w:sz w:val="28"/>
          <w:sz w:val="28"/>
          <w:szCs w:val="28"/>
          <w:rtl w:val="true"/>
          <w:lang w:bidi="fa-IR"/>
        </w:rPr>
        <w:t xml:space="preserve">وصحيحة منصور بن حازم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رجل أمر رجلاً يشتري له متاعاً فيشتريه منه،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بذلك إنما البيع بعد ما يشتريه</w:t>
      </w:r>
      <w:r>
        <w:rPr>
          <w:rFonts w:eastAsia="IRNazanin" w:cs="IRNazanin"/>
          <w:color w:val="111111"/>
          <w:sz w:val="28"/>
          <w:szCs w:val="28"/>
          <w:rtl w:val="true"/>
          <w:lang w:bidi="fa-IR"/>
        </w:rPr>
        <w:t>)</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وصحيحة عبد الرحمن بن الحجاج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العينة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يأتيني الرجل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المتاع واربح فيه كذا وكذا فأراوضه على الشيء من الربح فنتراضى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أنطلق فأشتري المتاع من أجله لولا مكانه لم أرده، ثم آتيه به فأبيعه،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أرى بهذا بأساً لو هلك منه المتاع قبل أن تبيعه إياه كان من مالك، وهذا عليك بالخيار إن شاء اشتراه منك بعدما تأتيه، وإن شاء ردّه فلست أرى به بأساً</w:t>
      </w:r>
      <w:r>
        <w:rPr>
          <w:rFonts w:eastAsia="IRNazanin" w:cs="IRNazanin"/>
          <w:color w:val="111111"/>
          <w:sz w:val="28"/>
          <w:szCs w:val="28"/>
          <w:rtl w:val="true"/>
          <w:lang w:bidi="fa-IR"/>
        </w:rPr>
        <w:t>)</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ورواية جعفر بن غياث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رأيت شيئاً في يدي رجل أيجوز لي أن أشهد أنه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أنه في يده ولا أشهد أنه له فلعله لغيره،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أفيحل الشراء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فلعله لغيره فمن أين جاز لك أن تشتريه ويصير ملكا لك؟ ثم تقول بعد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لي وتحلف عليه ولا يجوز أن تنسبه إلى من صار ملكه من قبله إليك؟ ثم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لولم يجز هذا لم يقم للمسلمين سوق</w:t>
      </w:r>
      <w:r>
        <w:rPr>
          <w:rFonts w:eastAsia="Amiri" w:cs="Amiri" w:ascii="Amiri" w:hAnsi="Amiri"/>
          <w:color w:val="111111"/>
          <w:sz w:val="28"/>
          <w:szCs w:val="28"/>
          <w:rtl w:val="true"/>
          <w:lang w:bidi="ar-SA"/>
        </w:rPr>
        <w:t>)</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فليس في هذه الروايات دلالة على أزيد مما ذكرناه من كون أمر البيع والمعاملات الأخرى بيده، وقد تقدم بيان لهذا الأمر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فالمصحح للبيع القدرة على التمليك وتسليط المشتري على العين، ولا حاجة لاشتراط أزيد من ذلك أي ملكية العين كملكيته لأمواله، وهذا واضح من تعريفهم البيع بأنه مبادلة مال بمال، وبه عرّف جملة من الأعلام لقول الشيخ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تبديل عين بعوض</w:t>
      </w:r>
      <w:r>
        <w:rPr>
          <w:rFonts w:eastAsia="Amiri" w:cs="Amiri" w:ascii="Amiri" w:hAnsi="Amiri"/>
          <w:color w:val="111111"/>
          <w:sz w:val="28"/>
          <w:szCs w:val="28"/>
          <w:rtl w:val="true"/>
          <w:lang w:bidi="ar-SA"/>
        </w:rPr>
        <w:t>»</w:t>
      </w:r>
      <w:r>
        <w:rPr>
          <w:rStyle w:val="FootnoteAnchor"/>
          <w:rtl w:val="true"/>
        </w:rPr>
        <w:footnoteReference w:id="862"/>
      </w:r>
      <w:r>
        <w:rPr>
          <w:rFonts w:ascii="Amiri" w:hAnsi="Amiri" w:eastAsia="Amiri" w:cs="Amiri"/>
          <w:color w:val="111111"/>
          <w:sz w:val="28"/>
          <w:sz w:val="28"/>
          <w:szCs w:val="28"/>
          <w:rtl w:val="true"/>
          <w:lang w:bidi="ar-SA"/>
        </w:rPr>
        <w:t xml:space="preserve">وقال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والملاك في صدق البيع عنوان المعاوضة</w:t>
      </w:r>
      <w:r>
        <w:rPr>
          <w:rFonts w:eastAsia="Amiri" w:cs="Amiri" w:ascii="Amiri" w:hAnsi="Amiri"/>
          <w:color w:val="111111"/>
          <w:sz w:val="28"/>
          <w:szCs w:val="28"/>
          <w:rtl w:val="true"/>
          <w:lang w:bidi="ar-SA"/>
        </w:rPr>
        <w:t>»</w:t>
      </w:r>
      <w:r>
        <w:rPr>
          <w:rStyle w:val="FootnoteAnchor"/>
          <w:rtl w:val="true"/>
        </w:rPr>
        <w:footnoteReference w:id="863"/>
      </w:r>
    </w:p>
    <w:p>
      <w:pPr>
        <w:pStyle w:val="BookText"/>
        <w:rPr/>
      </w:pPr>
      <w:r>
        <w:rPr>
          <w:rFonts w:ascii="Amiri" w:hAnsi="Amiri" w:eastAsia="Amiri" w:cs="Amiri"/>
          <w:color w:val="111111"/>
          <w:sz w:val="28"/>
          <w:sz w:val="28"/>
          <w:szCs w:val="28"/>
          <w:rtl w:val="true"/>
          <w:lang w:bidi="ar-SA"/>
        </w:rPr>
        <w:t xml:space="preserve">وعبارة المحقق الإيرواني أوضح في ما نريد،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تبديل متعلق سلطان بمتعلق سلطان</w:t>
      </w:r>
      <w:r>
        <w:rPr>
          <w:rFonts w:eastAsia="Amiri" w:cs="Amiri" w:ascii="Amiri" w:hAnsi="Amiri"/>
          <w:color w:val="111111"/>
          <w:sz w:val="28"/>
          <w:szCs w:val="28"/>
          <w:rtl w:val="true"/>
          <w:lang w:bidi="ar-SA"/>
        </w:rPr>
        <w:t>»</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دليل إذن على صحة الكبرى وهي اشتراط كون المبيع مملوكاً، بل الدليل على خلافها للنقض ببيع الأوقاف العامة في موارد الرخصة والأعيان الزكوية والمدفوعة خمساً وكلها لا مالك لها، وكذا بيع الفضولي فإنهم لم يبطلوه لعدم الملكية وإنما لعدم إذن المالك فإذا أجازه صحّ وإجازته لا </w:t>
      </w:r>
    </w:p>
    <w:p>
      <w:pPr>
        <w:pStyle w:val="BookText"/>
        <w:rPr/>
      </w:pPr>
      <w:r>
        <w:rPr>
          <w:rFonts w:ascii="Amiri" w:hAnsi="Amiri" w:eastAsia="Amiri" w:cs="Amiri"/>
          <w:color w:val="111111"/>
          <w:sz w:val="28"/>
          <w:sz w:val="28"/>
          <w:szCs w:val="28"/>
          <w:rtl w:val="true"/>
          <w:lang w:bidi="ar-SA"/>
        </w:rPr>
        <w:t>تملّك البائع الفضولي وإنما تجعل له سلطنة على تمليك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واضاف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بيع الكلي في الذمة مع عدم مالكيةالشخص له، إذ لا يعتبر العقلاء مالكية الإنسان لما في ذمته، ولا يعدُّ مالاً له، لكن لما كان للذمم اعتبار على حسب اختلافها فيه، يكون لصاحبها سلطنة على تمليك كلي فيها حسب مقدار الاعتبار العقلائي، فيكون ذلك تمليك مال، لا تمليك مالٍ مملوك</w:t>
      </w:r>
      <w:r>
        <w:rPr>
          <w:rFonts w:eastAsia="Amiri" w:cs="Amiri" w:ascii="Amiri" w:hAnsi="Amiri"/>
          <w:color w:val="111111"/>
          <w:sz w:val="28"/>
          <w:szCs w:val="28"/>
          <w:rtl w:val="true"/>
          <w:lang w:bidi="ar-SA"/>
        </w:rPr>
        <w:t>»</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بعض 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قوام البيع الذي هو تمليك مال بعوض إلا بأن يكون اختيار المبيع بيد البايع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ذلك لمن تدبّر أمر الزكاة فإن الظاهر أن الزكاة زكاة لا غير، فهي مال وليست ملكاً لأحد، والموارد الثمانية المذكورة في الكتاب العزيز إنما هي مصارف معيّنة لها شرعاً، لا أنّها أو بعضاً منها مالكة لها، ومع ذلك فلا ينبغي الشك في أنه إذا باع وليّ الأمر الزكاة التي أخذها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أنه ولي أمر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فالبيع بيع حقيقة، بل وصحيح عرفاً وشرعاً</w:t>
      </w:r>
      <w:r>
        <w:rPr>
          <w:rFonts w:eastAsia="Amiri" w:cs="Amiri" w:ascii="Amiri" w:hAnsi="Amiri"/>
          <w:color w:val="111111"/>
          <w:sz w:val="28"/>
          <w:szCs w:val="28"/>
          <w:rtl w:val="true"/>
          <w:lang w:bidi="ar-SA"/>
        </w:rPr>
        <w:t>»</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تنظير لطيف في المقام، لكن بعض العلماء حاول توجيه المورد بما لا ينافي اشتراط الملكية الاعتبارية في المبيع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القول باشتراط الملكية الاعتبارية في المبيع لا يلزم منه القول ببطلان بيع ولي الأمر لما أخذه زكاةً وخمساً، بعد إمكان القول بتملّك عنوان الفقراء للزكاة وعنوان السادة للخمس، وهكذا فإنّ الجهات العامّة التي عبّر عنها بالمصرف في الزكاة أو الخمس تصلح للمالكيّة، ومع إمكان المالكية بالنسبة إلى الجهات العامّة لا ملازمة بين اشتراط الملكية الاعتبارية والقول ببطلان بيع </w:t>
      </w:r>
      <w:bookmarkStart w:id="856" w:name="pg8133_63208"/>
    </w:p>
    <w:p>
      <w:pPr>
        <w:pStyle w:val="BookText"/>
        <w:rPr/>
      </w:pPr>
      <w:bookmarkEnd w:id="856"/>
      <w:r>
        <w:rPr>
          <w:rFonts w:ascii="Amiri" w:hAnsi="Amiri" w:eastAsia="Amiri" w:cs="Amiri"/>
          <w:color w:val="111111"/>
          <w:sz w:val="28"/>
          <w:sz w:val="28"/>
          <w:szCs w:val="28"/>
          <w:rtl w:val="true"/>
          <w:lang w:bidi="ar-SA"/>
        </w:rPr>
        <w:t>ولي الأمر؛ إذ للولي ولاية على الجهات العامّة، فله بيعها بعد تحقّق شرط صحّته من المملوكية والملكية الاعتبارية</w:t>
      </w:r>
      <w:r>
        <w:rPr>
          <w:rFonts w:eastAsia="Amiri" w:cs="Amiri" w:ascii="Amiri" w:hAnsi="Amiri"/>
          <w:color w:val="111111"/>
          <w:sz w:val="28"/>
          <w:szCs w:val="28"/>
          <w:rtl w:val="true"/>
          <w:lang w:bidi="ar-SA"/>
        </w:rPr>
        <w:t>»</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المحاولة غير تامة لأن هذه العناوين لا تملك الزكاة وإنما هي مصرف لها ولو قلنا بملكيتها فإنها ليست على نحو الملكية الاعتباريةالتي اشترطها في المبيع وإن سلطنة الإنسان على أعضائه أقوى من هذه الملكية المفترضة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الصغرى فقد تقدم في المطلب الأول أن الإنسان يملك أمر أعضائه والتصرف فيها بحيث يستطيع تمكين المشتري من العين وتسليطه على التصرف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 عدم صحة الإشكال على بيع الأعضاء من هذه الناحية</w:t>
      </w:r>
      <w:r>
        <w:rPr>
          <w:rFonts w:eastAsia="Amiri" w:cs="Amiri" w:ascii="Amiri" w:hAnsi="Amiri"/>
          <w:color w:val="111111"/>
          <w:sz w:val="28"/>
          <w:szCs w:val="28"/>
          <w:rtl w:val="true"/>
          <w:lang w:bidi="ar-SA"/>
        </w:rPr>
        <w:t>.</w:t>
      </w:r>
    </w:p>
    <w:p>
      <w:pPr>
        <w:pStyle w:val="Heading6"/>
        <w:numPr>
          <w:ilvl w:val="5"/>
          <w:numId w:val="1"/>
        </w:numPr>
        <w:rPr/>
      </w:pPr>
      <w:bookmarkStart w:id="857" w:name="__RefHeading___Toc8193593_1051229030"/>
      <w:bookmarkStart w:id="858" w:name="_Toc308"/>
      <w:bookmarkEnd w:id="857"/>
      <w:r>
        <w:rPr>
          <w:rtl w:val="true"/>
        </w:rPr>
        <w:t xml:space="preserve">« </w:t>
      </w:r>
      <w:r>
        <w:rPr>
          <w:rtl w:val="true"/>
        </w:rPr>
        <w:t xml:space="preserve">بيع الميتة </w:t>
      </w:r>
      <w:r>
        <w:rPr>
          <w:rtl w:val="true"/>
        </w:rPr>
        <w:t>»</w:t>
      </w:r>
      <w:bookmarkEnd w:id="858"/>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العضو المقطوع ميتة لا يجوز بيعها</w:t>
      </w:r>
    </w:p>
    <w:p>
      <w:pPr>
        <w:pStyle w:val="BookText"/>
        <w:rPr/>
      </w:pPr>
      <w:r>
        <w:rPr>
          <w:rFonts w:ascii="Amiri" w:hAnsi="Amiri" w:eastAsia="Amiri" w:cs="Amiri"/>
          <w:color w:val="111111"/>
          <w:sz w:val="28"/>
          <w:sz w:val="28"/>
          <w:szCs w:val="28"/>
          <w:rtl w:val="true"/>
          <w:lang w:bidi="ar-SA"/>
        </w:rPr>
        <w:t>ويستدل على الصغرى بوجوه مرّ تفصيلها في بحث سابق</w:t>
      </w:r>
      <w:r>
        <w:rPr>
          <w:rStyle w:val="FootnoteAnchor"/>
          <w:rtl w:val="true"/>
        </w:rPr>
        <w:footnoteReference w:id="868"/>
      </w:r>
    </w:p>
    <w:p>
      <w:pPr>
        <w:pStyle w:val="BookText"/>
        <w:rPr/>
      </w:pPr>
      <w:r>
        <w:rPr>
          <w:rFonts w:ascii="Amiri" w:hAnsi="Amiri" w:eastAsia="Amiri" w:cs="Amiri"/>
          <w:color w:val="111111"/>
          <w:sz w:val="28"/>
          <w:sz w:val="28"/>
          <w:szCs w:val="28"/>
          <w:rtl w:val="true"/>
          <w:lang w:bidi="ar-SA"/>
        </w:rPr>
        <w:t>نذكر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أيوب بن نوح عن بعض أصحابه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قطع من الرجل قطعة فهي ميتة، فإذا مسّه إنسان فكل ما كان فيه عظم فقد وجب على من يمسّه الغسل، فإن لم يكن به عظم فلا غسل عليه</w:t>
      </w:r>
      <w:r>
        <w:rPr>
          <w:rFonts w:eastAsia="IRNazanin" w:cs="IRNazanin"/>
          <w:color w:val="111111"/>
          <w:sz w:val="28"/>
          <w:szCs w:val="28"/>
          <w:rtl w:val="true"/>
          <w:lang w:bidi="fa-IR"/>
        </w:rPr>
        <w:t>)</w:t>
      </w:r>
      <w:r>
        <w:rPr>
          <w:rStyle w:val="FootnoteAnchor"/>
          <w:rtl w:val="true"/>
        </w:rPr>
        <w:footnoteReference w:id="869"/>
      </w:r>
      <w:r>
        <w:rPr>
          <w:rFonts w:ascii="IRNazanin" w:hAnsi="IRNazanin" w:eastAsia="IRNazanin"/>
          <w:color w:val="111111"/>
          <w:sz w:val="28"/>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الرواية تصريح بأن القطعة المبانة ميتة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ضعيفة السند بالإرسال، والشهرة لا تجبرها، نعم قلنا في بعض المطالب السابقة أن نسبة المرسل عنه إلى أصحابنا لا تخلو من توثيق للراوي عرفاً ولا يلقي هذا الوصف جزافاً مثل أيوب بن نوح الذي قال عنه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وكيلاً لأبي الحسن وأبي محمد ‘، عظيم المنزلة عندهما مأموناً، وكان شديد الورع، كثير العبادة، ثقة في رواياته</w:t>
      </w:r>
      <w:r>
        <w:rPr>
          <w:rFonts w:eastAsia="Amiri" w:cs="Amiri" w:ascii="Amiri" w:hAnsi="Amiri"/>
          <w:color w:val="111111"/>
          <w:sz w:val="28"/>
          <w:szCs w:val="28"/>
          <w:rtl w:val="true"/>
          <w:lang w:bidi="ar-SA"/>
        </w:rPr>
        <w:t xml:space="preserve">» </w:t>
      </w:r>
      <w:r>
        <w:rPr>
          <w:rStyle w:val="FootnoteAnchor"/>
          <w:rtl w:val="true"/>
        </w:rPr>
        <w:footnoteReference w:id="870"/>
      </w:r>
      <w:r>
        <w:rPr>
          <w:rFonts w:ascii="Amiri" w:hAnsi="Amiri" w:eastAsia="Amiri" w:cs="Amiri"/>
          <w:color w:val="111111"/>
          <w:sz w:val="28"/>
          <w:sz w:val="28"/>
          <w:szCs w:val="28"/>
          <w:rtl w:val="true"/>
          <w:lang w:bidi="ar-SA"/>
        </w:rPr>
        <w:t>وكانت عدة ظروف يومئذٍ تقتضي إخفاء بعض الأسماء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يمكن أن يقال أن الفقرة الأولى من الرواية لو كانت مستقلة لأمكن التمسك بإطلاقها لكل أحكام الميتة لكن سوقها كمقدمة للحكم اللاحق يجعلنا نحتمل أن إضافة وصف الميتة إلى القطعة المبانة هي بلحاظ وجوب الغسل بمسّها لا مطلقاً كما يشهد تفريع الحكم على هذا التنزيل، مضافاً إلى التفصيل الوارد فيها بين ذات العظم وغيرها ولو كانت القطعة المبانة ميتة مطلقاً لما صحّ التفصيل، وعلى أي حال فلا تصلح الرواية للاستدلال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الواردة في كون القطعة المبانة من الحيوان ميتة فيستدل بها أو يُستأنس بها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 القطعة المبانة منزلة الميتة المقتضي لجريان أحكامها عليها</w:t>
      </w:r>
      <w:r>
        <w:rPr>
          <w:rFonts w:eastAsia="Amiri" w:cs="Amiri" w:ascii="Amiri" w:hAnsi="Amiri"/>
          <w:color w:val="111111"/>
          <w:sz w:val="28"/>
          <w:szCs w:val="28"/>
          <w:rtl w:val="true"/>
          <w:lang w:bidi="ar-SA"/>
        </w:rPr>
        <w:t>»</w:t>
      </w:r>
      <w:r>
        <w:rPr>
          <w:rStyle w:val="FootnoteAnchor"/>
          <w:rtl w:val="true"/>
        </w:rPr>
        <w:footnoteReference w:id="871"/>
      </w:r>
      <w:r>
        <w:rPr>
          <w:rFonts w:ascii="IRNazanin" w:hAnsi="IRNazanin" w:eastAsia="IRNazanin"/>
          <w:color w:val="111111"/>
          <w:sz w:val="28"/>
          <w:sz w:val="28"/>
          <w:szCs w:val="28"/>
          <w:rtl w:val="true"/>
          <w:lang w:bidi="fa-IR"/>
        </w:rPr>
        <w:t xml:space="preserve">كخبر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إليات الضأن تقطع وهي أحياء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ميتة</w:t>
      </w:r>
      <w:r>
        <w:rPr>
          <w:rFonts w:eastAsia="IRNazanin" w:cs="IRNazanin"/>
          <w:color w:val="111111"/>
          <w:sz w:val="28"/>
          <w:szCs w:val="28"/>
          <w:rtl w:val="true"/>
          <w:lang w:bidi="fa-IR"/>
        </w:rPr>
        <w:t>)</w:t>
      </w:r>
      <w:r>
        <w:rPr>
          <w:rStyle w:val="FootnoteAnchor"/>
          <w:rtl w:val="true"/>
        </w:rPr>
        <w:footnoteReference w:id="872"/>
      </w:r>
      <w:r>
        <w:rPr>
          <w:rFonts w:ascii="IRNazanin" w:hAnsi="IRNazanin" w:eastAsia="IRNazanin"/>
          <w:color w:val="111111"/>
          <w:sz w:val="28"/>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وصحيحة محمد بن قيس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أخذت الحبالة من صيد فقطعت منه يداً أو رجلاً فذروه فإنه 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وموثقة عبد الرحمن بن أبي عبد الله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أخذت الحبالة فقطعت منه شيئاً فهو </w:t>
      </w:r>
    </w:p>
    <w:p>
      <w:pPr>
        <w:pStyle w:val="BookText"/>
        <w:rPr/>
      </w:pPr>
      <w:r>
        <w:rPr>
          <w:rFonts w:ascii="Amiri" w:hAnsi="Amiri" w:eastAsia="Amiri" w:cs="Amiri"/>
          <w:color w:val="111111"/>
          <w:sz w:val="28"/>
          <w:sz w:val="28"/>
          <w:szCs w:val="28"/>
          <w:rtl w:val="true"/>
          <w:lang w:bidi="ar-SA"/>
        </w:rPr>
        <w:t xml:space="preserve">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ميتة</w:t>
      </w:r>
      <w:r>
        <w:rPr>
          <w:rFonts w:eastAsia="Amiri" w:cs="Amiri" w:ascii="Amiri" w:hAnsi="Amiri"/>
          <w:color w:val="111111"/>
          <w:sz w:val="28"/>
          <w:szCs w:val="28"/>
          <w:rtl w:val="true"/>
          <w:lang w:bidi="ar-SA"/>
        </w:rPr>
        <w:t>»)</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يأتي هنا الاحتمال الذي أوردناه في الوجه السابق، وأن وصف هذه الروايات التي وصفت قطعة الحيوان بالميتة ليس مطلقاً، وإنما بلحاظ ترتب الأثر الذي أريد من الخطاب –كالنجاسة وحرمة الأكل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أي أنها بيّنت الحكم المناسب للمورد بلسان ذكر الموضوع وهو عنوان الميتة بقرينة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ذروا أكله ولبسه مثلاً لا مطلقاً إذ لا قائل بوجوب رمي الميتة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وبناءً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يجوز التمسك بإطلاقها لإثبات التعميم لكل الآثار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تنزلنا وقبلنا بإطلاق عنوان الميتة على القطعة المنفصلة من الحيوان، فإنه لا يصح الاستدلال به على كون القطعة المبانة من الإنسان ميتة؛ لأنه ثبت بالاستقراء أن هذا العنوان يراد به ميتة غير الإنسان، أما ميتة الإنسان فيسمى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بحيث تحول هذا إلى ارتكاز وظهور في مقام التخاطب، كما في صحيحة محمد بن مسلم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رجل مسَّ ميتة أعليه غسل؟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إنما ذلك من الإنسان</w:t>
      </w:r>
      <w:r>
        <w:rPr>
          <w:rFonts w:eastAsia="IRNazanin" w:cs="IRNazanin"/>
          <w:color w:val="111111"/>
          <w:sz w:val="28"/>
          <w:szCs w:val="28"/>
          <w:rtl w:val="true"/>
          <w:lang w:bidi="fa-IR"/>
        </w:rPr>
        <w:t>)</w:t>
      </w:r>
      <w:r>
        <w:rPr>
          <w:rStyle w:val="FootnoteAnchor"/>
          <w:rtl w:val="true"/>
        </w:rPr>
        <w:footnoteReference w:id="87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فكان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السائل متعين أو ظاهر في ميتة غير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ورد التعبير بلفظ الميتة في رواية أيوب بن نوح على القطعة المبانة من الإنسان فتحمل على الظاهر أعلاه ولا يجب الغسل بمسّها لولا بقية الرواية التي أوجبت الغسل، وهذا عود إلى الاستدلال برواية ابن نوح وليست دليلاً مستقلاً كما هو مفروض هذا الوجه</w:t>
      </w:r>
      <w:r>
        <w:rPr>
          <w:rFonts w:eastAsia="Amiri" w:cs="Amiri" w:ascii="Amiri" w:hAnsi="Amiri"/>
          <w:color w:val="111111"/>
          <w:sz w:val="28"/>
          <w:szCs w:val="28"/>
          <w:rtl w:val="true"/>
          <w:lang w:bidi="ar-SA"/>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ولكن يمكن دعوى صدق عنوان الميت عليها ولو بالتعبد الشرعي </w:t>
      </w:r>
    </w:p>
    <w:p>
      <w:pPr>
        <w:pStyle w:val="BookText"/>
        <w:rPr/>
      </w:pPr>
      <w:r>
        <w:rPr>
          <w:rFonts w:ascii="Amiri" w:hAnsi="Amiri" w:eastAsia="Amiri" w:cs="Amiri"/>
          <w:color w:val="111111"/>
          <w:sz w:val="28"/>
          <w:sz w:val="28"/>
          <w:szCs w:val="28"/>
          <w:rtl w:val="true"/>
          <w:lang w:bidi="ar-SA"/>
        </w:rPr>
        <w:t xml:space="preserve">بكاشفية جريان أحكامه عليها ولذا استدل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بفحوى وجوب جريان أحكام الميت عليها بناءً عليه من التغسيل والتكفين ونحوهما</w:t>
      </w:r>
      <w:r>
        <w:rPr>
          <w:rFonts w:eastAsia="Amiri" w:cs="Amiri" w:ascii="Amiri" w:hAnsi="Amiri"/>
          <w:color w:val="111111"/>
          <w:sz w:val="28"/>
          <w:szCs w:val="28"/>
          <w:rtl w:val="true"/>
          <w:lang w:bidi="ar-SA"/>
        </w:rPr>
        <w:t>»</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فالصغرى غير بعيدة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حرمة بيع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فلوجوه نذكرها باختصار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قال المحقق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حرمة بيعها وشرائها والتكسب بها إجماعي</w:t>
      </w:r>
      <w:r>
        <w:rPr>
          <w:rFonts w:eastAsia="Amiri" w:cs="Amiri" w:ascii="Amiri" w:hAnsi="Amiri"/>
          <w:color w:val="111111"/>
          <w:sz w:val="28"/>
          <w:szCs w:val="28"/>
          <w:rtl w:val="true"/>
          <w:lang w:bidi="ar-SA"/>
        </w:rPr>
        <w:t>»</w:t>
      </w:r>
      <w:r>
        <w:rPr>
          <w:rStyle w:val="FootnoteAnchor"/>
          <w:rtl w:val="true"/>
        </w:rPr>
        <w:footnoteReference w:id="876"/>
      </w:r>
      <w:r>
        <w:rPr>
          <w:rFonts w:ascii="Amiri" w:hAnsi="Amiri" w:eastAsia="Amiri" w:cs="Amiri"/>
          <w:color w:val="111111"/>
          <w:sz w:val="28"/>
          <w:sz w:val="28"/>
          <w:szCs w:val="28"/>
          <w:rtl w:val="true"/>
          <w:lang w:bidi="ar-SA"/>
        </w:rPr>
        <w:t>ويرد عليه أنه مدركي مستند إلى أحد الوجوه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لا مالية لها لحرمة الانتفاع بالميتة فبذل المال بإزائها فعلسفهي وأكل للمال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ما تقدم من جواز الانتفاع بالميتة </w:t>
      </w:r>
      <w:r>
        <w:rPr>
          <w:rStyle w:val="FootnoteAnchor"/>
          <w:rtl w:val="true"/>
        </w:rPr>
        <w:footnoteReference w:id="87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وتقدم عدم اشتراط المالية في العوضين </w:t>
      </w:r>
      <w:r>
        <w:rPr>
          <w:rStyle w:val="FootnoteAnchor"/>
          <w:rtl w:val="true"/>
        </w:rPr>
        <w:footnoteReference w:id="878"/>
      </w:r>
      <w:r>
        <w:rPr>
          <w:rFonts w:ascii="Amiri" w:hAnsi="Amiri" w:eastAsia="Amiri" w:cs="Amiri"/>
          <w:color w:val="111111"/>
          <w:sz w:val="28"/>
          <w:sz w:val="28"/>
          <w:szCs w:val="28"/>
          <w:rtl w:val="true"/>
          <w:lang w:bidi="ar-SA"/>
        </w:rPr>
        <w:t>، والمطلوب أن تكون المعاملة عقلائية غير سفهية وذلك بوجود غرض عقلائي في المعاملة وهو الذي يقوِّم المالية عند المتعاقد وإن لم يكن كذلك لدى النوع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الروايات، كموثقة أبي نصر البزنطي 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الأليات المقطوعة من الغنم وهي أحياء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يذيبها ويسرج بها ولا يأكلها ولا يبيعها</w:t>
      </w:r>
      <w:r>
        <w:rPr>
          <w:rFonts w:eastAsia="IRNazanin" w:cs="IRNazanin"/>
          <w:color w:val="111111"/>
          <w:sz w:val="28"/>
          <w:szCs w:val="28"/>
          <w:rtl w:val="true"/>
          <w:lang w:bidi="fa-IR"/>
        </w:rPr>
        <w:t>)</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السكوني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السحت ثمن الميتة</w:t>
      </w:r>
      <w:r>
        <w:rPr>
          <w:rFonts w:eastAsia="Amiri" w:cs="Amiri" w:ascii="Amiri" w:hAnsi="Amiri"/>
          <w:color w:val="111111"/>
          <w:sz w:val="28"/>
          <w:szCs w:val="28"/>
          <w:rtl w:val="true"/>
          <w:lang w:bidi="ar-SA"/>
        </w:rPr>
        <w:t>)</w:t>
      </w:r>
      <w:r>
        <w:rPr>
          <w:rStyle w:val="FootnoteAnchor"/>
          <w:rtl w:val="true"/>
        </w:rPr>
        <w:footnoteReference w:id="880"/>
      </w:r>
      <w:r>
        <w:rPr>
          <w:rFonts w:ascii="IRNazanin" w:hAnsi="IRNazanin" w:eastAsia="IRNazanin"/>
          <w:color w:val="111111"/>
          <w:sz w:val="28"/>
          <w:sz w:val="28"/>
          <w:szCs w:val="28"/>
          <w:rtl w:val="true"/>
          <w:lang w:bidi="fa-IR"/>
        </w:rPr>
        <w:t xml:space="preserve">ومثلها مرسلة الصدوق والجعفريات في نفس الباب، وما ورد في وصية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بها لا يخلو من نقاش في السند أو الدلالة، أما الأولى فلأن حرمة البيع من جهة حرمة الأكل لا مطلقاً فلو أعلم المشتري بعدم التذكية وأنها تستعمل في ما لا يشترط فيه التذكية كاتخاذ جلود الميتة غمداً للسيف فلا بأس كما في رواية أبي القاسم الصيقل وولده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الثانية فلضعف السند تارة بالنوفلي في طريق الكافي، وبموسى بن عمر عند الصدوق المشترك بين الثقة وهو ابن بزيغ مولى المنصور والمجهول وهو ابن يزيد بن ذبيان الصيقل والظاهر كونه الثاني وهو لم يوثق، مضافاً إلى عدم تمامية الإطلاق فيها لتشمل ميتة الإنسان لأنها واردة في بيان معنى السحت وذكر مصاديق له حيث أوردها علي بنإبراهيم في تفسيره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يَنْهَاهُمُ الرَّبَّانِيُّونَ وَالأَحْبَارُ عَن قَوْلِهِمُ الإِثْمَ وَأَكْلِهِمُ السُّحْتَ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فيكفي فيها الصدق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مقابلها توجد روايات مجوّزة كرواية أبي القاسم الصيقل أعلاه، وقد تقدم بعضها </w:t>
      </w:r>
      <w:r>
        <w:rPr>
          <w:rStyle w:val="FootnoteAnchor"/>
          <w:rtl w:val="true"/>
        </w:rPr>
        <w:footnoteReference w:id="882"/>
      </w:r>
      <w:r>
        <w:rPr>
          <w:rFonts w:ascii="IRNazanin" w:hAnsi="IRNazanin" w:eastAsia="IRNazanin"/>
          <w:color w:val="111111"/>
          <w:sz w:val="28"/>
          <w:sz w:val="28"/>
          <w:szCs w:val="28"/>
          <w:rtl w:val="true"/>
          <w:lang w:bidi="fa-IR"/>
        </w:rPr>
        <w:t xml:space="preserve">كرواية أبي بصير التي تحكي فعل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كان يرسل إلى العراق من يشتري له الفرو المتخذ من جلود الميتة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مضافاً إلى الروايات الدالة على جواز الانتفاع بالميتة </w:t>
      </w:r>
      <w:r>
        <w:rPr>
          <w:rStyle w:val="FootnoteAnchor"/>
          <w:rtl w:val="true"/>
        </w:rPr>
        <w:footnoteReference w:id="883"/>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كرواية زرارة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جلد الخنزير يجعل دلواً يستقى به الماء؟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884"/>
      </w:r>
      <w:r>
        <w:rPr>
          <w:rFonts w:ascii="Amiri" w:hAnsi="Amiri" w:eastAsia="Amiri" w:cs="Amiri"/>
          <w:color w:val="111111"/>
          <w:sz w:val="28"/>
          <w:sz w:val="28"/>
          <w:szCs w:val="28"/>
          <w:rtl w:val="true"/>
          <w:lang w:bidi="ar-SA"/>
        </w:rPr>
        <w:t>أي يسقي الزرع والحيوانات بعد ضم الملازمة بين جواز الانتفاع والبيع</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ووجه هذه الملازمة أن الشيء إذا كانت له منفعة محللة مقصودة من العقلاء فإن بذل المال إزاءها سيكون عقلائياً وليس سفهياً حتى يدخل في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تَأْكُلُواْ أَمْوَالَكُم بَيْنَكُم بِالْبَاطِلِ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فتصح المعاملة عليه، وقد أرسل الفقهاء هذه الملازمة في كلماتهم كالمسلّمات قال في الخلاف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أذن في الاستصباح بالزيت النجس وهذا يدل على جواز بيعه</w:t>
      </w:r>
      <w:r>
        <w:rPr>
          <w:rFonts w:eastAsia="IRNazanin" w:cs="IRNazanin"/>
          <w:color w:val="111111"/>
          <w:sz w:val="28"/>
          <w:szCs w:val="28"/>
          <w:rtl w:val="true"/>
          <w:lang w:bidi="fa-IR"/>
        </w:rPr>
        <w:t>»</w:t>
      </w:r>
      <w:r>
        <w:rPr>
          <w:rStyle w:val="FootnoteAnchor"/>
          <w:rtl w:val="true"/>
        </w:rPr>
        <w:footnoteReference w:id="885"/>
      </w:r>
    </w:p>
    <w:p>
      <w:pPr>
        <w:pStyle w:val="BookText"/>
        <w:rPr/>
      </w:pPr>
      <w:r>
        <w:rPr>
          <w:rFonts w:ascii="Amiri" w:hAnsi="Amiri" w:eastAsia="Amiri" w:cs="Amiri"/>
          <w:color w:val="111111"/>
          <w:sz w:val="28"/>
          <w:sz w:val="28"/>
          <w:szCs w:val="28"/>
          <w:rtl w:val="true"/>
          <w:lang w:bidi="ar-SA"/>
        </w:rPr>
        <w:t xml:space="preserve">وقال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إجارة الكلب، وهو قول الشافعية،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لنا أنها منفعة مباحة فجازت المعاوضة عنها</w:t>
      </w:r>
      <w:r>
        <w:rPr>
          <w:rFonts w:eastAsia="Amiri" w:cs="Amiri" w:ascii="Amiri" w:hAnsi="Amiri"/>
          <w:color w:val="111111"/>
          <w:sz w:val="28"/>
          <w:szCs w:val="28"/>
          <w:rtl w:val="true"/>
          <w:lang w:bidi="ar-SA"/>
        </w:rPr>
        <w:t>»</w:t>
      </w:r>
      <w:r>
        <w:rPr>
          <w:rStyle w:val="FootnoteAnchor"/>
          <w:rtl w:val="true"/>
        </w:rPr>
        <w:footnoteReference w:id="886"/>
      </w:r>
    </w:p>
    <w:p>
      <w:pPr>
        <w:pStyle w:val="BookText"/>
        <w:rPr/>
      </w:pPr>
      <w:r>
        <w:rPr>
          <w:rFonts w:ascii="Amiri" w:hAnsi="Amiri" w:eastAsia="Amiri" w:cs="Amiri"/>
          <w:color w:val="111111"/>
          <w:sz w:val="28"/>
          <w:sz w:val="28"/>
          <w:szCs w:val="28"/>
          <w:rtl w:val="true"/>
          <w:lang w:bidi="ar-SA"/>
        </w:rPr>
        <w:t>وقال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سوّغنا بيع كلب الصيد، صحّ بيع كلب الماشية والزرع والحائط؛ لأن المقتضي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w:t>
      </w:r>
      <w:r>
        <w:rPr>
          <w:rFonts w:eastAsia="Amiri" w:cs="Amiri" w:ascii="Amiri" w:hAnsi="Amiri"/>
          <w:color w:val="111111"/>
          <w:sz w:val="28"/>
          <w:szCs w:val="28"/>
          <w:rtl w:val="true"/>
          <w:lang w:bidi="ar-SA"/>
        </w:rPr>
        <w:t>»</w:t>
      </w:r>
      <w:r>
        <w:rPr>
          <w:rStyle w:val="FootnoteAnchor"/>
          <w:rtl w:val="true"/>
        </w:rPr>
        <w:footnoteReference w:id="887"/>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بيع كل ما فيه منفعة، والمنفعة المباحة كما يجوزاستيفاؤها يجوز أخذ العوض عنها</w:t>
      </w:r>
      <w:r>
        <w:rPr>
          <w:rFonts w:eastAsia="Amiri" w:cs="Amiri" w:ascii="Amiri" w:hAnsi="Amiri"/>
          <w:color w:val="111111"/>
          <w:sz w:val="28"/>
          <w:szCs w:val="28"/>
          <w:rtl w:val="true"/>
          <w:lang w:bidi="ar-SA"/>
        </w:rPr>
        <w:t>»</w:t>
      </w:r>
      <w:r>
        <w:rPr>
          <w:rStyle w:val="FootnoteAnchor"/>
          <w:rtl w:val="true"/>
        </w:rPr>
        <w:footnoteReference w:id="888"/>
      </w:r>
      <w:r>
        <w:rPr>
          <w:rFonts w:ascii="Amiri" w:hAnsi="Amiri" w:eastAsia="Amiri" w:cs="Amiri"/>
          <w:color w:val="111111"/>
          <w:sz w:val="28"/>
          <w:sz w:val="28"/>
          <w:szCs w:val="28"/>
          <w:rtl w:val="true"/>
          <w:lang w:bidi="ar-SA"/>
        </w:rPr>
        <w:t>وغير ذلك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تنزّلنا فيقع التعارض بين الروايات فإما أن تطرح المانعة لموافقتها للعامة كما ذهب إليه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صورة البيع ليعامل معها معاملة المذكّى إذا بيعت بغير إعلام</w:t>
      </w:r>
      <w:r>
        <w:rPr>
          <w:rFonts w:eastAsia="Amiri" w:cs="Amiri" w:ascii="Amiri" w:hAnsi="Amiri"/>
          <w:color w:val="111111"/>
          <w:sz w:val="28"/>
          <w:szCs w:val="28"/>
          <w:rtl w:val="true"/>
          <w:lang w:bidi="ar-SA"/>
        </w:rPr>
        <w:t>»</w:t>
      </w:r>
      <w:r>
        <w:rPr>
          <w:rStyle w:val="FootnoteAnchor"/>
          <w:rtl w:val="true"/>
        </w:rPr>
        <w:footnoteReference w:id="889"/>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تحمل المانعة على الكراهة كما يظهر من رواية علي بن جعفر عن أخيه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الماشية تكون للرجل فيموت بعضها، يصلح له بيع جلودها ودباغها ولبسها؟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لو لبسها فلا يصلّي فيها</w:t>
      </w:r>
      <w:r>
        <w:rPr>
          <w:rFonts w:eastAsia="IRNazanin" w:cs="IRNazanin"/>
          <w:color w:val="111111"/>
          <w:sz w:val="28"/>
          <w:szCs w:val="28"/>
          <w:rtl w:val="true"/>
          <w:lang w:bidi="fa-IR"/>
        </w:rPr>
        <w:t>)</w:t>
      </w:r>
      <w:r>
        <w:rPr>
          <w:rStyle w:val="FootnoteAnchor"/>
          <w:rtl w:val="true"/>
        </w:rPr>
        <w:footnoteReference w:id="890"/>
      </w:r>
      <w:r>
        <w:rPr>
          <w:rFonts w:ascii="Amiri" w:hAnsi="Amiri" w:eastAsia="Amiri" w:cs="Amiri"/>
          <w:color w:val="111111"/>
          <w:sz w:val="28"/>
          <w:sz w:val="28"/>
          <w:szCs w:val="28"/>
          <w:rtl w:val="true"/>
          <w:lang w:bidi="ar-SA"/>
        </w:rPr>
        <w:t xml:space="preserve">فإن فرض لبس المحرم بعيد </w:t>
      </w:r>
      <w:bookmarkStart w:id="859" w:name="pg8133_63214"/>
    </w:p>
    <w:p>
      <w:pPr>
        <w:pStyle w:val="BookText"/>
        <w:rPr/>
      </w:pPr>
      <w:bookmarkEnd w:id="859"/>
      <w:r>
        <w:rPr>
          <w:rFonts w:ascii="Amiri" w:hAnsi="Amiri" w:eastAsia="Amiri" w:cs="Amiri"/>
          <w:color w:val="111111"/>
          <w:sz w:val="28"/>
          <w:sz w:val="28"/>
          <w:szCs w:val="28"/>
          <w:rtl w:val="true"/>
          <w:lang w:bidi="ar-SA"/>
        </w:rPr>
        <w:t>مضافاً إلى إشعار لفظ لا يصلح بذلك، أو على عدم إعلام المشتري فيقع في محذور استعمالها في ما يشترط فيه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استقر التعارض فتتساقط ونرجع إلى الأصول المبيحة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ويلاحظ هنا أن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إلى نتيجة جواز بيع الميتة في تقريرات بحثه</w:t>
      </w:r>
      <w:r>
        <w:rPr>
          <w:rStyle w:val="FootnoteAnchor"/>
          <w:rtl w:val="true"/>
        </w:rPr>
        <w:footnoteReference w:id="891"/>
      </w:r>
      <w:r>
        <w:rPr>
          <w:rFonts w:ascii="Amiri" w:hAnsi="Amiri" w:eastAsia="Amiri" w:cs="Amiri"/>
          <w:color w:val="111111"/>
          <w:sz w:val="28"/>
          <w:sz w:val="28"/>
          <w:szCs w:val="28"/>
          <w:rtl w:val="true"/>
          <w:lang w:bidi="ar-SA"/>
        </w:rPr>
        <w:t>لكنه حرّم المعاملة عليها في رسالته العملية ولا يصعب إيجاد وجه للجمع في ضوء ما ذكرناه في البحث</w:t>
      </w:r>
      <w:r>
        <w:rPr>
          <w:rFonts w:eastAsia="Amiri" w:cs="Amiri" w:ascii="Amiri" w:hAnsi="Amiri"/>
          <w:color w:val="111111"/>
          <w:sz w:val="28"/>
          <w:szCs w:val="28"/>
          <w:rtl w:val="true"/>
          <w:lang w:bidi="ar-SA"/>
        </w:rPr>
        <w:t>.</w:t>
      </w:r>
    </w:p>
    <w:p>
      <w:pPr>
        <w:pStyle w:val="Heading6"/>
        <w:numPr>
          <w:ilvl w:val="5"/>
          <w:numId w:val="1"/>
        </w:numPr>
        <w:rPr/>
      </w:pPr>
      <w:bookmarkStart w:id="860" w:name="__RefHeading___Toc8193595_1051229030"/>
      <w:bookmarkStart w:id="861" w:name="_Toc309"/>
      <w:bookmarkEnd w:id="860"/>
      <w:r>
        <w:rPr>
          <w:rtl w:val="true"/>
        </w:rPr>
        <w:t xml:space="preserve">« </w:t>
      </w:r>
      <w:r>
        <w:rPr>
          <w:rtl w:val="true"/>
        </w:rPr>
        <w:t xml:space="preserve">بيع الأعيان النجسة </w:t>
      </w:r>
      <w:r>
        <w:rPr>
          <w:rtl w:val="true"/>
        </w:rPr>
        <w:t>»</w:t>
      </w:r>
      <w:bookmarkEnd w:id="861"/>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الأعضاء المبانة نجسة وقد ثبت بالاستقراء حرمة بيع النجاسات كالخمر والكلب والخنزير والعذرة، قال بعض الأعلام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الأعضاء المبانة محكومة بالنجاسة الذاتية، وقد دلّ الدليل على عدم جواز بيع النجاسات الذاتية وإن كانت لها منافع شائعة، 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ثمن العذرةمن السحت</w:t>
      </w:r>
      <w:r>
        <w:rPr>
          <w:rFonts w:eastAsia="IRNazanin" w:cs="IRNazanin"/>
          <w:color w:val="111111"/>
          <w:sz w:val="28"/>
          <w:szCs w:val="28"/>
          <w:rtl w:val="true"/>
          <w:lang w:bidi="fa-IR"/>
        </w:rPr>
        <w:t>)</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فالعذرة وإن كانت لها منفعة شائعة كالتسميد لكن لا يجوز بيعها وشراؤها، وحيث لا خصوصية للعذرة فكل نجاسة ذاتية تكون كذلك</w:t>
      </w:r>
      <w:r>
        <w:rPr>
          <w:rFonts w:eastAsia="Amiri" w:cs="Amiri" w:ascii="Amiri" w:hAnsi="Amiri"/>
          <w:color w:val="111111"/>
          <w:sz w:val="28"/>
          <w:szCs w:val="28"/>
          <w:rtl w:val="true"/>
          <w:lang w:bidi="ar-SA"/>
        </w:rPr>
        <w:t>»</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التسليم بكون القطعة المبانة نجسة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يجاب نقضاً وحلاً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نقضاً فلإطباقهم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تعبير الشيخ الأنصاري</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جواز بيع بعض الأعيان النجسة كالعبد الكافر وكلب الصيد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وأما حلاً فلأن حرمة بيع النجس محمولة على صورة استعماله في ما يُشترط فيه الطهارة من دون إعلام المشتري، ويظهر هذا المناط من صحيحة عبد الرحمن بن الحجاج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الفراء أشتريه من الرجل الذي لعلي لا أثق به، فيبيعني على أنها ذكية، أبيعها على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كنت لا تثق به فلا تبعها على أنها ذكية، إلا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قيل لي أنها ذكية</w:t>
      </w:r>
      <w:r>
        <w:rPr>
          <w:rFonts w:eastAsia="IRNazanin" w:cs="IRNazanin"/>
          <w:color w:val="111111"/>
          <w:sz w:val="28"/>
          <w:szCs w:val="28"/>
          <w:rtl w:val="true"/>
          <w:lang w:bidi="fa-IR"/>
        </w:rPr>
        <w:t>)</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من جهة عدم الانتفاع بها منفعة محللة مقصودة لدى العقلاء، فلو وجدت مثلها فلا إشكال في الجواز مع إعلام المشتري، فلا مانع من بيع الدم لنقله إلى جسم المحتاج إليه، أو الزيت النجس للاستصباح به مطلقاً أو تحت السماء أو لتزييت المكائن، وقد ورد في ذلك روايات عديدة معتبرة كموثقة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الفأرة تقع في الزيت فتموت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جامداً فاطرحها وما حولها ويؤكل ما بقي، وإن كان ذائباً فأسرج به وأعلمهم إذا بعته</w:t>
      </w:r>
      <w:r>
        <w:rPr>
          <w:rFonts w:eastAsia="Amiri" w:cs="Amiri" w:ascii="Amiri" w:hAnsi="Amiri"/>
          <w:color w:val="111111"/>
          <w:sz w:val="28"/>
          <w:szCs w:val="28"/>
          <w:rtl w:val="true"/>
          <w:lang w:bidi="ar-SA"/>
        </w:rPr>
        <w:t>)</w:t>
      </w:r>
      <w:r>
        <w:rPr>
          <w:rStyle w:val="FootnoteAnchor"/>
          <w:rtl w:val="true"/>
        </w:rPr>
        <w:footnoteReference w:id="8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ورد من النهي كالمروي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حرّم الله شيئاً حرم ثمنه</w:t>
      </w:r>
      <w:r>
        <w:rPr>
          <w:rFonts w:eastAsia="IRNazanin" w:cs="IRNazanin"/>
          <w:color w:val="111111"/>
          <w:sz w:val="28"/>
          <w:szCs w:val="28"/>
          <w:rtl w:val="true"/>
          <w:lang w:bidi="fa-IR"/>
        </w:rPr>
        <w:t>)</w:t>
      </w:r>
      <w:r>
        <w:rPr>
          <w:rStyle w:val="FootnoteAnchor"/>
          <w:rtl w:val="true"/>
        </w:rPr>
        <w:footnoteReference w:id="897"/>
      </w:r>
      <w:r>
        <w:rPr>
          <w:rFonts w:ascii="Amiri" w:hAnsi="Amiri" w:eastAsia="Amiri" w:cs="Amiri"/>
          <w:color w:val="111111"/>
          <w:sz w:val="28"/>
          <w:sz w:val="28"/>
          <w:szCs w:val="28"/>
          <w:rtl w:val="true"/>
          <w:lang w:bidi="ar-SA"/>
        </w:rPr>
        <w:t>ناظر إلى ما حرم أكله وشربه ونحو ذلك من كون المنفعة المقصودة منه بالشراء محرمة لاشتراط الطهارة في استعماله فيها</w:t>
      </w:r>
      <w:r>
        <w:rPr>
          <w:rFonts w:eastAsia="Amiri" w:cs="Amiri" w:ascii="Amiri" w:hAnsi="Amiri"/>
          <w:color w:val="111111"/>
          <w:sz w:val="28"/>
          <w:szCs w:val="28"/>
          <w:rtl w:val="true"/>
          <w:lang w:bidi="ar-SA"/>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النهي عن بيع العذرة فلعدم تصور منفعة لها يومئذ، أما التسميد بها فهي حالة لم تكن معروفة يومئذٍ في مجتمع المدينة بحسب الظاهر لأن زراعتهم كانت النخيل ولم يعرف تسميدها بالعذرة فلا يصلح النقض بها، مضافاً إلى وجود روايات تجيز بيع العذرة كرواية محمد بن المصادف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w:t>
      </w:r>
      <w:bookmarkStart w:id="862" w:name="pg8133_63216"/>
    </w:p>
    <w:p>
      <w:pPr>
        <w:pStyle w:val="BookText"/>
        <w:rPr/>
      </w:pPr>
      <w:bookmarkEnd w:id="862"/>
      <w:r>
        <w:rPr>
          <w:rFonts w:ascii="Amiri" w:hAnsi="Amiri" w:eastAsia="Amiri" w:cs="Amiri"/>
          <w:color w:val="111111"/>
          <w:sz w:val="28"/>
          <w:sz w:val="28"/>
          <w:szCs w:val="28"/>
          <w:rtl w:val="true"/>
          <w:lang w:bidi="ar-SA"/>
        </w:rPr>
        <w:t>بأس ببيع العذرة</w:t>
      </w:r>
      <w:r>
        <w:rPr>
          <w:rFonts w:eastAsia="Amiri" w:cs="Amiri" w:ascii="Amiri" w:hAnsi="Amiri"/>
          <w:color w:val="111111"/>
          <w:sz w:val="28"/>
          <w:szCs w:val="28"/>
          <w:rtl w:val="true"/>
          <w:lang w:bidi="ar-SA"/>
        </w:rPr>
        <w:t>)</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وجمع الشيخ الأنصاري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وفاقاً للشيخ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الاستبصار بحمل المحرم على عذرة الإنسان والمحلل على عذرة البهائم وجعل رواية سماعة شاهداً على ذلك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 رجل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وأنا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بيع العذرة،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رجل أبيع العذرة فما تقول؟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بيعها وثمنها،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ببيع العذرة</w:t>
      </w:r>
      <w:r>
        <w:rPr>
          <w:rFonts w:eastAsia="IRNazanin" w:cs="IRNazanin"/>
          <w:color w:val="111111"/>
          <w:sz w:val="28"/>
          <w:szCs w:val="28"/>
          <w:rtl w:val="true"/>
          <w:lang w:bidi="fa-IR"/>
        </w:rPr>
        <w:t>)</w:t>
      </w:r>
      <w:r>
        <w:rPr>
          <w:rStyle w:val="FootnoteAnchor"/>
          <w:rtl w:val="true"/>
        </w:rPr>
        <w:footnoteReference w:id="899"/>
      </w:r>
      <w:r>
        <w:rPr>
          <w:rFonts w:ascii="Amiri" w:hAnsi="Amiri" w:eastAsia="Amiri" w:cs="Amiri"/>
          <w:color w:val="111111"/>
          <w:sz w:val="28"/>
          <w:sz w:val="28"/>
          <w:szCs w:val="28"/>
          <w:rtl w:val="true"/>
          <w:lang w:bidi="ar-SA"/>
        </w:rPr>
        <w:t xml:space="preserve">بتقريب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الجمع بين الحكمين في كلام واحد لمخاطب واحد يدل على أن تعارض الأولين ليس من حيث الدلالة فلا يرجع فيه إلى المرجحات السندية أو الخارجية</w:t>
      </w:r>
      <w:r>
        <w:rPr>
          <w:rFonts w:eastAsia="Amiri" w:cs="Amiri" w:ascii="Amiri" w:hAnsi="Amiri"/>
          <w:color w:val="111111"/>
          <w:sz w:val="28"/>
          <w:szCs w:val="28"/>
          <w:rtl w:val="true"/>
          <w:lang w:bidi="ar-SA"/>
        </w:rPr>
        <w:t>»</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دليل على وحدة الرواية وما بناه عليها من الجمع، فقد دأب الرواة على جمع الحديثين المتحدين في الموضوع والراوي والمروي عنه في رواية واحدة ويفصل بينهما بوضع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ويضمر المسؤول في بقية النصوص وبه أجيبَ الإشكال على مضمرات سماعة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فالأظهر ما قرّبناه وإن استبعده الشيخ الأنصاري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وأبعد منه ماعن المجلسي من احتمال حمل خبر المنع على بلاد لا ينتفع به والجواز على غيرها</w:t>
      </w:r>
      <w:r>
        <w:rPr>
          <w:rFonts w:eastAsia="Amiri" w:cs="Amiri" w:ascii="Amiri" w:hAnsi="Amiri"/>
          <w:color w:val="111111"/>
          <w:sz w:val="28"/>
          <w:szCs w:val="28"/>
          <w:rtl w:val="true"/>
          <w:lang w:bidi="ar-SA"/>
        </w:rPr>
        <w:t>»</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63" w:name="__RefHeading___Toc8193597_1051229030"/>
      <w:bookmarkStart w:id="864" w:name="_Toc310"/>
      <w:bookmarkEnd w:id="863"/>
      <w:r>
        <w:rPr>
          <w:rtl w:val="true"/>
        </w:rPr>
        <w:t xml:space="preserve">« </w:t>
      </w:r>
      <w:r>
        <w:rPr>
          <w:rtl w:val="true"/>
        </w:rPr>
        <w:t xml:space="preserve">بيع المني والبويضة </w:t>
      </w:r>
      <w:r>
        <w:rPr>
          <w:rtl w:val="true"/>
        </w:rPr>
        <w:t>»</w:t>
      </w:r>
      <w:bookmarkEnd w:id="864"/>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يتعلق ببيع المني والبويضة فقيل بالحرمة من جهة </w:t>
      </w:r>
    </w:p>
    <w:p>
      <w:pPr>
        <w:pStyle w:val="BookText"/>
        <w:rPr/>
      </w:pPr>
      <w:r>
        <w:rPr>
          <w:rFonts w:ascii="Amiri" w:hAnsi="Amiri" w:eastAsia="Amiri" w:cs="Amiri"/>
          <w:color w:val="111111"/>
          <w:sz w:val="28"/>
          <w:sz w:val="28"/>
          <w:szCs w:val="28"/>
          <w:rtl w:val="true"/>
          <w:lang w:bidi="ar-SA"/>
        </w:rPr>
        <w:t>نجاستها وقد تقدمت المناقشة فيها مضافاً إلى عدم وجود دليل على نجاسة البويضة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جهة أنها فضلات لا مالية لها فيكون الثمن أكلاً للمال بالباطل ونحو ذلك وهو مردود لعدم المانع من بيع الفضلات إذا وجدت لها منفعة محللة مقصودة لدى العقلاء كالعذرة للتسميد والدم للتزريق ونحو ذلك، والمالية غير مشترطة في المبيع كما تقدم، والمهم أن لا تكون المعاملة سفهية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فرضنا أن بيع المني والبويضة غير جائز فإن أخذ المال بإزاء رفع اليد عن حق اختصاص صاحبها بها لا مانع منه كما تقدم في النحو الثاني من هذا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 عدم تمامية أي دليل على حرمة بيع الإنسان بعض أعضائه حال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يبقى الإشكال من الجهة التي ذكرناها… وهي عودة الجزء إلى مالكه الحقيقي بعد القطع وانتهاء الاستخلاف ولا يصح بيع ما ليس له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لكننا ذكرنا هناك وجهاً لحل الإشكال وأن هذه الأحكام إنما تجب في العضو المقطوع لو لم يكن هناك غرض لاستعماله والاستفادة منه وإلافإن عمليات جراحية تتطلب انتزاع العضو مؤقتاً كالقلب المفتوح فهل نقول بوجوب إجراء الأحكام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فالأحوط ما ذكرناه من أن أخذ العوض يكون مقابل موافقته على إجراء العملية والقيام ببعض مقدماتها كالذهاب إلى المستشفى</w:t>
      </w:r>
      <w:r>
        <w:rPr>
          <w:rFonts w:eastAsia="Amiri" w:cs="Amiri" w:ascii="Amiri" w:hAnsi="Amiri"/>
          <w:color w:val="111111"/>
          <w:sz w:val="28"/>
          <w:szCs w:val="28"/>
          <w:rtl w:val="true"/>
          <w:lang w:bidi="ar-SA"/>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قطع العضو منه بدون فعل منه كما لو ذهب بحادث أو حرب أو </w:t>
      </w:r>
    </w:p>
    <w:p>
      <w:pPr>
        <w:pStyle w:val="BookText"/>
        <w:rPr/>
      </w:pPr>
      <w:r>
        <w:rPr>
          <w:rFonts w:ascii="Amiri" w:hAnsi="Amiri" w:eastAsia="Amiri" w:cs="Amiri"/>
          <w:color w:val="111111"/>
          <w:sz w:val="28"/>
          <w:sz w:val="28"/>
          <w:szCs w:val="28"/>
          <w:rtl w:val="true"/>
          <w:lang w:bidi="ar-SA"/>
        </w:rPr>
        <w:t>تفجير والعياذ بالله فإنه ليس له أخذ مال على النحو الأول؛ لأن القطع قد حصل فيكون من تحصيل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لكننا ذكرنا أيضاً في النحو الثاني بإمكان أخذ المال للتنازل عن حق الاختصاص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أجاز بعض الفقهاء بيع الأعضاء، قال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قلنا بجواز القطع والترقيع بإذن صاحب العضو زمان حياته فالظاهر جواز بيعه لينتفع به بعد موته</w:t>
      </w:r>
      <w:r>
        <w:rPr>
          <w:rFonts w:eastAsia="Amiri" w:cs="Amiri" w:ascii="Amiri" w:hAnsi="Amiri"/>
          <w:color w:val="111111"/>
          <w:sz w:val="28"/>
          <w:szCs w:val="28"/>
          <w:rtl w:val="true"/>
          <w:lang w:bidi="ar-SA"/>
        </w:rPr>
        <w:t>»</w:t>
      </w:r>
      <w:r>
        <w:rPr>
          <w:rStyle w:val="FootnoteAnchor"/>
          <w:rtl w:val="true"/>
        </w:rPr>
        <w:footnoteReference w:id="90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بعد أن قوّى جواز بيع الدم لنقله إلى من يحتاجه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والأحوط أخذ المبلغ للتمكين على أخذ دمه مطلقاً لا مقابل الدم، ولا يُترك الاحتياط ما أمكن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نعلم وجهاً للتفريق بين الموردين فكلاهما نجسان ويزيد الأول بأنه ميتة، اللهم إلا أن يبني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كون القطعة المبانة من الحي ميتة أو أنها تطهر بالتغسيل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تقدم يظهر أن للإنسان أن يوصي بمنح أعضائه بعد وفاته وله أن يأخذ مالاً إزاء ذلك؛ لعدم المانع من كل ذلك بمقتضى الأبحاث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وقعت جناية على الحي فقطع عضو منه واستحق الدية فلا مانع من أخذه مالاً إزاء منح هذا العضو للغير والجمع بينهما جائز لأن الدية ليست عوضاً عن الجزء المقطوع وإنما هي غرامة وقد تقدم الدليلعلى ذلك فلا يقاس على المتلفات التي يستحق فيها الضامن ما بقي من التالف بعد أن ضمن قيمته لصاحبه</w:t>
      </w:r>
      <w:r>
        <w:rPr>
          <w:rFonts w:eastAsia="Amiri" w:cs="Amiri" w:ascii="Amiri" w:hAnsi="Amiri"/>
          <w:color w:val="111111"/>
          <w:sz w:val="28"/>
          <w:szCs w:val="28"/>
          <w:rtl w:val="true"/>
          <w:lang w:bidi="ar-SA"/>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ولنفس التعليل يمكن أن تنضمّ دية قطع العضو إلى دية النفس ولا تنافيها كما لو قتل شخصاً ثم قطع رأسه أو أحد أعضائه، قال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ومما انفردت به الإمامية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من قطع رأس ميت </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فعليه مائة دينار لبيت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وخالف باقي الفقهاء في ذلك، دليلنا على صحة ما ذهبنا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المتردد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يلزمه دية وغرامة، وهو ما أتلف عضوا لحي؟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يمتنع أن يلزمه ذلك على سبيل العقوبة لأنه قد مثّل بالميت بقطع رأسه فاستحق العقوبة بلا خلاف، فغير ممتنع أن تكون هذه الغرامة من حيث كانت مؤلمة له، وتألمه يجري مجرى العقوبة ومن جملتها</w:t>
      </w:r>
      <w:r>
        <w:rPr>
          <w:rFonts w:eastAsia="Amiri" w:cs="Amiri" w:ascii="Amiri" w:hAnsi="Amiri"/>
          <w:color w:val="111111"/>
          <w:sz w:val="28"/>
          <w:szCs w:val="28"/>
          <w:rtl w:val="true"/>
          <w:lang w:bidi="ar-SA"/>
        </w:rPr>
        <w:t>»</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 xml:space="preserve">. </w:t>
      </w:r>
      <w:bookmarkStart w:id="865" w:name="pg8133_63220"/>
    </w:p>
    <w:p>
      <w:pPr>
        <w:pStyle w:val="Heading6"/>
        <w:numPr>
          <w:ilvl w:val="5"/>
          <w:numId w:val="1"/>
        </w:numPr>
        <w:rPr/>
      </w:pPr>
      <w:bookmarkStart w:id="866" w:name="__RefHeading___Toc8193599_1051229030"/>
      <w:bookmarkStart w:id="867" w:name="_Toc311"/>
      <w:bookmarkEnd w:id="865"/>
      <w:bookmarkEnd w:id="866"/>
      <w:r>
        <w:rPr>
          <w:rtl w:val="true"/>
        </w:rPr>
        <w:t>القاعدة الخامسة</w:t>
      </w:r>
      <w:r>
        <w:rPr>
          <w:rtl w:val="true"/>
        </w:rPr>
        <w:t xml:space="preserve">: </w:t>
      </w:r>
      <w:r>
        <w:rPr>
          <w:rtl w:val="true"/>
        </w:rPr>
        <w:t>ضمان الطبيب وذوي المهن</w:t>
      </w:r>
      <w:bookmarkEnd w:id="867"/>
    </w:p>
    <w:p>
      <w:pPr>
        <w:pStyle w:val="Heading6"/>
        <w:numPr>
          <w:ilvl w:val="5"/>
          <w:numId w:val="1"/>
        </w:numPr>
        <w:rPr/>
      </w:pPr>
      <w:bookmarkStart w:id="868" w:name="__RefHeading___Toc8193601_1051229030"/>
      <w:bookmarkStart w:id="869" w:name="_Toc312"/>
      <w:bookmarkEnd w:id="868"/>
      <w:r>
        <w:rPr>
          <w:rtl w:val="true"/>
        </w:rPr>
        <w:t>اشارة</w:t>
      </w:r>
      <w:bookmarkEnd w:id="869"/>
    </w:p>
    <w:p>
      <w:pPr>
        <w:pStyle w:val="BookText"/>
        <w:rPr/>
      </w:pPr>
      <w:r>
        <w:rPr>
          <w:rFonts w:ascii="Amiri" w:hAnsi="Amiri" w:eastAsia="Amiri" w:cs="Amiri"/>
          <w:color w:val="111111"/>
          <w:sz w:val="28"/>
          <w:sz w:val="28"/>
          <w:szCs w:val="28"/>
          <w:rtl w:val="true"/>
          <w:lang w:bidi="ar-SA"/>
        </w:rPr>
        <w:t>من المعروف ان أصحاب المهن ، ومنهم الأطباء قد يتسببون في احداث ضرر او تلف اثناء ممارسة عملهم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ناقش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ضمان ذوي المهن للضرر الذي ينتج عن عملهم نتيجة تقصيرهم او لأسباب خارجة عن اختيارهم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ولأهمية هذه المسالة ، وكثرة الابتلاء بها فقد بحثها سماحة الشيخ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فيوضاته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ملحق لبحث زرع الأعضاء التناسلية في الجزء الثاني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ونص ما ذكره في هذه القاعدة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يحصل عند ممارسة الطبيب عمله تلف جزئي أو كلي لبعض الأعضاء وربما يموت المريض، فهل يضمن الطبيب هذا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خلاف ولا إشكال في ضمان الطبيب إذا تصدّى لمعالجة مريض أو إجراء عملية جراحية له فتلف عنده عضو أو مات إذا كان غير متخصص في هذا المجال وغير ماهر وحاذق فيه أو تعدّى عن حدود عمله المأذون فيها أو قصّر في عمله كما لو لم يجرِ الفحوصات والتحليلات الكافية أو لم يستعن بالأجهزة والآلات الضرورية للتشخيص كالأشعة والسونار والتخطيط ونحو ذلك أو قصّر في تهيئة ظروف العملية كعدم تعقيم القاعة والأدوات وعدم توفير الأجهزة المطلوبة لإجراء العملية أو عند الطوارئ لمثل هذه العمليات كالإنعاش الرئوي والقلبي</w:t>
      </w:r>
      <w:r>
        <w:rPr>
          <w:rFonts w:eastAsia="Amiri" w:cs="Amiri" w:ascii="Amiri" w:hAnsi="Amiri"/>
          <w:color w:val="111111"/>
          <w:sz w:val="28"/>
          <w:szCs w:val="28"/>
          <w:rtl w:val="true"/>
          <w:lang w:bidi="ar-SA"/>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لا خلاف في عدم ضمان الطبيب إذا لم يكن التلف بسببه كما لو أصيب المريض بسكتة قلبية خلال عملية جراحية لا علاقة لها بها، أو أن المريض أخفى علةً فيه تضرّ بالعملية فهنا السبب وهو المريض أقوى من </w:t>
      </w:r>
    </w:p>
    <w:p>
      <w:pPr>
        <w:pStyle w:val="BookText"/>
        <w:rPr/>
      </w:pPr>
      <w:r>
        <w:rPr>
          <w:rFonts w:ascii="Amiri" w:hAnsi="Amiri" w:eastAsia="Amiri" w:cs="Amiri"/>
          <w:color w:val="111111"/>
          <w:sz w:val="28"/>
          <w:sz w:val="28"/>
          <w:szCs w:val="28"/>
          <w:rtl w:val="true"/>
          <w:lang w:bidi="ar-SA"/>
        </w:rPr>
        <w:t>المباشر وهو الطبيب المعالج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والكلام في ما لو حصل تلف جزئي أو كلي في أحد أجزاء البدن أو أدّت المعالجة إلى الموت وكان الطبيب حاذقاً وماهراً ولم يقصّر في عمله فالمشهور عند الإمامية الضمان، قال 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الطبيب يضمن ما يتلف بعلاجه إن كان قاصراً، أو عالج طفلاً أو مجنوناً لا بإذن الولي، أو بالغاً لم يأذن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موارد للضمان بلا خلاف لكن يمكن الاستثناء من وجوب الإذن عند معالجة الحالات الحرجة الطارئة كالمصابين في الحوادث المرورية أو العمليات الإرهابية التي لا تحتمل انتظار أخذ الإذن وستأتي الإشارة إليها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لمطلبين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نحن بصدده وهو ضمان الطبيب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الطبيب عارفاً، وأذن له المريض في العلاج، فآل إلى التلف،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يضمن لأن الضمان يسقط بالإذن، لأنه فعل سائغ شرعاً،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يضمن لمباشرته الإتلاف، وهو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قلنا لا يضمن، فلا 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قلنا يضمن، فهو يضمن في ماله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تخلّص الطبيب من الضمان بالإبراء قبل العلاج،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وهل يبرأ بالإبراء قبل العلاج؟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لرواية السكوني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أمير المؤمنين عليه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تطبب أو تبيطر، فليأخذ البراءة من وليه، وإلا فهو ضامن</w:t>
      </w:r>
      <w:r>
        <w:rPr>
          <w:rFonts w:eastAsia="IRNazanin" w:cs="IRNazanin"/>
          <w:color w:val="111111"/>
          <w:sz w:val="28"/>
          <w:szCs w:val="28"/>
          <w:rtl w:val="true"/>
          <w:lang w:bidi="fa-IR"/>
        </w:rPr>
        <w:t>)</w:t>
      </w:r>
      <w:r>
        <w:rPr>
          <w:rStyle w:val="FootnoteAnchor"/>
          <w:rtl w:val="true"/>
        </w:rPr>
        <w:footnoteReference w:id="905"/>
      </w:r>
      <w:r>
        <w:rPr>
          <w:rFonts w:ascii="IRNazanin" w:hAnsi="IRNazanin" w:eastAsia="IRNazanin"/>
          <w:color w:val="111111"/>
          <w:sz w:val="28"/>
          <w:sz w:val="28"/>
          <w:szCs w:val="28"/>
          <w:rtl w:val="true"/>
          <w:lang w:bidi="fa-IR"/>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ولأن العلاج مما تمس الحاجة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يشرَّع الإبراء، تعذر العلاج،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يبرأ لأنه إسقاط الحق قبل </w:t>
      </w:r>
    </w:p>
    <w:p>
      <w:pPr>
        <w:pStyle w:val="BookText"/>
        <w:rPr/>
      </w:pPr>
      <w:r>
        <w:rPr>
          <w:rFonts w:ascii="IRNazanin" w:hAnsi="IRNazanin" w:eastAsia="IRNazanin"/>
          <w:color w:val="111111"/>
          <w:sz w:val="28"/>
          <w:sz w:val="28"/>
          <w:szCs w:val="28"/>
          <w:rtl w:val="true"/>
          <w:lang w:bidi="fa-IR"/>
        </w:rPr>
        <w:t>ثبوته</w:t>
      </w:r>
      <w:r>
        <w:rPr>
          <w:rFonts w:eastAsia="IRNazanin" w:cs="IRNazanin"/>
          <w:color w:val="111111"/>
          <w:sz w:val="28"/>
          <w:szCs w:val="28"/>
          <w:rtl w:val="true"/>
          <w:lang w:bidi="fa-IR"/>
        </w:rPr>
        <w:t>»</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ضمان الطبيب وهو القول المشهور عند الإمامية واعتبروه قتلاً شبيهاً بالعمد باعتبار أن الطبيب قصد الفعل ولم يقصد القتلفديته على الجاني نفسه وهو الطبيب</w:t>
      </w:r>
      <w:r>
        <w:rPr>
          <w:rStyle w:val="FootnoteAnchor"/>
          <w:rtl w:val="true"/>
        </w:rPr>
        <w:footnoteReference w:id="907"/>
      </w:r>
    </w:p>
    <w:p>
      <w:pPr>
        <w:pStyle w:val="BookText"/>
        <w:rPr/>
      </w:pPr>
      <w:r>
        <w:rPr>
          <w:rFonts w:ascii="Amiri" w:hAnsi="Amiri" w:eastAsia="Amiri" w:cs="Amiri"/>
          <w:color w:val="111111"/>
          <w:sz w:val="28"/>
          <w:sz w:val="28"/>
          <w:szCs w:val="28"/>
          <w:rtl w:val="true"/>
          <w:lang w:bidi="ar-SA"/>
        </w:rPr>
        <w:t>خلافاً لمشهور فقهاء العامة، فقد ذهبوا إلى عدم ضمان الطبيب قال ابن قدامة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ضمان على حجّام ولا ختان ولا متطبب إذا عرف منهم حذق الصنعة ولم تجن أيديهم، وجملته أن هؤلاء إذا فعلوا ما أُمروا به لم يضمنوا بشرطين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يكونوا ذوي حذق في صناعتهم ولهم بها بصارة ومعرفة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تجني أيديهم فيتجاوزا ما ينبغي أن يقطع</w:t>
      </w:r>
      <w:r>
        <w:rPr>
          <w:rFonts w:eastAsia="Amiri" w:cs="Amiri" w:ascii="Amiri" w:hAnsi="Amiri"/>
          <w:color w:val="111111"/>
          <w:sz w:val="28"/>
          <w:szCs w:val="28"/>
          <w:rtl w:val="true"/>
          <w:lang w:bidi="ar-SA"/>
        </w:rPr>
        <w:t>»</w:t>
      </w:r>
      <w:r>
        <w:rPr>
          <w:rStyle w:val="FootnoteAnchor"/>
          <w:rtl w:val="true"/>
        </w:rPr>
        <w:footnoteReference w:id="908"/>
      </w:r>
    </w:p>
    <w:p>
      <w:pPr>
        <w:pStyle w:val="BookText"/>
        <w:rPr/>
      </w:pPr>
      <w:r>
        <w:rPr>
          <w:rFonts w:ascii="IRNazanin" w:hAnsi="IRNazanin" w:eastAsia="IRNazanin"/>
          <w:color w:val="111111"/>
          <w:sz w:val="28"/>
          <w:sz w:val="28"/>
          <w:szCs w:val="28"/>
          <w:rtl w:val="true"/>
          <w:lang w:bidi="fa-IR"/>
        </w:rPr>
        <w:t xml:space="preserve">وفي جوامع الحديث عند العامة ما يدل على ذلك فقد روى أبو داوود والنسائي والحاكم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تطبَّب ولم يعلم منه طبّ فهو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ويوجد غيره أيضاً</w:t>
      </w:r>
      <w:r>
        <w:rPr>
          <w:rFonts w:eastAsia="IRNazanin" w:cs="IRNazanin"/>
          <w:color w:val="111111"/>
          <w:sz w:val="28"/>
          <w:szCs w:val="28"/>
          <w:rtl w:val="true"/>
          <w:lang w:bidi="fa-IR"/>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على قول المشهور بالضمان بأنه أشبه بأصول المذهب وقواعده في ضمان المتلفات حتى لو وقع خطأ محضاً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لحصول التلف المستند إلى فعل الطبيب</w:t>
      </w:r>
      <w:r>
        <w:rPr>
          <w:rFonts w:eastAsia="Amiri" w:cs="Amiri" w:ascii="Amiri" w:hAnsi="Amiri"/>
          <w:color w:val="111111"/>
          <w:sz w:val="28"/>
          <w:szCs w:val="28"/>
          <w:rtl w:val="true"/>
          <w:lang w:bidi="ar-SA"/>
        </w:rPr>
        <w:t>»</w:t>
      </w:r>
      <w:r>
        <w:rPr>
          <w:rStyle w:val="FootnoteAnchor"/>
          <w:rtl w:val="true"/>
        </w:rPr>
        <w:footnoteReference w:id="909"/>
      </w:r>
      <w:r>
        <w:rPr>
          <w:rFonts w:ascii="IRNazanin" w:hAnsi="IRNazanin" w:eastAsia="IRNazanin"/>
          <w:color w:val="111111"/>
          <w:sz w:val="28"/>
          <w:sz w:val="28"/>
          <w:szCs w:val="28"/>
          <w:rtl w:val="true"/>
          <w:lang w:bidi="fa-IR"/>
        </w:rPr>
        <w:t xml:space="preserve">، وعموم المروي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يبطل دم امرئ مسلم</w:t>
      </w:r>
      <w:r>
        <w:rPr>
          <w:rFonts w:eastAsia="IRNazanin" w:cs="IRNazanin"/>
          <w:color w:val="111111"/>
          <w:sz w:val="28"/>
          <w:szCs w:val="28"/>
          <w:rtl w:val="true"/>
          <w:lang w:bidi="fa-IR"/>
        </w:rPr>
        <w:t>)</w:t>
      </w:r>
      <w:r>
        <w:rPr>
          <w:rStyle w:val="FootnoteAnchor"/>
          <w:rtl w:val="true"/>
        </w:rPr>
        <w:footnoteReference w:id="910"/>
      </w:r>
      <w:r>
        <w:rPr>
          <w:rFonts w:ascii="Amiri" w:hAnsi="Amiri" w:eastAsia="Amiri" w:cs="Amiri"/>
          <w:color w:val="111111"/>
          <w:sz w:val="28"/>
          <w:sz w:val="28"/>
          <w:szCs w:val="28"/>
          <w:rtl w:val="true"/>
          <w:lang w:bidi="ar-SA"/>
        </w:rPr>
        <w:t xml:space="preserve">وحكي عن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نكت النهاية قوله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الأصحاب متفقون على أن الطبيب يضمن ما يتلفه بعلاجه</w:t>
      </w:r>
      <w:r>
        <w:rPr>
          <w:rFonts w:eastAsia="Amiri" w:cs="Amiri" w:ascii="Amiri" w:hAnsi="Amiri"/>
          <w:color w:val="111111"/>
          <w:sz w:val="28"/>
          <w:szCs w:val="28"/>
          <w:rtl w:val="true"/>
          <w:lang w:bidi="ar-SA"/>
        </w:rPr>
        <w:t>»</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وأضاف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وفي الغنية الإجماع على ذلك أيضاً، وهو الحجة بعد قاعدة الضمان على المتلف، والإذن في العلاج ليس إذناً في الإتلاف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أن إذن المريض للطبيب تعلق بالعلاج لا بالإتلاف حتى يسقط حقه في 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والجواز الشرعي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لممارسة مهنة الطب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ينافي الضمان كما في الضرب للتأديب، نعم لما لم يكن ذلك عمدا له لميقتص منه مضافا إلى خبر السكوني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 تقدم ضمن كلام المحقق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مضافاً 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حكي من تضمينه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الختان القاطع لحشفة الغلام</w:t>
      </w:r>
      <w:r>
        <w:rPr>
          <w:rStyle w:val="FootnoteAnchor"/>
          <w:rtl w:val="true"/>
        </w:rPr>
        <w:footnoteReference w:id="912"/>
      </w:r>
      <w:r>
        <w:rPr>
          <w:rFonts w:ascii="Amiri" w:hAnsi="Amiri" w:eastAsia="Amiri" w:cs="Amiri"/>
          <w:color w:val="111111"/>
          <w:sz w:val="28"/>
          <w:sz w:val="28"/>
          <w:szCs w:val="28"/>
          <w:rtl w:val="true"/>
          <w:lang w:bidi="ar-SA"/>
        </w:rPr>
        <w:t>، بل عن ابن إدريس نفى الخلاف عن صحة مضمونه، وإن كان فيه أنه قضية في واقعة محتملة لتفريط الختان بقطع الحشفة الذي لم يؤمر به، وعدمه، ولكن ما ذكرناه كافٍ في إثبات المطلوب</w:t>
      </w:r>
      <w:r>
        <w:rPr>
          <w:rFonts w:eastAsia="Amiri" w:cs="Amiri" w:ascii="Amiri" w:hAnsi="Amiri"/>
          <w:color w:val="111111"/>
          <w:sz w:val="28"/>
          <w:szCs w:val="28"/>
          <w:rtl w:val="true"/>
          <w:lang w:bidi="ar-SA"/>
        </w:rPr>
        <w:t>»</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السكوني المتقدمة ضمن كلام المحقق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صريحة بأن الطبيب ضامن في ما لو لم يأخذ إبراءً قبل المعالجة، ووردت رواية بمضمونها في كتب العامة عن الضحاك بن مزاحم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خطب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معاشر الأطباء البياطرة والمتطببين من عالج منكم إنساناً أو دابة فليأخذ لنفسه البراءة فإنه إن عالج شيئاً ولم يأخذ لنفسه البراءة فهو ضامن</w:t>
      </w:r>
      <w:r>
        <w:rPr>
          <w:rFonts w:eastAsia="IRNazanin" w:cs="IRNazanin"/>
          <w:color w:val="111111"/>
          <w:sz w:val="28"/>
          <w:szCs w:val="28"/>
          <w:rtl w:val="true"/>
          <w:lang w:bidi="fa-IR"/>
        </w:rPr>
        <w:t>)</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تعرّض الفقهاء لضمان الطبيب في موضع آخر مع أهل المهن </w:t>
      </w:r>
    </w:p>
    <w:p>
      <w:pPr>
        <w:pStyle w:val="BookText"/>
        <w:rPr/>
      </w:pPr>
      <w:r>
        <w:rPr>
          <w:rFonts w:ascii="Amiri" w:hAnsi="Amiri" w:eastAsia="Amiri" w:cs="Amiri"/>
          <w:color w:val="111111"/>
          <w:sz w:val="28"/>
          <w:sz w:val="28"/>
          <w:szCs w:val="28"/>
          <w:rtl w:val="true"/>
          <w:lang w:bidi="ar-SA"/>
        </w:rPr>
        <w:t>الأخرى كالختان والحجام وغيرهما في كتاب الإجارة فقالوا بضمان الطبيب كما يضمن هؤلاء</w:t>
      </w:r>
      <w:r>
        <w:rPr>
          <w:rStyle w:val="FootnoteAnchor"/>
          <w:rtl w:val="true"/>
        </w:rPr>
        <w:footnoteReference w:id="915"/>
      </w:r>
      <w:r>
        <w:rPr>
          <w:rFonts w:ascii="Amiri" w:hAnsi="Amiri" w:eastAsia="Amiri" w:cs="Amiri"/>
          <w:color w:val="111111"/>
          <w:sz w:val="28"/>
          <w:sz w:val="28"/>
          <w:szCs w:val="28"/>
          <w:rtl w:val="true"/>
          <w:lang w:bidi="ar-SA"/>
        </w:rPr>
        <w:t>، وسنشير إليه في ما 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في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الختّان والبيطار والحجام يضمنون بأفعالهم، ولم أجد أحداً من الفقهاء ضمنهم، بل حكى المزني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أحداً لم يضمنهم، دليلنا إجماع الفرقة</w:t>
      </w:r>
      <w:r>
        <w:rPr>
          <w:rFonts w:eastAsia="Amiri" w:cs="Amiri" w:ascii="Amiri" w:hAnsi="Amiri"/>
          <w:color w:val="111111"/>
          <w:sz w:val="28"/>
          <w:szCs w:val="28"/>
          <w:rtl w:val="true"/>
          <w:lang w:bidi="ar-SA"/>
        </w:rPr>
        <w:t>»</w:t>
      </w:r>
      <w:r>
        <w:rPr>
          <w:rStyle w:val="FootnoteAnchor"/>
          <w:rtl w:val="true"/>
        </w:rPr>
        <w:footnoteReference w:id="916"/>
      </w:r>
    </w:p>
    <w:p>
      <w:pPr>
        <w:pStyle w:val="BookText"/>
        <w:rPr/>
      </w:pPr>
      <w:r>
        <w:rPr>
          <w:rFonts w:ascii="Amiri" w:hAnsi="Amiri" w:eastAsia="Amiri" w:cs="Amiri"/>
          <w:color w:val="111111"/>
          <w:sz w:val="28"/>
          <w:sz w:val="28"/>
          <w:szCs w:val="28"/>
          <w:rtl w:val="true"/>
          <w:lang w:bidi="ar-SA"/>
        </w:rPr>
        <w:t xml:space="preserve">وتردد جماعة في قبول قول المشهور وقال آخرون بعدم ضمان الطبيب؛ سنذكر جملة منهم مع بعض كلماتهم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للأصل ولسقوطه بإذنه،ولأنه فعل سائغ شرعاً فلا يستعقب ضماناً</w:t>
      </w:r>
      <w:r>
        <w:rPr>
          <w:rFonts w:eastAsia="Amiri" w:cs="Amiri" w:ascii="Amiri" w:hAnsi="Amiri"/>
          <w:color w:val="111111"/>
          <w:sz w:val="28"/>
          <w:szCs w:val="28"/>
          <w:rtl w:val="true"/>
          <w:lang w:bidi="ar-SA"/>
        </w:rPr>
        <w:t>»</w:t>
      </w:r>
      <w:r>
        <w:rPr>
          <w:rStyle w:val="FootnoteAnchor"/>
          <w:rtl w:val="true"/>
        </w:rPr>
        <w:footnoteReference w:id="91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السرائر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تطبب، أو تبيطر فليأخذ البراءة من ولي من يطببه، أو صاحب الدابة، وإلا فهو ضامن إذا هلك بفعله شيء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الذي جنى عليه الطبيب غير بالغ، أو مجنوناً، فأما إذا كان عاقلاً مكلفاً، فأمر الطبيب بفعل شيء، ففعله على ما أمره به، فلا يضمن الطبيب، سواء أخذ البراءة من الولي، أو لم يأخذ، والدليل على ما قلناه، إن الأصل براءة الذمة، والولي لا يكون إلا لغير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إذا جنى على شيء لم يؤمر بقطعه، ولا بفعله، فهو ضامن، سواء أخذ البراءة من الولي أو لم يأخذها</w:t>
      </w:r>
      <w:r>
        <w:rPr>
          <w:rFonts w:eastAsia="Amiri" w:cs="Amiri" w:ascii="Amiri" w:hAnsi="Amiri"/>
          <w:color w:val="111111"/>
          <w:sz w:val="28"/>
          <w:szCs w:val="28"/>
          <w:rtl w:val="true"/>
          <w:lang w:bidi="ar-SA"/>
        </w:rPr>
        <w:t>»</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 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الاستدلال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ويمكن الجواب بأن أصالة البراءة لا تتم مع دليل الشغل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والإذن في العلاج لا في الإتلاف، ولا منافاة بين الجواز وبين الضمان كالضارب للتأديب</w:t>
      </w:r>
      <w:r>
        <w:rPr>
          <w:rFonts w:eastAsia="Amiri" w:cs="Amiri" w:ascii="Amiri" w:hAnsi="Amiri"/>
          <w:color w:val="111111"/>
          <w:sz w:val="28"/>
          <w:szCs w:val="28"/>
          <w:rtl w:val="true"/>
          <w:lang w:bidi="ar-SA"/>
        </w:rPr>
        <w:t>»</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وعلى أي حال فإنه يمكن الاستدلال على عدم الضمان بوجوه،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الدية إنما تجب مع صدق عنوان الجناية، والتلف الذي يحصل في عمل الطبيب من دون قصور أو تقصير منه وبإذن المريض لا يصدق عليه هذا العنوان فلا دية فيه قال 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نكت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والمجني عليه إذا أذن في الجناية سقط ضمانها فكيف بإذنه في المباح المأذون في فعله</w:t>
      </w:r>
      <w:r>
        <w:rPr>
          <w:rFonts w:eastAsia="Amiri" w:cs="Amiri" w:ascii="Amiri" w:hAnsi="Amiri"/>
          <w:color w:val="111111"/>
          <w:sz w:val="28"/>
          <w:szCs w:val="28"/>
          <w:rtl w:val="true"/>
          <w:lang w:bidi="ar-SA"/>
        </w:rPr>
        <w:t>»</w:t>
      </w:r>
      <w:r>
        <w:rPr>
          <w:rStyle w:val="FootnoteAnchor"/>
          <w:rtl w:val="true"/>
        </w:rPr>
        <w:footnoteReference w:id="920"/>
      </w:r>
    </w:p>
    <w:p>
      <w:pPr>
        <w:pStyle w:val="BookText"/>
        <w:rPr/>
      </w:pPr>
      <w:r>
        <w:rPr>
          <w:rFonts w:ascii="Amiri" w:hAnsi="Amiri" w:eastAsia="Amiri" w:cs="Amiri"/>
          <w:color w:val="111111"/>
          <w:sz w:val="28"/>
          <w:sz w:val="28"/>
          <w:szCs w:val="28"/>
          <w:rtl w:val="true"/>
          <w:lang w:bidi="ar-SA"/>
        </w:rPr>
        <w:t>أي أن الفعل لم يعد موجباً للضمان ويخرج تخصصاً عن عمومات ما يوجب الضمان، كما أن تقديم الطعام إلى الضيوف لا يعتبر إتلافاً حتى يوجب ضماناً، ولا يجري في الطبيب أيضاً ما ذكروه في ضمان ذوي المهن وأهل الصنائع ما يتلف بأيديهم لأن الضمان متوقف علىصدق عنوان الإتلاف لا التلف أي الإفساد بحسب ما نطقت به الروايات المعتبرة ولا يصدق عنوان الإفساد على فعل الطبيب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الالتفاتة تحلّ العقدة التي توقَّف عندها المشهور حيث لم يستطع تصور عدم وجوب الدية لإزهاق نفس محترمة مع أنها تجب حتى في الخطأ المحض، وهم اعتبروا الموت الذي يحصل أثناء عمل الطبيب شبيهاً بالعمد، والآن عرفنا الفرق لأن القتل حتى لو وقع خطأً محضاً فإنه يصدق عليه عنوان الجناية فتجب الدية ولا يصدق هذا العنوان على ما يحصل بفعل الطبيب المأذون في عمله، وبهذا التفريق نخرج من عموم ضمان المتلفات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يبطل دم امرئ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وسنذكر ذلك لاحقاً إن شاء الله تعالى</w:t>
      </w:r>
      <w:r>
        <w:rPr>
          <w:rFonts w:eastAsia="Amiri" w:cs="Amiri" w:ascii="Amiri" w:hAnsi="Amiri"/>
          <w:color w:val="111111"/>
          <w:sz w:val="28"/>
          <w:szCs w:val="28"/>
          <w:rtl w:val="true"/>
          <w:lang w:bidi="ar-SA"/>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والخلاصة أن هذه الأدلة على ضمان المتلفات ووجوب الدية منصرفة عن المورد، 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كلامه عن ذوي المهن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ولكن قد يناقش بعدم صدق الجنابة على ذلك ونحوه مما بين مستأجر عليه </w:t>
      </w:r>
    </w:p>
    <w:p>
      <w:pPr>
        <w:pStyle w:val="BookText"/>
        <w:rPr/>
      </w:pPr>
      <w:r>
        <w:rPr>
          <w:rFonts w:ascii="Amiri" w:hAnsi="Amiri" w:eastAsia="Amiri" w:cs="Amiri"/>
          <w:color w:val="111111"/>
          <w:sz w:val="28"/>
          <w:sz w:val="28"/>
          <w:szCs w:val="28"/>
          <w:rtl w:val="true"/>
          <w:lang w:bidi="ar-SA"/>
        </w:rPr>
        <w:t>ومأذون فيه، بل لعل ذلك هو التحقيق في المسألة</w:t>
      </w:r>
      <w:r>
        <w:rPr>
          <w:rFonts w:eastAsia="Amiri" w:cs="Amiri" w:ascii="Amiri" w:hAnsi="Amiri"/>
          <w:color w:val="111111"/>
          <w:sz w:val="28"/>
          <w:szCs w:val="28"/>
          <w:rtl w:val="true"/>
          <w:lang w:bidi="ar-SA"/>
        </w:rPr>
        <w:t>»</w:t>
      </w:r>
      <w:r>
        <w:rPr>
          <w:rStyle w:val="FootnoteAnchor"/>
          <w:rtl w:val="true"/>
        </w:rPr>
        <w:footnoteReference w:id="921"/>
      </w:r>
      <w:r>
        <w:rPr>
          <w:rFonts w:ascii="Amiri" w:hAnsi="Amiri" w:eastAsia="Amiri" w:cs="Amiri"/>
          <w:color w:val="111111"/>
          <w:sz w:val="28"/>
          <w:sz w:val="28"/>
          <w:szCs w:val="28"/>
          <w:rtl w:val="true"/>
          <w:lang w:bidi="ar-SA"/>
        </w:rPr>
        <w:t>، وشمل الطبيب بكلامه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ولنا على ذلك شواهد من الروايات كصحيحة عبيد بن زرارة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وقع على رجل فقتله،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عليه شيء</w:t>
      </w:r>
      <w:r>
        <w:rPr>
          <w:rFonts w:eastAsia="IRNazanin" w:cs="IRNazanin"/>
          <w:color w:val="111111"/>
          <w:sz w:val="28"/>
          <w:szCs w:val="28"/>
          <w:rtl w:val="true"/>
          <w:lang w:bidi="fa-IR"/>
        </w:rPr>
        <w:t>)</w:t>
      </w:r>
      <w:r>
        <w:rPr>
          <w:rStyle w:val="FootnoteAnchor"/>
          <w:rtl w:val="true"/>
        </w:rPr>
        <w:footnoteReference w:id="922"/>
      </w:r>
    </w:p>
    <w:p>
      <w:pPr>
        <w:pStyle w:val="BookText"/>
        <w:rPr/>
      </w:pPr>
      <w:r>
        <w:rPr>
          <w:rFonts w:ascii="Amiri" w:hAnsi="Amiri" w:eastAsia="Amiri" w:cs="Amiri"/>
          <w:color w:val="111111"/>
          <w:sz w:val="28"/>
          <w:sz w:val="28"/>
          <w:szCs w:val="28"/>
          <w:rtl w:val="true"/>
          <w:lang w:bidi="ar-SA"/>
        </w:rPr>
        <w:t>بتقريب أن القتل وإن وقع بفعله إلا أنه لا يمكن اعتباره فاعلاً لأن السقوط لم يكن باختياره كما لو انهار السقف أو دفعته ريح عاصف غير محتسبة من دون اختياره فلا يكون ضامناً؛ لإقوائية السبب فيكون القتل قضاءً وقدراً ولا دية للقتيل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إسماعيل المتطبب المتقدمة بتقريب سكوت الإمام عن وجوب الدية مع شديد الحاجة إلى البيان وهو يكشف عن عدم وجوبها على الطبيب، وكذا الروايات الأخرى </w:t>
      </w:r>
      <w:r>
        <w:rPr>
          <w:rStyle w:val="FootnoteAnchor"/>
          <w:rtl w:val="true"/>
        </w:rPr>
        <w:footnoteReference w:id="923"/>
      </w:r>
    </w:p>
    <w:p>
      <w:pPr>
        <w:pStyle w:val="BookText"/>
        <w:rPr/>
      </w:pPr>
      <w:r>
        <w:rPr>
          <w:rFonts w:ascii="Amiri" w:hAnsi="Amiri" w:eastAsia="Amiri" w:cs="Amiri"/>
          <w:color w:val="111111"/>
          <w:sz w:val="28"/>
          <w:sz w:val="28"/>
          <w:szCs w:val="28"/>
          <w:rtl w:val="true"/>
          <w:lang w:bidi="ar-SA"/>
        </w:rPr>
        <w:t>بل إن رواية ابن إسحاق صريحة في عدم وجوب شيء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الطبيب محسن في عمله خصوصاً إذا كان عمله بلا أجر مع التسليم باكتمال شروط التصدي للعمل 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عَلَى الْمُحْسِنِينَ مِن سَبِيلٍ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فنتمسّك بإطلاق الآية لنفي كل عهدة على ذمة المحسن ومنها الدية ولا يختص بانتفاء الإثم والعقوبة والقصاص ونحو ذلك، وهو ما يشعر به ذيل رواية ابن إسحاق </w:t>
      </w:r>
      <w:r>
        <w:rPr>
          <w:rStyle w:val="FootnoteAnchor"/>
          <w:rtl w:val="true"/>
        </w:rPr>
        <w:footnoteReference w:id="924"/>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وشواهد أخرى كمعتبرة </w:t>
      </w:r>
    </w:p>
    <w:p>
      <w:pPr>
        <w:pStyle w:val="BookText"/>
        <w:rPr/>
      </w:pPr>
      <w:r>
        <w:rPr>
          <w:rFonts w:ascii="IRNazanin" w:hAnsi="IRNazanin" w:eastAsia="IRNazanin"/>
          <w:color w:val="111111"/>
          <w:sz w:val="28"/>
          <w:sz w:val="28"/>
          <w:szCs w:val="28"/>
          <w:rtl w:val="true"/>
          <w:lang w:bidi="fa-IR"/>
        </w:rPr>
        <w:t xml:space="preserve">الحسين بن خالد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أراد رجل أن يحفر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ليغسله في الحفرة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فسدر الرجل مما يحفر فدير به فمالت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مسحاته في يده فأصاب بطنه فشقه، فما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هكذا فهو خطأ وكفارته عتق رقبة، أو صيام شهرين، أو صدقة على ستين مسكيناً مد لكل مسكين بمد النبي </w:t>
      </w:r>
      <w:r>
        <w:rPr>
          <w:rFonts w:eastAsia="IRNazanin" w:cs="IRNazanin"/>
          <w:color w:val="111111"/>
          <w:sz w:val="28"/>
          <w:szCs w:val="28"/>
          <w:rtl w:val="true"/>
          <w:lang w:bidi="fa-IR"/>
        </w:rPr>
        <w:t>|)</w:t>
      </w:r>
      <w:r>
        <w:rPr>
          <w:rStyle w:val="FootnoteAnchor"/>
          <w:rtl w:val="true"/>
        </w:rPr>
        <w:footnoteReference w:id="92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بتقريب سقوط دية قطع أعضاء الميت عن الفاعل المحسن، فتأمل</w:t>
      </w:r>
      <w:r>
        <w:rPr>
          <w:rStyle w:val="FootnoteAnchor"/>
          <w:rtl w:val="true"/>
        </w:rPr>
        <w:footnoteReference w:id="9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ورواية السكوني عن جعفر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رجلاً شرد له بعيران فأخذهما رجل فقرنهما في حبل فاختنق أحدهما ومات، فرفع ذلك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يضمّنه،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أراد الإصلاح</w:t>
      </w:r>
      <w:r>
        <w:rPr>
          <w:rFonts w:eastAsia="IRNazanin" w:cs="IRNazanin"/>
          <w:color w:val="111111"/>
          <w:sz w:val="28"/>
          <w:szCs w:val="28"/>
          <w:rtl w:val="true"/>
          <w:lang w:bidi="fa-IR"/>
        </w:rPr>
        <w:t>)</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المتشرعة فإننا لم نعهد منهم مطالبة الطبيب بالدية عند حصول وفاة أو تلف في الأعضاء، بسبب المعالجة أو إجراء العملية إذا لم يكن ناتجاً عن قصور أو تقصير</w:t>
      </w:r>
      <w:r>
        <w:rPr>
          <w:rFonts w:eastAsia="Amiri" w:cs="Amiri" w:ascii="Amiri" w:hAnsi="Amiri"/>
          <w:color w:val="111111"/>
          <w:sz w:val="28"/>
          <w:szCs w:val="28"/>
          <w:rtl w:val="true"/>
          <w:lang w:bidi="ar-SA"/>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يكون هذا التصرف منهم لا بما هم متشرعة وإنما بما هم عقلاء وقد تبانوا على ذلك، ولا بأس بهذا ويبقى دليلاً على عدم الضمان لأن </w:t>
      </w:r>
    </w:p>
    <w:p>
      <w:pPr>
        <w:pStyle w:val="BookText"/>
        <w:rPr/>
      </w:pPr>
      <w:r>
        <w:rPr>
          <w:rFonts w:ascii="Amiri" w:hAnsi="Amiri" w:eastAsia="Amiri" w:cs="Amiri"/>
          <w:color w:val="111111"/>
          <w:sz w:val="28"/>
          <w:sz w:val="28"/>
          <w:szCs w:val="28"/>
          <w:rtl w:val="true"/>
          <w:lang w:bidi="ar-SA"/>
        </w:rPr>
        <w:t>بناء العقلاء حجة إذا لم يردع عنه الشارع المقدس، بل يصلح لتقييد المطلقات وتخصيص عمومات ضمان المتلفات وعدم بطلان الدم، كما أن عموم عدم حجية الظن مخصّص ببناء العقلاء على حجية خبر الواحد الثقة، ولا يصلح هذا العموم للردع عن السيرة العقلائية كما هو واضح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أذن المريض بالعملية وعرض نفسه على الطبيب أذن بلوازمها وتعهد بكل تبعاتها وآثارها التي تحصل من دون تعدٍ وتفريط؛ لأن المريض يقدم على العلاج بعد أن يُعلمه الطبيب بنسبة نجاحها وما قد ينجم عنها من أضرار وأعراض جانبية حتى ورد 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من دواء إلا ويهيج داءً</w:t>
      </w:r>
      <w:r>
        <w:rPr>
          <w:rFonts w:eastAsia="IRNazanin" w:cs="IRNazanin"/>
          <w:color w:val="111111"/>
          <w:sz w:val="28"/>
          <w:szCs w:val="28"/>
          <w:rtl w:val="true"/>
          <w:lang w:bidi="fa-IR"/>
        </w:rPr>
        <w:t>)</w:t>
      </w:r>
      <w:r>
        <w:rPr>
          <w:rStyle w:val="FootnoteAnchor"/>
          <w:rtl w:val="true"/>
        </w:rPr>
        <w:footnoteReference w:id="92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فهذه الموافقة لازمة للإذن، وكان الأطباء في زمان صدور النص يعرفون جملة مما تسببه المعالجة أو العمليةالجراحية كما في الروايات المتقدمة وغيرها</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يُعلم النظر في قول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الإرشاد وصاحب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وغيرهما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والإذن في العلاج ليس إذناً في الإتلاف</w:t>
      </w:r>
      <w:r>
        <w:rPr>
          <w:rFonts w:eastAsia="Amiri" w:cs="Amiri" w:ascii="Amiri" w:hAnsi="Amiri"/>
          <w:color w:val="111111"/>
          <w:sz w:val="28"/>
          <w:szCs w:val="28"/>
          <w:rtl w:val="true"/>
          <w:lang w:bidi="ar-SA"/>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إن الشيخ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 أخذ البراءة المسقط للضمان في رواية السكوني بأخذ الإذن وحينئذٍ تكون الرواية صريحة في عدم الضمان مع الإذن،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الطبيب الحاذق المباشر، فتارة نقول إنه مكلف </w:t>
      </w:r>
    </w:p>
    <w:p>
      <w:pPr>
        <w:pStyle w:val="BookText"/>
        <w:rPr/>
      </w:pPr>
      <w:r>
        <w:rPr>
          <w:rFonts w:ascii="Amiri" w:hAnsi="Amiri" w:eastAsia="Amiri" w:cs="Amiri"/>
          <w:color w:val="111111"/>
          <w:sz w:val="28"/>
          <w:sz w:val="28"/>
          <w:szCs w:val="28"/>
          <w:rtl w:val="true"/>
          <w:lang w:bidi="ar-SA"/>
        </w:rPr>
        <w:t>بحفظ النفس المحترمة بعلاج المرض، فمثل هذا يستحيل أن يستلزم الضمان، فإن التلف لا يكون إلا بخطأ منه، فالموضوع وهو علاج واقعاً وإلا لانسد باب الطبابة وعلاج المرضى مع مسيس الحاجة إليه، ومثله لا ضمان معه، وعليه ينزل أخذ البراءة من المريض أي الإذن في العلاج على نحو لا ضمان معه، وإلا فإشكال البراءة عن الضمان قبل حدوث موجبه موجه، والإذن في إتلاف نفسه أو طرفه غير سائغ شرعا، فلا محيص عما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مختصر القول فيما تقتضيه القاعدة</w:t>
      </w:r>
      <w:r>
        <w:rPr>
          <w:rFonts w:eastAsia="Amiri" w:cs="Amiri" w:ascii="Amiri" w:hAnsi="Amiri"/>
          <w:color w:val="111111"/>
          <w:sz w:val="28"/>
          <w:szCs w:val="28"/>
          <w:rtl w:val="true"/>
          <w:lang w:bidi="ar-SA"/>
        </w:rPr>
        <w:t>»</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قيل من أن المريض أعطى الإذن بشرط السلامة لا معنى له لأنها أمرٌ لا يحرزه إلا الله تعالى، وإنما أذن بشرط أن يبذل ما بوسعه ويستعملكل حذقه ومهارته لتحصيل السلامة والمفروض أنه قد حقق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لا يبعد كون السلامة من قبيل الداعي الذي لا يقدح تخلفه في حصول الإذن</w:t>
      </w:r>
      <w:r>
        <w:rPr>
          <w:rFonts w:eastAsia="Amiri" w:cs="Amiri" w:ascii="Amiri" w:hAnsi="Amiri"/>
          <w:color w:val="111111"/>
          <w:sz w:val="28"/>
          <w:szCs w:val="28"/>
          <w:rtl w:val="true"/>
          <w:lang w:bidi="ar-SA"/>
        </w:rPr>
        <w:t>»</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الشارع المقدس بالمعالجة حتى مع احتمال الوفاة بحسب الروايات المتقدمة </w:t>
      </w:r>
      <w:r>
        <w:rPr>
          <w:rStyle w:val="FootnoteAnchor"/>
          <w:rtl w:val="true"/>
        </w:rPr>
        <w:footnoteReference w:id="932"/>
      </w:r>
      <w:r>
        <w:rPr>
          <w:rFonts w:ascii="Amiri" w:hAnsi="Amiri" w:eastAsia="Amiri" w:cs="Amiri"/>
          <w:color w:val="111111"/>
          <w:sz w:val="28"/>
          <w:sz w:val="28"/>
          <w:szCs w:val="28"/>
          <w:rtl w:val="true"/>
          <w:lang w:bidi="ar-SA"/>
        </w:rPr>
        <w:t>، بل إنه يوجب المعالجة إذا كان فيها إنقاذ للنفس أو إذا كان في تركها ضرر بالغ على النفس، وهو أولى من الناس بأنفسهم، فإيجاب الدية حتى مع المهارة والكفاءة وعدم التقصير والتفريط ينافي كل هذا الحث على المعالجة وفيه نقض للغرض، وتحريض على عدم المعالجة، وقد ورد النهي عن تركها في الروايات كما في رواية أبان بن تغلب</w:t>
      </w:r>
      <w:r>
        <w:rPr>
          <w:rStyle w:val="FootnoteAnchor"/>
          <w:rtl w:val="true"/>
        </w:rPr>
        <w:footnoteReference w:id="933"/>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w:t>
      </w:r>
    </w:p>
    <w:p>
      <w:pPr>
        <w:pStyle w:val="BookText"/>
        <w:rPr/>
      </w:pPr>
      <w:r>
        <w:rPr>
          <w:rFonts w:ascii="Amiri" w:hAnsi="Amiri" w:eastAsia="Amiri" w:cs="Amiri"/>
          <w:color w:val="111111"/>
          <w:sz w:val="28"/>
          <w:sz w:val="28"/>
          <w:szCs w:val="28"/>
          <w:rtl w:val="true"/>
          <w:lang w:bidi="ar-SA"/>
        </w:rPr>
        <w:t>ساوى بين تارك المعالجة والجاني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ذكروه في باب الأمر بالمعروف والنهي عن المنكر من عدم الضمان إذا حصل تلف بسبب امتثال الفريضة، وقد بحثنا المطلب مفصلاً في كتاب الأمر بالمعروف والنهي عن المنكر</w:t>
      </w:r>
      <w:r>
        <w:rPr>
          <w:rStyle w:val="FootnoteAnchor"/>
          <w:rtl w:val="true"/>
        </w:rPr>
        <w:footnoteReference w:id="934"/>
      </w:r>
      <w:r>
        <w:rPr>
          <w:rFonts w:ascii="Amiri" w:hAnsi="Amiri" w:eastAsia="Amiri" w:cs="Amiri"/>
          <w:color w:val="111111"/>
          <w:sz w:val="28"/>
          <w:sz w:val="28"/>
          <w:szCs w:val="28"/>
          <w:rtl w:val="true"/>
          <w:lang w:bidi="ar-SA"/>
        </w:rPr>
        <w:t>ونقلنا قول الأصحاب بعدم الضمان على الآمر والناهي إذا أتلفا ما يجب إتلافه أداءً لفريضة الأمر بالمعروف والنهي عن المنكر بشروطها وحدودها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تعدّى بفعله كما لو استعمل يده في مرتبة اللسان أو تصرّف بدون مراجعة الحاكم الشرعي في موارد لزومه ضمن للتعدي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المورد دليل على عدم الضمان في المقام لأنهما من باب واحد فقد عملا بإذن الشارع المقدس بل بأمره وما تعدّيا الحدود، استدلالهم على الضمان بالضرب للتأديب إن كان من باب الأمر بالمعروف والنهي عن المنكر</w:t>
      </w:r>
      <w:r>
        <w:rPr>
          <w:rStyle w:val="FootnoteAnchor"/>
          <w:rtl w:val="true"/>
        </w:rPr>
        <w:footnoteReference w:id="93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كقول الشهيد في شرح الإرشاد المتقدم </w:t>
      </w:r>
      <w:r>
        <w:rPr>
          <w:rStyle w:val="FootnoteAnchor"/>
          <w:rtl w:val="true"/>
        </w:rPr>
        <w:footnoteReference w:id="936"/>
      </w:r>
      <w:r>
        <w:rPr>
          <w:rFonts w:ascii="IRNazanin" w:hAnsi="IRNazanin" w:eastAsia="IRNazanin"/>
          <w:color w:val="111111"/>
          <w:sz w:val="28"/>
          <w:sz w:val="28"/>
          <w:szCs w:val="28"/>
          <w:rtl w:val="true"/>
          <w:lang w:bidi="fa-IR"/>
        </w:rPr>
        <w:t xml:space="preserve">وقول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لو جوّزنا المباشرة للحاذق بلا إذن لقاعدة الإحسان أو أوجبناها عليه مقدمة لحفظ النفس المحترمة كما في خبر أبان بن تغلب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ينافي ذلك الضمان الذي هو من باب الأسباب كما في تأديب الزوجة والصبي ونحوهما فتأمل</w:t>
      </w:r>
      <w:r>
        <w:rPr>
          <w:rFonts w:eastAsia="IRNazanin" w:cs="IRNazanin"/>
          <w:color w:val="111111"/>
          <w:sz w:val="28"/>
          <w:szCs w:val="28"/>
          <w:rtl w:val="true"/>
          <w:lang w:bidi="fa-IR"/>
        </w:rPr>
        <w:t>»</w:t>
      </w:r>
      <w:r>
        <w:rPr>
          <w:rStyle w:val="FootnoteAnchor"/>
          <w:rtl w:val="true"/>
        </w:rPr>
        <w:footnoteReference w:id="937"/>
      </w:r>
      <w:r>
        <w:rPr>
          <w:rFonts w:ascii="IRNazanin" w:hAnsi="IRNazanin" w:eastAsia="IRNazanin"/>
          <w:color w:val="111111"/>
          <w:sz w:val="28"/>
          <w:sz w:val="28"/>
          <w:szCs w:val="28"/>
          <w:rtl w:val="true"/>
          <w:lang w:bidi="fa-IR"/>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والأولى أن يكون دليلاً على </w:t>
      </w:r>
    </w:p>
    <w:p>
      <w:pPr>
        <w:pStyle w:val="BookText"/>
        <w:rPr/>
      </w:pPr>
      <w:r>
        <w:rPr>
          <w:rFonts w:ascii="IRNazanin" w:hAnsi="IRNazanin" w:eastAsia="IRNazanin"/>
          <w:color w:val="111111"/>
          <w:sz w:val="28"/>
          <w:sz w:val="28"/>
          <w:szCs w:val="28"/>
          <w:rtl w:val="true"/>
          <w:lang w:bidi="fa-IR"/>
        </w:rPr>
        <w:t>عدم الضمان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الطبيب أمين ولم يتصرف في بدن المريض إلا بعد إذنه وإذن الشارع المقدس، والأمين لا يضمن إلا مع التعدي والتفريط مثل سائر موارد الأمانة، الشرعية أو المالكية، كأهل الصنائع وذوي المهن الأخرى الذين يدهم يد أمانة، قال المحقق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أهل الصنائع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والصانع أو غيره إذا تلف شيء في يده فالأشهر أنه لا يضمن إلا بالتعدي والتفريط، وليس يده يد ضمان وغصب بحيث يضمن مطلقاً، بل يد أمانة مالكية للأصل، ولأنه أمين متصرف بإذن المالك</w:t>
      </w:r>
      <w:r>
        <w:rPr>
          <w:rFonts w:eastAsia="Amiri" w:cs="Amiri" w:ascii="Amiri" w:hAnsi="Amiri"/>
          <w:color w:val="111111"/>
          <w:sz w:val="28"/>
          <w:szCs w:val="28"/>
          <w:rtl w:val="true"/>
          <w:lang w:bidi="ar-SA"/>
        </w:rPr>
        <w:t>»</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تحميل الطبيب دية التلف مع كونه حاذقاً وبصيراً ولم يقصّر في عمله ظلم له والظلم قبيح لا يأذن به المولى، إلا أن يشترط الضمان على الطبيب بنصٍّ شرعي أو قانوني بنحو ما سنشرح معنى رواية السكوني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 أن موضوع الضمان غير واضح في ذهن القائلين به لأنفرض المسألة بأن الطبيب حاذق بصير ولم يقصّر في عمله ولم يتعدَّ حدوده، وهذا يجعل سبب التلف ليس راجعاً إليه وإنما إلى نفس العملية فإن فيها نسبة من النجاح والفشل فهذا التلف اقتضاه تحقق الفشل المحتمل كعملية القلب المفتوح التي يمكن أن يتوقف فيها القلب أو عملية الفقرات والظهر التي يمكن أن تضر بالحبل الشوكي، وباختصار فإن التلف وإن باشره الطبيب إلا أن السبب وهو اقتضاء العملية لنسبة من الفشل كان أقوى وإليه ينسب التلف</w:t>
      </w:r>
      <w:r>
        <w:rPr>
          <w:rFonts w:eastAsia="Amiri" w:cs="Amiri" w:ascii="Amiri" w:hAnsi="Amiri"/>
          <w:color w:val="111111"/>
          <w:sz w:val="28"/>
          <w:szCs w:val="28"/>
          <w:rtl w:val="true"/>
          <w:lang w:bidi="ar-SA"/>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وبتعبير 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نسبة التلف إلى الفعل لا يكفي للقول بالضمان إلا أن ينسب إلى الفاعل، لذا فحينما يكون السبب أقوى من المباشر يضمن </w:t>
      </w:r>
      <w:bookmarkStart w:id="870" w:name="pg8133_63232"/>
    </w:p>
    <w:p>
      <w:pPr>
        <w:pStyle w:val="BookText"/>
        <w:rPr/>
      </w:pPr>
      <w:bookmarkEnd w:id="870"/>
      <w:r>
        <w:rPr>
          <w:rFonts w:ascii="Amiri" w:hAnsi="Amiri" w:eastAsia="Amiri" w:cs="Amiri"/>
          <w:color w:val="111111"/>
          <w:sz w:val="28"/>
          <w:sz w:val="28"/>
          <w:szCs w:val="28"/>
          <w:rtl w:val="true"/>
          <w:lang w:bidi="ar-SA"/>
        </w:rPr>
        <w:t xml:space="preserve">المسبِّب مع أن التلف حصل بفعل المباشر، وفي المقام فإن التلف حصل من الفعل وهي المعالجة من دون أن ينسب إلى الفاعل وهو الطبيب لأن طبيعة العملية تقتضي نسبة من التلف لا يكون الطبيب مسؤولاً عنها، قال الشيخ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تعليقته على العروة عند مسألة ضمان الحمّال إذا عثر من دون تقصير منه فانكسر ما يحمل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الأظهر عدم الضمان وكونه من التلف دون الإتلاف</w:t>
      </w:r>
      <w:r>
        <w:rPr>
          <w:rFonts w:eastAsia="Amiri" w:cs="Amiri" w:ascii="Amiri" w:hAnsi="Amiri"/>
          <w:color w:val="111111"/>
          <w:sz w:val="28"/>
          <w:szCs w:val="28"/>
          <w:rtl w:val="true"/>
          <w:lang w:bidi="ar-SA"/>
        </w:rPr>
        <w:t>»</w:t>
      </w:r>
      <w:r>
        <w:rPr>
          <w:rStyle w:val="FootnoteAnchor"/>
          <w:rtl w:val="true"/>
        </w:rPr>
        <w:footnoteReference w:id="93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وعلّق بمثل ذلك جملة من المحشّين العظام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فالقول بالضمان لا وجه له؛ لأن الطب علم حسّي تجريبي ويعمل الطبيب بما أفادته التجارب ودقة النظر وقد تكون التجربة ناجحة مع شخص ولا تكون كذلك، أو يكون هذا العلاج المجرب ناجحاً مع شخص ومضرّاً لآخر مع أنهما يعانيان من نفس المرض لأن تركيب جسم الإنسان معقد وتوازنات عمل الأعضاء دقيقة للغاية ولا يمكن أن يضبطها جميعها أحد من الأطباء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عليهم بما لو جيء بمريض بحالة حرجة ويحتاج إلىتداخل جراحي أو إجراء علاجي خطير فوري لتعرضه إلى حادث سيارة أو قصف أو زلزال فبادر الأطباء إلى معالجته وحصل تلف، فإن قالوا بعدم الضمان فهو نقض عليهم لأن الاضطرار لا يسقط الضمان وإن قالوا به فهو كما ترى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القانون الجاري بين ذوي المهن الطبية يتضمن عدم ضمان الطبيب إذا كان من أهل الكفاءة والمهارة ولم يقصّر في عمله، وغفلة المريض عنه لا تعطيه حق المطالبة</w:t>
      </w:r>
      <w:r>
        <w:rPr>
          <w:rFonts w:eastAsia="Amiri" w:cs="Amiri" w:ascii="Amiri" w:hAnsi="Amiri"/>
          <w:color w:val="111111"/>
          <w:sz w:val="28"/>
          <w:szCs w:val="28"/>
          <w:rtl w:val="true"/>
          <w:lang w:bidi="ar-SA"/>
        </w:rPr>
        <w:t>.</w:t>
      </w:r>
    </w:p>
    <w:p>
      <w:pPr>
        <w:pStyle w:val="Heading6"/>
        <w:numPr>
          <w:ilvl w:val="5"/>
          <w:numId w:val="1"/>
        </w:numPr>
        <w:rPr/>
      </w:pPr>
      <w:bookmarkStart w:id="871" w:name="__RefHeading___Toc8193603_1051229030"/>
      <w:bookmarkStart w:id="872" w:name="_Toc313"/>
      <w:bookmarkEnd w:id="871"/>
      <w:r>
        <w:rPr>
          <w:rtl w:val="true"/>
        </w:rPr>
        <w:t>مناقشة أدلة المشهور</w:t>
      </w:r>
      <w:r>
        <w:rPr>
          <w:rtl w:val="true"/>
        </w:rPr>
        <w:t>:</w:t>
      </w:r>
      <w:bookmarkEnd w:id="872"/>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تقدم يُعلم النظر في ما استدل به المشهور فإن الوجوه التي </w:t>
      </w:r>
    </w:p>
    <w:p>
      <w:pPr>
        <w:pStyle w:val="BookText"/>
        <w:rPr/>
      </w:pPr>
      <w:r>
        <w:rPr>
          <w:rFonts w:ascii="Amiri" w:hAnsi="Amiri" w:eastAsia="Amiri" w:cs="Amiri"/>
          <w:color w:val="111111"/>
          <w:sz w:val="28"/>
          <w:sz w:val="28"/>
          <w:szCs w:val="28"/>
          <w:rtl w:val="true"/>
          <w:lang w:bidi="ar-SA"/>
        </w:rPr>
        <w:t>ذكرناها تصلح لتقييد القواعد والأصول المقتضية لضمان المتلفات التي هي قاعدة مقتنصة من الأحكام الواردة في الروايات وليست رواية حتى يتمسك بإطلاقها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إدخال المورد في ضمان المتلفات مما لا يمكن المساعدة عليه شكلاً ولا مضموناً،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شكلاً فإن تلف الأعضاء يدخل في باب الجنايات والغرامة عليه يسمى دية وليس ضماناً ونحو ذلك،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مضموناً فلأن المتلفات إنما تضمن حتى لو حصل التلف خطأً محضاً باعتبار أن الفعل لم يكن بإذن من وقع عليه التلف، أما الفعل هنا فهو بإذنه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فالإتلاف الموجب للضمان لا يصدق على فعل الطبيب أي أنه خارج تخصصاً عن هذه القاعدة؛ لأن ما حصل من التلف لا الإتلاف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كلماته ما يعبّر عن هذا المعنى،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إذا لم يصدق الاستناد بوجه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استناد الفعل إلى الفاعل اختياراً أو بغير اختيار كالنائم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الشخص المزبور كآلة محضة والفعل مستند إلى سبب آخر، كما لو كان على سطح بيت فوقعت زلزلة أو هبّت ريح عاصف فسقط من الشاهق على إناء زيد فكسره، بل على نفسه فقتله، حيث لا يعدّ هذا فعله وعمله عرفاً حتى غير الاختياري منه، ولا يرونهقاتلاً حتى خطأً، ففي مثله لا إتلاف ولا ضمان، وإنما يُعدُّ ذلك من التلف بآفة سماوية أو أرضية، ويؤكده ما ورد في جملة من الصحاح</w:t>
      </w:r>
      <w:r>
        <w:rPr>
          <w:rStyle w:val="FootnoteAnchor"/>
          <w:rtl w:val="true"/>
        </w:rPr>
        <w:footnoteReference w:id="940"/>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فيما إذا سقط شخص على آخر فمات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الساقط لا يضمن شيئاً والظاهر أن المسألة مما لا خلاف فيها، فلا دية بمقتضى هذه النصوص</w:t>
      </w:r>
      <w:r>
        <w:rPr>
          <w:rFonts w:eastAsia="Amiri" w:cs="Amiri" w:ascii="Amiri" w:hAnsi="Amiri"/>
          <w:color w:val="111111"/>
          <w:sz w:val="28"/>
          <w:szCs w:val="28"/>
          <w:rtl w:val="true"/>
          <w:lang w:bidi="ar-SA"/>
        </w:rPr>
        <w:t>»</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وهذه القاعدة منقوضة بسائر أيدي الأمانة التي لا تضمن إلا بالتعدي والتفريط، كالمستعير فإنه لا يضمن العين إذا تلفت بيده وتصرَّف فيها بحدود ما تقتضيه الإعارة، إلا مع التعدي والتفريط أو الشرط؛ ففي صحيحة محمد بن قيس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قضى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أعار جارية فهلكت من عنده ولم يبغها غائلة، فقضى أن لا يغرمها المعار، ولا يُغرَّم الرجل إذا استأجر الدابة ما لم يكرهها أو يبغها غائلة</w:t>
      </w:r>
      <w:r>
        <w:rPr>
          <w:rFonts w:eastAsia="IRNazanin" w:cs="IRNazanin"/>
          <w:color w:val="111111"/>
          <w:sz w:val="28"/>
          <w:szCs w:val="28"/>
          <w:rtl w:val="true"/>
          <w:lang w:bidi="fa-IR"/>
        </w:rPr>
        <w:t>)</w:t>
      </w:r>
      <w:r>
        <w:rPr>
          <w:rStyle w:val="FootnoteAnchor"/>
          <w:rtl w:val="true"/>
        </w:rPr>
        <w:footnoteReference w:id="942"/>
      </w:r>
      <w:r>
        <w:rPr>
          <w:rFonts w:ascii="IRNazanin" w:hAnsi="IRNazanin" w:eastAsia="IRNazanin"/>
          <w:color w:val="111111"/>
          <w:sz w:val="28"/>
          <w:sz w:val="28"/>
          <w:szCs w:val="28"/>
          <w:rtl w:val="true"/>
          <w:lang w:bidi="fa-IR"/>
        </w:rPr>
        <w:t xml:space="preserve">، وفي صحيحة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هلكت العارية عند المستعير لم يضمنه إلا أن يكون اشترط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صحيحة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العارية يستعيرها الإنسان فتهلك أو تُسرَق؟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أميناً فلا غرم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وأقرَّ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لم تثبت على نحو الموجبة الكلية قاعدة أن كل تالف مضمون،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ثبت شرعاً أن كل إتلاف موجب للضمان</w:t>
      </w:r>
      <w:r>
        <w:rPr>
          <w:rFonts w:eastAsia="Amiri" w:cs="Amiri" w:ascii="Amiri" w:hAnsi="Amiri"/>
          <w:color w:val="111111"/>
          <w:sz w:val="28"/>
          <w:szCs w:val="28"/>
          <w:rtl w:val="true"/>
          <w:lang w:bidi="ar-SA"/>
        </w:rPr>
        <w:t>»</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قيل بأن الإذن تعلق بالمعالجة لا بالتلف قلنا أن المعالجة كانت تقتضي احتمال التلف فالإذن بها إذنٌ بما تحتمله من نتائج وأن الإذن في الفعل يكفي لسقوط الضمان عن يد الأمانة الشرعية والمالكية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يخرج المورد تخصّصاً من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يبطل دم امرئ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صدق عنوان الجناية الموجب للدية على فعل الطبيب</w:t>
      </w:r>
      <w:r>
        <w:rPr>
          <w:rFonts w:eastAsia="Amiri" w:cs="Amiri" w:ascii="Amiri" w:hAnsi="Amiri"/>
          <w:color w:val="111111"/>
          <w:sz w:val="28"/>
          <w:szCs w:val="28"/>
          <w:rtl w:val="true"/>
          <w:lang w:bidi="ar-SA"/>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سياق الرواية التي تضمنت هذا العموم شاهد على ذلك لأنها وردت في سياق التهمة بالقتل ووجود لوث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نفس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الدم الذي أُطلَّ بجناية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نظير دم من وجب قتله بحدٍّ أو قصاص مطلول بأمر الشارع، وهو خارج تخصصاً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يمكن القول بأن الوجوه السابقة تُخصَّص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يبطل دم امرئ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ضير فيه، فإن دمه لا يضمن إذا مات قضاءً وقدراً كما لو حدث زلزال أثناء إجراء العملية أو سقط شيء معلق في السقف على يد الجرّاح أثناء العملية فزلّت وأحدثت تلفاً فلا ضمان على أحد</w:t>
      </w:r>
      <w:r>
        <w:rPr>
          <w:rFonts w:eastAsia="Amiri" w:cs="Amiri" w:ascii="Amiri" w:hAnsi="Amiri"/>
          <w:color w:val="111111"/>
          <w:sz w:val="28"/>
          <w:szCs w:val="28"/>
          <w:rtl w:val="true"/>
          <w:lang w:bidi="ar-SA"/>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رواية السكوني فهي ضعيفة السند لعدم توثيق النوفلي وإن ذكر وجه لقبول روايته</w:t>
      </w:r>
      <w:r>
        <w:rPr>
          <w:rStyle w:val="FootnoteAnchor"/>
          <w:rtl w:val="true"/>
        </w:rPr>
        <w:footnoteReference w:id="944"/>
      </w:r>
      <w:r>
        <w:rPr>
          <w:rFonts w:ascii="Amiri" w:hAnsi="Amiri" w:eastAsia="Amiri" w:cs="Amiri"/>
          <w:color w:val="111111"/>
          <w:sz w:val="28"/>
          <w:sz w:val="28"/>
          <w:szCs w:val="28"/>
          <w:rtl w:val="true"/>
          <w:lang w:bidi="ar-SA"/>
        </w:rPr>
        <w:t>، وهي مما انفرد السكوني بروايتها فلا يعمل بهاالأصحاب قال المحقق في نكت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الأصحاب متفقون على أن الطبيب </w:t>
      </w:r>
    </w:p>
    <w:p>
      <w:pPr>
        <w:pStyle w:val="BookText"/>
        <w:rPr/>
      </w:pPr>
      <w:r>
        <w:rPr>
          <w:rFonts w:ascii="Amiri" w:hAnsi="Amiri" w:eastAsia="Amiri" w:cs="Amiri"/>
          <w:color w:val="111111"/>
          <w:sz w:val="28"/>
          <w:sz w:val="28"/>
          <w:szCs w:val="28"/>
          <w:rtl w:val="true"/>
          <w:lang w:bidi="ar-SA"/>
        </w:rPr>
        <w:t>يضمن ما يتلف بعلاجه، فالعمل على هذا الأصل لا على هذه الرواية؛ لأن الأكثرين يطرحون ما ينفرد به السكوني</w:t>
      </w:r>
      <w:r>
        <w:rPr>
          <w:rFonts w:eastAsia="Amiri" w:cs="Amiri" w:ascii="Amiri" w:hAnsi="Amiri"/>
          <w:color w:val="111111"/>
          <w:sz w:val="28"/>
          <w:szCs w:val="28"/>
          <w:rtl w:val="true"/>
          <w:lang w:bidi="ar-SA"/>
        </w:rPr>
        <w:t>»</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وفيها ما لا يوافق القواعد عند بعض الأجلاء من إسقاط ما لم يجب لذا اعترض عليه ابن إدريس وغيره ممن سنذكرهم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أخذ البراءة من ولي المريض دونه هو يشعر بأن موردها خاص لذا حملها ابن إدريس في كلامه المتقدم على معالجة الصغير أو المجنون بغير إذن وليه فيكون ضامناً ولو كان المريض عاقلاً لوجب أخذ الإذن منه لا من وليه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قيل من توجيه ذكر الولي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هو المطالب على تقدير التلف، فلمّا شرّع الإبراء قبل الاستقرار لمكان الضرورة، صرف إلى من يتولى المطالبة بتقدير وقوع ما يتبرأ منه</w:t>
      </w:r>
      <w:r>
        <w:rPr>
          <w:rFonts w:eastAsia="Amiri" w:cs="Amiri" w:ascii="Amiri" w:hAnsi="Amiri"/>
          <w:color w:val="111111"/>
          <w:sz w:val="28"/>
          <w:szCs w:val="28"/>
          <w:rtl w:val="true"/>
          <w:lang w:bidi="ar-SA"/>
        </w:rPr>
        <w:t>»</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بعيد وأبعد منه ما قيل من أن ذكره بلحاظ أحد الفردين وهو الحيوان لذكر البيطرة في الحديث فإنه مما لا ينبغي أن يقال وأن صاحب الحيوان لا يعبر عنه بالولي وإنما بالمالك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وانقدح في ذهني حملها على معنيين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على نحو الحكم التدبيري والقانون الاجتماعي بأن الطبيب يلزم بالدية ما لم يأخذ البراءة لحث الأطباء على المزيد من اليقظة والحذر والمهارة لذا نسب الحكم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باعتباره مارس قيادة الدولة، مع ملاحظة أن كثيراً من الأطباء البارزين كانوا غير مسلمين مثل أثير السكوني الذي كشف على جرح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وكانمطبباً صاحب الكرسي يعالج الجراحات</w:t>
      </w:r>
      <w:r>
        <w:rPr>
          <w:rFonts w:eastAsia="IRNazanin" w:cs="IRNazanin"/>
          <w:color w:val="111111"/>
          <w:sz w:val="28"/>
          <w:szCs w:val="28"/>
          <w:rtl w:val="true"/>
          <w:lang w:bidi="fa-IR"/>
        </w:rPr>
        <w:t>»</w:t>
      </w:r>
      <w:r>
        <w:rPr>
          <w:rStyle w:val="FootnoteAnchor"/>
          <w:rtl w:val="true"/>
        </w:rPr>
        <w:footnoteReference w:id="947"/>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من سبي عين التمر، فيكون </w:t>
      </w:r>
    </w:p>
    <w:p>
      <w:pPr>
        <w:pStyle w:val="BookText"/>
        <w:rPr/>
      </w:pPr>
      <w:r>
        <w:rPr>
          <w:rFonts w:ascii="Amiri" w:hAnsi="Amiri" w:eastAsia="Amiri" w:cs="Amiri"/>
          <w:color w:val="111111"/>
          <w:sz w:val="28"/>
          <w:sz w:val="28"/>
          <w:szCs w:val="28"/>
          <w:rtl w:val="true"/>
          <w:lang w:bidi="ar-SA"/>
        </w:rPr>
        <w:t>الحكم تدبيرياً صادراً من الولي الفقيه والحاكم الأعلى لتنظيم أمور الرعية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تحمل على الأثر الإثباتي وهو الانتفاع منها في الخصومة أي رد دعوى ذوي المجني عليه لو طالبوا بالضمان لا الثبوتي أي اشتغال ذمة الطبيب بالدية واقعاً للوجوه التي ذكرناها فلا تدل على وجوب الضمان إذا لم يأخذ البراءة، فيكون حكماً إرشادياً لتخليصهم من الضمان عندما لا يكون التلف بتعدٍ أو تفريط، والشاهد على هذا المعنى من نفس الرواية تفريع الضمان على عدم أخذ البراءة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 فهو 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الحكم في المسألة هو الضمان لكان مطلقاً ولم يتوقف على أخذ البراءة، وكذا تضمنت روايات ضمان ذوي المهن والصنائع هذا المعنى</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مضافاً إلى معارضتها برواية إسماعيل المتطبب، والوجوه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والاستدلال برواية السكوني الأخرى في ضمان الختّان قابل للمناقشة لاحتمال أنها في واقعة خاصّة تصدّى فيها غير المؤهل أو أنه تعدّى حدود العمل لأن عملية القص في الختان ليست قرب الحشفة فلا بد أن التلف حصل بتقصير منه فيضمن ولا تدل على محل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الإجماع فيحتمل أنه مدركي مستند إلى رواية السكوني أو قاعدة ضمان المتلفات أو عموم لا يبطل دم امرئ مسلم ونحو ذلك</w:t>
      </w:r>
      <w:r>
        <w:rPr>
          <w:rFonts w:eastAsia="Amiri" w:cs="Amiri" w:ascii="Amiri" w:hAnsi="Amiri"/>
          <w:color w:val="111111"/>
          <w:sz w:val="28"/>
          <w:szCs w:val="28"/>
          <w:rtl w:val="true"/>
          <w:lang w:bidi="ar-SA"/>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يمكن نفي وجوده لعدم وحدة الموضوع في كلماتهم فمنهم من بنى الضمان على عدم حصول الإذن قال الشهيد في شرح الإرشاد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 كثيراً من الأصحاب لم يقيِّد بالإذن وإن كان ظاهرهمالإذن</w:t>
      </w:r>
      <w:r>
        <w:rPr>
          <w:rFonts w:eastAsia="Amiri" w:cs="Amiri" w:ascii="Amiri" w:hAnsi="Amiri"/>
          <w:color w:val="111111"/>
          <w:sz w:val="28"/>
          <w:szCs w:val="28"/>
          <w:rtl w:val="true"/>
          <w:lang w:bidi="ar-SA"/>
        </w:rPr>
        <w:t>»</w:t>
      </w:r>
      <w:r>
        <w:rPr>
          <w:rStyle w:val="FootnoteAnchor"/>
          <w:rtl w:val="true"/>
        </w:rPr>
        <w:footnoteReference w:id="949"/>
      </w:r>
      <w:r>
        <w:rPr>
          <w:rFonts w:ascii="Amiri" w:hAnsi="Amiri" w:eastAsia="Amiri" w:cs="Amiri"/>
          <w:color w:val="111111"/>
          <w:sz w:val="28"/>
          <w:sz w:val="28"/>
          <w:szCs w:val="28"/>
          <w:rtl w:val="true"/>
          <w:lang w:bidi="ar-SA"/>
        </w:rPr>
        <w:t xml:space="preserve">، بل صرح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حكم الأصحاب بالضمان ناظر إلى عدم الإذن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قد يحمل كلام الأصحاب أيضاً على عدم الإذن</w:t>
      </w:r>
      <w:r>
        <w:rPr>
          <w:rFonts w:eastAsia="Amiri" w:cs="Amiri" w:ascii="Amiri" w:hAnsi="Amiri"/>
          <w:color w:val="111111"/>
          <w:sz w:val="28"/>
          <w:szCs w:val="28"/>
          <w:rtl w:val="true"/>
          <w:lang w:bidi="ar-SA"/>
        </w:rPr>
        <w:t>»</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من افترض التقصير في عمل المعالج، 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موت المختون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القتل بالآخرة يستند إلى الختّان</w:t>
      </w:r>
      <w:r>
        <w:rPr>
          <w:rFonts w:eastAsia="Amiri" w:cs="Amiri" w:ascii="Amiri" w:hAnsi="Amiri"/>
          <w:color w:val="111111"/>
          <w:sz w:val="28"/>
          <w:szCs w:val="28"/>
          <w:rtl w:val="true"/>
          <w:lang w:bidi="ar-SA"/>
        </w:rPr>
        <w:t>»</w:t>
      </w:r>
      <w:r>
        <w:rPr>
          <w:rStyle w:val="FootnoteAnchor"/>
          <w:rtl w:val="true"/>
        </w:rPr>
        <w:footnoteReference w:id="951"/>
      </w:r>
    </w:p>
    <w:p>
      <w:pPr>
        <w:pStyle w:val="BookText"/>
        <w:rPr/>
      </w:pPr>
      <w:r>
        <w:rPr>
          <w:rFonts w:ascii="IRNazanin" w:hAnsi="IRNazanin" w:eastAsia="IRNazanin"/>
          <w:color w:val="111111"/>
          <w:sz w:val="28"/>
          <w:sz w:val="28"/>
          <w:szCs w:val="28"/>
          <w:rtl w:val="true"/>
          <w:lang w:bidi="fa-IR"/>
        </w:rPr>
        <w:t xml:space="preserve">لذا استدل بصحيحة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أصحاب الصنائع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عامل أعطيته أجراً على أن يصلح فأفسد فهو ضامن</w:t>
      </w:r>
      <w:r>
        <w:rPr>
          <w:rFonts w:eastAsia="IRNazanin" w:cs="IRNazanin"/>
          <w:color w:val="111111"/>
          <w:sz w:val="28"/>
          <w:szCs w:val="28"/>
          <w:rtl w:val="true"/>
          <w:lang w:bidi="fa-IR"/>
        </w:rPr>
        <w:t>)</w:t>
      </w:r>
      <w:r>
        <w:rPr>
          <w:rStyle w:val="FootnoteAnchor"/>
          <w:rtl w:val="true"/>
        </w:rPr>
        <w:footnoteReference w:id="952"/>
      </w:r>
      <w:r>
        <w:rPr>
          <w:rFonts w:ascii="Amiri" w:hAnsi="Amiri" w:eastAsia="Amiri" w:cs="Amiri"/>
          <w:color w:val="111111"/>
          <w:sz w:val="28"/>
          <w:sz w:val="28"/>
          <w:szCs w:val="28"/>
          <w:rtl w:val="true"/>
          <w:lang w:bidi="ar-SA"/>
        </w:rPr>
        <w:t xml:space="preserve">وهي ظاهرة في إفساده ولا خلاف في الضمان وبه صرّح صاحب العروة في كلامه الآتي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واقتصر عليه وكأنّه يتوقّف في محل البحث أو يقول بعدم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إدخال الطبيب في مسألة ضمان أصحاب الصنائع كالخياط والنجار والحمال ففيه جهة افتراق لأن تعاملهم مع ما بأيديهم وهي جمادات لا تملك لنفسها شيئاً فلا يتصور سبب التلف إلا من الصانع وهو ليس كتعامل الطبيب مع المريض صاحب الجسم المعقد فيوجد ألف سبب وسبب للتلف مما نعلم أو لا نعلم لا يكون الطبيب مسؤولاً لها</w:t>
      </w:r>
      <w:r>
        <w:rPr>
          <w:rFonts w:eastAsia="Amiri" w:cs="Amiri" w:ascii="Amiri" w:hAnsi="Amiri"/>
          <w:color w:val="111111"/>
          <w:sz w:val="28"/>
          <w:szCs w:val="28"/>
          <w:rtl w:val="true"/>
          <w:lang w:bidi="ar-SA"/>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القائلين بعدم الضمان في أهل الصنائع ليسوا قلة كما نقلنا عن بعضهم وتوقف جماعة</w:t>
      </w:r>
      <w:r>
        <w:rPr>
          <w:rStyle w:val="FootnoteAnchor"/>
          <w:rtl w:val="true"/>
        </w:rPr>
        <w:footnoteReference w:id="953"/>
      </w:r>
      <w:r>
        <w:rPr>
          <w:rFonts w:ascii="IRNazanin" w:hAnsi="IRNazanin" w:eastAsia="IRNazanin"/>
          <w:color w:val="111111"/>
          <w:sz w:val="28"/>
          <w:sz w:val="28"/>
          <w:szCs w:val="28"/>
          <w:rtl w:val="true"/>
          <w:lang w:bidi="fa-IR"/>
        </w:rPr>
        <w:t xml:space="preserve">منهم صاحب العروة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 الروايات التي أوجبت الضمان ظاهرة بل صريحة في كون الصانع مسؤولاً عن التلف لقول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فأفسد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كصحيحة الحلبي المتقدمة ومثلها صحيحة أبي الصباح ورواية أبي الصباح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الثوبأدفعه إلى القصّار فيخرقه؟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أغرمه فإنك إنما دفعته إليه </w:t>
      </w:r>
    </w:p>
    <w:p>
      <w:pPr>
        <w:pStyle w:val="BookText"/>
        <w:rPr/>
      </w:pPr>
      <w:r>
        <w:rPr>
          <w:rFonts w:ascii="Amiri" w:hAnsi="Amiri" w:eastAsia="Amiri" w:cs="Amiri"/>
          <w:color w:val="111111"/>
          <w:sz w:val="28"/>
          <w:sz w:val="28"/>
          <w:szCs w:val="28"/>
          <w:rtl w:val="true"/>
          <w:lang w:bidi="ar-SA"/>
        </w:rPr>
        <w:t>ليصلحه ولم تدفع إليه ليفسده</w:t>
      </w:r>
      <w:r>
        <w:rPr>
          <w:rFonts w:eastAsia="Amiri" w:cs="Amiri" w:ascii="Amiri" w:hAnsi="Amiri"/>
          <w:color w:val="111111"/>
          <w:sz w:val="28"/>
          <w:szCs w:val="28"/>
          <w:rtl w:val="true"/>
          <w:lang w:bidi="ar-SA"/>
        </w:rPr>
        <w:t>)</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لظهوره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صحيح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لم يعمل ما كان مأذوناً فيه فكان أجيراً على أن يصلح فأفسد، لا أنه أتى ما أُمر به وترتّب عليه الفساد خارجاً</w:t>
      </w:r>
      <w:r>
        <w:rPr>
          <w:rFonts w:eastAsia="Amiri" w:cs="Amiri" w:ascii="Amiri" w:hAnsi="Amiri"/>
          <w:color w:val="111111"/>
          <w:sz w:val="28"/>
          <w:szCs w:val="28"/>
          <w:rtl w:val="true"/>
          <w:lang w:bidi="ar-SA"/>
        </w:rPr>
        <w:t>»</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لذا نفت عدة روايات الضمان إذا لم يكن متّهماً بالتقصير كصحيحة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يضمن الصائغ ولا القصّار ولا الحائك إلا أن يكونوا متهمين</w:t>
      </w:r>
      <w:r>
        <w:rPr>
          <w:rFonts w:eastAsia="IRNazanin" w:cs="IRNazanin"/>
          <w:color w:val="111111"/>
          <w:sz w:val="28"/>
          <w:szCs w:val="28"/>
          <w:rtl w:val="true"/>
          <w:lang w:bidi="fa-IR"/>
        </w:rPr>
        <w:t>)</w:t>
      </w:r>
      <w:r>
        <w:rPr>
          <w:rStyle w:val="FootnoteAnchor"/>
          <w:rtl w:val="true"/>
        </w:rPr>
        <w:footnoteReference w:id="956"/>
      </w:r>
      <w:r>
        <w:rPr>
          <w:rFonts w:ascii="IRNazanin" w:hAnsi="IRNazanin" w:eastAsia="IRNazanin"/>
          <w:color w:val="111111"/>
          <w:sz w:val="28"/>
          <w:sz w:val="28"/>
          <w:szCs w:val="28"/>
          <w:rtl w:val="true"/>
          <w:lang w:bidi="fa-IR"/>
        </w:rPr>
        <w:t xml:space="preserve">وصحيحة معاوية بن عمار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الصبّاغ والقصّار؟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يضمنان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إذا كانا مأمونين، فأما إذا اتهما ضمنا حسب ما قدمنا، وقد ينصرف المورد إلى دعوى أن التلف بسبب خارجي كالسرقة أو الحرق أو الفقدان ونحو ذلك إلا أن الأصحاب لم يفرقوا في أسباب التلف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رواية بكر بن حبيب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يضمن القصّار إلا ما جنت يداه، وإن اتهمته أحلفته</w:t>
      </w:r>
      <w:r>
        <w:rPr>
          <w:rFonts w:eastAsia="IRNazanin" w:cs="IRNazanin"/>
          <w:color w:val="111111"/>
          <w:sz w:val="28"/>
          <w:szCs w:val="28"/>
          <w:rtl w:val="true"/>
          <w:lang w:bidi="fa-IR"/>
        </w:rPr>
        <w:t>)</w:t>
      </w:r>
      <w:r>
        <w:rPr>
          <w:rStyle w:val="FootnoteAnchor"/>
          <w:rtl w:val="true"/>
        </w:rPr>
        <w:footnoteReference w:id="957"/>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دلالة على عدم الضمان مع عدم صدق عنوان الجناية، واعترف صاحب الجواهر بأن مقتضى التحقيق 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نقل قول الأصحاب بضمان أهل الصنائع لاستناد التلف إلى فعلهم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ولكن قد يناقش بعدم صدق الجناية على ذلك، ونحوه مما بين مستأجر عليه ومأذون فيه، بل لعل ذلك هو التحقيق في المسألة، وبين ضمان الصناع لما يجنيه أيديهم وإن كان من غير تقصير منهم، بل وكذا الطبيب والبيطار إذا حصل التلف بالطبابة والبيطرة، ولعل ذلكمقتضى </w:t>
      </w:r>
    </w:p>
    <w:p>
      <w:pPr>
        <w:pStyle w:val="BookText"/>
        <w:rPr/>
      </w:pPr>
      <w:r>
        <w:rPr>
          <w:rFonts w:ascii="IRNazanin" w:hAnsi="IRNazanin" w:eastAsia="IRNazanin"/>
          <w:color w:val="111111"/>
          <w:sz w:val="28"/>
          <w:sz w:val="28"/>
          <w:szCs w:val="28"/>
          <w:rtl w:val="true"/>
          <w:lang w:bidi="fa-IR"/>
        </w:rPr>
        <w:t>القاعدة فضلاً عن النصوص التي سمعت جملة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خبر بكر بن حبيب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يضمن القصار إلا ما جنت يداه، وإن اتهمته أحلفته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وحينئذ لا ضمان مع عدم الفساد من حيث الصنعة والعمل، وإن اتفق نقصان قيمة الثوب مثلاً بحصول العمل منه، وكذا المأمور بالختن والحجامة ونحوهما، ولم يكن منه فساد وخيانة من حيث العمل المأمور به، وإن اتفق التلف به</w:t>
      </w:r>
      <w:r>
        <w:rPr>
          <w:rFonts w:eastAsia="IRNazanin" w:cs="IRNazanin"/>
          <w:color w:val="111111"/>
          <w:sz w:val="28"/>
          <w:szCs w:val="28"/>
          <w:rtl w:val="true"/>
          <w:lang w:bidi="fa-IR"/>
        </w:rPr>
        <w:t>»</w:t>
      </w:r>
      <w:r>
        <w:rPr>
          <w:rStyle w:val="FootnoteAnchor"/>
          <w:rtl w:val="true"/>
        </w:rPr>
        <w:footnoteReference w:id="958"/>
      </w:r>
    </w:p>
    <w:p>
      <w:pPr>
        <w:pStyle w:val="BookText"/>
        <w:rPr/>
      </w:pPr>
      <w:r>
        <w:rPr>
          <w:rFonts w:ascii="Amiri" w:hAnsi="Amiri" w:eastAsia="Amiri" w:cs="Amiri"/>
          <w:color w:val="111111"/>
          <w:sz w:val="28"/>
          <w:sz w:val="28"/>
          <w:szCs w:val="28"/>
          <w:rtl w:val="true"/>
          <w:lang w:bidi="ar-SA"/>
        </w:rPr>
        <w:t xml:space="preserve">ثم 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القول بضمان الطبيب لنفس الوجوه التي ذكرها في باب الديات وقد تقدمت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ويمكن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الحكم بالضمان هو حكم تدبيري وقانون اجتماعي اتخذ لضمان أموال الناس وتشديد الحرص عليها من أهل الصنائع ويدل عليه صحيحة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يضمّن القصّار والصائغ يحتاط به على أموال الناس</w:t>
      </w:r>
      <w:r>
        <w:rPr>
          <w:rFonts w:eastAsia="IRNazanin" w:cs="IRNazanin"/>
          <w:color w:val="111111"/>
          <w:sz w:val="28"/>
          <w:szCs w:val="28"/>
          <w:rtl w:val="true"/>
          <w:lang w:bidi="fa-IR"/>
        </w:rPr>
        <w:t>)</w:t>
      </w:r>
      <w:r>
        <w:rPr>
          <w:rStyle w:val="FootnoteAnchor"/>
          <w:rtl w:val="true"/>
        </w:rPr>
        <w:footnoteReference w:id="959"/>
      </w:r>
      <w:r>
        <w:rPr>
          <w:rFonts w:ascii="IRNazanin" w:hAnsi="IRNazanin" w:eastAsia="IRNazanin"/>
          <w:color w:val="111111"/>
          <w:sz w:val="28"/>
          <w:sz w:val="28"/>
          <w:szCs w:val="28"/>
          <w:rtl w:val="true"/>
          <w:lang w:bidi="fa-IR"/>
        </w:rPr>
        <w:t xml:space="preserve">، وهو وجه نسبة الحكم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مارس قيادة الدولة وتنظيم أمور الرعية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المترددون والمخالفون للمشهور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ولعله لأجل هذه الوجوه أو بعضها تردد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ما يُشعر به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قلنا لا يضمن، وإن قلنا يضمن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الإرشاد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أذن له البالغ فآل إلى التلف ضمن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وتمسّك ابن إدريس بالأصل الذي هو وظيفة الشاك لنفي الضمان، وجزم العلامة في التحرير بعدمه،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الختّان والحجّام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لم يتجاوز محل القطع مع حذقهم في الصنعة فاتفق التلف فإنهم لا يضمنون</w:t>
      </w:r>
      <w:r>
        <w:rPr>
          <w:rFonts w:eastAsia="Amiri" w:cs="Amiri" w:ascii="Amiri" w:hAnsi="Amiri"/>
          <w:color w:val="111111"/>
          <w:sz w:val="28"/>
          <w:szCs w:val="28"/>
          <w:rtl w:val="true"/>
          <w:lang w:bidi="ar-SA"/>
        </w:rPr>
        <w:t>»</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واحتمل المحقق الأردبيلي عدم الضمان بل يظهر منه الميل إليه، قال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عدم الضمان مع الإذن محتمل لأنه ما قصد الإتلاف وما قصّر مع أنه استأذن وحاصله أنه يفعل ما يقتضيه علمه ولم يكن عليه بهشيء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ذلك قد يجب عليه، إذ قد يكون ذلك من الواجب الكفائي بل قد يصير عينياً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ثبت شرعاً أن كل إتلاف موجب للضمان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لم يثبت على نحو الموجبة الكلية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ورواية الختان قد تحمل على ما حملها ابن إدريس من التفريط بعد تسليم الصحة، بل قد يحمل كلام الأصحاب أيضاً على عدم الإذن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وإنك قد عرفت ما في أمثال هذه الإجماعات</w:t>
      </w:r>
      <w:r>
        <w:rPr>
          <w:rFonts w:eastAsia="Amiri" w:cs="Amiri" w:ascii="Amiri" w:hAnsi="Amiri"/>
          <w:color w:val="111111"/>
          <w:sz w:val="28"/>
          <w:szCs w:val="28"/>
          <w:rtl w:val="true"/>
          <w:lang w:bidi="ar-SA"/>
        </w:rPr>
        <w:t>»</w:t>
      </w:r>
      <w:r>
        <w:rPr>
          <w:rStyle w:val="FootnoteAnchor"/>
          <w:rtl w:val="true"/>
        </w:rPr>
        <w:footnoteReference w:id="9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واستقربه المحقق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كلامه الآتي </w:t>
      </w:r>
      <w:r>
        <w:rPr>
          <w:rStyle w:val="FootnoteAnchor"/>
          <w:rtl w:val="true"/>
        </w:rPr>
        <w:footnoteReference w:id="962"/>
      </w:r>
    </w:p>
    <w:p>
      <w:pPr>
        <w:pStyle w:val="BookText"/>
        <w:rPr/>
      </w:pPr>
      <w:r>
        <w:rPr>
          <w:rFonts w:ascii="Amiri" w:hAnsi="Amiri" w:eastAsia="Amiri" w:cs="Amiri"/>
          <w:color w:val="111111"/>
          <w:sz w:val="28"/>
          <w:sz w:val="28"/>
          <w:szCs w:val="28"/>
          <w:rtl w:val="true"/>
          <w:lang w:bidi="ar-SA"/>
        </w:rPr>
        <w:t xml:space="preserve">وذهب الشيخ الأصفهاني إلى استحالة القول بضمان الطبيب في كلامه المتقدم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ويظهر من السيد صاحب العروة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يستشكل في الضمان فإنه بعد أن ذكر الحجّام والكحّال والبيطار والختّان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وكل من آجر نفسه لعمل في مال المستأجر إذا أفسده يكون ضامناً إذا تجاوز عن الحد المأذون فيه، وإن كان بغير قصده لعموم من أتلف وللصحيح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الرجل يعطى الثوب ليصبغه فيفسده،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عامل أعطيته أجراً على أن يصلح فأفسد فهو ضامن</w:t>
      </w:r>
      <w:r>
        <w:rPr>
          <w:rFonts w:eastAsia="IRNazanin" w:cs="IRNazanin"/>
          <w:color w:val="111111"/>
          <w:sz w:val="28"/>
          <w:szCs w:val="28"/>
          <w:rtl w:val="true"/>
          <w:lang w:bidi="fa-IR"/>
        </w:rPr>
        <w:t>)</w:t>
      </w:r>
      <w:r>
        <w:rPr>
          <w:rStyle w:val="FootnoteAnchor"/>
          <w:rtl w:val="true"/>
        </w:rPr>
        <w:footnoteReference w:id="964"/>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ظاهر المشهور ضمانه وإن لم يتجاوز عن الحد المأذون فيه، ولكنه مشكل فلو مات الولد بسبب الختان مع كون الختان حاذقاً من غير أن يتعدى عن محل القطع بأن كان أصل الختان مضراً به في ضمانه إشكال</w:t>
      </w:r>
      <w:r>
        <w:rPr>
          <w:rFonts w:eastAsia="Amiri" w:cs="Amiri" w:ascii="Amiri" w:hAnsi="Amiri"/>
          <w:color w:val="111111"/>
          <w:sz w:val="28"/>
          <w:szCs w:val="28"/>
          <w:rtl w:val="true"/>
          <w:lang w:bidi="ar-SA"/>
        </w:rPr>
        <w:t>»</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 xml:space="preserve">. </w:t>
      </w:r>
      <w:bookmarkStart w:id="873" w:name="pg8133_63242"/>
    </w:p>
    <w:p>
      <w:pPr>
        <w:pStyle w:val="BookText"/>
        <w:rPr/>
      </w:pPr>
      <w:bookmarkEnd w:id="873"/>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سنذكر في ما ننقله عن الرسالة العملية أن عدم الضمان في هذه الحالة إذا كان الختّان مستأجراً لإجراء عملية الختان ولم يكن من وظيفته الكشف عن صحة الطفل ومعرفة قابليته لإجراء الختان، أما إذا كانمن وظيفته ذلك كالطبيب الجراح فإنه ضامن لو ختن الطفل من دون ملاحظة هذه الجهة ثم تضرر الطفل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الإشكال يعم القول بضمان الطبيب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السيد 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التالية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الطبيب المباشر للعلاج إذا أفسد ضامن وإن كان حاذقاً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ظاهر في خصوص حصول الفساد بسببه، وإلا يُسأل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الفرق بين الطبيب وغيره من أهل الصنائع الذين أشكل على ضمانهم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واستظهر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رسالته العملية عدم الضمان ووافقه الشهيد الصدر الأول في تعليقته</w:t>
      </w:r>
      <w:r>
        <w:rPr>
          <w:rStyle w:val="FootnoteAnchor"/>
          <w:rtl w:val="true"/>
        </w:rPr>
        <w:footnoteReference w:id="966"/>
      </w:r>
    </w:p>
    <w:p>
      <w:pPr>
        <w:pStyle w:val="BookText"/>
        <w:rPr/>
      </w:pPr>
      <w:r>
        <w:rPr>
          <w:rFonts w:ascii="Amiri" w:hAnsi="Amiri" w:eastAsia="Amiri" w:cs="Amiri"/>
          <w:color w:val="111111"/>
          <w:sz w:val="28"/>
          <w:sz w:val="28"/>
          <w:szCs w:val="28"/>
          <w:rtl w:val="true"/>
          <w:lang w:bidi="ar-SA"/>
        </w:rPr>
        <w:t>واشترطا في ضمان الطبيب صدق الإفساد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وعلق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حاشيته على العروة الوثقى على الإشكال بقوله والأقوى عدم الضمان، وكذا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 ذلك الظاهر هو الضمان في مسألة الختان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قال في مسألة لاحقة بضمان الطبيب</w:t>
      </w:r>
      <w:r>
        <w:rPr>
          <w:rFonts w:eastAsia="Amiri" w:cs="Amiri" w:ascii="Amiri" w:hAnsi="Amiri"/>
          <w:color w:val="111111"/>
          <w:sz w:val="28"/>
          <w:szCs w:val="28"/>
          <w:rtl w:val="true"/>
          <w:lang w:bidi="ar-SA"/>
        </w:rPr>
        <w:t>.</w:t>
      </w:r>
    </w:p>
    <w:p>
      <w:pPr>
        <w:pStyle w:val="Heading6"/>
        <w:numPr>
          <w:ilvl w:val="5"/>
          <w:numId w:val="1"/>
        </w:numPr>
        <w:rPr/>
      </w:pPr>
      <w:bookmarkStart w:id="874" w:name="__RefHeading___Toc8193605_1051229030"/>
      <w:bookmarkStart w:id="875" w:name="_Toc314"/>
      <w:bookmarkEnd w:id="874"/>
      <w:r>
        <w:rPr>
          <w:rtl w:val="true"/>
        </w:rPr>
        <w:t>إيقاظ</w:t>
      </w:r>
      <w:r>
        <w:rPr>
          <w:rtl w:val="true"/>
        </w:rPr>
        <w:t xml:space="preserve">: </w:t>
      </w:r>
      <w:r>
        <w:rPr>
          <w:rtl w:val="true"/>
        </w:rPr>
        <w:t>الخلاف لا موضوع له</w:t>
      </w:r>
      <w:r>
        <w:rPr>
          <w:rtl w:val="true"/>
        </w:rPr>
        <w:t>:</w:t>
      </w:r>
      <w:bookmarkEnd w:id="875"/>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يكون الخلاف بلا موضوع لأن التلف إما أن يحصل بقصور أو تقصير من الطبيب فعليه الضمان بلا إشكال، أو من المريض كما لو أخفى مرضاً عنده لا يجوز معه تخديره كلياً فلما خدروه مات، وحينئذٍ لا ضمان </w:t>
      </w:r>
    </w:p>
    <w:p>
      <w:pPr>
        <w:pStyle w:val="BookText"/>
        <w:rPr/>
      </w:pPr>
      <w:r>
        <w:rPr>
          <w:rFonts w:ascii="Amiri" w:hAnsi="Amiri" w:eastAsia="Amiri" w:cs="Amiri"/>
          <w:color w:val="111111"/>
          <w:sz w:val="28"/>
          <w:sz w:val="28"/>
          <w:szCs w:val="28"/>
          <w:rtl w:val="true"/>
          <w:lang w:bidi="ar-SA"/>
        </w:rPr>
        <w:t>على الطبيب، وهكذا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يكون التلف مما تقتضيه نفس العملية لأن الطبيب حينما يقول إن نسبة النجاح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بالمائة فهذا يعني أن فيها نسبة فشل بمقدار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بالمائة وهذا مما لا يضمنه الطبيب لأنه ليس هو سبب الإتلاف وإنما تقتضيه طبيعة العملية كتوقف القلب في عملية القلب المفتوح مثلاً، وهو ما تشمله روايةالسكوني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كان لا يضمن من الغرق والحرق والشيء الغالب</w:t>
      </w:r>
      <w:r>
        <w:rPr>
          <w:rFonts w:eastAsia="IRNazanin" w:cs="IRNazanin"/>
          <w:color w:val="111111"/>
          <w:sz w:val="28"/>
          <w:szCs w:val="28"/>
          <w:rtl w:val="true"/>
          <w:lang w:bidi="fa-IR"/>
        </w:rPr>
        <w:t>)</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ونستطيع أن نقول إن هذا هو السبب في قول بعض الأصحاب بعدم الضمان أو ترددهم فيه وأنه ظاهر من كلماتهم كالمحقق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الكفاية فإنه بعد نقل قول العلامة في التحرير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لم يتجاوز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الختّان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القطع مع حذقهم في الصنعة واتفق التلف فإنهم لا يضمّنون</w:t>
      </w:r>
      <w:r>
        <w:rPr>
          <w:rFonts w:eastAsia="Amiri" w:cs="Amiri" w:ascii="Amiri" w:hAnsi="Amiri"/>
          <w:color w:val="111111"/>
          <w:sz w:val="28"/>
          <w:szCs w:val="28"/>
          <w:rtl w:val="true"/>
          <w:lang w:bidi="ar-SA"/>
        </w:rPr>
        <w:t>»</w:t>
      </w:r>
      <w:r>
        <w:rPr>
          <w:rStyle w:val="FootnoteAnchor"/>
          <w:rtl w:val="true"/>
        </w:rPr>
        <w:footnoteReference w:id="96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غير بعيد ويجري مثله في الطبيب، بل قيل إنه يجري في الصانع بأن فُرِض أنه ما فرّط ولا تعدى في القصر والصبغ أصلاً، إلا أن الثوب كان بحيث لو لم يصبغ ولم يقصّر لم يمزّق، وكان متهيئاً لقبول ذلك وهو غير بعيد</w:t>
      </w:r>
      <w:r>
        <w:rPr>
          <w:rFonts w:eastAsia="Amiri" w:cs="Amiri" w:ascii="Amiri" w:hAnsi="Amiri"/>
          <w:color w:val="111111"/>
          <w:sz w:val="28"/>
          <w:szCs w:val="28"/>
          <w:rtl w:val="true"/>
          <w:lang w:bidi="ar-SA"/>
        </w:rPr>
        <w:t>»</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ولعله أيضاً السبب في توقف السيد 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الضمان عندما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كان أصل الختان مضرّاً به</w:t>
      </w:r>
      <w:r>
        <w:rPr>
          <w:rFonts w:eastAsia="Amiri" w:cs="Amiri" w:ascii="Amiri" w:hAnsi="Amiri"/>
          <w:color w:val="111111"/>
          <w:sz w:val="28"/>
          <w:szCs w:val="28"/>
          <w:rtl w:val="true"/>
          <w:lang w:bidi="ar-SA"/>
        </w:rPr>
        <w:t xml:space="preserve">» </w:t>
      </w:r>
      <w:r>
        <w:rPr>
          <w:rStyle w:val="FootnoteAnchor"/>
          <w:rtl w:val="true"/>
        </w:rPr>
        <w:footnoteReference w:id="970"/>
      </w:r>
      <w:r>
        <w:rPr>
          <w:rFonts w:ascii="Amiri" w:hAnsi="Amiri" w:eastAsia="Amiri" w:cs="Amiri"/>
          <w:color w:val="111111"/>
          <w:sz w:val="28"/>
          <w:sz w:val="28"/>
          <w:szCs w:val="28"/>
          <w:rtl w:val="true"/>
          <w:lang w:bidi="ar-SA"/>
        </w:rPr>
        <w:t>أي أن نفس العملية موجبة للضرر والتلف، فدقّق</w:t>
      </w:r>
      <w:r>
        <w:rPr>
          <w:rFonts w:eastAsia="Amiri" w:cs="Amiri" w:ascii="Amiri" w:hAnsi="Amiri"/>
          <w:color w:val="111111"/>
          <w:sz w:val="28"/>
          <w:szCs w:val="28"/>
          <w:rtl w:val="true"/>
          <w:lang w:bidi="ar-SA"/>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وأرجع إلى التعبير الدقيق الذي تقدم في النقطة التاسعة ليزداد الأمر </w:t>
      </w:r>
    </w:p>
    <w:p>
      <w:pPr>
        <w:pStyle w:val="BookText"/>
        <w:rPr/>
      </w:pPr>
      <w:r>
        <w:rPr>
          <w:rFonts w:ascii="Amiri" w:hAnsi="Amiri" w:eastAsia="Amiri" w:cs="Amiri"/>
          <w:color w:val="111111"/>
          <w:sz w:val="28"/>
          <w:sz w:val="28"/>
          <w:szCs w:val="28"/>
          <w:rtl w:val="true"/>
          <w:lang w:bidi="ar-SA"/>
        </w:rPr>
        <w:t>وضوحاً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ونفس السبب يرد في أهل الصنائع أيضاً كما لو أن التيار الكهربائي المشغّل لماكنة الخياط أو الحداد جاء إلى الجهاز بفرط عالٍ غير محتسب فأسرعت الماكنة بقوة وتلف القماش فلا ضمان على الخياط لأن السبب أقوى من المباشر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لو تلف في يد الصانع لا بسببه، من غير تفريط ولا تعدّ لم يضمن على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وقوّاه في المسالك، ونفى عنه الخلاف في الجواهر</w:t>
      </w:r>
      <w:r>
        <w:rPr>
          <w:rStyle w:val="FootnoteAnchor"/>
          <w:rtl w:val="true"/>
        </w:rPr>
        <w:footnoteReference w:id="971"/>
      </w:r>
    </w:p>
    <w:p>
      <w:pPr>
        <w:pStyle w:val="BookText"/>
        <w:rPr/>
      </w:pPr>
      <w:r>
        <w:rPr>
          <w:rFonts w:ascii="Amiri" w:hAnsi="Amiri" w:eastAsia="Amiri" w:cs="Amiri"/>
          <w:color w:val="111111"/>
          <w:sz w:val="28"/>
          <w:sz w:val="28"/>
          <w:szCs w:val="28"/>
          <w:rtl w:val="true"/>
          <w:lang w:bidi="ar-SA"/>
        </w:rPr>
        <w:t>وهو مطلق شامل لما لو حصلالتلف بسبب نفس العمل أو العملية ولم يكن الصانع والمباشر إلا أداة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المشهور إلى إمكان تخلص الطبيب من الضمان بأخذ البراءة من المريض قبل العملية إذا كان بالغاً عاقلاً وإن كان صغيراً أو مجنوناً أخذها من وليه وحكى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ظاهر الغنية أو صريحها الإجماع عليه لرواية السكوني المتقدمة والتعليل الذي ورد في كلام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w:t>
      </w:r>
      <w:r>
        <w:rPr>
          <w:rStyle w:val="FootnoteAnchor"/>
          <w:rtl w:val="true"/>
        </w:rPr>
        <w:footnoteReference w:id="97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وحاصله أن حاجة المجتمع إلى الطبيب تقتضي إيجاد وسيلة لبراءته من الضمان لو حصل تلف من دون تعدٍّ أو تفريط، وإلا سوف لا تجد من يتطبَّب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نكت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أستبعد الإبراء من المريض فإنه فعل مأذون فيه، والمجني عليه إذا أذن في الجناية سقط ضمانها، فكيف بإذنه في المباح المأذون في فعله</w:t>
      </w:r>
      <w:r>
        <w:rPr>
          <w:rFonts w:eastAsia="Amiri" w:cs="Amiri" w:ascii="Amiri" w:hAnsi="Amiri"/>
          <w:color w:val="111111"/>
          <w:sz w:val="28"/>
          <w:szCs w:val="28"/>
          <w:rtl w:val="true"/>
          <w:lang w:bidi="ar-SA"/>
        </w:rPr>
        <w:t>»</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قول المشهور قابل للمناقشة لقصور المقتضي ووجود المانع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المقتضي وهي رواية السكوني فإنها غير تامة السند وتحتمل عدة معانٍ غير ما ذكره المشهور كتحصيل البراءة بعد وقوع التلف كما عن الجواهر أو أنها في مورد خاص وهو معالجة الصغير والمجنون بقرينة ذكر الولي فلا إطلاق لها يستدل به المشهور، أو أن أخذ البراءة بمعنى أخذ الإذن كما نقلنا عن الأصفهاني وهو حاصل، أو أنه أمر تدبيري أو إرشادي كما احتملنا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المانع فمن جهتين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إسقاط ما لم يجب وهو على خلاف القواعد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الإنسان لا يملك مثل هذه السلطنة على نفسه مطلقاً أو في خصوص الوفاة وتلف الأعضاء الرئيسية كما سيأتي إن شاء الله تعالى،فكيف يجوز له منح البراءة مما لا حق له فيه، قال الشيخ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نقلناه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والإذن في إتلاف نفسه أو طرفه غير سائغ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لذا جزم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حاشيته على إرشاد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البراءة</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وحكي عن ابن إدريس عدم سقوط الضمان لأنه إسقاط الحق قبل ثبوته ولنفس التعليل تأمل الشيخ ضياء العراقي في السقوط بالبراءة</w:t>
      </w:r>
      <w:r>
        <w:rPr>
          <w:rStyle w:val="FootnoteAnchor"/>
          <w:rtl w:val="true"/>
        </w:rPr>
        <w:footnoteReference w:id="975"/>
      </w:r>
      <w:r>
        <w:rPr>
          <w:rFonts w:ascii="IRNazanin" w:hAnsi="IRNazanin" w:eastAsia="IRNazanin"/>
          <w:color w:val="111111"/>
          <w:sz w:val="28"/>
          <w:sz w:val="28"/>
          <w:szCs w:val="28"/>
          <w:rtl w:val="true"/>
          <w:lang w:bidi="fa-IR"/>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نقلناه </w:t>
      </w:r>
      <w:r>
        <w:rPr>
          <w:rStyle w:val="FootnoteAnchor"/>
          <w:rtl w:val="true"/>
        </w:rPr>
        <w:footnoteReference w:id="97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فإشكال البراءة عن الضمان قبل حدوث موجبه موجه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وسلَّم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بالإشكال على طبق القواعد إلا أنه احتج برواية السكوني التي بنى على اعتبارها،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موقع للاستشكال بأنه من قبيل إسقاط ما لم يجب حيث أن الضمان </w:t>
      </w:r>
    </w:p>
    <w:p>
      <w:pPr>
        <w:pStyle w:val="BookText"/>
        <w:rPr/>
      </w:pPr>
      <w:r>
        <w:rPr>
          <w:rFonts w:ascii="Amiri" w:hAnsi="Amiri" w:eastAsia="Amiri" w:cs="Amiri"/>
          <w:color w:val="111111"/>
          <w:sz w:val="28"/>
          <w:sz w:val="28"/>
          <w:szCs w:val="28"/>
          <w:rtl w:val="true"/>
          <w:lang w:bidi="ar-SA"/>
        </w:rPr>
        <w:t>إنما يكون بعد الإفساد فقبله لا موضوع للبراءة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إنما يتم لو كان الحكم مستنداً إلى القاعدة والموازين العامة، وأما مع الاستناد إلى الرواية الخاصة الناطقة بذلك فلا وجه له</w:t>
      </w:r>
      <w:r>
        <w:rPr>
          <w:rFonts w:eastAsia="Amiri" w:cs="Amiri" w:ascii="Amiri" w:hAnsi="Amiri"/>
          <w:color w:val="111111"/>
          <w:sz w:val="28"/>
          <w:szCs w:val="28"/>
          <w:rtl w:val="true"/>
          <w:lang w:bidi="ar-SA"/>
        </w:rPr>
        <w:t>»</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لذا تردد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واكتفى بنقل القولين، وتردد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حيث قال في الإرشاد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يبرأ بالإبراء قبله؟ فيه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يرجّح أحدهما وكذا 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وبنى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الإشكال إلا أنه قدَّم معالجة 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أعطى المريض أو وليه أو صاحب الدابة البراءة من نتائج المداواة وحصل التلف، فهل يضمن الطبيب أم لا؟ ذكرنا في بعض المسائل السابقة أنه لا أثر لهذه البراءة، إلا أن تعود استدامتها عرفاً إلىإفراغ ذمة الطبيب من الضمان بعد انشغالها به</w:t>
      </w:r>
      <w:r>
        <w:rPr>
          <w:rFonts w:eastAsia="Amiri" w:cs="Amiri" w:ascii="Amiri" w:hAnsi="Amiri"/>
          <w:color w:val="111111"/>
          <w:sz w:val="28"/>
          <w:szCs w:val="28"/>
          <w:rtl w:val="true"/>
          <w:lang w:bidi="ar-SA"/>
        </w:rPr>
        <w:t>»</w:t>
      </w:r>
      <w:r>
        <w:rPr>
          <w:rStyle w:val="FootnoteAnchor"/>
          <w:rtl w:val="true"/>
        </w:rPr>
        <w:footnoteReference w:id="978"/>
      </w:r>
    </w:p>
    <w:p>
      <w:pPr>
        <w:pStyle w:val="BookText"/>
        <w:rPr/>
      </w:pPr>
      <w:r>
        <w:rPr>
          <w:rFonts w:ascii="Amiri" w:hAnsi="Amiri" w:eastAsia="Amiri" w:cs="Amiri"/>
          <w:color w:val="111111"/>
          <w:sz w:val="28"/>
          <w:sz w:val="28"/>
          <w:szCs w:val="28"/>
          <w:rtl w:val="true"/>
          <w:lang w:bidi="ar-SA"/>
        </w:rPr>
        <w:t>الصالحين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5/214</w:t>
      </w:r>
      <w:r>
        <w:rPr>
          <w:rFonts w:ascii="Amiri" w:hAnsi="Amiri" w:eastAsia="Amiri" w:cs="Amiri"/>
          <w:color w:val="111111"/>
          <w:sz w:val="28"/>
          <w:sz w:val="28"/>
          <w:szCs w:val="28"/>
          <w:rtl w:val="true"/>
          <w:lang w:bidi="ar-SA"/>
        </w:rPr>
        <w:t xml:space="preserve">،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يجب أخذ البراءة من المريض ووليه لأن الدية تكون للورثة على تقدير حصول الوفاة فاستدامة البراءة إلى ما بعد اشتغال الذمة يجعل حق منحها بيد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وناقش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استدل به على عدم ضمان الطبيب بأخذ البراءة قبل العملية من جهتين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احتمال الخبر المزبور البراءة بعد الجناية مجاناً أو على مال احتمالاً ظاهراً، وربما يرشد إليه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ضعيف</w:t>
      </w:r>
      <w:r>
        <w:rPr>
          <w:rFonts w:eastAsia="Amiri" w:cs="Amiri" w:ascii="Amiri" w:hAnsi="Amiri"/>
          <w:color w:val="111111"/>
          <w:sz w:val="28"/>
          <w:szCs w:val="28"/>
          <w:rtl w:val="true"/>
          <w:lang w:bidi="ar-SA"/>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تأكيد للضمان على الطبيب وإنما أراد معالجة إشكال إسقاط الحق قبل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تؤخذ البراءة بعد ثبوت الحق أو أن المريض </w:t>
      </w:r>
    </w:p>
    <w:p>
      <w:pPr>
        <w:pStyle w:val="BookText"/>
        <w:rPr/>
      </w:pPr>
      <w:r>
        <w:rPr>
          <w:rFonts w:ascii="Amiri" w:hAnsi="Amiri" w:eastAsia="Amiri" w:cs="Amiri"/>
          <w:color w:val="111111"/>
          <w:sz w:val="28"/>
          <w:sz w:val="28"/>
          <w:szCs w:val="28"/>
          <w:rtl w:val="true"/>
          <w:lang w:bidi="ar-SA"/>
        </w:rPr>
        <w:t>قاصر، لكن هذا الاحتمال خلاف الظاهر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الحاجة بمجردها لا تصلح دليلاً لشرع الحكم المخالف للأدلة ومن هنا قال في المسالك وهو الوجه</w:t>
      </w:r>
      <w:r>
        <w:rPr>
          <w:rFonts w:eastAsia="Amiri" w:cs="Amiri" w:ascii="Amiri" w:hAnsi="Amiri"/>
          <w:color w:val="111111"/>
          <w:sz w:val="28"/>
          <w:szCs w:val="28"/>
          <w:rtl w:val="true"/>
          <w:lang w:bidi="ar-SA"/>
        </w:rPr>
        <w:t>»</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تقريب الحاجة على أن خلافها نقض للغرض ومخالفة للأمر بالتداوي وخروجاً عن بناء العقلاء وسيرتهم ونحو ذلك مما قلنا فيصلح أن يكون دليلاً</w:t>
      </w:r>
      <w:r>
        <w:rPr>
          <w:rFonts w:eastAsia="Amiri" w:cs="Amiri" w:ascii="Amiri" w:hAnsi="Amiri"/>
          <w:color w:val="111111"/>
          <w:sz w:val="28"/>
          <w:szCs w:val="28"/>
          <w:rtl w:val="true"/>
          <w:lang w:bidi="ar-SA"/>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هذه المناقشات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ولكنه كما ترى ضرورة عدم منافاة الاحتمال المزبور في الخبر الظاهر الذي هو الحجة في الأحكام الشرعية، كعدم منافاة ضعفه، بعد انجباره بما عرفت، وتأييده بمسيس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كله كاف للخروج به عن قاعدة عدم إسقاط الحق قبل ثبوته، على أنه ينبغي الجزم به إذا أخذ بعنوان الشرطية في عقد إجارة الطبيب مثلاً إذ هو حينئذ يكون كاشتراط سقوط خيار الحيوان والمجلس ونحوهما مما يندرج تحت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ربما ظهر من الأردبيلي الاكتفاء بالشرط مطلقاً، وإن كان فيه أنه إن لم يكن في ضمن عقد وعداً أو كالوعد لا يجب الوفاء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مضافاً إلى إمكان القطع به في مثل الأموال التي منها ما هو محل البيطرة ضرورة أنه إذن في الإتلاف على وجه يجري مجرى أفعال العقلاء نحو غيره من الإتلافات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يعلم الوجه في غير المال مما له الإذن فيه إذا كان جارياً مجرى أفعال العقلاء كما في 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هذا من الإبراء قبل ثبوت الحق، بل من الإذن في الشيء المقتضية لعدم ثبوته، نحو الإذن في أكل المال مثلاً، والظاهر اعتبار إذن المريض في ذلك مع فرض كونه كامل العقل، ولا يكفي إذن الولي، إذ لا ولي له في هذا الحال، وإنما هو أولى بنفسه، وكون الولي هو المطالب بعد ذلك لا يرفع سلطنته الآن على نفسه، وما في الخبر المزبور محمول على إرادة الولي في ذلك الشامل للمريض ورب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الشهيد في غاية المراد وغيره باعتبار </w:t>
      </w:r>
    </w:p>
    <w:p>
      <w:pPr>
        <w:pStyle w:val="BookText"/>
        <w:rPr/>
      </w:pPr>
      <w:r>
        <w:rPr>
          <w:rFonts w:ascii="Amiri" w:hAnsi="Amiri" w:eastAsia="Amiri" w:cs="Amiri"/>
          <w:color w:val="111111"/>
          <w:sz w:val="28"/>
          <w:sz w:val="28"/>
          <w:szCs w:val="28"/>
          <w:rtl w:val="true"/>
          <w:lang w:bidi="ar-SA"/>
        </w:rPr>
        <w:t>إذن الولي أو المريض، محمول على التفصيل الذي ذكرناه، لا أن المراد، الاكتفاء بإذن الولي مع كمال عقل المريض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المصنف في النكت 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عدل إلى الولي لأنه هو المطالب على تقدير التلف، فلما شرع الإبراء قبل الاستقراء لمكان الضرورة صرف إلى من يتولى المطالبة بتقدير وقوع ما يبرء منه، ولا أستبعد الإبراء من المريض فإنه يكون فعلاً مأذوناً فيه والمجني عليه إذا أذن في الجناية سقط ضمانها، فكيف بإذنه في المباح المأذون في فعله فتأمل جيداً</w:t>
      </w:r>
      <w:r>
        <w:rPr>
          <w:rFonts w:eastAsia="Amiri" w:cs="Amiri" w:ascii="Amiri" w:hAnsi="Amiri"/>
          <w:color w:val="111111"/>
          <w:sz w:val="28"/>
          <w:szCs w:val="28"/>
          <w:rtl w:val="true"/>
          <w:lang w:bidi="ar-SA"/>
        </w:rPr>
        <w:t>»</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تلخيص الجواب على إشكال عدم صحة إسقاط الحق قبل وجوبه بوجوه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تصريح رواية السكوني بذلك بعد انجبار ضعف سندها وتأييدهابالحاجة الماسّة، وردّ ما قيل من الاحتمالات المخالفة لظهورها فتكون مخصِّصة لقاعدة عدم صحة إسقاط الحق قبل ثبوته وحاكمة عليها، وهو ما بنى عليه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وجود مقتضيه وهو عقد الإجارة مع الطبيب الذي يتضمن التعرض للعلاج الموجب للتلف كافٍ لصحة البراءة فإذا جعلت البراءة شرطاً في عقد إجارة الطبيب كفت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 إسقاط بعض الخيارات في عقد البيع صحيح قبل أن يتحقق موضوعها فعلاً كخيار التأخير، أو إسقاط بعض حقوق الزوجية في العقد كذلك، أو إسقاط </w:t>
      </w:r>
    </w:p>
    <w:p>
      <w:pPr>
        <w:pStyle w:val="BookText"/>
        <w:rPr/>
      </w:pPr>
      <w:r>
        <w:rPr>
          <w:rFonts w:ascii="Amiri" w:hAnsi="Amiri" w:eastAsia="Amiri" w:cs="Amiri"/>
          <w:color w:val="111111"/>
          <w:sz w:val="28"/>
          <w:sz w:val="28"/>
          <w:szCs w:val="28"/>
          <w:rtl w:val="true"/>
          <w:lang w:bidi="ar-SA"/>
        </w:rPr>
        <w:t>حق القسم في النهار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أن الإذن بإتلاف المال يبرئ ذمة المتلف والحيوان المعالج مال، وهكذا إتلاف العضو إذا كان ضمن الحدود العقلائية لأن الإذن في الجناية يسقط ديتها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سقوط الضمان ليس من باب الإسقاط وإنما لأن المعالجة والعملية الجراحية تخرج من كونها موجبة للضمان بأخذ البراءة وبينهما فرق فدقق، كما أن الإذن في أكل المال فإنه ليس مسقطاً لضمانه وإنما يجعل الإتلاف غير مضمون، وورد هذا المعنى في كلمات آخرين كالمحقق الأردبيلي،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استبعاد في لزوم الوفاء به بمعنى عدم ثبوت حق حينئذٍ</w:t>
      </w:r>
      <w:r>
        <w:rPr>
          <w:rFonts w:eastAsia="Amiri" w:cs="Amiri" w:ascii="Amiri" w:hAnsi="Amiri"/>
          <w:color w:val="111111"/>
          <w:sz w:val="28"/>
          <w:szCs w:val="28"/>
          <w:rtl w:val="true"/>
          <w:lang w:bidi="ar-SA"/>
        </w:rPr>
        <w:t>»</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البراءة شرطاً في عقد الإجارة؛ لأنه ليس من الإسقاط قبل الثبوت، بل هو من شرط السقوط كما في شرط سقوط الخيار</w:t>
      </w:r>
      <w:r>
        <w:rPr>
          <w:rFonts w:eastAsia="Amiri" w:cs="Amiri" w:ascii="Amiri" w:hAnsi="Amiri"/>
          <w:color w:val="111111"/>
          <w:sz w:val="28"/>
          <w:szCs w:val="28"/>
          <w:rtl w:val="true"/>
          <w:lang w:bidi="ar-SA"/>
        </w:rPr>
        <w:t>»</w:t>
      </w:r>
      <w:r>
        <w:rPr>
          <w:rStyle w:val="FootnoteAnchor"/>
          <w:rtl w:val="true"/>
        </w:rPr>
        <w:footnoteReference w:id="982"/>
      </w:r>
    </w:p>
    <w:p>
      <w:pPr>
        <w:pStyle w:val="BookText"/>
        <w:rPr/>
      </w:pPr>
      <w:r>
        <w:rPr>
          <w:rFonts w:ascii="Amiri" w:hAnsi="Amiri" w:eastAsia="Amiri" w:cs="Amiri"/>
          <w:color w:val="111111"/>
          <w:sz w:val="28"/>
          <w:sz w:val="28"/>
          <w:szCs w:val="28"/>
          <w:rtl w:val="true"/>
          <w:lang w:bidi="ar-SA"/>
        </w:rPr>
        <w:t>فيكون من قبيل شرط النتيجة ولا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على فرض كون المتصدي للمعالجة طبيباً ماهراً مؤهلاً لممارسة هذا العمل وإلا فإن البراءة لا أثر لها ولا يحق للمريض أن يسلِّمنفسه إلى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تقيَّد البراءة في حدود سلطنة الإنسان على نفسه</w:t>
      </w:r>
      <w:r>
        <w:rPr>
          <w:rFonts w:eastAsia="Amiri" w:cs="Amiri" w:ascii="Amiri" w:hAnsi="Amiri"/>
          <w:color w:val="111111"/>
          <w:sz w:val="28"/>
          <w:szCs w:val="28"/>
          <w:rtl w:val="true"/>
          <w:lang w:bidi="ar-SA"/>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يرد هنا إشكال بأننا حددنا سلطنة الإنسان على نفسه بأنها مقيدة بعدم إزهاق النفس وعدم إحداث ضرر بالغ في البدن، وهذا يتنافى مع إطلاق الحكم بسقوط الدية في ما لو أخذ الطبيب البراءة حتى لو حصل </w:t>
      </w:r>
    </w:p>
    <w:p>
      <w:pPr>
        <w:pStyle w:val="BookText"/>
        <w:rPr/>
      </w:pPr>
      <w:r>
        <w:rPr>
          <w:rFonts w:ascii="Amiri" w:hAnsi="Amiri" w:eastAsia="Amiri" w:cs="Amiri"/>
          <w:color w:val="111111"/>
          <w:sz w:val="28"/>
          <w:sz w:val="28"/>
          <w:szCs w:val="28"/>
          <w:rtl w:val="true"/>
          <w:lang w:bidi="ar-SA"/>
        </w:rPr>
        <w:t>الموت أو إتلاف عضو رئيسي فيه؛ لأن المريض ليس له هذه السلطنة حتى يُبرئ الطبيب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ورواية السكوني لا تصلح للاستدلال على الإطلاق لضعف سندها أو لعدم تمامية الإطلاق فيها بلحاظ ما ذكرناه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والنتيجة الاقتصار في سقوط الدية عن الطبيب بالبراءة على غير الموت وتلف الأعضاء الرئيسية، وتضمنت كلمات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يقرب من هذا المعنى فقال في ضمان الختّان حتى لو أبرأه ولي الصغير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ليس له حق البراءة بعد أن لم تثبت له هذه الولاية</w:t>
      </w:r>
      <w:r>
        <w:rPr>
          <w:rFonts w:eastAsia="Amiri" w:cs="Amiri" w:ascii="Amiri" w:hAnsi="Amiri"/>
          <w:color w:val="111111"/>
          <w:sz w:val="28"/>
          <w:szCs w:val="28"/>
          <w:rtl w:val="true"/>
          <w:lang w:bidi="ar-SA"/>
        </w:rPr>
        <w:t>»</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ووجدت قولاً بهذا التفصيل للشيخ الفياض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تسقط الدية عن الطبيب بالإذن والإبراء من المريض إذا كان موته مستنداً إلى العملية وإن لم يكن الطبيب مقصراً فيها إذ ليس بإمكان أي أحد أن يأذن بالعملية مطلقاً وإن كانت مؤدية إلى موته، ضرورة أن هذه السلطنة غير ثابتة للإنسان على نفسه وعليه فلا قيمة لإبراء المريض ذمة المريض عن الدية، بل هي ثابتة إذا كانت العملية مؤدية إلى موته وإن أخذ الإبراء من المريض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إلى تلف الأعضاء، فالأمر كذلك إذا كانت الأعضاء من الأعضاء الرئيسية وأما إذا كانت من الأعضاء غير الرئيسية، فلا دية علىالطبيب مع الإذن وإبراء المريض إذا لم يكن الطبيب مقصراً فيه</w:t>
      </w:r>
      <w:r>
        <w:rPr>
          <w:rFonts w:eastAsia="Amiri" w:cs="Amiri" w:ascii="Amiri" w:hAnsi="Amiri"/>
          <w:color w:val="111111"/>
          <w:sz w:val="28"/>
          <w:szCs w:val="28"/>
          <w:rtl w:val="true"/>
          <w:lang w:bidi="ar-SA"/>
        </w:rPr>
        <w:t>»</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السلطنة على مستوى إزهاق النفس أو تلف أحد الأعضاء الرئيسية وإن لم تثبت للإنسان كما تقدم، إلا أن إبراء ذمة الطبيب على هذا </w:t>
      </w:r>
    </w:p>
    <w:p>
      <w:pPr>
        <w:pStyle w:val="BookText"/>
        <w:rPr/>
      </w:pPr>
      <w:r>
        <w:rPr>
          <w:rFonts w:ascii="Amiri" w:hAnsi="Amiri" w:eastAsia="Amiri" w:cs="Amiri"/>
          <w:color w:val="111111"/>
          <w:sz w:val="28"/>
          <w:sz w:val="28"/>
          <w:szCs w:val="28"/>
          <w:rtl w:val="true"/>
          <w:lang w:bidi="ar-SA"/>
        </w:rPr>
        <w:t>المستوى حق مكتسب للمريض مضافٌ إلى سلطنته نشأ من عدة مصادر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الآمرة بالتداوي والمعالجة حتى لو أدّت إلى الوفاة كصحيحة يونس بن يعقوب وروايتي إسماعيل المتطبب وحمدان بن إسحاق وغيرها وقد تقدمت </w:t>
      </w:r>
      <w:r>
        <w:rPr>
          <w:rStyle w:val="FootnoteAnchor"/>
          <w:rtl w:val="true"/>
        </w:rPr>
        <w:footnoteReference w:id="985"/>
      </w:r>
    </w:p>
    <w:p>
      <w:pPr>
        <w:pStyle w:val="BookText"/>
        <w:rPr/>
      </w:pPr>
      <w:r>
        <w:rPr>
          <w:rFonts w:ascii="Amiri" w:hAnsi="Amiri" w:eastAsia="Amiri" w:cs="Amiri"/>
          <w:color w:val="111111"/>
          <w:sz w:val="28"/>
          <w:sz w:val="28"/>
          <w:szCs w:val="28"/>
          <w:rtl w:val="true"/>
          <w:lang w:bidi="ar-SA"/>
        </w:rPr>
        <w:t>فهي تمنح الإذن الشرعي بالفعل والشارع المقدس أولى من الناس بأنفسهم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العقلاء على الإقدام على المعالجة حتى مع احتمال التلف والوفاة إذا كان ملاكها أهم كعملية القلب المفتوح أو زرع الكبد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السكوني بناءً على اعتبارها بانجبار ضعفها بعمل المشهور أو لقبول رواية النوفلي عن السكوني للوجه الذي تقدم أو لما أفاده الشيخ في العدة من عمل الطائفة بمنفردات السكوني إذا لم يوجد ما يخالفه من أحاديث الإمامية كما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التعليل الذي ذكره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الشرائع في كلامه المتقدم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العلاج مما تمسّ الحاجة إليه، فلو لم يشرع الإبراء تعذّر 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الشهيد في حاشية الإرشاد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لمسيس الحاجة إليه، فإنه لا غنى عن العلاج وإذا عرف البيطار أو الطبيب أنه لا مخلص له من الضمان توقَّف في العلاج مع الضرورة إليه، فوجب أن يُشرَّع الإبراء لضرورة الحاجة</w:t>
      </w:r>
      <w:r>
        <w:rPr>
          <w:rFonts w:eastAsia="Amiri" w:cs="Amiri" w:ascii="Amiri" w:hAnsi="Amiri"/>
          <w:color w:val="111111"/>
          <w:sz w:val="28"/>
          <w:szCs w:val="28"/>
          <w:rtl w:val="true"/>
          <w:lang w:bidi="ar-SA"/>
        </w:rPr>
        <w:t>»</w:t>
      </w:r>
      <w:r>
        <w:rPr>
          <w:rStyle w:val="FootnoteAnchor"/>
          <w:rtl w:val="true"/>
        </w:rPr>
        <w:footnoteReference w:id="986"/>
      </w:r>
      <w:r>
        <w:rPr>
          <w:rFonts w:ascii="Amiri" w:hAnsi="Amiri" w:eastAsia="Amiri" w:cs="Amiri"/>
          <w:color w:val="111111"/>
          <w:sz w:val="28"/>
          <w:sz w:val="28"/>
          <w:szCs w:val="28"/>
          <w:rtl w:val="true"/>
          <w:lang w:bidi="ar-SA"/>
        </w:rPr>
        <w:t>بأن يتوقف الأطباء عن المعالجة خشية وقوع التلف أو الوفاة وهو احتمال وارد في كثير من العمليات فينتقض الغرض الذي ذكرناه فيالنقطة الأولى</w:t>
      </w:r>
      <w:r>
        <w:rPr>
          <w:rFonts w:eastAsia="Amiri" w:cs="Amiri" w:ascii="Amiri" w:hAnsi="Amiri"/>
          <w:color w:val="111111"/>
          <w:sz w:val="28"/>
          <w:szCs w:val="28"/>
          <w:rtl w:val="true"/>
          <w:lang w:bidi="ar-SA"/>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مناقشتين أخريين تجعلان الإشكال سالبة بانتفاء الموضوع وهما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المنافي للسلطنة هو الإذن في القتل أو إتلاف الأعضاء الرئيسية وهو ما نمنعه لذا لا يجوز التسبب في وفاة حتى الميت سريرياً، لكن المورد ليس من هذا القبيل، فإن الإذن تعلق بالمعالجة وإجراء العملية الجراحية مع براءة من التلف لو حصل اتفاقاً وأين هذا من ذاك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الوجوه المتقدمة التي استدللنا بها على عدم ضمان الطبيب أصلاً سواء أخذ البراءة أم لم يأخذها وفاقاً لابن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وخلافاً للمشهور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مجموع البحث عُرف الدليل على ما قلناه في الرسالة</w:t>
      </w:r>
      <w:r>
        <w:rPr>
          <w:rStyle w:val="FootnoteAnchor"/>
          <w:rtl w:val="true"/>
        </w:rPr>
        <w:footnoteReference w:id="987"/>
      </w:r>
    </w:p>
    <w:p>
      <w:pPr>
        <w:pStyle w:val="BookText"/>
        <w:rPr/>
      </w:pPr>
      <w:r>
        <w:rPr>
          <w:rFonts w:ascii="Amiri" w:hAnsi="Amiri" w:eastAsia="Amiri" w:cs="Amiri"/>
          <w:color w:val="111111"/>
          <w:sz w:val="28"/>
          <w:sz w:val="28"/>
          <w:szCs w:val="28"/>
          <w:rtl w:val="true"/>
          <w:lang w:bidi="ar-SA"/>
        </w:rPr>
        <w:t>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الختّان لا يضمن الضرر الذي يقع على الطفل حتى لو مات إذا كان من أهل الخبرة في المهنة ولم يقصّر في عمله كعدم تحضير اللوازم الكافية أو عدم تشخيص قابلية الطفل للختان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الأمر موكولاً إليه كالطبيب الجراح دون ما إذا كُلِّف بعملية الختان فقط كالختّان المتعارف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يتعدَّ كتجاوز الحد المتعارف للقطع، ولم يفرّط بعلمه المسبق بالضرر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عالج الطبيب المريض مباشرة أو أجرى له عملية جراحية وكان ماهراً في مهنته وبذل وسعه في التشخيص الصحيح والعمل الدقيق لكن اتفق تضرر المريض أو موته فلا ضمان على الطبيب، والأحوط له أن يتبرأ من الضمان قبل العملية والمعالجة</w:t>
      </w:r>
      <w:r>
        <w:rPr>
          <w:rFonts w:eastAsia="Amiri" w:cs="Amiri" w:ascii="Amiri" w:hAnsi="Amiri"/>
          <w:color w:val="111111"/>
          <w:sz w:val="28"/>
          <w:szCs w:val="28"/>
          <w:rtl w:val="true"/>
          <w:lang w:bidi="ar-SA"/>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ادعى المريض أو ذوو المتوفى بأن التلف أو الموت قد حصل بسبب تقصير الطبيب فيشكّل القاضي الشرعي لجنة من المختصّين للتحقيق في السبب والنظر في الدعوى</w:t>
      </w:r>
      <w:r>
        <w:rPr>
          <w:rFonts w:eastAsia="Amiri" w:cs="Amiri" w:ascii="Amiri" w:hAnsi="Amiri"/>
          <w:color w:val="111111"/>
          <w:sz w:val="28"/>
          <w:szCs w:val="28"/>
          <w:rtl w:val="true"/>
          <w:lang w:bidi="ar-SA"/>
        </w:rPr>
        <w:t xml:space="preserve">. </w:t>
      </w:r>
      <w:bookmarkStart w:id="876" w:name="pg8133_63253"/>
    </w:p>
    <w:p>
      <w:pPr>
        <w:pStyle w:val="Heading6"/>
        <w:numPr>
          <w:ilvl w:val="5"/>
          <w:numId w:val="1"/>
        </w:numPr>
        <w:rPr/>
      </w:pPr>
      <w:bookmarkStart w:id="877" w:name="__RefHeading___Toc8193607_1051229030"/>
      <w:bookmarkStart w:id="878" w:name="_Toc315"/>
      <w:bookmarkEnd w:id="876"/>
      <w:bookmarkEnd w:id="877"/>
      <w:r>
        <w:rPr>
          <w:rtl w:val="true"/>
        </w:rPr>
        <w:t>القاعدة السادسة</w:t>
      </w:r>
      <w:r>
        <w:rPr>
          <w:rtl w:val="true"/>
        </w:rPr>
        <w:t xml:space="preserve">: </w:t>
      </w:r>
      <w:r>
        <w:rPr>
          <w:rtl w:val="true"/>
        </w:rPr>
        <w:t>اخذ العوض على الواجبات</w:t>
      </w:r>
      <w:r>
        <w:rPr>
          <w:rtl w:val="true"/>
        </w:rPr>
        <w:t>.</w:t>
      </w:r>
      <w:bookmarkEnd w:id="878"/>
    </w:p>
    <w:p>
      <w:pPr>
        <w:pStyle w:val="Heading6"/>
        <w:numPr>
          <w:ilvl w:val="5"/>
          <w:numId w:val="1"/>
        </w:numPr>
        <w:rPr/>
      </w:pPr>
      <w:bookmarkStart w:id="879" w:name="__RefHeading___Toc8193609_1051229030"/>
      <w:bookmarkStart w:id="880" w:name="_Toc316"/>
      <w:bookmarkEnd w:id="879"/>
      <w:r>
        <w:rPr>
          <w:rtl w:val="true"/>
        </w:rPr>
        <w:t>اشارة</w:t>
      </w:r>
      <w:bookmarkEnd w:id="880"/>
    </w:p>
    <w:p>
      <w:pPr>
        <w:pStyle w:val="BookText"/>
        <w:rPr/>
      </w:pPr>
      <w:r>
        <w:rPr>
          <w:rFonts w:ascii="Amiri" w:hAnsi="Amiri" w:eastAsia="Amiri" w:cs="Amiri"/>
          <w:color w:val="111111"/>
          <w:sz w:val="28"/>
          <w:sz w:val="28"/>
          <w:szCs w:val="28"/>
          <w:rtl w:val="true"/>
          <w:lang w:bidi="ar-SA"/>
        </w:rPr>
        <w:t xml:space="preserve">بحث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الجزء التاسع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 مسالة اخذ العوض على القيام بوظيفة الامر بالمعروف والنهي عن المنكر، وجاء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العوض على القيام بالوظيفة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يجوز للآمر الناهي أخذ الأجرة على القيام بوظيفة الأمر بالمعروف والنهي عن المنكر؟ ويترتب على هذا البحث ثمرات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قيام المؤسسة الدينية أو السياسية بتعيين أشخاص لأجل القيام بهذه الوظيفة مقابل عوض 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اتخاذ دفع العوض آلية وأسلوباً لإقامة الأمر بالمعروف والنهي عن المنكر بدفع الأجرة لتارك المعروف للقيام بهذا المعروف الواجب عليه أو ترك المحرم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والأجرة معروفة وهي مقدار معلوم يستحقه الأجير بموجب عقد الإجارة مقابل قيامه بعمل معين –وهو هنا الأمر بالمعروف والنهي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لا يكون ما يأخذه الآمر الناهي بإزاء عمله على نحو عقد الإجارة وإنما على نحو ما يسمى بالارتزاق وهو مقدار غير معلوم يجعله القائم بأمور المسلمين من موارد بيت المال المخصصة للمصالح العامة لمن يلي مصلحة أو أمراً من شؤون المسلمين ومصالحهم لتحفيزه على القيام بهذا العمل أو لكفالة معيشته باعتبار تفرغه لهذا العمل وعدم تمكنه من الكسب ونحو ذلك؛ باعتبار أن بيت المال مخصص لمصالح المسلمين العامة وسد احتياجاتهم</w:t>
      </w:r>
      <w:r>
        <w:rPr>
          <w:rFonts w:eastAsia="Amiri" w:cs="Amiri" w:ascii="Amiri" w:hAnsi="Amiri"/>
          <w:color w:val="111111"/>
          <w:sz w:val="28"/>
          <w:szCs w:val="28"/>
          <w:rtl w:val="true"/>
          <w:lang w:bidi="ar-SA"/>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تظهر عدة فروق بين الإجارة والارتزاق وردت فيكلمات </w:t>
      </w:r>
    </w:p>
    <w:p>
      <w:pPr>
        <w:pStyle w:val="BookText"/>
        <w:rPr/>
      </w:pPr>
      <w:r>
        <w:rPr>
          <w:rFonts w:ascii="IRNazanin" w:hAnsi="IRNazanin" w:eastAsia="IRNazanin"/>
          <w:color w:val="111111"/>
          <w:sz w:val="28"/>
          <w:sz w:val="28"/>
          <w:szCs w:val="28"/>
          <w:rtl w:val="true"/>
          <w:lang w:bidi="fa-IR"/>
        </w:rPr>
        <w:t>الأصحاب</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الأجرة مقدار معلوم في عقد لازم جامع للشروط كتقدير العمل والعوض وضبط المدة يستحقها الأجير مقابل عمله، أما الارتزاق فهو مقدار غير معلوم منوط بنظر الحاكم الشرعي وليس لازماً ولا يكون عوضاً لعمله لذا لا يلحظ فيه أجر المثل ونحوه، وإن كان عمله داعياً لدفع الرزق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أن يكون تعيين الرزق قبل قيامه بالوظائف المقررة أو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مال الإجارة بعد العمل وقبل القبض يورث، دون الرزق فإنه لا يورث؛ لأنه لا يملك إلا بالقبض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الرزق يصرف في الأهم من المصالح فالأهم بخلاف 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في جواز أخذ الأجرة على الواجبات –كفريضة الأمر والنهي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في الارتزاق أيضاً؛ لجهات سنذكرها إن شاء الله تعالى، فالبحث لا بد أن يتناولهما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وضع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المبسوط ضابطاً عاماً لما يجوز أخذ الأجرة أو الرزق عليه وما لا يجوز،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عمل جاز أن يفعله الغير عن الغير تبرعاً جاز بعقد إجارة كالخياطة والبناء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لا يجوز أن يفعله الغير عن الغير، ولكنه إذا فعله عن نفسه عاد نفعه إلى الغير جاز أخذ الرزق، ولا يجوز أخذ الأجرة كالأذان والإقامة والإمامة والقضاء والخلافة</w:t>
      </w:r>
      <w:r>
        <w:rPr>
          <w:rFonts w:eastAsia="Amiri" w:cs="Amiri" w:ascii="Amiri" w:hAnsi="Amiri"/>
          <w:color w:val="111111"/>
          <w:sz w:val="28"/>
          <w:szCs w:val="28"/>
          <w:rtl w:val="true"/>
          <w:lang w:bidi="ar-SA"/>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ما لا يجوز أن يفعله الغير عن الغير وإذا فعله عن نفسه لم يعد نفعه إلى الغير لم يجز أخذ الرزق عليه ولا الأجرة كصلاة الفرض وصلاة </w:t>
      </w:r>
      <w:bookmarkStart w:id="881" w:name="pg8133_63255"/>
    </w:p>
    <w:p>
      <w:pPr>
        <w:pStyle w:val="BookText"/>
        <w:rPr/>
      </w:pPr>
      <w:bookmarkEnd w:id="881"/>
      <w:r>
        <w:rPr>
          <w:rFonts w:ascii="Amiri" w:hAnsi="Amiri" w:eastAsia="Amiri" w:cs="Amiri"/>
          <w:color w:val="111111"/>
          <w:sz w:val="28"/>
          <w:sz w:val="28"/>
          <w:szCs w:val="28"/>
          <w:rtl w:val="true"/>
          <w:lang w:bidi="ar-SA"/>
        </w:rPr>
        <w:t>التطوع وحِجة الفرض</w:t>
      </w:r>
      <w:r>
        <w:rPr>
          <w:rFonts w:eastAsia="Amiri" w:cs="Amiri" w:ascii="Amiri" w:hAnsi="Amiri"/>
          <w:color w:val="111111"/>
          <w:sz w:val="28"/>
          <w:szCs w:val="28"/>
          <w:rtl w:val="true"/>
          <w:lang w:bidi="ar-SA"/>
        </w:rPr>
        <w:t>»</w:t>
      </w:r>
      <w:r>
        <w:rPr>
          <w:rStyle w:val="FootnoteAnchor"/>
          <w:rtl w:val="true"/>
        </w:rPr>
        <w:footnoteReference w:id="989"/>
      </w:r>
    </w:p>
    <w:p>
      <w:pPr>
        <w:pStyle w:val="BookText"/>
        <w:rPr/>
      </w:pPr>
      <w:r>
        <w:rPr>
          <w:rFonts w:ascii="Amiri" w:hAnsi="Amiri" w:eastAsia="Amiri" w:cs="Amiri"/>
          <w:color w:val="111111"/>
          <w:sz w:val="28"/>
          <w:sz w:val="28"/>
          <w:szCs w:val="28"/>
          <w:rtl w:val="true"/>
          <w:lang w:bidi="ar-SA"/>
        </w:rPr>
        <w:t>للشيخ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أي حال فالكلام يكون في مقامين</w:t>
      </w:r>
      <w:r>
        <w:rPr>
          <w:rFonts w:eastAsia="Amiri" w:cs="Amiri" w:ascii="Amiri" w:hAnsi="Amiri"/>
          <w:color w:val="111111"/>
          <w:sz w:val="28"/>
          <w:szCs w:val="28"/>
          <w:rtl w:val="true"/>
          <w:lang w:bidi="ar-SA"/>
        </w:rPr>
        <w:t>:</w:t>
      </w:r>
    </w:p>
    <w:p>
      <w:pPr>
        <w:pStyle w:val="Heading6"/>
        <w:numPr>
          <w:ilvl w:val="5"/>
          <w:numId w:val="1"/>
        </w:numPr>
        <w:rPr/>
      </w:pPr>
      <w:bookmarkStart w:id="882" w:name="__RefHeading___Toc8193611_1051229030"/>
      <w:bookmarkStart w:id="883" w:name="_Toc317"/>
      <w:bookmarkEnd w:id="882"/>
      <w:r>
        <w:rPr>
          <w:rtl w:val="true"/>
        </w:rPr>
        <w:t>المقام الأول</w:t>
      </w:r>
      <w:r>
        <w:rPr>
          <w:rtl w:val="true"/>
        </w:rPr>
        <w:t xml:space="preserve">: </w:t>
      </w:r>
      <w:r>
        <w:rPr>
          <w:rtl w:val="true"/>
        </w:rPr>
        <w:t>الارتزاق</w:t>
      </w:r>
      <w:bookmarkEnd w:id="883"/>
    </w:p>
    <w:p>
      <w:pPr>
        <w:pStyle w:val="BookText"/>
        <w:rPr/>
      </w:pPr>
      <w:r>
        <w:rPr>
          <w:rFonts w:ascii="Amiri" w:hAnsi="Amiri" w:eastAsia="Amiri" w:cs="Amiri"/>
          <w:color w:val="111111"/>
          <w:sz w:val="28"/>
          <w:sz w:val="28"/>
          <w:szCs w:val="28"/>
          <w:rtl w:val="true"/>
          <w:lang w:bidi="ar-SA"/>
        </w:rPr>
        <w:t xml:space="preserve">وقد تقدم في 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بعض موارد الارتزاق، ومثّل بعض الأصحاب بالإفتاء وتجهيز الميت وتعليم القرآن والآداب كالعربية وعلم الأخلاق الفاضلة ونحوها من الواجبات المستحبة</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والوجه في ذلك أن بيت المال في النظام الإسلامي له عدة مصادر كالخمس والزكاة والخراج والمقاسمة والرسوم والضرائب والثروات الطبيعية والاستثمارات العامة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حدد الشارع المقدس مصرف بعض هذه الموارد على الفقراء والمحتاجين ووظف البعض الآخر للمصالح العامة للمسلمين التي بها قوام الدين وانتظام أمور المسلمين وإعمار البلاد كشق الطرق وإنشاء المستشفيات وبناء المدارس واستخراج المعادن ورواتب الموظفين وتموين الجيش والشرطة والإنفاق على من هم في رعاية الدولة كالسجناء والعجزة والأيتام المقطوعين والمرأة الغائب عنها زوجها ودفع دية المقتول في الزحام ونحو ذلك</w:t>
      </w:r>
      <w:r>
        <w:rPr>
          <w:rFonts w:eastAsia="Amiri" w:cs="Amiri" w:ascii="Amiri" w:hAnsi="Amiri"/>
          <w:color w:val="111111"/>
          <w:sz w:val="28"/>
          <w:szCs w:val="28"/>
          <w:rtl w:val="true"/>
          <w:lang w:bidi="ar-SA"/>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ومحل كلامنا ليس القسم الأول لأن مصرفه محدَّد من قبل الشارع المقدس، ولعله أو ما يجب توزيعه على المسلمين بالتساوي هو المقصود بما ورد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كان يوزعه على مستحقيه من دون </w:t>
      </w:r>
    </w:p>
    <w:p>
      <w:pPr>
        <w:pStyle w:val="BookText"/>
        <w:rPr/>
      </w:pPr>
      <w:r>
        <w:rPr>
          <w:rFonts w:ascii="Amiri" w:hAnsi="Amiri" w:eastAsia="Amiri" w:cs="Amiri"/>
          <w:color w:val="111111"/>
          <w:sz w:val="28"/>
          <w:sz w:val="28"/>
          <w:szCs w:val="28"/>
          <w:rtl w:val="true"/>
          <w:lang w:bidi="ar-SA"/>
        </w:rPr>
        <w:t>تأخير ويكنس البيت ويصلي فيه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يُنفق منه لمصالح البلاد والعباد فمن التدبير عدم تفريغ بيتالمال منه دفعة واحدة لأن احتياجات الدولة والشعب مستمرة، وهو معدّ لمصالح المسلمين، كالموارد التي ذكرنا وكذا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ديدن العقلاء والمتشرعة في إدارة المجتمعات المتحضرة، وقد أكدت الروايات مسؤولية بيت المال عن تأمين هذه المصارف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مرسلة حماد بن عيسى عن العبد الصالح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الطويلة في الخمس والأنفال والغنائم والأراضي والزكاة وحصة العاملين إلى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ويؤخذ الباقي، فيكون بعد ذلك أرزاق أعوانه على دين الله، وفي مصلحة ما ينوبه من تقوية الإسلام وتقوية الدين في وجوه الجهاد وغير ذلك مما فيه مصلحة العامة</w:t>
      </w:r>
      <w:r>
        <w:rPr>
          <w:rFonts w:eastAsia="IRNazanin" w:cs="IRNazanin"/>
          <w:color w:val="111111"/>
          <w:sz w:val="28"/>
          <w:szCs w:val="28"/>
          <w:rtl w:val="true"/>
          <w:lang w:bidi="fa-IR"/>
        </w:rPr>
        <w:t>)</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 عهد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لمالك الأشتر لما ولاه مصر وجاء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 أن الرعية 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جنود الله،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العامة والخاصة،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قضاة العدل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ولكلٍ على الوالي حق بقدر ما يصلحه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أمره باختيار أفضل رعيته للقضاء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وأكثِر تعاهد قضائه، وأفسح له في البذل ما يزيح علته، وتقل معه حاجته إلى الناس، وأعطه من المنزلة لديك ما لا يطمع فيه غيره</w:t>
      </w:r>
      <w:r>
        <w:rPr>
          <w:rFonts w:eastAsia="IRNazanin" w:cs="IRNazanin"/>
          <w:color w:val="111111"/>
          <w:sz w:val="28"/>
          <w:szCs w:val="28"/>
          <w:rtl w:val="true"/>
          <w:lang w:bidi="fa-IR"/>
        </w:rPr>
        <w:t>)</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 الدعائم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بد من إمارة ورزق للأمير، ولا بد من عريف ورزق للعريف، ولا بد من حاسب ورزق للحاسب، ولا بد من قاضٍ ورزق للقاضي، وكره أن يكون رزق القاضي على </w:t>
      </w:r>
    </w:p>
    <w:p>
      <w:pPr>
        <w:pStyle w:val="BookText"/>
        <w:rPr/>
      </w:pPr>
      <w:r>
        <w:rPr>
          <w:rFonts w:ascii="Amiri" w:hAnsi="Amiri" w:eastAsia="Amiri" w:cs="Amiri"/>
          <w:color w:val="111111"/>
          <w:sz w:val="28"/>
          <w:sz w:val="28"/>
          <w:szCs w:val="28"/>
          <w:rtl w:val="true"/>
          <w:lang w:bidi="ar-SA"/>
        </w:rPr>
        <w:t>الناس الذين يقضي لهم ولكن من بيت المال</w:t>
      </w:r>
      <w:r>
        <w:rPr>
          <w:rFonts w:eastAsia="Amiri" w:cs="Amiri" w:ascii="Amiri" w:hAnsi="Amiri"/>
          <w:color w:val="111111"/>
          <w:sz w:val="28"/>
          <w:szCs w:val="28"/>
          <w:rtl w:val="true"/>
          <w:lang w:bidi="ar-SA"/>
        </w:rPr>
        <w:t>)</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الروايات الدالة على الحرمة في بعض الموارد كصحيحة عبد الله بنسنان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قاضٍ بين قريتين يأخذ من السلطان على القضاء الرزق؟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السحت</w:t>
      </w:r>
      <w:r>
        <w:rPr>
          <w:rFonts w:eastAsia="Amiri" w:cs="Amiri" w:ascii="Amiri" w:hAnsi="Amiri"/>
          <w:color w:val="111111"/>
          <w:sz w:val="28"/>
          <w:szCs w:val="28"/>
          <w:rtl w:val="true"/>
          <w:lang w:bidi="ar-SA"/>
        </w:rPr>
        <w:t>)</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عمار بن مروان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السحت أجور القضاة</w:t>
      </w:r>
      <w:r>
        <w:rPr>
          <w:rFonts w:eastAsia="Amiri" w:cs="Amiri" w:ascii="Amiri" w:hAnsi="Amiri"/>
          <w:color w:val="111111"/>
          <w:sz w:val="28"/>
          <w:szCs w:val="28"/>
          <w:rtl w:val="true"/>
          <w:lang w:bidi="ar-SA"/>
        </w:rPr>
        <w:t>)</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فإنها لا تنافي جواز الارتزاق لأنها إما ناظرة إلى قضاة الجور من قبل السلطات كالأولى، أو أنها ظاهرة في الإجارة كالثانية بناءً على المشهور من حرمة أخذ الأجرة على الواجبات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تخصيص أفراد أو تشكيل هيئات ومؤسسات ولجان للأمر بالمعروف والنهي عن المنكر والإرشاد والتبليغ من المصالح المهمة للدين والأمة فيجوز ارتزاقهم من 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بيت المال محله مصالح المسلمين التي من جملتها القاضي لقيامه بنظام النوع وأخذ الحق من الظالم للمظلوم والأمر بالمعروف</w:t>
      </w:r>
      <w:r>
        <w:rPr>
          <w:rFonts w:eastAsia="Amiri" w:cs="Amiri" w:ascii="Amiri" w:hAnsi="Amiri"/>
          <w:color w:val="111111"/>
          <w:sz w:val="28"/>
          <w:szCs w:val="28"/>
          <w:rtl w:val="true"/>
          <w:lang w:bidi="ar-SA"/>
        </w:rPr>
        <w:t>»</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الإشكال من جهتين أو أكثر</w:t>
      </w:r>
      <w:r>
        <w:rPr>
          <w:rFonts w:eastAsia="Amiri" w:cs="Amiri" w:ascii="Amiri" w:hAnsi="Amiri"/>
          <w:color w:val="111111"/>
          <w:sz w:val="28"/>
          <w:szCs w:val="28"/>
          <w:rtl w:val="true"/>
          <w:lang w:bidi="ar-SA"/>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الجواز اشترط في كلمات بعض الفقهاء بشرطين، قال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الإرشاد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بأس بالرزق من بيت المال على الأذان والقضاء مع الحاجة وعدم 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فالإشكال في جواز الارتزاق من بيت المال يمكن تصوره من جهتين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بعض الفقهاء جواز الارتزاق بالحاجة والمراد بالحاجة –كما في مجمع 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الاحتياجات المتعارفة لا بمعنى توقف الحياة عليها، ووصفه في المسالك بأنه الأشهر، وعلق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كلام العلامة السابق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شك في جواز الارتزاق من بيت المال على الكل، مع الحاجة التي هي شرط الآخذ من بيت المال الذيهو للمصالح</w:t>
      </w:r>
      <w:r>
        <w:rPr>
          <w:rFonts w:eastAsia="Amiri" w:cs="Amiri" w:ascii="Amiri" w:hAnsi="Amiri"/>
          <w:color w:val="111111"/>
          <w:sz w:val="28"/>
          <w:szCs w:val="28"/>
          <w:rtl w:val="true"/>
          <w:lang w:bidi="ar-SA"/>
        </w:rPr>
        <w:t>»</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واستدل له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المكاسب بأن مقتضى القاعدة 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مقتضى القاعدة عدم جواز الارتزاق إلا مع الحاجة على وجه يمنعه القيام بتلك المصلحة عن اكتساب المؤونة فالارتزاق مع الاستغناء ولو بكسب لا يمنعه القيام بتلك المصلحة غير جائز</w:t>
      </w:r>
      <w:r>
        <w:rPr>
          <w:rFonts w:eastAsia="Amiri" w:cs="Amiri" w:ascii="Amiri" w:hAnsi="Amiri"/>
          <w:color w:val="111111"/>
          <w:sz w:val="28"/>
          <w:szCs w:val="28"/>
          <w:rtl w:val="true"/>
          <w:lang w:bidi="ar-SA"/>
        </w:rPr>
        <w:t>»</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يذكر خلافه هنا فتوهم البعض أنه يختار عدم الجواز، وقرّب في كتابه عن القضاء أن وجه عدم الجواز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الآخذ منه مع الغنى لا مصلحة فيه فهو تضييع له مع أنه إذا لم يدخل في باب الحسبة لرفع حاجة القاضي، دخل في باب الأجرة المحرمة بما تقدم من صحيحة ابن سنان</w:t>
      </w:r>
      <w:r>
        <w:rPr>
          <w:rFonts w:eastAsia="Amiri" w:cs="Amiri" w:ascii="Amiri" w:hAnsi="Amiri"/>
          <w:color w:val="111111"/>
          <w:sz w:val="28"/>
          <w:szCs w:val="28"/>
          <w:rtl w:val="true"/>
          <w:lang w:bidi="ar-SA"/>
        </w:rPr>
        <w:t>»</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وجود موضوع للتضييع لأن الإعطاء من جهة كونه يقوم بما فيه مصلحة للمسلمين وبيت المال معد لها ولا دخل للحاجة فيه فهي عنوان مستقل لجواز الارتزاق، أما صحيحة ابن سنان وهي المتقدمة </w:t>
      </w:r>
      <w:r>
        <w:rPr>
          <w:rStyle w:val="FootnoteAnchor"/>
          <w:rtl w:val="true"/>
        </w:rPr>
        <w:footnoteReference w:id="1000"/>
      </w:r>
    </w:p>
    <w:p>
      <w:pPr>
        <w:pStyle w:val="BookText"/>
        <w:rPr/>
      </w:pPr>
      <w:r>
        <w:rPr>
          <w:rFonts w:ascii="Amiri" w:hAnsi="Amiri" w:eastAsia="Amiri" w:cs="Amiri"/>
          <w:color w:val="111111"/>
          <w:sz w:val="28"/>
          <w:sz w:val="28"/>
          <w:szCs w:val="28"/>
          <w:rtl w:val="true"/>
          <w:lang w:bidi="ar-SA"/>
        </w:rPr>
        <w:t>فقد حملناها على ما لا ينافي الجواز</w:t>
      </w:r>
      <w:r>
        <w:rPr>
          <w:rFonts w:eastAsia="Amiri" w:cs="Amiri" w:ascii="Amiri" w:hAnsi="Amiri"/>
          <w:color w:val="111111"/>
          <w:sz w:val="28"/>
          <w:szCs w:val="28"/>
          <w:rtl w:val="true"/>
          <w:lang w:bidi="ar-SA"/>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لذلك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من هذا التقريب في كتابه عن القضاء وقوّى الجواز </w:t>
      </w:r>
    </w:p>
    <w:p>
      <w:pPr>
        <w:pStyle w:val="BookText"/>
        <w:rPr/>
      </w:pPr>
      <w:r>
        <w:rPr>
          <w:rFonts w:ascii="IRNazanin" w:hAnsi="IRNazanin" w:eastAsia="IRNazanin"/>
          <w:color w:val="111111"/>
          <w:sz w:val="28"/>
          <w:sz w:val="28"/>
          <w:szCs w:val="28"/>
          <w:rtl w:val="true"/>
          <w:lang w:bidi="fa-IR"/>
        </w:rPr>
        <w:t xml:space="preserve">مطلقاً،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وفيه منع ذلك لأنه يوجب زيادة الرغبة فيه وعدم التقاعد عنه والاشتغال بغيره حيث لا يجب إلا كفاية فالأقوى جواز أخذه مع عدم الحاجة بما يراه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 هو وكيله على بيت المال، حتى أنه لو كان بيد نفس القاضي جاز له أن يأخذ منه مقداراً يعلم أنه لو كان في يد غيره لم يقنع منه بما دون ذلك</w:t>
      </w:r>
      <w:r>
        <w:rPr>
          <w:rFonts w:eastAsia="IRNazanin" w:cs="IRNazanin"/>
          <w:color w:val="111111"/>
          <w:sz w:val="28"/>
          <w:szCs w:val="28"/>
          <w:rtl w:val="true"/>
          <w:lang w:bidi="fa-IR"/>
        </w:rPr>
        <w:t>»</w:t>
      </w:r>
      <w:r>
        <w:rPr>
          <w:rStyle w:val="FootnoteAnchor"/>
          <w:rtl w:val="true"/>
        </w:rPr>
        <w:footnoteReference w:id="10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واختار الجواز مطلقاً أيضاً في المكاسب،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الارتزاق من بيت المال فلا إشكال في جوازه للقاضي مع حاجته، بل مطلقاً إذا رأى الإمام المصلحة فيه، لما سيجيء من الأخبار الواردة في مصارف الأراضي الخراجية</w:t>
      </w:r>
      <w:r>
        <w:rPr>
          <w:rFonts w:eastAsia="Amiri" w:cs="Amiri" w:ascii="Amiri" w:hAnsi="Amiri"/>
          <w:color w:val="111111"/>
          <w:sz w:val="28"/>
          <w:szCs w:val="28"/>
          <w:rtl w:val="true"/>
          <w:lang w:bidi="ar-SA"/>
        </w:rPr>
        <w:t>»</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الرد على من اشترط الحاجة في جواز الارتزاق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–أي 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 لمصالح المسلمين فيجوز صرفه في أي جهة ترجع إليهم وتمس بهم، بل يجوز لهؤلاء المتصدين للجهات المزبورة أن يمتنعوا عن القيام بها بدون الارتزاق من بيت المال إذا كان العمل من الأمور المستحبة، وعليه فلا وجه لاعتبار الفقر والاحتياج في المرتزقة كما ذهب إليه جمع كثير من أعاظم الأصحاب</w:t>
      </w:r>
      <w:r>
        <w:rPr>
          <w:rFonts w:eastAsia="Amiri" w:cs="Amiri" w:ascii="Amiri" w:hAnsi="Amiri"/>
          <w:color w:val="111111"/>
          <w:sz w:val="28"/>
          <w:szCs w:val="28"/>
          <w:rtl w:val="true"/>
          <w:lang w:bidi="ar-SA"/>
        </w:rPr>
        <w:t xml:space="preserve">»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بعدم الجواز مطلقاً من 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الدليل، وإنما المسلم الارتزاق مع الحاجة إليه ولو بسبب القيام بالمصلحة المانع له من التكسب، سواء تعين عليه ذلك أو لا، وليس هو في الحقيقة عوض معاملي، بل لأن بيت المال معد للمحاويج سيما القائمين </w:t>
      </w:r>
    </w:p>
    <w:p>
      <w:pPr>
        <w:pStyle w:val="BookText"/>
        <w:rPr/>
      </w:pPr>
      <w:r>
        <w:rPr>
          <w:rFonts w:ascii="Amiri" w:hAnsi="Amiri" w:eastAsia="Amiri" w:cs="Amiri"/>
          <w:color w:val="111111"/>
          <w:sz w:val="28"/>
          <w:sz w:val="28"/>
          <w:szCs w:val="28"/>
          <w:rtl w:val="true"/>
          <w:lang w:bidi="ar-SA"/>
        </w:rPr>
        <w:t>بمصالح المسلمين الذين يمنعهم القيام بذلك عن التكسب للمعاش</w:t>
      </w:r>
      <w:r>
        <w:rPr>
          <w:rFonts w:eastAsia="Amiri" w:cs="Amiri" w:ascii="Amiri" w:hAnsi="Amiri"/>
          <w:color w:val="111111"/>
          <w:sz w:val="28"/>
          <w:szCs w:val="28"/>
          <w:rtl w:val="true"/>
          <w:lang w:bidi="ar-SA"/>
        </w:rPr>
        <w:t>»</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الدليل من الروايات وسيرة العقلاء والمتشرعة وأن الروايات دالة بإطلاقها على الصرف في عموم مصالح المجتمع بغضّ النظر عن الحاجة وعدمها، فهذا التقييد في مصرف بيت المال بكل مصادره خلاف المعروف من مصارف بيت المال كما تقدم فلا وجه للاقتصار على القدر المسلم، وقد اعترف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 رواية الدعائم إلا أنه استشكل لعدم وجود الجابر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ويظهر من بعض كلماته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القول بالاختصاص نشأ من نظره إلى مصادر بيت المال،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مضافاً إلى إمكان دعوى اختصاص بيت المال المجتمع من نحو الزكاة والصدقات وغيرهما بذوي الحاجات لا الأغنياء</w:t>
      </w:r>
      <w:r>
        <w:rPr>
          <w:rFonts w:eastAsia="Amiri" w:cs="Amiri" w:ascii="Amiri" w:hAnsi="Amiri"/>
          <w:color w:val="111111"/>
          <w:sz w:val="28"/>
          <w:szCs w:val="28"/>
          <w:rtl w:val="true"/>
          <w:lang w:bidi="ar-SA"/>
        </w:rPr>
        <w:t>»</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ذكر مصادر أخرى لبيت المال لا يتعين صرفها على المحتاجين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البحث في هذه الجهة أن ما قيل في وجه الاشتراط من عدم الدليل ومن كونه تضييعاً لحقوق المسلمين غير تام</w:t>
      </w:r>
      <w:r>
        <w:rPr>
          <w:rFonts w:eastAsia="Amiri" w:cs="Amiri" w:ascii="Amiri" w:hAnsi="Amiri"/>
          <w:color w:val="111111"/>
          <w:sz w:val="28"/>
          <w:szCs w:val="28"/>
          <w:rtl w:val="true"/>
          <w:lang w:bidi="ar-SA"/>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التعين به إما لأمر الإمام أو نائبه إياه تعييناً أو لعدم وجود آخر جامع للشرائط فيتعين عليه وجوب التصدي وحينئذٍ قد يقال بحرمة أخذ الرزق عليه كالأجرة لحرمة ذلك على الواجبات العينية، هذا مع كونه ذا كفاية أما إذا كان محتاجاً فإنه يجوز له مطلقاً لأن هذا العنوان من موارد الصرف، قال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تعين للقضاء ولم يكن له </w:t>
      </w:r>
    </w:p>
    <w:p>
      <w:pPr>
        <w:pStyle w:val="BookText"/>
        <w:rPr/>
      </w:pPr>
      <w:r>
        <w:rPr>
          <w:rFonts w:ascii="Amiri" w:hAnsi="Amiri" w:eastAsia="Amiri" w:cs="Amiri"/>
          <w:color w:val="111111"/>
          <w:sz w:val="28"/>
          <w:sz w:val="28"/>
          <w:szCs w:val="28"/>
          <w:rtl w:val="true"/>
          <w:lang w:bidi="ar-SA"/>
        </w:rPr>
        <w:t>كفاية جاز له أخذ الرزق، وإن كان له كفاية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له أخذ الرزق، لأنه يؤدي فرضاً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القواعد مع شرح كاشف اللثام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يجوز له الارتزاق منه إذا تعين عليه ولم يكن ذا كفاية لجوازه لغيره ممن لا كفاية له فله أولى، ولو كان ذا كفاية لم يجز له الأخذ منه عليه؛ لأنه يؤدي بالقضاء واجباً ولا أجرة على الواجب</w:t>
      </w:r>
      <w:r>
        <w:rPr>
          <w:rFonts w:eastAsia="Amiri" w:cs="Amiri" w:ascii="Amiri" w:hAnsi="Amiri"/>
          <w:color w:val="111111"/>
          <w:sz w:val="28"/>
          <w:szCs w:val="28"/>
          <w:rtl w:val="true"/>
          <w:lang w:bidi="ar-SA"/>
        </w:rPr>
        <w:t>»</w:t>
      </w:r>
      <w:r>
        <w:rPr>
          <w:rStyle w:val="FootnoteAnchor"/>
          <w:rtl w:val="true"/>
        </w:rPr>
        <w:footnoteReference w:id="1006"/>
      </w:r>
      <w:r>
        <w:rPr>
          <w:rFonts w:ascii="Amiri" w:hAnsi="Amiri" w:eastAsia="Amiri" w:cs="Amiri"/>
          <w:color w:val="111111"/>
          <w:sz w:val="28"/>
          <w:sz w:val="28"/>
          <w:szCs w:val="28"/>
          <w:rtl w:val="true"/>
          <w:lang w:bidi="ar-SA"/>
        </w:rPr>
        <w:t xml:space="preserve">، ووصفه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الأشهر</w:t>
      </w:r>
      <w:r>
        <w:rPr>
          <w:rStyle w:val="FootnoteAnchor"/>
          <w:rtl w:val="true"/>
        </w:rPr>
        <w:footnoteReference w:id="1007"/>
      </w:r>
    </w:p>
    <w:p>
      <w:pPr>
        <w:pStyle w:val="BookText"/>
        <w:rPr/>
      </w:pPr>
      <w:r>
        <w:rPr>
          <w:rFonts w:ascii="Amiri" w:hAnsi="Amiri" w:eastAsia="Amiri" w:cs="Amiri"/>
          <w:color w:val="111111"/>
          <w:sz w:val="28"/>
          <w:sz w:val="28"/>
          <w:szCs w:val="28"/>
          <w:rtl w:val="true"/>
          <w:lang w:bidi="ar-SA"/>
        </w:rPr>
        <w:t>ووجّه المنع لأنه بمنزلة الرشوة المنهي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تعينه عليه لا يغير في الوجوب شيئاً؛ لأنه أيضاً كان واجباً قبل التعين لكونه من أهم الواجبات النظامية غاية الأمر أنه كان كفائياً وأصبحعينياً، فأصل الوجوب ثابت في كلا الحالين ولا معنى للتعليل بكونه أصبح واجباً، فكان عليهم التعليل بهذا اللحاظ لو كان مؤثراً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الجواز مطلقاً لأن الرزق شيء يقدمه ولي الأمر لإقامة هذه المصالح العامة وليس عوضاً عن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كالأجرة حتى تلاحظ هذه الاعتبارات، ولا يؤثر تعيّن الوجوب عليه على الحكم بالجواز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الشيخان المفيد في المقنعة والطوسي في المبسوط وغيرهما إلى الجواز مطلقاً حتى مع التعيّن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خروجه بالوجوب عن كونه من المصالح بل أهمها، ومنع كون فعل الواجب يمنع من أخذ الرزق عليه مطلقاً، ولهذا يأخذ المجاهدون وهم قائمون بأهم الواجبات</w:t>
      </w:r>
      <w:r>
        <w:rPr>
          <w:rFonts w:eastAsia="Amiri" w:cs="Amiri" w:ascii="Amiri" w:hAnsi="Amiri"/>
          <w:color w:val="111111"/>
          <w:sz w:val="28"/>
          <w:szCs w:val="28"/>
          <w:rtl w:val="true"/>
          <w:lang w:bidi="ar-SA"/>
        </w:rPr>
        <w:t>»</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حيثيتان أخريان لعدم جواز الارتزاق، نذكرها بنفس التسلسل</w:t>
      </w:r>
      <w:r>
        <w:rPr>
          <w:rFonts w:eastAsia="Amiri" w:cs="Amiri" w:ascii="Amiri" w:hAnsi="Amiri"/>
          <w:color w:val="111111"/>
          <w:sz w:val="28"/>
          <w:szCs w:val="28"/>
          <w:rtl w:val="true"/>
          <w:lang w:bidi="ar-SA"/>
        </w:rPr>
        <w:t xml:space="preserve">: </w:t>
      </w:r>
      <w:bookmarkStart w:id="884" w:name="pg8133_63262"/>
    </w:p>
    <w:p>
      <w:pPr>
        <w:pStyle w:val="BookText"/>
        <w:rPr/>
      </w:pPr>
      <w:bookmarkEnd w:id="884"/>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قلنا بكون القضاء من العبادات كما عساه يظهر من بعضهم أشكل أخذ العوض عليه مطلقاً أيضاً لما فيه من الجمع بين العوض والمعوض عنه</w:t>
      </w:r>
      <w:r>
        <w:rPr>
          <w:rFonts w:eastAsia="Amiri" w:cs="Amiri" w:ascii="Amiri" w:hAnsi="Amiri"/>
          <w:color w:val="111111"/>
          <w:sz w:val="28"/>
          <w:szCs w:val="28"/>
          <w:rtl w:val="true"/>
          <w:lang w:bidi="ar-SA"/>
        </w:rPr>
        <w:t>»</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الخلاف مبنائي، وعلى القول به فسيأتي إن شاء الله تعالى في المقام الثاني البحث في مانعية العبادية من أخذ 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اشترطه البعض من عدم وجود المتطوع، قال الشيخ الأنصاري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يجوز إعطاء القاضي الغني إذا علم أنه يتطوع بالقضاء من دون التماس رزق، فإن وجد متطوعاً لم يجز له إعطاء من يطلب عليه الرزق كما صرّح به في المبسوط والسرائر فإطلاق بعضهم جواز إعطاء الغني محمول على ذلك</w:t>
      </w:r>
      <w:r>
        <w:rPr>
          <w:rFonts w:eastAsia="Amiri" w:cs="Amiri" w:ascii="Amiri" w:hAnsi="Amiri"/>
          <w:color w:val="111111"/>
          <w:sz w:val="28"/>
          <w:szCs w:val="28"/>
          <w:rtl w:val="true"/>
          <w:lang w:bidi="ar-SA"/>
        </w:rPr>
        <w:t>»</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هذا الاشتراط صحيحاً ظاهراً لأن في بذل الرزق معوجود المتطوع تضييعاً لحقوق المسلمين إلا أنه قد يضر بالمصالح العامة من جهة أخرى لقلة المتطوعين المحتسبين الذين عملهم لوجه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نُرِيدُ مِنكُمْ جَزَاء وَلا شُكُوراً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وقلة الحافز على التصدي لهذه الوظائف، فالأولى ربط الحكم في المسألة بقانون مراعاة الأهم، فينظر ولي الأمر فيما تقتضيه المصلحة العامة من بذل الرزق للمتصدين للواجبات النظامية مع وجود المتطوع وعدمه</w:t>
      </w:r>
      <w:r>
        <w:rPr>
          <w:rFonts w:eastAsia="Amiri" w:cs="Amiri" w:ascii="Amiri" w:hAnsi="Amiri"/>
          <w:color w:val="111111"/>
          <w:sz w:val="28"/>
          <w:szCs w:val="28"/>
          <w:rtl w:val="true"/>
          <w:lang w:bidi="ar-SA"/>
        </w:rPr>
        <w:t>.</w:t>
      </w:r>
    </w:p>
    <w:p>
      <w:pPr>
        <w:pStyle w:val="Heading6"/>
        <w:numPr>
          <w:ilvl w:val="5"/>
          <w:numId w:val="1"/>
        </w:numPr>
        <w:rPr/>
      </w:pPr>
      <w:bookmarkStart w:id="885" w:name="__RefHeading___Toc8193613_1051229030"/>
      <w:bookmarkStart w:id="886" w:name="_Toc318"/>
      <w:bookmarkEnd w:id="885"/>
      <w:r>
        <w:rPr>
          <w:rtl w:val="true"/>
        </w:rPr>
        <w:t>المقام الثاني</w:t>
      </w:r>
      <w:r>
        <w:rPr>
          <w:rtl w:val="true"/>
        </w:rPr>
        <w:t xml:space="preserve">: </w:t>
      </w:r>
      <w:r>
        <w:rPr>
          <w:rtl w:val="true"/>
        </w:rPr>
        <w:t>الإجارة</w:t>
      </w:r>
      <w:bookmarkEnd w:id="886"/>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صغرى لكبرى جواز أخذ الأجرة على الواجبات التي تبحث </w:t>
      </w:r>
    </w:p>
    <w:p>
      <w:pPr>
        <w:pStyle w:val="BookText"/>
        <w:rPr/>
      </w:pPr>
      <w:r>
        <w:rPr>
          <w:rFonts w:ascii="Amiri" w:hAnsi="Amiri" w:eastAsia="Amiri" w:cs="Amiri"/>
          <w:color w:val="111111"/>
          <w:sz w:val="28"/>
          <w:sz w:val="28"/>
          <w:szCs w:val="28"/>
          <w:rtl w:val="true"/>
          <w:lang w:bidi="ar-SA"/>
        </w:rPr>
        <w:t>مفصلاً في باب المكاسب المحرمة وفي كتاب الإجارة، وبعض التفاصيل في مواضع أخرى وقد تعدّدت الأقوال فيها واختلفت بشكل كبير حتى اعتبروها من مزالّ الأقدام</w:t>
      </w:r>
      <w:r>
        <w:rPr>
          <w:rStyle w:val="FootnoteAnchor"/>
          <w:rtl w:val="true"/>
        </w:rPr>
        <w:footnoteReference w:id="101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ومن معضلات الفن عند الفقهاء</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تراوحت الأقوال فيها بين عدم الجواز مطلقاً –الذي وصفه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المشهور بين الأصحاب</w:t>
      </w:r>
      <w:r>
        <w:rPr>
          <w:rStyle w:val="FootnoteAnchor"/>
          <w:rtl w:val="true"/>
        </w:rPr>
        <w:footnoteReference w:id="1013"/>
      </w:r>
    </w:p>
    <w:p>
      <w:pPr>
        <w:pStyle w:val="BookText"/>
        <w:rPr/>
      </w:pPr>
      <w:r>
        <w:rPr>
          <w:rFonts w:ascii="Amiri" w:hAnsi="Amiri" w:eastAsia="Amiri" w:cs="Amiri"/>
          <w:color w:val="111111"/>
          <w:sz w:val="28"/>
          <w:sz w:val="28"/>
          <w:szCs w:val="28"/>
          <w:rtl w:val="true"/>
          <w:lang w:bidi="ar-SA"/>
        </w:rPr>
        <w:t>بل ادعي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الجواز مطلقاً وهو ما اختاره صاحب الجواهر</w:t>
      </w:r>
      <w:r>
        <w:rPr>
          <w:rStyle w:val="FootnoteAnchor"/>
          <w:rtl w:val="true"/>
        </w:rPr>
        <w:footnoteReference w:id="1014"/>
      </w:r>
    </w:p>
    <w:p>
      <w:pPr>
        <w:pStyle w:val="BookText"/>
        <w:rPr/>
      </w:pPr>
      <w:r>
        <w:rPr>
          <w:rFonts w:ascii="Amiri" w:hAnsi="Amiri" w:eastAsia="Amiri" w:cs="Amiri"/>
          <w:color w:val="111111"/>
          <w:sz w:val="28"/>
          <w:sz w:val="28"/>
          <w:szCs w:val="28"/>
          <w:rtl w:val="true"/>
          <w:lang w:bidi="ar-SA"/>
        </w:rPr>
        <w:t xml:space="preserve">والسيد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استثناء سنذكره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وبينهما أقوال بالتفصيل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التعبدي فلا يجوز، والتوصلي فيجوز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في التفصيل السابق بين الكفائي التوصلي فيجوز، وبينغيره فلا يجوز، وكأن كلاً من التعبدية والعينية مانع من الجواز</w:t>
      </w:r>
      <w:r>
        <w:rPr>
          <w:rFonts w:eastAsia="Amiri" w:cs="Amiri" w:ascii="Amiri" w:hAnsi="Amiri"/>
          <w:color w:val="111111"/>
          <w:sz w:val="28"/>
          <w:szCs w:val="28"/>
          <w:rtl w:val="true"/>
          <w:lang w:bidi="ar-SA"/>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الواجبات التي تجب على الأجير عيناً أو كفايةً وجوباً ذاتياً فلا يجوز، وبين الواجبات الكفائية التوصلية فيجوز، كالصناعات الواجبة كفاية لانتظام المعاش</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التعبدي فلا يجوز مطلقاً وبين التوصلي وفيه تفصيل بين الكفائي والعيني، فيجوز في الكفائي منه مطلقاً وفصّل في الثاني بين ما كان وجوبه للضرورة أو لحفظ النظام وغيره، فجوَّز في الأول ومنع في الثاني سواء كان الوجوب ذاتياً أو غيرياً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العيني التعييني والكفائي التعبدي فلا يجوز، وبين الكفائي التوصلي والتخييري فيجوز، والتردد في التخييري التعبدي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ذلك من التفاصيل</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وجود واجبات أجمعوا على جواز أخذ الأجرة عليها كالواجبات النظامية يعتبر نقضاً على قول المشهور بالحرمة مطلقاً نتيجته أن اعتبار الوجوب هو ملاك الحكم بالحرمة غير دقيق؛ لذا ذهبوا إلى التفاصيل المتقدمة لتقنين الخارج والداخل في جواز أخذ الأجرة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ضوء القول المختار في هذه المسألة يُعرف حكم المورد أيجواز أخذ الأجرة على أداء وظيفة الأمر بالمعروف والنهي عن المنكر بعد أن حددنا صفة هذا الوجوب أنه عيني أو كفائي، تعبدي أو توصلي،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تنقيح موضوع الحكم وتحرير محل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توجد عدة أمور ينبغي الالتفات إليها لتنقيح موضوع الحكم، وتحرير محل النزاع، منها</w:t>
      </w:r>
      <w:r>
        <w:rPr>
          <w:rFonts w:eastAsia="Amiri" w:cs="Amiri" w:ascii="Amiri" w:hAnsi="Amiri"/>
          <w:color w:val="111111"/>
          <w:sz w:val="28"/>
          <w:szCs w:val="28"/>
          <w:rtl w:val="true"/>
          <w:lang w:bidi="ar-SA"/>
        </w:rPr>
        <w:t>:</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اشتمال عقد الإجارة على جميع شرائط الصحة كوجود منفعة محللة مقصودة لدى العقلاء، وتحقق المعاوضة ونحو ذلك لينحصر </w:t>
      </w:r>
    </w:p>
    <w:p>
      <w:pPr>
        <w:pStyle w:val="BookText"/>
        <w:rPr/>
      </w:pPr>
      <w:r>
        <w:rPr>
          <w:rFonts w:ascii="Amiri" w:hAnsi="Amiri" w:eastAsia="Amiri" w:cs="Amiri"/>
          <w:color w:val="111111"/>
          <w:sz w:val="28"/>
          <w:sz w:val="28"/>
          <w:szCs w:val="28"/>
          <w:rtl w:val="true"/>
          <w:lang w:bidi="ar-SA"/>
        </w:rPr>
        <w:t>البحث في كون صفة الوجوب مانعة عن أخذ الأجرة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دليل على اشتراط الإتيان بالواجب الذي تعلق به عقد الإجارة على نحو المجانية، وإلا فلا خلاف في حرمة أخذ الأجرة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ولمزيد من التوضيح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القائلين بالجواز مطلقاً لما نُقض عليهم بواجبات أجمعوا على حرمة أخذ الأجرة عليها كتجهيز الميت ودفنه، حاولوا تنقيح موضوع الجواز وإخراج هذه الموارد ليسلموا من النقض، فاشترطوا في الجواز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ظهور دليل الوجوب في المجانية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مما دل على الوجوب كونه بصفة المجانية اتجه المنع</w:t>
      </w:r>
      <w:r>
        <w:rPr>
          <w:rFonts w:eastAsia="Amiri" w:cs="Amiri" w:ascii="Amiri" w:hAnsi="Amiri"/>
          <w:color w:val="111111"/>
          <w:sz w:val="28"/>
          <w:szCs w:val="28"/>
          <w:rtl w:val="true"/>
          <w:lang w:bidi="ar-SA"/>
        </w:rPr>
        <w:t>»</w:t>
      </w:r>
      <w:r>
        <w:rPr>
          <w:rStyle w:val="FootnoteAnchor"/>
          <w:rtl w:val="true"/>
        </w:rPr>
        <w:footnoteReference w:id="10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المناط في المنع هو فهم المجانية من غير فرق بين كونه حقاً أو حكماً بل وجوباً أو استحباباً وعينياً أو كفائياً أو تخييرياً</w:t>
      </w:r>
      <w:r>
        <w:rPr>
          <w:rFonts w:eastAsia="Amiri" w:cs="Amiri" w:ascii="Amiri" w:hAnsi="Amiri"/>
          <w:color w:val="111111"/>
          <w:sz w:val="28"/>
          <w:szCs w:val="28"/>
          <w:rtl w:val="true"/>
          <w:lang w:bidi="ar-SA"/>
        </w:rPr>
        <w:t>»</w:t>
      </w:r>
      <w:r>
        <w:rPr>
          <w:rStyle w:val="FootnoteAnchor"/>
          <w:rtl w:val="true"/>
        </w:rPr>
        <w:footnoteReference w:id="1018"/>
      </w:r>
      <w:r>
        <w:rPr>
          <w:rFonts w:ascii="Amiri" w:hAnsi="Amiri" w:eastAsia="Amiri" w:cs="Amiri"/>
          <w:color w:val="111111"/>
          <w:sz w:val="28"/>
          <w:sz w:val="28"/>
          <w:szCs w:val="28"/>
          <w:rtl w:val="true"/>
          <w:lang w:bidi="ar-SA"/>
        </w:rPr>
        <w:t xml:space="preserve">أي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 البحث في المقام إنما هو جهة العبادة وجهة الوجوب فقط ومانعيتهما عن صحة الإجارة وعدمها، بعد الفراغ عن سائر الجهات والحيثيات التي اعتبرها الشارع المقدس في عقد الإجارة، كأن لا يكون العمل المستأجر عليه ممااعتبرت المجانية فيه عند الشارع</w:t>
      </w:r>
      <w:r>
        <w:rPr>
          <w:rFonts w:eastAsia="Amiri" w:cs="Amiri" w:ascii="Amiri" w:hAnsi="Amiri"/>
          <w:color w:val="111111"/>
          <w:sz w:val="28"/>
          <w:szCs w:val="28"/>
          <w:rtl w:val="true"/>
          <w:lang w:bidi="ar-SA"/>
        </w:rPr>
        <w:t>»</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في هذا الطرح إشكال فني؛ لأن في هذا الاشتراط –أي جعل عدم المجانية شرطاً في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مصادرة على المطلوب؛ لأن اشتراط المجانية تعبير آخر عن حرمة أخذ الأجرة الذي هو محل البحث، كما أن القول بحرمة ترك الصلاة تعبير آخر عن وجوبها، فإثبات المجانية هو محور هذا البحث لأنه يعني إثبات حرمة أخذ الأجرة على الواجبات، والقائل بحرمة أخذ الأجرة مشترط للمجانية؛ لأنه يرى أن الوجوب مانع عن أخذ </w:t>
      </w:r>
    </w:p>
    <w:p>
      <w:pPr>
        <w:pStyle w:val="BookText"/>
        <w:rPr/>
      </w:pPr>
      <w:r>
        <w:rPr>
          <w:rFonts w:ascii="Amiri" w:hAnsi="Amiri" w:eastAsia="Amiri" w:cs="Amiri"/>
          <w:color w:val="111111"/>
          <w:sz w:val="28"/>
          <w:sz w:val="28"/>
          <w:szCs w:val="28"/>
          <w:rtl w:val="true"/>
          <w:lang w:bidi="ar-SA"/>
        </w:rPr>
        <w:t>الأجرة، كما يرى أنه موجب للمجانية وهو منشأهما معاً، فهذه الحيثية –أي إثبات المجانية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داخلة في محل البحث ولا يصح إخراجها، لذا فإن بعض الوجوه التي قيلت لتوجيه عدم الجواز وتحديد مساحة غير الجائز ناظر إلى هذه العلة، كالمحكي عن الشيخ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شرحه على القواعد</w:t>
      </w:r>
      <w:r>
        <w:rPr>
          <w:rStyle w:val="FootnoteAnchor"/>
          <w:rtl w:val="true"/>
        </w:rPr>
        <w:footnoteReference w:id="1020"/>
      </w:r>
    </w:p>
    <w:p>
      <w:pPr>
        <w:pStyle w:val="BookText"/>
        <w:rPr/>
      </w:pPr>
      <w:r>
        <w:rPr>
          <w:rFonts w:ascii="Amiri" w:hAnsi="Amiri" w:eastAsia="Amiri" w:cs="Amiri"/>
          <w:color w:val="111111"/>
          <w:sz w:val="28"/>
          <w:sz w:val="28"/>
          <w:szCs w:val="28"/>
          <w:rtl w:val="true"/>
          <w:lang w:bidi="ar-SA"/>
        </w:rPr>
        <w:t>وسنبينه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لهم أن يستثنوا من القول بالجواز مطلقاً ما ثبت بدليل خاص حرمة أخذ الأجرة عليه لظهور دليله في المجانية، وفرّق بين جعله شرطاً، واستثنائه من القول بالجواز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إنهم لم يبينوا لنا كيفية التعرف على هذه المجانية، وإنما هو أمرٌ فهمه المستدل، وتعبير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بذلك، ولم يؤسسوا لنا قاعدة لإخراج هذه الموارد وليس فيها مورد منصوص ثبتت مجانيته بدليل يمكن الوثوق به كما سنبين إن شاء الله تعالى، فاشتراطه تعويل على أمر مبهم؛ لأنها جميعاً محل التردد والبحث مثل ما نحن فيه أي فريضة الأمر بالمعروف والنهي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بد إذن من تقييد القول بالجواز مطلقاً كقول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وقدظهر من جميع ما ذكرناه سقوط جميع الأقوال المتقدمة غير ما بنينا عليه من القول بالجواز على وجه الإطلاق</w:t>
      </w:r>
      <w:r>
        <w:rPr>
          <w:rFonts w:eastAsia="Amiri" w:cs="Amiri" w:ascii="Amiri" w:hAnsi="Amiri"/>
          <w:color w:val="111111"/>
          <w:sz w:val="28"/>
          <w:szCs w:val="28"/>
          <w:rtl w:val="true"/>
          <w:lang w:bidi="ar-SA"/>
        </w:rPr>
        <w:t>»</w:t>
      </w:r>
      <w:r>
        <w:rPr>
          <w:rStyle w:val="FootnoteAnchor"/>
          <w:rtl w:val="true"/>
        </w:rPr>
        <w:footnoteReference w:id="1021"/>
      </w:r>
    </w:p>
    <w:p>
      <w:pPr>
        <w:pStyle w:val="BookText"/>
        <w:rPr/>
      </w:pPr>
      <w:r>
        <w:rPr>
          <w:rFonts w:ascii="Amiri" w:hAnsi="Amiri" w:eastAsia="Amiri" w:cs="Amiri"/>
          <w:color w:val="111111"/>
          <w:sz w:val="28"/>
          <w:sz w:val="28"/>
          <w:szCs w:val="28"/>
          <w:rtl w:val="true"/>
          <w:lang w:bidi="ar-SA"/>
        </w:rPr>
        <w:t>بموارد المنع وعدم التعويل على الاشتراط المذكور</w:t>
      </w:r>
      <w:r>
        <w:rPr>
          <w:rFonts w:eastAsia="Amiri" w:cs="Amiri" w:ascii="Amiri" w:hAnsi="Amiri"/>
          <w:color w:val="111111"/>
          <w:sz w:val="28"/>
          <w:szCs w:val="28"/>
          <w:rtl w:val="true"/>
          <w:lang w:bidi="ar-SA"/>
        </w:rPr>
        <w:t>.</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يريد بالجواز في الجملة أي عدم المانعية الذاتية لصفتي الوجوب والعبادية من أخذ الأجرة، ولا ينفي إمكان عدم الجواز بوجه عارض آخر كما </w:t>
      </w:r>
      <w:bookmarkStart w:id="887" w:name="pg8133_63267"/>
    </w:p>
    <w:p>
      <w:pPr>
        <w:pStyle w:val="BookText"/>
        <w:rPr/>
      </w:pPr>
      <w:bookmarkEnd w:id="887"/>
      <w:r>
        <w:rPr>
          <w:rFonts w:ascii="Amiri" w:hAnsi="Amiri" w:eastAsia="Amiri" w:cs="Amiri"/>
          <w:color w:val="111111"/>
          <w:sz w:val="28"/>
          <w:sz w:val="28"/>
          <w:szCs w:val="28"/>
          <w:rtl w:val="true"/>
          <w:lang w:bidi="ar-SA"/>
        </w:rPr>
        <w:t>سنبين إن شاء الله تعالى، وهذا جواب صحيح إلا أنه يتنافى مع التزامه بالفراغ من الحيثيات الأخرى في كلامه الذي نقلناه في الصفحة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أورده بعض الأعلام تبعاً لأستاذه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هذا الذي نقول من عدم جواز أخذ مطلق العوض على الواجبات فيما إذا كان الشيء واجباً بالمعنى الاسم المصدري، وأما إذا كان واجباً بالمعنى المصدري فلا مانع من أخذ الأجرة عليه</w:t>
      </w:r>
      <w:r>
        <w:rPr>
          <w:rFonts w:eastAsia="Amiri" w:cs="Amiri" w:ascii="Amiri" w:hAnsi="Amiri"/>
          <w:color w:val="111111"/>
          <w:sz w:val="28"/>
          <w:szCs w:val="28"/>
          <w:rtl w:val="true"/>
          <w:lang w:bidi="ar-SA"/>
        </w:rPr>
        <w:t>»</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سيتضح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الكلام عند إيراد وجهه لتقريب جواز أخذ الأجرة على الواجبات النظامية –وهو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أمور أخرى ترتبط بتنقيح الموضوع كوحدة متعلق الإجارة وموضوع الوجوب سنذكرها في التتميم إن شاء الله تعالى</w:t>
      </w:r>
      <w:r>
        <w:rPr>
          <w:rFonts w:eastAsia="Amiri" w:cs="Amiri" w:ascii="Amiri" w:hAnsi="Amiri"/>
          <w:color w:val="111111"/>
          <w:sz w:val="28"/>
          <w:szCs w:val="28"/>
          <w:rtl w:val="true"/>
          <w:lang w:bidi="ar-SA"/>
        </w:rPr>
        <w:t>.</w:t>
      </w:r>
    </w:p>
    <w:p>
      <w:pPr>
        <w:pStyle w:val="Heading6"/>
        <w:numPr>
          <w:ilvl w:val="5"/>
          <w:numId w:val="1"/>
        </w:numPr>
        <w:rPr/>
      </w:pPr>
      <w:bookmarkStart w:id="888" w:name="__RefHeading___Toc8193615_1051229030"/>
      <w:bookmarkStart w:id="889" w:name="_Toc319"/>
      <w:bookmarkEnd w:id="888"/>
      <w:r>
        <w:rPr>
          <w:rtl w:val="true"/>
        </w:rPr>
        <w:t>الاستدلال على عدم الجواز</w:t>
      </w:r>
      <w:r>
        <w:rPr>
          <w:rtl w:val="true"/>
        </w:rPr>
        <w:t>:</w:t>
      </w:r>
      <w:bookmarkEnd w:id="889"/>
    </w:p>
    <w:p>
      <w:pPr>
        <w:pStyle w:val="BookText"/>
        <w:rPr/>
      </w:pPr>
      <w:r>
        <w:rPr>
          <w:rFonts w:ascii="Amiri" w:hAnsi="Amiri" w:eastAsia="Amiri" w:cs="Amiri"/>
          <w:color w:val="111111"/>
          <w:sz w:val="28"/>
          <w:sz w:val="28"/>
          <w:szCs w:val="28"/>
          <w:rtl w:val="true"/>
          <w:lang w:bidi="ar-SA"/>
        </w:rPr>
        <w:t xml:space="preserve">لا يوجد دليل من النصوص على حرمة أخذ الأجرة على الواجبات كقاعدة كلية، وإنما استدلوا عليها بالإجماع، وقد اعترفوا بذلك كالمحقق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بعد أن استظهر عدم الخلاف في الحكم بالحرمة،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فكأنَّ الإجماع دليله</w:t>
      </w:r>
      <w:r>
        <w:rPr>
          <w:rFonts w:eastAsia="Amiri" w:cs="Amiri" w:ascii="Amiri" w:hAnsi="Amiri"/>
          <w:color w:val="111111"/>
          <w:sz w:val="28"/>
          <w:szCs w:val="28"/>
          <w:rtl w:val="true"/>
          <w:lang w:bidi="ar-SA"/>
        </w:rPr>
        <w:t>»</w:t>
      </w:r>
      <w:r>
        <w:rPr>
          <w:rStyle w:val="FootnoteAnchor"/>
          <w:rtl w:val="true"/>
        </w:rPr>
        <w:footnoteReference w:id="1023"/>
      </w:r>
    </w:p>
    <w:p>
      <w:pPr>
        <w:pStyle w:val="BookText"/>
        <w:rPr/>
      </w:pPr>
      <w:r>
        <w:rPr>
          <w:rFonts w:ascii="Amiri" w:hAnsi="Amiri" w:eastAsia="Amiri" w:cs="Amiri"/>
          <w:color w:val="111111"/>
          <w:sz w:val="28"/>
          <w:sz w:val="28"/>
          <w:szCs w:val="28"/>
          <w:rtl w:val="true"/>
          <w:lang w:bidi="ar-SA"/>
        </w:rPr>
        <w:t xml:space="preserve">وكذلك صاحب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حصر موضوعه بالواجبات الذاتية –أي غير التوصلية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بل عليه الإجماع وهو الحجة</w:t>
      </w:r>
      <w:r>
        <w:rPr>
          <w:rFonts w:eastAsia="Amiri" w:cs="Amiri" w:ascii="Amiri" w:hAnsi="Amiri"/>
          <w:color w:val="111111"/>
          <w:sz w:val="28"/>
          <w:szCs w:val="28"/>
          <w:rtl w:val="true"/>
          <w:lang w:bidi="ar-SA"/>
        </w:rPr>
        <w:t>»</w:t>
      </w:r>
      <w:r>
        <w:rPr>
          <w:rStyle w:val="FootnoteAnchor"/>
          <w:rtl w:val="true"/>
        </w:rPr>
        <w:footnoteReference w:id="1024"/>
      </w:r>
      <w:r>
        <w:rPr>
          <w:rFonts w:ascii="IRNazanin" w:hAnsi="IRNazanin" w:eastAsia="IRNazanin"/>
          <w:color w:val="111111"/>
          <w:sz w:val="28"/>
          <w:sz w:val="28"/>
          <w:szCs w:val="28"/>
          <w:rtl w:val="true"/>
          <w:lang w:bidi="fa-IR"/>
        </w:rPr>
        <w:t>،</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وبالغ الشيخ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ودعوى المحصَّل غير بعيدة عند المحصِّل</w:t>
      </w:r>
      <w:r>
        <w:rPr>
          <w:rFonts w:eastAsia="Amiri" w:cs="Amiri" w:ascii="Amiri" w:hAnsi="Amiri"/>
          <w:color w:val="111111"/>
          <w:sz w:val="28"/>
          <w:szCs w:val="28"/>
          <w:rtl w:val="true"/>
          <w:lang w:bidi="ar-SA"/>
        </w:rPr>
        <w:t>»</w:t>
      </w:r>
      <w:r>
        <w:rPr>
          <w:rStyle w:val="FootnoteAnchor"/>
          <w:rtl w:val="true"/>
        </w:rPr>
        <w:footnoteReference w:id="1025"/>
      </w:r>
    </w:p>
    <w:p>
      <w:pPr>
        <w:pStyle w:val="BookText"/>
        <w:rPr/>
      </w:pPr>
      <w:r>
        <w:rPr>
          <w:rFonts w:ascii="Amiri" w:hAnsi="Amiri" w:eastAsia="Amiri" w:cs="Amiri"/>
          <w:color w:val="111111"/>
          <w:sz w:val="28"/>
          <w:sz w:val="28"/>
          <w:szCs w:val="28"/>
          <w:rtl w:val="true"/>
          <w:lang w:bidi="ar-SA"/>
        </w:rPr>
        <w:t xml:space="preserve">وفي مفتاح الكرامة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يعرف الخلاف إلا من علم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حكي عن علم الهدى جواز الأجرة على مثل التكفين والدفن لأنه واجب على الولي ولا يجوز لغيره إلا بإذنه</w:t>
      </w:r>
      <w:r>
        <w:rPr>
          <w:rFonts w:eastAsia="Amiri" w:cs="Amiri" w:ascii="Amiri" w:hAnsi="Amiri"/>
          <w:color w:val="111111"/>
          <w:sz w:val="28"/>
          <w:szCs w:val="28"/>
          <w:rtl w:val="true"/>
          <w:lang w:bidi="ar-SA"/>
        </w:rPr>
        <w:t>»</w:t>
      </w:r>
      <w:r>
        <w:rPr>
          <w:rStyle w:val="FootnoteAnchor"/>
          <w:rtl w:val="true"/>
        </w:rPr>
        <w:footnoteReference w:id="10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ولذا جوّز استئجاره عليه، وكأن الذي دعاه إلى ذلك ظهور الأدلة في توقف صحة فعل الغير على إذن الولي، فظن أن الوجوب على الولي</w:t>
      </w:r>
      <w:r>
        <w:rPr>
          <w:rFonts w:eastAsia="Amiri" w:cs="Amiri" w:ascii="Amiri" w:hAnsi="Amiri"/>
          <w:color w:val="111111"/>
          <w:sz w:val="28"/>
          <w:szCs w:val="28"/>
          <w:rtl w:val="true"/>
          <w:lang w:bidi="ar-SA"/>
        </w:rPr>
        <w:t>»</w:t>
      </w:r>
      <w:r>
        <w:rPr>
          <w:rStyle w:val="FootnoteAnchor"/>
          <w:rtl w:val="true"/>
        </w:rPr>
        <w:footnoteReference w:id="1027"/>
      </w:r>
      <w:r>
        <w:rPr>
          <w:rFonts w:ascii="Amiri" w:hAnsi="Amiri" w:eastAsia="Amiri" w:cs="Amiri"/>
          <w:color w:val="111111"/>
          <w:sz w:val="28"/>
          <w:sz w:val="28"/>
          <w:szCs w:val="28"/>
          <w:rtl w:val="true"/>
          <w:lang w:bidi="ar-SA"/>
        </w:rPr>
        <w:t>وعلى هذا فإنه لا يكون مخالفاً في المسألة؛ لأن هذه الأعمال غير واجبة أصلاً على غير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وأول من حكى الإجماع المحقق الكركي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الوجوب مطلقاً مانع من جواز أخذ الأجرة وهو صريح كلام الأصحاب</w:t>
      </w:r>
      <w:r>
        <w:rPr>
          <w:rFonts w:eastAsia="Amiri" w:cs="Amiri" w:ascii="Amiri" w:hAnsi="Amiri"/>
          <w:color w:val="111111"/>
          <w:sz w:val="28"/>
          <w:szCs w:val="28"/>
          <w:rtl w:val="true"/>
          <w:lang w:bidi="ar-SA"/>
        </w:rPr>
        <w:t>»</w:t>
      </w:r>
      <w:r>
        <w:rPr>
          <w:rStyle w:val="FootnoteAnchor"/>
          <w:rtl w:val="true"/>
        </w:rPr>
        <w:footnoteReference w:id="1028"/>
      </w:r>
    </w:p>
    <w:p>
      <w:pPr>
        <w:pStyle w:val="BookText"/>
        <w:rPr/>
      </w:pPr>
      <w:r>
        <w:rPr>
          <w:rFonts w:ascii="Amiri" w:hAnsi="Amiri" w:eastAsia="Amiri" w:cs="Amiri"/>
          <w:color w:val="111111"/>
          <w:sz w:val="28"/>
          <w:sz w:val="28"/>
          <w:szCs w:val="28"/>
          <w:rtl w:val="true"/>
          <w:lang w:bidi="ar-SA"/>
        </w:rPr>
        <w:t xml:space="preserve">وردَّ على تفصيل فخر المحققين بين التعبدي والتوصلي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 لما عليه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جمعاً من الأصحاب شككوا في هذا الإجماع كصاحب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أني لم أجده وهو إن تم الحجة</w:t>
      </w:r>
      <w:r>
        <w:rPr>
          <w:rFonts w:eastAsia="Amiri" w:cs="Amiri" w:ascii="Amiri" w:hAnsi="Amiri"/>
          <w:color w:val="111111"/>
          <w:sz w:val="28"/>
          <w:szCs w:val="28"/>
          <w:rtl w:val="true"/>
          <w:lang w:bidi="ar-SA"/>
        </w:rPr>
        <w:t>»</w:t>
      </w:r>
      <w:r>
        <w:rPr>
          <w:rStyle w:val="FootnoteAnchor"/>
          <w:rtl w:val="true"/>
        </w:rPr>
        <w:footnoteReference w:id="1029"/>
      </w:r>
      <w:r>
        <w:rPr>
          <w:rFonts w:ascii="Amiri" w:hAnsi="Amiri" w:eastAsia="Amiri" w:cs="Amiri"/>
          <w:color w:val="111111"/>
          <w:sz w:val="28"/>
          <w:sz w:val="28"/>
          <w:szCs w:val="28"/>
          <w:rtl w:val="true"/>
          <w:lang w:bidi="ar-SA"/>
        </w:rPr>
        <w:t xml:space="preserve">وقال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يخفى أن الفخر أعرف بنص الأصحاب من المحقق الثاني، ومع هذا فمن أين الوثوق على إجماع لم يصرّح به إلا المحقق الثاني، مع ماطعن به الشهيد الثاني على إجماعاته بالخصوص في رسالته في صلاة الجمعة</w:t>
      </w:r>
      <w:r>
        <w:rPr>
          <w:rFonts w:eastAsia="Amiri" w:cs="Amiri" w:ascii="Amiri" w:hAnsi="Amiri"/>
          <w:color w:val="111111"/>
          <w:sz w:val="28"/>
          <w:szCs w:val="28"/>
          <w:rtl w:val="true"/>
          <w:lang w:bidi="ar-SA"/>
        </w:rPr>
        <w:t>»</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ويناقش الإجماع صغروياً أيضاً بذهاب جماعة إلى جواز أخذ الأجرة في بعض الواجبات كالقضاء وبما نقلناه من الاختلاف الواسع في الأقوال فإنه </w:t>
      </w:r>
    </w:p>
    <w:p>
      <w:pPr>
        <w:pStyle w:val="BookText"/>
        <w:rPr/>
      </w:pPr>
      <w:r>
        <w:rPr>
          <w:rFonts w:ascii="Amiri" w:hAnsi="Amiri" w:eastAsia="Amiri" w:cs="Amiri"/>
          <w:color w:val="111111"/>
          <w:sz w:val="28"/>
          <w:sz w:val="28"/>
          <w:szCs w:val="28"/>
          <w:rtl w:val="true"/>
          <w:lang w:bidi="ar-SA"/>
        </w:rPr>
        <w:t>دليل على عدم تمامية دعوى الإجماع على هذا القول أو ذاك أي أن صغراه غير تامة، لكنه لا يمنع من وجود إجماع منقول –تلويحاً أو تصريحاً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الحرمة في بعض الموارد كالشهادة وتعليم صيغة النكاح أو إلقائها على المتعاقدين كتجهيز الميت ودفنه كما سيأتي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وهن الكبرى بمدركية الإجماع واستناده إلى أمر غير معتبر فلا يكون حجة وذلك بإجراء مراجعة لتأريخ المسألة فقد قال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المقنعة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والتكسب بتغسيل الأموات وحملهم ودفنهم حرام، لأن ذلك فرض على الكفاية أوجبه الله تعالى على أهل الإسلام</w:t>
      </w:r>
      <w:r>
        <w:rPr>
          <w:rFonts w:eastAsia="Amiri" w:cs="Amiri" w:ascii="Amiri" w:hAnsi="Amiri"/>
          <w:color w:val="111111"/>
          <w:sz w:val="28"/>
          <w:szCs w:val="28"/>
          <w:rtl w:val="true"/>
          <w:lang w:bidi="ar-SA"/>
        </w:rPr>
        <w:t>»</w:t>
      </w:r>
      <w:r>
        <w:rPr>
          <w:rStyle w:val="FootnoteAnchor"/>
          <w:rtl w:val="true"/>
        </w:rPr>
        <w:footnoteReference w:id="1031"/>
      </w:r>
    </w:p>
    <w:p>
      <w:pPr>
        <w:pStyle w:val="BookText"/>
        <w:rPr/>
      </w:pPr>
      <w:r>
        <w:rPr>
          <w:rFonts w:ascii="Amiri" w:hAnsi="Amiri" w:eastAsia="Amiri" w:cs="Amiri"/>
          <w:color w:val="111111"/>
          <w:sz w:val="28"/>
          <w:sz w:val="28"/>
          <w:szCs w:val="28"/>
          <w:rtl w:val="true"/>
          <w:lang w:bidi="ar-SA"/>
        </w:rPr>
        <w:t>وتبعه على ذلك تلميذه الشيخ الطوسي في النهاية وابن البراج في المهذب وصاحب المراسم</w:t>
      </w:r>
      <w:r>
        <w:rPr>
          <w:rStyle w:val="FootnoteAnchor"/>
          <w:rtl w:val="true"/>
        </w:rPr>
        <w:footnoteReference w:id="1032"/>
      </w:r>
      <w:r>
        <w:rPr>
          <w:rFonts w:ascii="IRNazanin" w:hAnsi="IRNazanin" w:eastAsia="IRNazanin"/>
          <w:color w:val="111111"/>
          <w:sz w:val="28"/>
          <w:sz w:val="28"/>
          <w:szCs w:val="28"/>
          <w:rtl w:val="true"/>
          <w:lang w:bidi="fa-IR"/>
        </w:rPr>
        <w:t>،</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والنص صريح في كونه خاصاً بهذه الواجبات وليس عاماً لكلها والشاهد على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سطرين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بأس بالأجر على الحكم والقضاء بين الناس والتبرع بذلك أفضل وأقرب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القضاء من الواجبات أيضاً كفاية أو عيناً مع الانحصار، وذهب إلى مثله الآخرون ممن ذكرنا، فلا يمكن فهم عموم التعليل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 على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للشاهد المذكور فيحمل قوله هذا على معنى أن هذا العمل استحقاق كفائي للميت على عموم المسلمين ولا يُعمَّم إلى كل فرض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فيكون معنى تعليله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تجهيز ودفن موتى المسلمين من الحقوق التي أوجبها الله تعالى على سائرهم لحفظ كرامتهم أمواتاً كالأحياء، ولا معنى لأخذ الأجر على إعطاء الآخرين حقوقهم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بعبارته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 على قولٍ كان موجوداً في عصره وحكي عن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يذهب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أخذ الأجرة على مثل التكفين والدفن لأنه واجب على الولي ولا يجوز لغيره إلا بإذنه</w:t>
      </w:r>
      <w:r>
        <w:rPr>
          <w:rFonts w:eastAsia="Amiri" w:cs="Amiri" w:ascii="Amiri" w:hAnsi="Amiri"/>
          <w:color w:val="111111"/>
          <w:sz w:val="28"/>
          <w:szCs w:val="28"/>
          <w:rtl w:val="true"/>
          <w:lang w:bidi="ar-SA"/>
        </w:rPr>
        <w:t>»</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هذه الكلمات انطلق الأصحاب ليعمموا الحكم بعدم الجواز إلى سائر الواجبات بعد الالتفات إلى مقدمتين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الظن الأكيد بالسلف الصالح بأن كلماتهم مأخوذة من نصوص عن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تصل إلينا وأنهم لا يعتمدون على الظن والاستحسان وتنقيح المناط من غير دليل، فلا بد أن هؤلاء الأعلام من القدماء استظهروا الحرمة من نصوص وصلت إليهم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تجريد المورد عن الخصوصية وعموم التعليل كما صرّح الشيخ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الإجماع المنقول من جماعة على المنع في خصوص ما ذكر في المتن –وهو تجهيز ودفن 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ويفهم العموم من تعليلهم ذلك بالوجوب الكفائي</w:t>
      </w:r>
      <w:r>
        <w:rPr>
          <w:rFonts w:eastAsia="Amiri" w:cs="Amiri" w:ascii="Amiri" w:hAnsi="Amiri"/>
          <w:color w:val="111111"/>
          <w:sz w:val="28"/>
          <w:szCs w:val="28"/>
          <w:rtl w:val="true"/>
          <w:lang w:bidi="ar-SA"/>
        </w:rPr>
        <w:t>»</w:t>
      </w:r>
      <w:r>
        <w:rPr>
          <w:rStyle w:val="FootnoteAnchor"/>
          <w:rtl w:val="true"/>
        </w:rPr>
        <w:footnoteReference w:id="1034"/>
      </w:r>
      <w:r>
        <w:rPr>
          <w:rFonts w:ascii="Amiri" w:hAnsi="Amiri" w:eastAsia="Amiri" w:cs="Amiri"/>
          <w:color w:val="111111"/>
          <w:sz w:val="28"/>
          <w:sz w:val="28"/>
          <w:szCs w:val="28"/>
          <w:rtl w:val="true"/>
          <w:lang w:bidi="ar-SA"/>
        </w:rPr>
        <w:t>أي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ذلك فرض على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النتيجة أن قرأ الأصحاب نص الشيخ المفيد والطوسي والآخرين على أنه كبرى عامة تقتضي حرمة أخذ الأجرة على جميع الواجبات</w:t>
      </w:r>
      <w:r>
        <w:rPr>
          <w:rFonts w:eastAsia="Amiri" w:cs="Amiri" w:ascii="Amiri" w:hAnsi="Amiri"/>
          <w:color w:val="111111"/>
          <w:sz w:val="28"/>
          <w:szCs w:val="28"/>
          <w:rtl w:val="true"/>
          <w:lang w:bidi="ar-SA"/>
        </w:rPr>
        <w:t>.</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هذه النتيجة غير صحيحة لعدم تمامية المقدمتين إذ المقدمةالأولى أمرٌ فهموه من بعض النصوص –في أحسن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وفهمهم حجة عليهم، والثانية لا دليل عليها، بل نقلنا مخالفة قائليها أنفسهم ونقضهم على التعميم من خلال قولهم بالجواز في بعض الموارد، لذا حملنا عباراتهم على شكل معين من الواجبات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هو منشأ الإجماع المدعى أو الشهرة بين القدماء فلو سلمنا بوجوده فإن أصله غير تام بل لا أصل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منشأ الإجماع لدى الأصحاب على حرمة أخذ الأجرة على الواجبات استظهار لزوم إتيانها مجاناً من أدلتها وبتعبيره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ظهور الأدلة في وجوب هذه الأعمال مجاناً، إذ قد عرفت أن محل البحث فيما لم يظهر من الدليل مجانيته وإلا حرم التكسب به، لكن للظهور المزبور، لا للمنافاة المذكورة –بين الوجوب وأخذ 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عرفت انتفاءها</w:t>
      </w:r>
      <w:r>
        <w:rPr>
          <w:rFonts w:eastAsia="Amiri" w:cs="Amiri" w:ascii="Amiri" w:hAnsi="Amiri"/>
          <w:color w:val="111111"/>
          <w:sz w:val="28"/>
          <w:szCs w:val="28"/>
          <w:rtl w:val="true"/>
          <w:lang w:bidi="ar-SA"/>
        </w:rPr>
        <w:t>»</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يظهر من كلماتهم ذلك، وهذه الأدلة بين أيدينا ولا نرى فيها دليلاً على المجانية من قريب ولا بعيد، إلا أن يكون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قريباً مما قلناه من أنهم بعد أن استظهروا المجانية من دليل وجوب تجهيز المسلم ودفنه بنكتة استحقاقه ذلك على المسلمين عمموا التعليل، وقد قلنا أن هذا التعميم 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سننقل عن المحقق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هذا الاستظهار مع بيان المزيد عن المجانية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تقريب المنع على مقتضى القواعد</w:t>
      </w:r>
      <w:r>
        <w:rPr>
          <w:rFonts w:eastAsia="Amiri" w:cs="Amiri" w:ascii="Amiri" w:hAnsi="Amiri"/>
          <w:color w:val="111111"/>
          <w:sz w:val="28"/>
          <w:szCs w:val="28"/>
          <w:rtl w:val="true"/>
          <w:lang w:bidi="ar-SA"/>
        </w:rPr>
        <w:t>:</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فإنه لما لم يجد الأصحاب نصوصاً تدل على حرمة أخذ الأجرة على الواجبات حاولوا تخريج القول على القواعد بوجوه تعرّضت للنقض والإبرام، وقبل عرضها ومناقشتها يُسجّل على طريقة عرضها عدةإشكالات فنية أهمها أنهم عرضوا عدة وجوه واختار كلٌّ منهم ما يراه من </w:t>
      </w:r>
    </w:p>
    <w:p>
      <w:pPr>
        <w:pStyle w:val="BookText"/>
        <w:rPr/>
      </w:pPr>
      <w:r>
        <w:rPr>
          <w:rFonts w:ascii="Amiri" w:hAnsi="Amiri" w:eastAsia="Amiri" w:cs="Amiri"/>
          <w:color w:val="111111"/>
          <w:sz w:val="28"/>
          <w:sz w:val="28"/>
          <w:szCs w:val="28"/>
          <w:rtl w:val="true"/>
          <w:lang w:bidi="ar-SA"/>
        </w:rPr>
        <w:t>دون تصنيف إلى موانع ذاتية وعرضية</w:t>
      </w:r>
      <w:r>
        <w:rPr>
          <w:rStyle w:val="FootnoteAnchor"/>
          <w:rtl w:val="true"/>
        </w:rPr>
        <w:footnoteReference w:id="1036"/>
      </w:r>
    </w:p>
    <w:p>
      <w:pPr>
        <w:pStyle w:val="BookText"/>
        <w:rPr/>
      </w:pPr>
      <w:r>
        <w:rPr>
          <w:rFonts w:ascii="Amiri" w:hAnsi="Amiri" w:eastAsia="Amiri" w:cs="Amiri"/>
          <w:color w:val="111111"/>
          <w:sz w:val="28"/>
          <w:sz w:val="28"/>
          <w:szCs w:val="28"/>
          <w:rtl w:val="true"/>
          <w:lang w:bidi="ar-SA"/>
        </w:rPr>
        <w:t xml:space="preserve">والإشكال الفني الآخر هو تداخل الوجوه وأجوبتها في كلماتهم بينما تتحلل بالدقة إلى عدة وجوه لأن بعض ما يذكرونه في الجواب يصلح لإشكالات أخرى، لاحظ كمثال وجه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وتظهر الثمرة في التمييز بين مقتضى القاعدة والاستثناء، فإذا كان المانع ذاتياً فيكون الأصل ومقتضى القاعدة حرمة أخذ الأجرة على الواجبات بشكل مطلق، وأما إذا كان المانع عرضياً فإن الأصل يكون هو الجواز ولا يحرم أخذ الأجرة إلا إذا دلّ الدليل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التحقيق تصنيف الموانع المحتملة عن أخذ الأجرة إلى صنفين</w:t>
      </w:r>
      <w:r>
        <w:rPr>
          <w:rFonts w:eastAsia="Amiri" w:cs="Amiri" w:ascii="Amiri" w:hAnsi="Amiri"/>
          <w:color w:val="111111"/>
          <w:sz w:val="28"/>
          <w:szCs w:val="28"/>
          <w:rtl w:val="true"/>
          <w:lang w:bidi="ar-SA"/>
        </w:rPr>
        <w:t>:</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الموانع الذاتية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ونبحث فيها ما يفسِّر مانعية نفس صفة الوجوب عن أخذ الأجرة، باعتبار أن عنوان المسألة حرمة أخذ الأجرة على الواجبات، فالمانع من أخذ الأجرة كونه واجباً لا غير، وقد وجدت هذا التعبير عند الشيخ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يصنّف الموانع المحتملة كما قرّبنا،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ظهر أن المانع الذاتي من المعاوضات جارٍ في الواجبات والمحرمات</w:t>
      </w:r>
      <w:r>
        <w:rPr>
          <w:rFonts w:eastAsia="Amiri" w:cs="Amiri" w:ascii="Amiri" w:hAnsi="Amiri"/>
          <w:color w:val="111111"/>
          <w:sz w:val="28"/>
          <w:szCs w:val="28"/>
          <w:rtl w:val="true"/>
          <w:lang w:bidi="ar-SA"/>
        </w:rPr>
        <w:t>»</w:t>
      </w:r>
      <w:r>
        <w:rPr>
          <w:rStyle w:val="FootnoteAnchor"/>
          <w:rtl w:val="true"/>
        </w:rPr>
        <w:footnoteReference w:id="10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ثبت مانعية صفة الوجوب فيقال حينئذٍ بعدم الجواز مطلقاً؛ لأن </w:t>
      </w:r>
      <w:bookmarkStart w:id="890" w:name="pg8133_63273"/>
    </w:p>
    <w:p>
      <w:pPr>
        <w:pStyle w:val="BookText"/>
        <w:rPr/>
      </w:pPr>
      <w:bookmarkEnd w:id="890"/>
      <w:r>
        <w:rPr>
          <w:rFonts w:ascii="Amiri" w:hAnsi="Amiri" w:eastAsia="Amiri" w:cs="Amiri"/>
          <w:color w:val="111111"/>
          <w:sz w:val="28"/>
          <w:sz w:val="28"/>
          <w:szCs w:val="28"/>
          <w:rtl w:val="true"/>
          <w:lang w:bidi="ar-SA"/>
        </w:rPr>
        <w:t>ملاك الحرمة ذاتي وهي صفة الوجوب، وإن لم تثبت المانعية الذاتية، أي أن الوجوب لا يقتضي بذاته حرمة أخذ الأجرة ويكون الأصل عدم الحرمة، وحينئذٍ يأتي البحث 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الموانع العرضية، كقيام الدليل التعبدي من إجماع ونحوه على الحرمة، أو وجود عناوين في الواجب تمنع من أخذ الأجرة ككونه تعبدياً وأن صفة العبادية مانعة لذا قال بعضهم بالتفصيل بين التعبدي والتوصلي، أو كظهور دليل الوجوب في كونه مجانياً ونحو ذلك، وهذا يعني أنه في أي مورد لم يثبت وجود المانع من أخذ الأجرة فإن الأصل فيه الجواز</w:t>
      </w:r>
      <w:r>
        <w:rPr>
          <w:rFonts w:eastAsia="Amiri" w:cs="Amiri" w:ascii="Amiri" w:hAnsi="Amiri"/>
          <w:color w:val="111111"/>
          <w:sz w:val="28"/>
          <w:szCs w:val="28"/>
          <w:rtl w:val="true"/>
          <w:lang w:bidi="ar-SA"/>
        </w:rPr>
        <w:t>.</w:t>
      </w:r>
    </w:p>
    <w:p>
      <w:pPr>
        <w:pStyle w:val="Heading6"/>
        <w:numPr>
          <w:ilvl w:val="5"/>
          <w:numId w:val="1"/>
        </w:numPr>
        <w:rPr/>
      </w:pPr>
      <w:bookmarkStart w:id="891" w:name="__RefHeading___Toc8193617_1051229030"/>
      <w:bookmarkStart w:id="892" w:name="_Toc320"/>
      <w:bookmarkEnd w:id="891"/>
      <w:r>
        <w:rPr>
          <w:rtl w:val="true"/>
        </w:rPr>
        <w:t>(</w:t>
      </w:r>
      <w:r>
        <w:rPr>
          <w:rtl w:val="true"/>
        </w:rPr>
        <w:t>الصنف الأول</w:t>
      </w:r>
      <w:r>
        <w:rPr>
          <w:rtl w:val="true"/>
        </w:rPr>
        <w:t xml:space="preserve">) </w:t>
      </w:r>
      <w:r>
        <w:rPr>
          <w:rtl w:val="true"/>
        </w:rPr>
        <w:t>الموانع الذاتية</w:t>
      </w:r>
      <w:bookmarkEnd w:id="892"/>
    </w:p>
    <w:p>
      <w:pPr>
        <w:pStyle w:val="BookText"/>
        <w:rPr/>
      </w:pPr>
      <w:r>
        <w:rPr>
          <w:rFonts w:ascii="Amiri" w:hAnsi="Amiri" w:eastAsia="Amiri" w:cs="Amiri"/>
          <w:color w:val="111111"/>
          <w:sz w:val="28"/>
          <w:sz w:val="28"/>
          <w:szCs w:val="28"/>
          <w:rtl w:val="true"/>
          <w:lang w:bidi="ar-SA"/>
        </w:rPr>
        <w:t>وقد قيلت فيها عدة تقريبات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التنافي بين صفة الوجوب وتمليك الفعل بالإجارة ذاتي؛ لأن وجوب الفعل يعني ملكيته لله تبارك وتعالى ويخرج عن ملك الأجير فكيف يملكه للمستأجر بمقتضى عقد الإجارة، قال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لما استحق فعله لله لغير غرض آخر، يحرم عليه فعله لذلك الغرض ويحرم الأجر عليه، هذا ظاهر</w:t>
      </w:r>
      <w:r>
        <w:rPr>
          <w:rFonts w:eastAsia="Amiri" w:cs="Amiri" w:ascii="Amiri" w:hAnsi="Amiri"/>
          <w:color w:val="111111"/>
          <w:sz w:val="28"/>
          <w:szCs w:val="28"/>
          <w:rtl w:val="true"/>
          <w:lang w:bidi="ar-SA"/>
        </w:rPr>
        <w:t>»</w:t>
      </w:r>
      <w:r>
        <w:rPr>
          <w:rStyle w:val="FootnoteAnchor"/>
          <w:rtl w:val="true"/>
        </w:rPr>
        <w:footnoteReference w:id="103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الشيخ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المملوك والمستحق لا يُملَّك ولا يستحق ثانياً</w:t>
      </w:r>
      <w:r>
        <w:rPr>
          <w:rFonts w:eastAsia="Amiri" w:cs="Amiri" w:ascii="Amiri" w:hAnsi="Amiri"/>
          <w:color w:val="111111"/>
          <w:sz w:val="28"/>
          <w:szCs w:val="28"/>
          <w:rtl w:val="true"/>
          <w:lang w:bidi="ar-SA"/>
        </w:rPr>
        <w:t>»</w:t>
      </w:r>
      <w:r>
        <w:rPr>
          <w:rStyle w:val="FootnoteAnchor"/>
          <w:rtl w:val="true"/>
        </w:rPr>
        <w:footnoteReference w:id="1039"/>
      </w:r>
      <w:r>
        <w:rPr>
          <w:rFonts w:ascii="IRNazanin" w:hAnsi="IRNazanin" w:eastAsia="IRNazanin"/>
          <w:color w:val="111111"/>
          <w:sz w:val="28"/>
          <w:sz w:val="28"/>
          <w:szCs w:val="28"/>
          <w:rtl w:val="true"/>
          <w:lang w:bidi="fa-IR"/>
        </w:rPr>
        <w:t>،</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منافع العبد بأسرها ملك لله سبحانه، وهو وإن أذن له في بعض التصرف </w:t>
      </w:r>
    </w:p>
    <w:p>
      <w:pPr>
        <w:pStyle w:val="BookText"/>
        <w:rPr/>
      </w:pPr>
      <w:r>
        <w:rPr>
          <w:rFonts w:ascii="Amiri" w:hAnsi="Amiri" w:eastAsia="Amiri" w:cs="Amiri"/>
          <w:color w:val="111111"/>
          <w:sz w:val="28"/>
          <w:sz w:val="28"/>
          <w:szCs w:val="28"/>
          <w:rtl w:val="true"/>
          <w:lang w:bidi="ar-SA"/>
        </w:rPr>
        <w:t>فيها بأنحاء التصرفات، إلا أن إيجابه سبحانه لفعل له عز شأنهيوجب عدم الإذن للعبد في التصرف في تلك المنفعة وأخذ العوض عنها ونقلها إلى الغير، بل الإيجاب تفويت تلك المنفعة وإخراجها من يده، لأن إيجاب المنفعة طلب من الله سبحانه هذه المنفعة لنفسه وعدم كونها مملوكة للعبد، فلا يجوز أخذ العوض عنها</w:t>
      </w:r>
      <w:r>
        <w:rPr>
          <w:rFonts w:eastAsia="Amiri" w:cs="Amiri" w:ascii="Amiri" w:hAnsi="Amiri"/>
          <w:color w:val="111111"/>
          <w:sz w:val="28"/>
          <w:szCs w:val="28"/>
          <w:rtl w:val="true"/>
          <w:lang w:bidi="ar-SA"/>
        </w:rPr>
        <w:t>»</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ووصف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التقريب بأنه أقوى الوجوه التي قيلت في الحرمة، وقال في توضيحه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 يقابل المال لا بد أن يكون كنفس المال مما يملكه المؤجر حتى يملكه المستأجر في مقابل تمليكه المال إياه، فإذا فرض العمل واجباً لله ليس للمكلف تركه، فيصير نظير العمل المملوك للغير، ألا ترى أنه إذا آجر نفسه لدفن الميت لشخص لم يجز له أن يؤجر نفسه ثانياً من شخص آخر لذلك العمل، وليس إلا لأن الفعل صار مستحقاً للأول ومملوكاً له، فلا معنى لتمليكه ثانياً للآخر مع فرض بقائه على ملك الأول، وهذا المعنى موجود فيما أوجبه الله تعالى، خصوصاً فيما يرجع إلى حقوق الغير، حيث إن حاصل الإيجاب هنا جعل الغير مستحقاً لذلك العمل من هذا العامل، كأحكام تجهيز الميت التي جعل الشارع الميت مستحقاً لها على الحي، فلا يستحقها غيره ثانياً</w:t>
      </w:r>
      <w:r>
        <w:rPr>
          <w:rFonts w:eastAsia="Amiri" w:cs="Amiri" w:ascii="Amiri" w:hAnsi="Amiri"/>
          <w:color w:val="111111"/>
          <w:sz w:val="28"/>
          <w:szCs w:val="28"/>
          <w:rtl w:val="true"/>
          <w:lang w:bidi="ar-SA"/>
        </w:rPr>
        <w:t>»</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ولكن الإنصاف أن هذا الوجه لا يخلو عن الخدشة، لإمكان منع المنافاة بين الوجوب الذي هو طلب الشارع الفعل، وبين استحقاق المستأجر له، وليس استحقاق الشارع للفعل وتملكه المنتزع من طلبه من قبيل استحقاق الآدمي وتملكه الذي ينافي تملك الغير </w:t>
      </w:r>
    </w:p>
    <w:p>
      <w:pPr>
        <w:pStyle w:val="BookText"/>
        <w:rPr/>
      </w:pPr>
      <w:r>
        <w:rPr>
          <w:rFonts w:ascii="IRNazanin" w:hAnsi="IRNazanin" w:eastAsia="IRNazanin"/>
          <w:color w:val="111111"/>
          <w:sz w:val="28"/>
          <w:sz w:val="28"/>
          <w:szCs w:val="28"/>
          <w:rtl w:val="true"/>
          <w:lang w:bidi="fa-IR"/>
        </w:rPr>
        <w:t>واستحقاقه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ملكية الواجب لله تعالى في ذمة المكلف بمعنى إلزامه بالإتيان بالفعل واستحقاق العقوبة على تركه وهذا لا ينافي تمليك الفعللشخص آخر بل هو من قبيل تعدد أسباب الوجوب، نظير ما أجمعوا عليه من جواز نذر الواجب والحلف عليه وأمر الوالد والسيد به وجعله شرطاً في عقد لازم، وإنما تتحقق المنافاة لو كان التملك على نحو الملكية الاعتبارية وهذه لا تحصل بإيجاب الفعل على المكلف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الجواب غير كافٍ لأن عدم المنافاة ليس منشأها كون الأول وهو الوجوب طلباً من الشارع المقدس والثاني تمليك؛ لإمكان وقوع المنافاة بينهما كما لو استأجر شخصاً للعمل من الزوال إلى الغروب فإنه لا يملك عليه الوقت الكافي لأداء صلاتي الظهرين وكذا لو حصل كسوف مثلاً فتحصل المنافاة بين الطلب والتمليك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أن المناط في حصول المنافاة وعدمه كون تمليك المستأجر للعمل في طول طلب الشارع واستحقاقه وعدمه، فعدم حصول المنافاة في المقام لأن الشارع المقدس طلب إيجاد هذا العمل في الخارج لله تعالى، والمستأجر طلب ذلك أيضاً، كما لو قال الوالد لابنه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الصلاة مطلوبة لله تعالى وهي بعنوان كونها مطلوبة لله تعالى مطلوبة للوالد، ومثالها الشرعي ما نحن فيه من مسألة الأمر بالمعروف والنهي عن المنكر فإن الأمر بالمعروف وهو طلب من قبل الآمر لا ينافي طلب الفعل من الله تعالى</w:t>
      </w:r>
      <w:r>
        <w:rPr>
          <w:rFonts w:eastAsia="Amiri" w:cs="Amiri" w:ascii="Amiri" w:hAnsi="Amiri"/>
          <w:color w:val="111111"/>
          <w:sz w:val="28"/>
          <w:szCs w:val="28"/>
          <w:rtl w:val="true"/>
          <w:lang w:bidi="ar-SA"/>
        </w:rPr>
        <w:t>.</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فرض كونهما في عرض واحد كما لو قال المستأجر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 الفعل الواجب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تعبدياً حصلت المنافاة لعدم إمكان الإتيان بالفعل بداعيين مختلفين في عرض واحد، وإن كان استحقاق الله تعالى له من باب </w:t>
      </w:r>
    </w:p>
    <w:p>
      <w:pPr>
        <w:pStyle w:val="BookText"/>
        <w:rPr/>
      </w:pPr>
      <w:r>
        <w:rPr>
          <w:rFonts w:ascii="Amiri" w:hAnsi="Amiri" w:eastAsia="Amiri" w:cs="Amiri"/>
          <w:color w:val="111111"/>
          <w:sz w:val="28"/>
          <w:sz w:val="28"/>
          <w:szCs w:val="28"/>
          <w:rtl w:val="true"/>
          <w:lang w:bidi="ar-SA"/>
        </w:rPr>
        <w:t>الطلب واستحقاق المستأجر من باب التمليك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وعلق السيد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 الشيخ الأنصاري في تقريبه لكلام المستدل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أن يكون مما يملكه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يعتبر في متعلق الإجارة كونه مملوكاً للمؤجر بل اللازم أن يكون مما يمكنه تمليكه وإن لم يكن مملوكاً له فعلاً، ولا مملوكاً لمن له عليه ولاية، فإن عمل الحر ليسمملوكاً لنفسه ومع ذلك يجوز له أن يملكه</w:t>
      </w:r>
      <w:r>
        <w:rPr>
          <w:rFonts w:eastAsia="Amiri" w:cs="Amiri" w:ascii="Amiri" w:hAnsi="Amiri"/>
          <w:color w:val="111111"/>
          <w:sz w:val="28"/>
          <w:szCs w:val="28"/>
          <w:rtl w:val="true"/>
          <w:lang w:bidi="ar-SA"/>
        </w:rPr>
        <w:t>»</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أيضاً للشيخ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الإجارة لو تعلقت به –أي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للمستأجر سلطان عليه في الإيجاد والعدم على نحو سلطان الملاك، وكان له الإبراء والإقالة والتأجيل، وكان للأجير قدرة على التسليم، وفي الواجب يمتنع ذلك</w:t>
      </w:r>
      <w:r>
        <w:rPr>
          <w:rFonts w:eastAsia="Amiri" w:cs="Amiri" w:ascii="Amiri" w:hAnsi="Amiri"/>
          <w:color w:val="111111"/>
          <w:sz w:val="28"/>
          <w:szCs w:val="28"/>
          <w:rtl w:val="true"/>
          <w:lang w:bidi="ar-SA"/>
        </w:rPr>
        <w:t>»</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السلطان من حيث الإجارة بالإبراء والإقالة ونحوهما متحقق هنا والأجير له قدرة على التسليم في الواجبات التي تعتبر فيها النية</w:t>
      </w:r>
      <w:r>
        <w:rPr>
          <w:rFonts w:eastAsia="Amiri" w:cs="Amiri" w:ascii="Amiri" w:hAnsi="Amiri"/>
          <w:color w:val="111111"/>
          <w:sz w:val="28"/>
          <w:szCs w:val="28"/>
          <w:rtl w:val="true"/>
          <w:lang w:bidi="ar-SA"/>
        </w:rPr>
        <w:t>»</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الاستحقاقات التي تقتضيها الإجارة موجودة وللمستأجر الإقالة والإبراء وسائر الحقوق الأخرى، فإذا أقال أو أبرأ انتفى وجوب الوفاء من حيث الإجارة، أي إسقاط الحقوق اللازمة من جهة الإجارة، أما بقاء العمل في ذمة المكلف فهو من حيث الوجوب الشرعي وهذا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تذييل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وقوع الفعل عن الأجير أم المستأجر</w:t>
      </w:r>
      <w:r>
        <w:rPr>
          <w:rFonts w:eastAsia="Amiri" w:cs="Amiri" w:ascii="Amiri" w:hAnsi="Amiri"/>
          <w:color w:val="111111"/>
          <w:sz w:val="28"/>
          <w:szCs w:val="28"/>
          <w:rtl w:val="true"/>
          <w:lang w:bidi="ar-SA"/>
        </w:rPr>
        <w:t>:</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ما اعترف به المستدل من اختصاصه بالواجب العيني </w:t>
      </w:r>
    </w:p>
    <w:p>
      <w:pPr>
        <w:pStyle w:val="BookText"/>
        <w:rPr/>
      </w:pPr>
      <w:r>
        <w:rPr>
          <w:rFonts w:ascii="Amiri" w:hAnsi="Amiri" w:eastAsia="Amiri" w:cs="Amiri"/>
          <w:color w:val="111111"/>
          <w:sz w:val="28"/>
          <w:sz w:val="28"/>
          <w:szCs w:val="28"/>
          <w:rtl w:val="true"/>
          <w:lang w:bidi="ar-SA"/>
        </w:rPr>
        <w:t xml:space="preserve">وحاول تقريبه على الواجب الكفائي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في العيني بالأصل والعارض واضح، وأما الكفائي فلأنه بفعله يتعين له فلا يدخل في ملك آخر، ولعدم نفع المستأجر فيما يملكه أو يستحقه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الذيل سنجعله وجهاً مستقلاً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 وقوع الفعل له بعد إجارة نفسه للعمل للغير، فإن آثار الفعل حينئذ ترجع إلى الغير، فإذا وجب إنقاذ غريقكفاية أو إزالة النجاسة عن المسجد، فاستأجر واحداً غيره، فثواب الإنقاذ والإزالة يقع للمستأجر دون الأجير المباشر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يسقط الفعل عنه، لقيام المستأجر به ولو بالاستنابة، ومن هذا القبيل الاستئجار</w:t>
      </w:r>
      <w:r>
        <w:rPr>
          <w:rStyle w:val="FootnoteAnchor"/>
          <w:rtl w:val="true"/>
        </w:rPr>
        <w:footnoteReference w:id="1045"/>
      </w:r>
    </w:p>
    <w:p>
      <w:pPr>
        <w:pStyle w:val="BookText"/>
        <w:rPr/>
      </w:pPr>
      <w:r>
        <w:rPr>
          <w:rFonts w:ascii="Amiri" w:hAnsi="Amiri" w:eastAsia="Amiri" w:cs="Amiri"/>
          <w:color w:val="111111"/>
          <w:sz w:val="28"/>
          <w:sz w:val="28"/>
          <w:szCs w:val="28"/>
          <w:rtl w:val="true"/>
          <w:lang w:bidi="ar-SA"/>
        </w:rPr>
        <w:t>للجهاد مع وجوبه كفاية على الأجير والمستأجر</w:t>
      </w:r>
      <w:r>
        <w:rPr>
          <w:rFonts w:eastAsia="Amiri" w:cs="Amiri" w:ascii="Amiri" w:hAnsi="Amiri"/>
          <w:color w:val="111111"/>
          <w:sz w:val="28"/>
          <w:szCs w:val="28"/>
          <w:rtl w:val="true"/>
          <w:lang w:bidi="ar-SA"/>
        </w:rPr>
        <w:t>»</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قصد المستأجر نيابة الأجير عنه وعود نفعه اليه، أما إذا كان قصده مجرد حصول الفعل خارجاً كما لو قصد بإنقاذ الغريق حفظ النفس لا النيابة ولا تحصيل الثواب فلا يصح 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الآثار لا تشمل وقوع الفعل عن المستأجر الذي منعه المستدل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يمكن استبعاد وقوع الفعل عن المستأجر بأن يكون هو الممتثل ما دام الأجير يؤدي فعلاً واجباً عليه ولو كفاية فيقع تلقائياً عنه، وغاية ما تدل عليه الرواية في نيابة الجهاد –بغض النظر عن ضعف </w:t>
      </w:r>
    </w:p>
    <w:p>
      <w:pPr>
        <w:pStyle w:val="BookText"/>
        <w:rPr/>
      </w:pPr>
      <w:r>
        <w:rPr>
          <w:rFonts w:ascii="Amiri" w:hAnsi="Amiri" w:eastAsia="Amiri" w:cs="Amiri"/>
          <w:color w:val="111111"/>
          <w:sz w:val="28"/>
          <w:sz w:val="28"/>
          <w:szCs w:val="28"/>
          <w:rtl w:val="true"/>
          <w:lang w:bidi="ar-SA"/>
        </w:rPr>
        <w:t>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إجزاء امتثال الأجير عن الآخر وسقوط الوجوب عنه بذاك الامتثال، وتحصيل ثواب الفعل، فما ذكره المستدل من تعيّن العمل للأجير بفعله قريب، إلا أن الكلام في وجه مانعية ذلك من أخذ 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السيد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أبعد من ذلك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الاستئجار في الواجب العيني متصور على الوجهين، إذ قد يكون الشيء واجباً عينياً على كل منهما فيستأجره ليأتي به نيابة عنه، وإذا أتى به كذلك فتفرغ ذمة المستأجر وتبقى ذمة النائب مشغولة بفرد آخر</w:t>
      </w:r>
      <w:r>
        <w:rPr>
          <w:rFonts w:eastAsia="Amiri" w:cs="Amiri" w:ascii="Amiri" w:hAnsi="Amiri"/>
          <w:color w:val="111111"/>
          <w:sz w:val="28"/>
          <w:szCs w:val="28"/>
          <w:rtl w:val="true"/>
          <w:lang w:bidi="ar-SA"/>
        </w:rPr>
        <w:t>»</w:t>
      </w:r>
      <w:r>
        <w:rPr>
          <w:rStyle w:val="FootnoteAnchor"/>
          <w:rtl w:val="true"/>
        </w:rPr>
        <w:footnoteReference w:id="10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البعد فيه واضح لوقوع الفعل عن فاعله تلقائياً، ولذا قالوا بعدم وقوع صوم غير شهر رمضان في رمضان إلا عن نفسه حتى لو نوى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للشيخ كاشف الغطاء أيضاً في شرح القواعد،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ولعدم نفع المستأجر فيما يملكه أو يستحقه غيره، لأنه بمنزلة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استأجرتك لتملك منفعتك المملوكة لك أو لغيرك</w:t>
      </w:r>
      <w:r>
        <w:rPr>
          <w:rFonts w:eastAsia="Amiri" w:cs="Amiri" w:ascii="Amiri" w:hAnsi="Amiri"/>
          <w:color w:val="111111"/>
          <w:sz w:val="28"/>
          <w:szCs w:val="28"/>
          <w:rtl w:val="true"/>
          <w:lang w:bidi="ar-SA"/>
        </w:rPr>
        <w:t>»</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وببيان من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من شرائط الإجارة أن تكون منفعة العين المستأجرة عائدة إلى المستأجر، ورتّب عليه بطلان إجارة المكلف لامتثال فرائضه من الصلاة والصوم والحج وغيرها، وبطلان الإجارة للإتيان بالمستحبات لنفسه، كالنوافل اليومية والليلية، وغير ذلك من الموارد التي يكون النفع فيها راجعاً إلى الأجير أو إلى شخص آخر غير المستأجر</w:t>
      </w:r>
      <w:r>
        <w:rPr>
          <w:rFonts w:eastAsia="Amiri" w:cs="Amiri" w:ascii="Amiri" w:hAnsi="Amiri"/>
          <w:color w:val="111111"/>
          <w:sz w:val="28"/>
          <w:szCs w:val="28"/>
          <w:rtl w:val="true"/>
          <w:lang w:bidi="ar-SA"/>
        </w:rPr>
        <w:t>.</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والوجه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حقيقة الإجارة هي تبديل منفعة معلومة بعوض معلوم فلا بد من وصول المنفعة إلى المستأجر، لأنه الدافع للعوض </w:t>
      </w:r>
    </w:p>
    <w:p>
      <w:pPr>
        <w:pStyle w:val="BookText"/>
        <w:rPr/>
      </w:pPr>
      <w:r>
        <w:rPr>
          <w:rFonts w:ascii="Amiri" w:hAnsi="Amiri" w:eastAsia="Amiri" w:cs="Amiri"/>
          <w:color w:val="111111"/>
          <w:sz w:val="28"/>
          <w:sz w:val="28"/>
          <w:szCs w:val="28"/>
          <w:rtl w:val="true"/>
          <w:lang w:bidi="ar-SA"/>
        </w:rPr>
        <w:t>المعلوم، وإلا انتفت حقيقة الإجارة، إذ يعتبر في التبديل أن يقوم كل من العوض والمعوض مكان الآخر بحيث يدخل كل منهما في المكان الذي خرج منه الآخر، وسيأتي اعتبار ذلك أيضاً في حقيقة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البلغة أن الإجارة بدون هذا الشرط سفهية، وأكل للمال الباطل، ولذا لا تصحّ الإجارة على الأفعال العبثية، وإبداء الحركات اللاغية، كالذهاب إلى الأمكنة الموحشة، ورفع الأحجار الثقيلة، انتهى ملخص كلامه</w:t>
      </w:r>
      <w:r>
        <w:rPr>
          <w:rFonts w:eastAsia="Amiri" w:cs="Amiri" w:ascii="Amiri" w:hAnsi="Amiri"/>
          <w:color w:val="111111"/>
          <w:sz w:val="28"/>
          <w:szCs w:val="28"/>
          <w:rtl w:val="true"/>
          <w:lang w:bidi="ar-SA"/>
        </w:rPr>
        <w:t>»</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الوجه خروج عن محل البحث الذي هو كون مجرد</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الشيء من قبل الله تعالى مانعاً من أخذ الأجرة بعد التسليم بالشرائط الأخرى المعتبرة في العمل المستأجر عليه، أي أننا نفرض واجباً يعود نفعه إلى المستأجر كالقضاء العائد نفعه إلى المتحاكمين، وكالإتيان بالواجبات الكفائية الموجب لسقوط التكليف بها عن المستأجر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أوردناه في جواب الوجه الثاني من أنه إذا نوى النيابة كان الفعل وما يترتب عليه من آثار للمنوب عنه وهو المستأجر وليس لنفس الأجير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المهم في صحة الإجارة وجود منفعة عقلائية مقصودة للمستأجر من العمل، وليس من الضروري رجوع النفع إلى نفس المستأجر أو غيره فله أن يستأجر لخياطة ثوب زيد أو تنظيف 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حقيقة الإجارة لا تقتضي إلا دخول العمل في ملك المستأجر قضاءً لقانون المبادلة، وأما كون المنفعة راجعة إليه فلا موجب له</w:t>
      </w:r>
      <w:r>
        <w:rPr>
          <w:rFonts w:eastAsia="Amiri" w:cs="Amiri" w:ascii="Amiri" w:hAnsi="Amiri"/>
          <w:color w:val="111111"/>
          <w:sz w:val="28"/>
          <w:szCs w:val="28"/>
          <w:rtl w:val="true"/>
          <w:lang w:bidi="ar-SA"/>
        </w:rPr>
        <w:t>».</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الدليل أخصّ من المدعى لإمكان انتفاع المستأجر من فعل الأجير </w:t>
      </w:r>
    </w:p>
    <w:p>
      <w:pPr>
        <w:pStyle w:val="BookText"/>
        <w:rPr/>
      </w:pPr>
      <w:r>
        <w:rPr>
          <w:rFonts w:ascii="Amiri" w:hAnsi="Amiri" w:eastAsia="Amiri" w:cs="Amiri"/>
          <w:color w:val="111111"/>
          <w:sz w:val="28"/>
          <w:sz w:val="28"/>
          <w:szCs w:val="28"/>
          <w:rtl w:val="true"/>
          <w:lang w:bidi="ar-SA"/>
        </w:rPr>
        <w:t xml:space="preserve">لما يجب عليه، حتى في مثل الفرائض اليومية، قال السيد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مثل فعل الشخص صلاة الظهر عن نفسه أيضاً يمكن أن يكون متعلقاً لغرض المستأجر، إذ لا أقل من أن يكون قصده أن يكون الله مطاعاً</w:t>
      </w:r>
      <w:r>
        <w:rPr>
          <w:rFonts w:eastAsia="Amiri" w:cs="Amiri" w:ascii="Amiri" w:hAnsi="Amiri"/>
          <w:color w:val="111111"/>
          <w:sz w:val="28"/>
          <w:szCs w:val="28"/>
          <w:rtl w:val="true"/>
          <w:lang w:bidi="ar-SA"/>
        </w:rPr>
        <w:t>»</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المستأجر قد ينتفع بعود النفع إلى غيره، كما إذا استأجر شخصاً على امتثال فرائض نفسه لكي يتعلم المستأجر منه أحكام فرائضه، أو كان المستأجر من الآمرين بالمعروف والناهين عن المنكر، وأراد باستئجار المكلفين على امتثال فرائضهم إظهار عظمة الإسلام وإخضاع المتمردين والعاصين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مثالها في مسألتنا ما لو كان المستأجر غير قادر على كسر قناني الخمر أو حبس العاصي عن ظلمه ونحو ذلك فيستأجر القادر وهو مشمول بالوجوب أيضاً فينتفع المستأجر بامتثال الواجب وسقوط التكليف عنه وإقامة حكم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تذييل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علق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كلام صاحب البلغة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حديث سفهية المعاملة فيرد عليه أنه لا دليل على بطلان المعاملة السفهية، وإنما الدليل على بطلان معاملة السفيه، والدليل هو كونه محجور التصرف في أمواله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هذا الجواب غير تام؛ لأن مراد المستدل بالسفهية غير العقلائية وقيام الإنسان بالواجب الملقى في عهدته لا منفعة فيه للمستأجر نظير بيع المتاع بشيء لا قيمة له فيكون أكلاً للمال بالباطل وهو غير مشروع، فالبطلان من هذه الجهة لا من جهة بطلان معاملات السفيه</w:t>
      </w:r>
      <w:r>
        <w:rPr>
          <w:rFonts w:eastAsia="Amiri" w:cs="Amiri" w:ascii="Amiri" w:hAnsi="Amiri"/>
          <w:color w:val="111111"/>
          <w:sz w:val="28"/>
          <w:szCs w:val="28"/>
          <w:rtl w:val="true"/>
          <w:lang w:bidi="ar-SA"/>
        </w:rPr>
        <w:t>.</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الآية الشريفة فالظاهر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الباء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تَأْكُلُواْ </w:t>
      </w:r>
    </w:p>
    <w:p>
      <w:pPr>
        <w:pStyle w:val="BookText"/>
        <w:rPr/>
      </w:pPr>
      <w:r>
        <w:rPr>
          <w:rFonts w:ascii="Amiri" w:hAnsi="Amiri" w:eastAsia="Amiri" w:cs="Amiri"/>
          <w:color w:val="111111"/>
          <w:sz w:val="28"/>
          <w:sz w:val="28"/>
          <w:szCs w:val="28"/>
          <w:rtl w:val="true"/>
          <w:lang w:bidi="ar-SA"/>
        </w:rPr>
        <w:t>أَمْوَالَكُم بَيْنَكُم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للسببية لا للمقابلة فيراد النهي عن أكل مال الغير بالأسباب الباطلة من القمار والرشا ونحوهما</w:t>
      </w:r>
      <w:r>
        <w:rPr>
          <w:rFonts w:eastAsia="Amiri" w:cs="Amiri" w:ascii="Amiri" w:hAnsi="Amiri"/>
          <w:color w:val="111111"/>
          <w:sz w:val="28"/>
          <w:szCs w:val="28"/>
          <w:rtl w:val="true"/>
          <w:lang w:bidi="ar-SA"/>
        </w:rPr>
        <w:t>»</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اختاره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الاستدلال على حرمة أخذ الأجرة على خصوص الواجب العيني</w:t>
      </w:r>
      <w:r>
        <w:rPr>
          <w:rStyle w:val="FootnoteAnchor"/>
          <w:rtl w:val="true"/>
        </w:rPr>
        <w:footnoteReference w:id="1052"/>
      </w:r>
      <w:r>
        <w:rPr>
          <w:rFonts w:ascii="Amiri" w:hAnsi="Amiri" w:eastAsia="Amiri" w:cs="Amiri"/>
          <w:color w:val="111111"/>
          <w:sz w:val="28"/>
          <w:sz w:val="28"/>
          <w:szCs w:val="28"/>
          <w:rtl w:val="true"/>
          <w:lang w:bidi="ar-SA"/>
        </w:rPr>
        <w:t>التعييني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أخذ الأجرة عليه مع كونه واجباً مقهوراً من قبل الشارع على فعله، أكل للمال بالباطل، لأن عمله هذا لا يكون محترماً، لأن استيفاءه منه لا يتوقف على طيبنفسه، لأنه يقهر عليه مع عدم طيب النفس والامتناع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يشهد بما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فرض أن المولى أمر بعض عبيده بفعل لغرض، وكان مما يرجع نفعه أو بعض نفعه إلى غيره، فأخذ العبد العوض من ذلك الغير على ذلك العمل عد أكلاً للمال مجاناً بلا عوض</w:t>
      </w:r>
      <w:r>
        <w:rPr>
          <w:rFonts w:eastAsia="Amiri" w:cs="Amiri" w:ascii="Amiri" w:hAnsi="Amiri"/>
          <w:color w:val="111111"/>
          <w:sz w:val="28"/>
          <w:szCs w:val="28"/>
          <w:rtl w:val="true"/>
          <w:lang w:bidi="ar-SA"/>
        </w:rPr>
        <w:t>»</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نموذج لتداخل الاستدلال على الوجوه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ومما يشهد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يرتبط بوجه آخر، أما أصل استدلاله فموضعه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عمله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ويجاب هذا الوجه بجوابين، إجمالي وتفصيلي، أما الإجمالي، فلأن المقهور عليه غير المستأجر عليه لأن الأحكام تتعلق بالعناوين وهي غير ما تعلقت به الإجارة وهو المعنون أي الفرد الخارجي</w:t>
      </w:r>
      <w:r>
        <w:rPr>
          <w:rFonts w:eastAsia="Amiri" w:cs="Amiri" w:ascii="Amiri" w:hAnsi="Amiri"/>
          <w:color w:val="111111"/>
          <w:sz w:val="28"/>
          <w:szCs w:val="28"/>
          <w:rtl w:val="true"/>
          <w:lang w:bidi="ar-SA"/>
        </w:rPr>
        <w:t>.</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المقهور عليه هو العنوان الذي تعلق به الوجوب، أما ما يأتي به خارجاً وفاءً بالإجارة فهو المعنون او الفرد وهو ليس مقهوراً عليه، ونتيجته جواز أخذ الأجرة حتى على الواجب العيني التعييني لأنه له </w:t>
      </w:r>
    </w:p>
    <w:p>
      <w:pPr>
        <w:pStyle w:val="BookText"/>
        <w:rPr/>
      </w:pPr>
      <w:r>
        <w:rPr>
          <w:rFonts w:ascii="Amiri" w:hAnsi="Amiri" w:eastAsia="Amiri" w:cs="Amiri"/>
          <w:color w:val="111111"/>
          <w:sz w:val="28"/>
          <w:sz w:val="28"/>
          <w:szCs w:val="28"/>
          <w:rtl w:val="true"/>
          <w:lang w:bidi="ar-SA"/>
        </w:rPr>
        <w:t xml:space="preserve">أفراد عديدة لامتثاله أي أنه واجب تخييري بالتخيير العقلي بين أفراده، وقد 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الأجرة على الواجب التخييري، فيأخذ الأجرة مقابل اختياره لفرد دون آخر فهذا نقض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التفصيلي فنقول فيه، إن استدلاله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 الفعل مقهوراً عليه يمكن أن يقرِّب بعدة صياغات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الواجبات من الأفعال غير الاختيارية للمكلف لأنه مقهور عليها فهي ضرورية الحصول نظير الأعمال الاضطرارية الصادرة من غير إرادة واختيار كالتنفس وحركة القلب</w:t>
      </w:r>
      <w:r>
        <w:rPr>
          <w:rStyle w:val="FootnoteAnchor"/>
          <w:rtl w:val="true"/>
        </w:rPr>
        <w:footnoteReference w:id="1054"/>
      </w:r>
      <w:r>
        <w:rPr>
          <w:rFonts w:ascii="Amiri" w:hAnsi="Amiri" w:eastAsia="Amiri" w:cs="Amiri"/>
          <w:color w:val="111111"/>
          <w:sz w:val="28"/>
          <w:sz w:val="28"/>
          <w:szCs w:val="28"/>
          <w:rtl w:val="true"/>
          <w:lang w:bidi="ar-SA"/>
        </w:rPr>
        <w:t>وأعمال غدد البدن وأجهزته فيكون أخذ الأجرة من أكل المال بالباطل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تجنٍّ على الواقع؛ لأن الواجبات ليست بهذه المثابة وليس الإنسان مسلوب الاختيار بإزائها، وما استحق الثواب والعقاب إلا لأنه مختار فله أن يفعل وله أن يترك، فلا يكون جعل المال بإزائه أخذاً للمال بالباطل لإمكان أن تصير الأجرة محركة للمكلف نحو الفعل بحيث لولاها لا نحتمل تحركه للواجب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سنذكره في الوجه الرابع من الموانع العرضية </w:t>
      </w:r>
      <w:r>
        <w:rPr>
          <w:rStyle w:val="FootnoteAnchor"/>
          <w:rtl w:val="true"/>
        </w:rPr>
        <w:footnoteReference w:id="1055"/>
      </w:r>
    </w:p>
    <w:p>
      <w:pPr>
        <w:pStyle w:val="BookText"/>
        <w:rPr/>
      </w:pPr>
      <w:r>
        <w:rPr>
          <w:rFonts w:ascii="Amiri" w:hAnsi="Amiri" w:eastAsia="Amiri" w:cs="Amiri"/>
          <w:color w:val="111111"/>
          <w:sz w:val="28"/>
          <w:sz w:val="28"/>
          <w:szCs w:val="28"/>
          <w:rtl w:val="true"/>
          <w:lang w:bidi="ar-SA"/>
        </w:rPr>
        <w:t>وملخّصه أن المستأجر له أن يلزم الأجير بالفعل ويقهر عليه لأنه واجب عليه ولو من جهة الأمر بالمعروف والنهي عن المنكر؛ فدفع الأجرة له على فعل مقهور عليه عبث</w:t>
      </w:r>
      <w:r>
        <w:rPr>
          <w:rFonts w:eastAsia="Amiri" w:cs="Amiri" w:ascii="Amiri" w:hAnsi="Amiri"/>
          <w:color w:val="111111"/>
          <w:sz w:val="28"/>
          <w:szCs w:val="28"/>
          <w:rtl w:val="true"/>
          <w:lang w:bidi="ar-SA"/>
        </w:rPr>
        <w:t>.</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الصياغة أليق بالمثال الذي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بالفرق بين الإلزامين فإن الأول الثابت قبل الإجارة كان نوعياً عاماً </w:t>
      </w:r>
    </w:p>
    <w:p>
      <w:pPr>
        <w:pStyle w:val="BookText"/>
        <w:rPr/>
      </w:pPr>
      <w:r>
        <w:rPr>
          <w:rFonts w:ascii="Amiri" w:hAnsi="Amiri" w:eastAsia="Amiri" w:cs="Amiri"/>
          <w:color w:val="111111"/>
          <w:sz w:val="28"/>
          <w:sz w:val="28"/>
          <w:szCs w:val="28"/>
          <w:rtl w:val="true"/>
          <w:lang w:bidi="ar-SA"/>
        </w:rPr>
        <w:t>واجباً على كل الناس من باب الأمر بالمعروف والنهي عن المنكر، أما ما يثبت بالإجارة فهو حق شخصي يملكه بالعقد وله مقاضاة الأجير إذا أخل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 مقهور على أداء الواجبات ولا خيار له في تركها، وفعلها ليس منوطاً برضاه ولا دخل لإذنه في أدائها فلا يكون عمله محترماً ومع عدم احترامه فلا ضمان بإزائه؛ لأن الضمان مقابل العمل المحترم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أجيب هذا الوجه بما حاصله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لمال المسلم حيثيتين من الاحترام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حيثية إضافته إلى المسلم، ومقتضى احترامه بهذه الحيثية أن لا يتصرف أحد فيه بغير إذنه وله السلطنة على ماله وليس لأحدٍ مزاحمته في سلطانه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حيثية ماليته، ومقتضى حرمتها أن لا يذهب هدراً وبلا تدارك، ومن الواضح أن الإيجاب والمقهورية وسقوط إذنه موجبة لسقوط احترامه من الحيثية الأولى دون الثانية، ولذا جاز أكل مال الغير في المخمصة بلا إذنه مع بقائه على احترامه، ولهذا يضمن قيمته بلا إشكال</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أن هدر المال غير هدر المالية، والمضر الثاني لا الأول، ولهذا يصح المعاملة مع الكافر الحربي مع سقوط احترام ماله من الحيثيتين وذلك لعدم هدر مالية ماله</w:t>
      </w:r>
      <w:r>
        <w:rPr>
          <w:rFonts w:eastAsia="Amiri" w:cs="Amiri" w:ascii="Amiri" w:hAnsi="Amiri"/>
          <w:color w:val="111111"/>
          <w:sz w:val="28"/>
          <w:szCs w:val="28"/>
          <w:rtl w:val="true"/>
          <w:lang w:bidi="ar-SA"/>
        </w:rPr>
        <w:t>»</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رد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للمملوك إلا إضافة واحدة إلى مالكه هي إضافة المملوكية، ولها أحكام عقلائية وشرعية واحترامات كذلك، ومع الغض عن تلك الإضافة لا حرمة له مطلقاً ضماناً كانت أو غيره، فالحيثية الثانية في كلامه أي ذات المالية مقطوع الإضافة لا حرمة لها، وعدم الذهاب هدراً من آثار إضافة المال إليه ومن الأحكام العقلائية المترتبة على إضافة المالكية، لا حيثية مقابلة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فإضافة المال إلى المسلم أو المال المضاف إليه موضوع تلك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وجواز الأكل في المخمصة بلا إذن صاحبه وقهراً عليه ليس من جهة سقوط احترام الإضافة إلى المسلم، لأن لازم سقوط احترامها عدم الضمان بلا ريب، لأن موضوع دليل الضمان الإتلافي وغيره هو مال الغير المتقوم بالإضافة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الضمان من جهة احترام ذات المال ساقط الإضافة أو مع سلباحترام إضافته، بل لأجل أن حكومة دليل رفع الاضطرار إنما هي على بعض الأحكام المترتبة على إضافة المالكية، وهو حرمة التصرف فيه بلا إذنه ورضاه، دون الحكم الوضعي وهو الضمان، لأن المضطر إنما يضطر إلى الأكل وهو يسد رمقه، لا الأكل المجاني، فليس مضطراً إلى الأكل المجاني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في الأكل في المخمصة سقوط الإضافة إلى المسلم وتحقق الضمان بإتلاف ذات المال بلا إضافة إلى مالكه وهو واضح</w:t>
      </w:r>
      <w:r>
        <w:rPr>
          <w:rFonts w:eastAsia="Amiri" w:cs="Amiri" w:ascii="Amiri" w:hAnsi="Amiri"/>
          <w:color w:val="111111"/>
          <w:sz w:val="28"/>
          <w:szCs w:val="28"/>
          <w:rtl w:val="true"/>
          <w:lang w:bidi="ar-SA"/>
        </w:rPr>
        <w:t>».</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الشيخ الإصفهاني صحيح ولا يضره ما قاله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مبني على إيهام في التعبير وإلا فإن الشيخ الإصفهاني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يفترض الحيثية الثانية منفصلة عن الإضافة إلى المسلم لأنه صرح بأن مقسم الحيثيتين هو مال المسلم فإذن هو يريد بالحيثيات الآثار التي ذكرها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فملخص الجواب عندهما أن الإيجاب </w:t>
      </w:r>
    </w:p>
    <w:p>
      <w:pPr>
        <w:pStyle w:val="BookText"/>
        <w:rPr/>
      </w:pPr>
      <w:r>
        <w:rPr>
          <w:rFonts w:ascii="Amiri" w:hAnsi="Amiri" w:eastAsia="Amiri" w:cs="Amiri"/>
          <w:color w:val="111111"/>
          <w:sz w:val="28"/>
          <w:sz w:val="28"/>
          <w:szCs w:val="28"/>
          <w:rtl w:val="true"/>
          <w:lang w:bidi="ar-SA"/>
        </w:rPr>
        <w:t>والإلزام لا ينافي بقاء احترامه وإضافته وصحة الاستئجار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أورده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منية الطالب وحاصله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يعتبر في الإجارة أن يكون العمل الذي يأخذ الأجير بإزائه الأجرة ملكاً له بأن لا يكون مسلوب الاختيار بإيجاب أو تحريم شرعي، لأنه إن كان واجباً عليه فلا يقدر على تركه، وإن كان محرماً فلا يقدر على فعله –لنهي الشارع عنه كشهادة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 في صحة المعاملة على العمل كون فعله وتركه تحت سلطنته واختياره</w:t>
      </w:r>
      <w:r>
        <w:rPr>
          <w:rFonts w:eastAsia="Amiri" w:cs="Amiri" w:ascii="Amiri" w:hAnsi="Amiri"/>
          <w:color w:val="111111"/>
          <w:sz w:val="28"/>
          <w:szCs w:val="28"/>
          <w:rtl w:val="true"/>
          <w:lang w:bidi="ar-SA"/>
        </w:rPr>
        <w:t>»</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تقريبه أن القدرة معتبرة في متعلق الإجارة، وحقيقتها القدرة على الفعل والترك معاً، فكما لا تجوز الإجارة على المحرمات لسلب الشارع القدرة على فعلها، فكذلك لا تجوز الإجارة على الواجبات لسلب القدرة على الترك، وعدم القدرة الشرعية كعدم القدرة العقلية التي هيشرط في صحة التكليف</w:t>
      </w:r>
      <w:r>
        <w:rPr>
          <w:rFonts w:eastAsia="Amiri" w:cs="Amiri" w:ascii="Amiri" w:hAnsi="Amiri"/>
          <w:color w:val="111111"/>
          <w:sz w:val="28"/>
          <w:szCs w:val="28"/>
          <w:rtl w:val="true"/>
          <w:lang w:bidi="ar-SA"/>
        </w:rPr>
        <w:t>.</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وأصرّ بعض تلامذته المحققين على هذا الوجه للحرمة،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يشترط في صحة عقد الإجارة –بل في سائر العقود المعاوضية التي تقع على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العمل مقدوراً للعامل تكويناً وتشريعاً وفعلاً وتركاً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ووضحه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مقدورية فعل من الأفعال هو أن يكون الفعل والترك بإرادته وتحت اختياره، وإلا لو كان الفعل ضرورياً، كحركة الارتعاش في اليد مثلاً، لا يقال أن هذا الفعل مقدوراً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وخلص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 في عدم صحة أخذ الأجرة على الواجبات بحيث يكون وافياً بجميع أقسام الواجب هو هذا الوجه</w:t>
      </w:r>
      <w:r>
        <w:rPr>
          <w:rFonts w:eastAsia="Amiri" w:cs="Amiri" w:ascii="Amiri" w:hAnsi="Amiri"/>
          <w:color w:val="111111"/>
          <w:sz w:val="28"/>
          <w:szCs w:val="28"/>
          <w:rtl w:val="true"/>
          <w:lang w:bidi="ar-SA"/>
        </w:rPr>
        <w:t>»</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 xml:space="preserve">. </w:t>
      </w:r>
      <w:bookmarkStart w:id="893" w:name="pg8133_63286"/>
    </w:p>
    <w:p>
      <w:pPr>
        <w:pStyle w:val="BookText"/>
        <w:rPr/>
      </w:pPr>
      <w:bookmarkEnd w:id="893"/>
      <w:r>
        <w:rPr>
          <w:rFonts w:ascii="IRNazanin" w:hAnsi="IRNazanin" w:eastAsia="IRNazanin"/>
          <w:color w:val="111111"/>
          <w:sz w:val="28"/>
          <w:sz w:val="28"/>
          <w:szCs w:val="28"/>
          <w:rtl w:val="true"/>
          <w:lang w:bidi="fa-IR"/>
        </w:rPr>
        <w:t>وجوابه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مثل هذه القدرة غير معتبرة قطعاً، وإنما المعتبر في صحة الإجارة القدرة على تسليم المعوّض وهي حاصلة في الواجبات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عليهم بالإجماع على جواز جعل الواجب شرطاً في ضمن العقد أو متعلقاً لنذر أو يمين أو عهد، والقدرة معتبرة فيها جميعاً، فلو صحّ ما قالوه من عدم القدرة لما جاز كل هذا، مع أنه لم يقل أحد ببطلان شيء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بطلان الاستيجار على الفعل المحرم فإنه ليس لأنه مسلوب الاختيار وأنه لا يملك فعله لشهادة الوجدان بخلاف ذلك وتملكه لحرية الفعل والترك، وإنما لأن صحة العقد تعني لزوم الوفاء به وهو لا يجتمع مع تحريم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النكتة غير موجودة في الواجبات لما قلناه من أن وجوب الفعل لا يخرجه عن تحت اختياره ولا يصيّره ضروري الحصول ولا يجعله مملوكاً للآمر</w:t>
      </w:r>
      <w:r>
        <w:rPr>
          <w:rFonts w:eastAsia="Amiri" w:cs="Amiri" w:ascii="Amiri" w:hAnsi="Amiri"/>
          <w:color w:val="111111"/>
          <w:sz w:val="28"/>
          <w:szCs w:val="28"/>
          <w:rtl w:val="true"/>
          <w:lang w:bidi="ar-SA"/>
        </w:rPr>
        <w:t>.</w:t>
      </w:r>
    </w:p>
    <w:p>
      <w:pPr>
        <w:pStyle w:val="Heading6"/>
        <w:numPr>
          <w:ilvl w:val="5"/>
          <w:numId w:val="1"/>
        </w:numPr>
        <w:rPr/>
      </w:pPr>
      <w:bookmarkStart w:id="894" w:name="__RefHeading___Toc8193619_1051229030"/>
      <w:bookmarkStart w:id="895" w:name="_Toc321"/>
      <w:bookmarkEnd w:id="894"/>
      <w:r>
        <w:rPr>
          <w:rtl w:val="true"/>
        </w:rPr>
        <w:t>نتيجة المناقشة</w:t>
      </w:r>
      <w:r>
        <w:rPr>
          <w:rtl w:val="true"/>
        </w:rPr>
        <w:t>:</w:t>
      </w:r>
      <w:bookmarkEnd w:id="895"/>
    </w:p>
    <w:p>
      <w:pPr>
        <w:pStyle w:val="BookText"/>
        <w:rPr/>
      </w:pPr>
      <w:r>
        <w:rPr>
          <w:rFonts w:ascii="Amiri" w:hAnsi="Amiri" w:eastAsia="Amiri" w:cs="Amiri"/>
          <w:color w:val="111111"/>
          <w:sz w:val="28"/>
          <w:sz w:val="28"/>
          <w:szCs w:val="28"/>
          <w:rtl w:val="true"/>
          <w:lang w:bidi="ar-SA"/>
        </w:rPr>
        <w:t>تبيّن مما تقدم عدم وجود مانع ذاتي في الواجبات عن أخذ الأجرة، أي أن صفة الوجوب ليست مانعة بنفسها عن أخذ الأجرة</w:t>
      </w:r>
      <w:r>
        <w:rPr>
          <w:rFonts w:eastAsia="Amiri" w:cs="Amiri" w:ascii="Amiri" w:hAnsi="Amiri"/>
          <w:color w:val="111111"/>
          <w:sz w:val="28"/>
          <w:szCs w:val="28"/>
          <w:rtl w:val="true"/>
          <w:lang w:bidi="ar-SA"/>
        </w:rPr>
        <w:t>.</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عدم وجود مانع تكون عمومات الإجارة ووجوب الوفاء بالعقود جارية، واختار هذا القول جملة من الأساطين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–أي جواز الإجارة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القواعد والضوابط جمعاً بين ما دل على وجوب بذل المال أو العمل، وبين ما دل على احترام القاضي بضمانهما، إذا فرض عدم ظهور دليل الوجوب في المجانية، إذ كما أن الإذن الشرعية في الأموال والأنفس لا تنافي الضمان </w:t>
      </w:r>
    </w:p>
    <w:p>
      <w:pPr>
        <w:pStyle w:val="BookText"/>
        <w:rPr/>
      </w:pPr>
      <w:r>
        <w:rPr>
          <w:rFonts w:ascii="Amiri" w:hAnsi="Amiri" w:eastAsia="Amiri" w:cs="Amiri"/>
          <w:color w:val="111111"/>
          <w:sz w:val="28"/>
          <w:sz w:val="28"/>
          <w:szCs w:val="28"/>
          <w:rtl w:val="true"/>
          <w:lang w:bidi="ar-SA"/>
        </w:rPr>
        <w:t>كذلك الأمر الشرعي بدفع المال أو العمل لا ينافي الضمان، فالمتجه حينئذٍ القول بعدم المنافاة ذاتاً، نعم لو حصل مانع خارجي كالجمع بين العوض والمعوض عنه، ونحوه مما تكون المعاملة به سفهية عبثية، ولو من جانب واحد، أو فُهم مما دل على الوجوب كونه بصفته المجانية، اتجه المنع</w:t>
      </w:r>
      <w:r>
        <w:rPr>
          <w:rFonts w:eastAsia="Amiri" w:cs="Amiri" w:ascii="Amiri" w:hAnsi="Amiri"/>
          <w:color w:val="111111"/>
          <w:sz w:val="28"/>
          <w:szCs w:val="28"/>
          <w:rtl w:val="true"/>
          <w:lang w:bidi="ar-SA"/>
        </w:rPr>
        <w:t>»</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ووافقه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تأسيس مقتضى القاعدة في المسألة الا أنه اختلف معه في الاستثناء الخارج عن القاعدة،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فالذي ينساق إليه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القاعدة في كل عمل له منفعة محللة مقصودة، جواز أخذ الأجرة والجعل عليه وإن كان داخلاً في العنوان الذي أوجبه الله على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مانعية مجرد الوجوب عن صحة المعاوضة على الفعل، فلم تثبت على الإطلاق</w:t>
      </w:r>
      <w:r>
        <w:rPr>
          <w:rFonts w:eastAsia="Amiri" w:cs="Amiri" w:ascii="Amiri" w:hAnsi="Amiri"/>
          <w:color w:val="111111"/>
          <w:sz w:val="28"/>
          <w:szCs w:val="28"/>
          <w:rtl w:val="true"/>
          <w:lang w:bidi="ar-SA"/>
        </w:rPr>
        <w:t>»</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السيد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فالمناط في المنع هو فهم المجانية من غير فرق بين كونه حقاً أو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وجوباً أو استحباباً وعينياً أو كفائياً أوتخييرياً</w:t>
      </w:r>
      <w:r>
        <w:rPr>
          <w:rFonts w:eastAsia="Amiri" w:cs="Amiri" w:ascii="Amiri" w:hAnsi="Amiri"/>
          <w:color w:val="111111"/>
          <w:sz w:val="28"/>
          <w:szCs w:val="28"/>
          <w:rtl w:val="true"/>
          <w:lang w:bidi="ar-SA"/>
        </w:rPr>
        <w:t>»</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خالف نفسه في العروة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الإجارة لإتيان الواجبات العينية كالصلوات الخمس، والكفائية كتغسيل الأموات وتكفينهم والصلاة عليهم</w:t>
      </w:r>
      <w:r>
        <w:rPr>
          <w:rFonts w:eastAsia="Amiri" w:cs="Amiri" w:ascii="Amiri" w:hAnsi="Amiri"/>
          <w:color w:val="111111"/>
          <w:sz w:val="28"/>
          <w:szCs w:val="28"/>
          <w:rtl w:val="true"/>
          <w:lang w:bidi="ar-SA"/>
        </w:rPr>
        <w:t>»</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للقول بالجواز جملة من النصوص والفتاوى الدالة على الجواز في عدة موارد فيكون نقضاً على القائل بالمنع،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جواز أخذ الأم </w:t>
      </w:r>
    </w:p>
    <w:p>
      <w:pPr>
        <w:pStyle w:val="BookText"/>
        <w:rPr/>
      </w:pPr>
      <w:r>
        <w:rPr>
          <w:rFonts w:ascii="Amiri" w:hAnsi="Amiri" w:eastAsia="Amiri" w:cs="Amiri"/>
          <w:color w:val="111111"/>
          <w:sz w:val="28"/>
          <w:sz w:val="28"/>
          <w:szCs w:val="28"/>
          <w:rtl w:val="true"/>
          <w:lang w:bidi="ar-SA"/>
        </w:rPr>
        <w:t>الأجرة على إرضاع الولد اللبا مع وجوبه عليها، كاستحقاق أخذ العوض عما يدفعه للمضطر من المال، وما يأخذه الوصي عوضاً عن عمله –مع وجوب العمل بها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أوضح شاهد على عدم منافاة صفة الوجوب للتكسب</w:t>
      </w:r>
      <w:r>
        <w:rPr>
          <w:rFonts w:eastAsia="Amiri" w:cs="Amiri" w:ascii="Amiri" w:hAnsi="Amiri"/>
          <w:color w:val="111111"/>
          <w:sz w:val="28"/>
          <w:szCs w:val="28"/>
          <w:rtl w:val="true"/>
          <w:lang w:bidi="ar-SA"/>
        </w:rPr>
        <w:t>»</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مضافاً إلى موارد أخرى كالواجبات النظامية التي أجمعوا على جواز أخذ الأجرة فيها،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إعلاف الملتقط للضالة مع جواز رجوعه في قيمة العلف إلى صاحبها بل وأجرة الإعلاف أيضاً</w:t>
      </w:r>
      <w:r>
        <w:rPr>
          <w:rFonts w:eastAsia="Amiri" w:cs="Amiri" w:ascii="Amiri" w:hAnsi="Amiri"/>
          <w:color w:val="111111"/>
          <w:sz w:val="28"/>
          <w:szCs w:val="28"/>
          <w:rtl w:val="true"/>
          <w:lang w:bidi="ar-SA"/>
        </w:rPr>
        <w:t>»</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حاول القائلون بالحرمة توجيه هذه الموارد لمنع المنافاة بوجوه غير تامة أي لا تصلح لجعل هذه الموارد استثناءً وتخصيصاً للقاعدة التي تقتضي الحرمة وإنما هي شواهد على أن مقتضى القاعدة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تلك المحاولات قول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أخذ الوصي الأجرة على تولي أموال الطفل الموصى عليه، الشامل بإطلاقه لصورة تعيّن العمل عليه، فهو من جهة الإجماع والنصوص المستفيضة على أن له أن يأخذ شيئاً</w:t>
      </w:r>
      <w:r>
        <w:rPr>
          <w:rFonts w:eastAsia="Amiri" w:cs="Amiri" w:ascii="Amiri" w:hAnsi="Amiri"/>
          <w:color w:val="111111"/>
          <w:sz w:val="28"/>
          <w:szCs w:val="28"/>
          <w:rtl w:val="true"/>
          <w:lang w:bidi="ar-SA"/>
        </w:rPr>
        <w:t xml:space="preserve">»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المانع عن أخذ الأجرة الذي ذكره ثبوتي فلا يدفع بوجه إثباتي</w:t>
      </w:r>
      <w:r>
        <w:rPr>
          <w:rFonts w:eastAsia="Amiri" w:cs="Amiri" w:ascii="Amiri" w:hAnsi="Amiri"/>
          <w:color w:val="111111"/>
          <w:sz w:val="28"/>
          <w:szCs w:val="28"/>
          <w:rtl w:val="true"/>
          <w:lang w:bidi="ar-SA"/>
        </w:rPr>
        <w:t>.</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استحقاق الأجرة من جهة حكم الشارع لا من باب المعاوضة مخالف لظاهر النصوص والفتوى كصحيحة هشام بن الحكم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عمن تولى مال اليتيم ما له أن يأكل منه؟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 إلى ما كان غيره يقوم به من الأجر لهم فليأكل بقدر ذلك</w:t>
      </w:r>
      <w:r>
        <w:rPr>
          <w:rFonts w:eastAsia="IRNazanin" w:cs="IRNazanin"/>
          <w:color w:val="111111"/>
          <w:sz w:val="28"/>
          <w:szCs w:val="28"/>
          <w:rtl w:val="true"/>
          <w:lang w:bidi="fa-IR"/>
        </w:rPr>
        <w:t>)</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 xml:space="preserve">. </w:t>
      </w:r>
      <w:bookmarkStart w:id="896" w:name="pg8133_63289"/>
    </w:p>
    <w:p>
      <w:pPr>
        <w:pStyle w:val="BookText"/>
        <w:rPr/>
      </w:pPr>
      <w:bookmarkEnd w:id="896"/>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النقض عليه بأن لازم توجيهه أنه لو مات قبل الأخذ فلا يجوز لوارثه أخذ العوض بناءً على كونه حكماً تعبدياً من الشارع، لكن الفتوى على الجواز وهذا يعني أن الحكم مبني على العوضية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باذل المال للمضطر فهو إنما يرجع بعوض المبذول، لا بأجرة البذل، فلا يرد نقضاً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للتفريق لأن العوض في المقام أيضاً مقابل المبذول الذي هو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فكما أن الواجب هناك بذل الطعام، والعوض إنما هو في مقابل الطعام، ففي المقام أيضاً الواجب بذل العمل، والعوض في مقابل نفس العمل</w:t>
      </w:r>
      <w:r>
        <w:rPr>
          <w:rFonts w:eastAsia="Amiri" w:cs="Amiri" w:ascii="Amiri" w:hAnsi="Amiri"/>
          <w:color w:val="111111"/>
          <w:sz w:val="28"/>
          <w:szCs w:val="28"/>
          <w:rtl w:val="true"/>
          <w:lang w:bidi="ar-SA"/>
        </w:rPr>
        <w:t>»</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رجوع الأم المرضعة بعوض إرضاع اللبأ مع وجوبه عليها –بناءً على توقف حياة الولد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إما من قبيل بذل المال للمضطر، وإما من قبيل رجوع الوصي بأجرة المثل من جهة عموم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أَرْضَعْنَ لَكُمْ فَآتُوهُنَّ أُجُورَهُنَّ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اتضح ما في كل منهما</w:t>
      </w:r>
      <w:r>
        <w:rPr>
          <w:rFonts w:eastAsia="Amiri" w:cs="Amiri" w:ascii="Amiri" w:hAnsi="Amiri"/>
          <w:color w:val="111111"/>
          <w:sz w:val="28"/>
          <w:szCs w:val="28"/>
          <w:rtl w:val="true"/>
          <w:lang w:bidi="ar-SA"/>
        </w:rPr>
        <w:t>.</w:t>
      </w:r>
    </w:p>
    <w:p>
      <w:pPr>
        <w:pStyle w:val="Heading6"/>
        <w:numPr>
          <w:ilvl w:val="5"/>
          <w:numId w:val="1"/>
        </w:numPr>
        <w:rPr/>
      </w:pPr>
      <w:bookmarkStart w:id="897" w:name="__RefHeading___Toc8193621_1051229030"/>
      <w:bookmarkStart w:id="898" w:name="_Toc322"/>
      <w:bookmarkEnd w:id="897"/>
      <w:r>
        <w:rPr>
          <w:rtl w:val="true"/>
        </w:rPr>
        <w:t>(</w:t>
      </w:r>
      <w:r>
        <w:rPr>
          <w:rtl w:val="true"/>
        </w:rPr>
        <w:t>الصنف الثاني</w:t>
      </w:r>
      <w:r>
        <w:rPr>
          <w:rtl w:val="true"/>
        </w:rPr>
        <w:t xml:space="preserve">) </w:t>
      </w:r>
      <w:r>
        <w:rPr>
          <w:rtl w:val="true"/>
        </w:rPr>
        <w:t>الموانع العرضية</w:t>
      </w:r>
      <w:bookmarkEnd w:id="898"/>
    </w:p>
    <w:p>
      <w:pPr>
        <w:pStyle w:val="BookText"/>
        <w:rPr/>
      </w:pPr>
      <w:r>
        <w:rPr>
          <w:rFonts w:ascii="Amiri" w:hAnsi="Amiri" w:eastAsia="Amiri" w:cs="Amiri"/>
          <w:color w:val="111111"/>
          <w:sz w:val="28"/>
          <w:sz w:val="28"/>
          <w:szCs w:val="28"/>
          <w:rtl w:val="true"/>
          <w:lang w:bidi="ar-SA"/>
        </w:rPr>
        <w:t>ويمكن تقريب عدة موانع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الدليل التعبدي على حرمة أخذ الأجرة على العبادات إلا ما استثني</w:t>
      </w:r>
      <w:r>
        <w:rPr>
          <w:rFonts w:eastAsia="Amiri" w:cs="Amiri" w:ascii="Amiri" w:hAnsi="Amiri"/>
          <w:color w:val="111111"/>
          <w:sz w:val="28"/>
          <w:szCs w:val="28"/>
          <w:rtl w:val="true"/>
          <w:lang w:bidi="ar-SA"/>
        </w:rPr>
        <w:t>.</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الدليل المفروض في كتب الأصحاب أمور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وقد تقدم نقله والرد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السيرة على عدم أخذ الأجرة على الواجبات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 هذه السيرة لجريان العمل على أخذ الأجرة على كثير من الواجبات كالواجبات النظامية والقضاء وغيرها من الموارد التي ذكرناها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يخص الدليل بالعبادات ويناقش حينئذٍ باحتمال كونها مدركية لاستنادها إلى قول المشهور بالحرمة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أنها دليل لبّي يقتصر منه على القدر المتيقن وهو عدم القيام بها وهو أعم من عدم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أننا لا نجد مانعاً من اتخاذ بذل العوض والمكافأة أسلوباً لتحفيز الآخرين على الطاعة واجتناب المعصية إقامة لفريضة الأمر بالمعروف والنهي عن المنكر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قال الشيخ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الظاهر عدم الدخول في عمومات المعاملات في الكتاب والسنة، فيبقى على أصل عدم الانتقال عن الحالة الأولى</w:t>
      </w:r>
      <w:r>
        <w:rPr>
          <w:rFonts w:eastAsia="Amiri" w:cs="Amiri" w:ascii="Amiri" w:hAnsi="Amiri"/>
          <w:color w:val="111111"/>
          <w:sz w:val="28"/>
          <w:szCs w:val="28"/>
          <w:rtl w:val="true"/>
          <w:lang w:bidi="ar-SA"/>
        </w:rPr>
        <w:t>»</w:t>
      </w:r>
      <w:r>
        <w:rPr>
          <w:rStyle w:val="FootnoteAnchor"/>
          <w:rtl w:val="true"/>
        </w:rPr>
        <w:footnoteReference w:id="1070"/>
      </w:r>
      <w:r>
        <w:rPr>
          <w:rFonts w:ascii="Amiri" w:hAnsi="Amiri" w:eastAsia="Amiri" w:cs="Amiri"/>
          <w:color w:val="111111"/>
          <w:sz w:val="28"/>
          <w:sz w:val="28"/>
          <w:szCs w:val="28"/>
          <w:rtl w:val="true"/>
          <w:lang w:bidi="ar-SA"/>
        </w:rPr>
        <w:t>وقال المحقق النراقي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عموم أدلة الإجارة بحيث يشمل المورد غير معلوم، والأصل في المعاملات الفساد</w:t>
      </w:r>
      <w:r>
        <w:rPr>
          <w:rFonts w:eastAsia="Amiri" w:cs="Amiri" w:ascii="Amiri" w:hAnsi="Amiri"/>
          <w:color w:val="111111"/>
          <w:sz w:val="28"/>
          <w:szCs w:val="28"/>
          <w:rtl w:val="true"/>
          <w:lang w:bidi="ar-SA"/>
        </w:rPr>
        <w:t>»</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يتبين منشأ الشك في دخول المورد في عمومات الإجارة أو العقود حتى يسوغ الرجوع إلى الأصل بعد رد تقريبات المنع فنتمسك بعمومها وإطلاقها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المناقشة في الكبرى لأن الأصل وإن كان عدم الانتقال عن الحالة الأولى عند الشك في حصول السبب الناقل، إلا أن هذا السبب متحقق هنا بضم الوجدان القاضي بحصول عقد معاوضة على الفعل الواجب مع الأصل الذي يقتضي الصحة في المعاملات المتعارفة لدى الناس والتي تراضوا عليها إلا إذا ثبت النهي عنها شرعاً وهو منتفٍ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تنزلنا وقلنا ببطلان عقد الإجارة فإن غايته عدم استحقاق الأجرة المسماة لكنه يستحق أجرة المثل لأن عمله محترم ومضمون ولم يقدم على المجانية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ذلك لا يثبت إلا فساد عقد الإجارة في غير ما دل الدليل على صحتها فيه، نحو الصنائع وما يشبهها من الواجبات الكفائية، أو الحج والصلاة ونحوهما من الغير، وأما عدم جواز أخذ الأجرة وحرمتها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المنع من أخذ الأجرة من لوازم الأصل في المقام، والأصول لا تثبت لوازمها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 أن استحقاق الأجرة فرع صحة العقد فإذا ثبت بطلانه بالأصل فيسقط استحقاق الأجرة</w:t>
      </w:r>
      <w:r>
        <w:rPr>
          <w:rFonts w:eastAsia="Amiri" w:cs="Amiri" w:ascii="Amiri" w:hAnsi="Amiri"/>
          <w:color w:val="111111"/>
          <w:sz w:val="28"/>
          <w:szCs w:val="28"/>
          <w:rtl w:val="true"/>
          <w:lang w:bidi="ar-SA"/>
        </w:rPr>
        <w:t>.</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دل دليل الواجب على أن الفعل يؤتى به على نحو المجانية أي اشتراط الشارع إتيانه بلا مقابل، كما قيل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الإفتاء والقضاء حيث أن الظاهر أنهما من شؤون تبليغ الرسالة وقد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أخذ الأجرة عليه</w:t>
      </w:r>
      <w:r>
        <w:rPr>
          <w:rFonts w:eastAsia="Amiri" w:cs="Amiri" w:ascii="Amiri" w:hAnsi="Amiri"/>
          <w:color w:val="111111"/>
          <w:sz w:val="28"/>
          <w:szCs w:val="28"/>
          <w:rtl w:val="true"/>
          <w:lang w:bidi="ar-SA"/>
        </w:rPr>
        <w:t>»</w:t>
      </w:r>
      <w:r>
        <w:rPr>
          <w:rStyle w:val="FootnoteAnchor"/>
          <w:rtl w:val="true"/>
        </w:rPr>
        <w:footnoteReference w:id="10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أن هذا مانع إذا ثبت بدليل ويمكن تقريب المانعية بأكثر </w:t>
      </w:r>
    </w:p>
    <w:p>
      <w:pPr>
        <w:pStyle w:val="BookText"/>
        <w:rPr/>
      </w:pPr>
      <w:r>
        <w:rPr>
          <w:rFonts w:ascii="Amiri" w:hAnsi="Amiri" w:eastAsia="Amiri" w:cs="Amiri"/>
          <w:color w:val="111111"/>
          <w:sz w:val="28"/>
          <w:sz w:val="28"/>
          <w:szCs w:val="28"/>
          <w:rtl w:val="true"/>
          <w:lang w:bidi="ar-SA"/>
        </w:rPr>
        <w:t xml:space="preserve">من 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سقوط مالية هذا الفعل شرعاً بهذا الشرط فيكون أخذ المال بإزاء هذا الفعل من أكل المال بالباطل أو أن المعاملة تكون سفهية،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أخذ الأجرة يجعل الفرد المأتي به غير مطابق للمأمور به المقيّد بالمجانية فلا يتحقق الوفاء بالإجارة ونحو ذلك من التقريبات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أخرج جملة من الأعلام هذا المورد عن محل النزاع كما تقدم، ولكن المشكلة في الدال على المجانية إذ أن أدلة الواجبات لم تتضمن هذا المعنى، وليس هو مما تتضمنه حقيقة الوجوب، نعم توجد موارد ادعي فيها ثبوت المجانية بدليل خاص كالإجماع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وسّع دائرة الواجبات المجانية،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المتبادر عن إيجاب شي طلبه مجاناً، ولذا لو أمر المولى عبده بأمر فأخذ الأجر من شخص ولو كان له فيه نفع يذم عرفاً، إلا أن تكون قرينة على جواز الأخذ</w:t>
      </w:r>
      <w:r>
        <w:rPr>
          <w:rFonts w:eastAsia="Amiri" w:cs="Amiri" w:ascii="Amiri" w:hAnsi="Amiri"/>
          <w:color w:val="111111"/>
          <w:sz w:val="28"/>
          <w:szCs w:val="28"/>
          <w:rtl w:val="true"/>
          <w:lang w:bidi="ar-SA"/>
        </w:rPr>
        <w:t>»</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دعوى لا تلزم إلا مدعيها وما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المثال لا يجري في ما نحن فيه للفرق الذي ذكرناه في الأول من الموانع الذاتية، فملكية المولى لعبده ليست كملكية الله تعالى للواجبات في ذمة عباده؛ لذا لم تثبت المجانية عندهم إلا في موارد خاصة وردت فيها روايات أو ادعي عليها الإجماع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فمن الأمور التي وردت في الروايات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السحت أنواع كثيرة منها ما أصيب من أعمال الولاة الظلمة ومنها أجور القضاة</w:t>
      </w:r>
      <w:r>
        <w:rPr>
          <w:rFonts w:eastAsia="IRNazanin" w:cs="IRNazanin"/>
          <w:color w:val="111111"/>
          <w:sz w:val="28"/>
          <w:szCs w:val="28"/>
          <w:rtl w:val="true"/>
          <w:lang w:bidi="fa-IR"/>
        </w:rPr>
        <w:t>)</w:t>
      </w:r>
      <w:r>
        <w:rPr>
          <w:rStyle w:val="FootnoteAnchor"/>
          <w:rtl w:val="true"/>
        </w:rPr>
        <w:footnoteReference w:id="1074"/>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يصلي خلف من يبغي على الأذان والصلاة الأجر ولا تقبل شهادته</w:t>
      </w:r>
      <w:r>
        <w:rPr>
          <w:rFonts w:eastAsia="IRNazanin" w:cs="IRNazanin"/>
          <w:color w:val="111111"/>
          <w:sz w:val="28"/>
          <w:szCs w:val="28"/>
          <w:rtl w:val="true"/>
          <w:lang w:bidi="fa-IR"/>
        </w:rPr>
        <w:t>)</w:t>
      </w:r>
      <w:r>
        <w:rPr>
          <w:rStyle w:val="FootnoteAnchor"/>
          <w:rtl w:val="true"/>
        </w:rPr>
        <w:footnoteReference w:id="1075"/>
      </w:r>
      <w:r>
        <w:rPr>
          <w:rFonts w:ascii="IRNazanin" w:hAnsi="IRNazanin" w:eastAsia="IRNazanin"/>
          <w:color w:val="111111"/>
          <w:sz w:val="28"/>
          <w:sz w:val="28"/>
          <w:szCs w:val="28"/>
          <w:rtl w:val="true"/>
          <w:lang w:bidi="fa-IR"/>
        </w:rPr>
        <w:t xml:space="preserve">وما </w:t>
      </w:r>
    </w:p>
    <w:p>
      <w:pPr>
        <w:pStyle w:val="BookText"/>
        <w:rPr/>
      </w:pPr>
      <w:r>
        <w:rPr>
          <w:rFonts w:ascii="IRNazanin" w:hAnsi="IRNazanin" w:eastAsia="IRNazanin"/>
          <w:color w:val="111111"/>
          <w:sz w:val="28"/>
          <w:sz w:val="28"/>
          <w:szCs w:val="28"/>
          <w:rtl w:val="true"/>
          <w:lang w:bidi="fa-IR"/>
        </w:rPr>
        <w:t xml:space="preserve">ورد في أخبار فساد دين الناس ودخولهم في الفتن 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ورأيت الأذان بالأجر والصلاة بالأجر</w:t>
      </w:r>
      <w:r>
        <w:rPr>
          <w:rFonts w:eastAsia="IRNazanin" w:cs="IRNazanin"/>
          <w:color w:val="111111"/>
          <w:sz w:val="28"/>
          <w:szCs w:val="28"/>
          <w:rtl w:val="true"/>
          <w:lang w:bidi="fa-IR"/>
        </w:rPr>
        <w:t>)</w:t>
      </w:r>
      <w:r>
        <w:rPr>
          <w:rStyle w:val="FootnoteAnchor"/>
          <w:rtl w:val="true"/>
        </w:rPr>
        <w:footnoteReference w:id="1076"/>
      </w:r>
      <w:r>
        <w:rPr>
          <w:rFonts w:ascii="IRNazanin" w:hAnsi="IRNazanin" w:eastAsia="IRNazanin"/>
          <w:color w:val="111111"/>
          <w:sz w:val="28"/>
          <w:sz w:val="28"/>
          <w:szCs w:val="28"/>
          <w:rtl w:val="true"/>
          <w:lang w:bidi="fa-IR"/>
        </w:rPr>
        <w:t xml:space="preserve">وخبر زيد بن علي عن آبائه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أتاه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والله إني أحبك لله، 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لكني أبغضك 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لأنك تبتغي في الأذان كسباً، وتأخذ على تعلم القرآن أجراً وسمعت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أخذ على تعليم القرآن أجراً كان حظه يوم القيامة</w:t>
      </w:r>
      <w:r>
        <w:rPr>
          <w:rFonts w:eastAsia="IRNazanin" w:cs="IRNazanin"/>
          <w:color w:val="111111"/>
          <w:sz w:val="28"/>
          <w:szCs w:val="28"/>
          <w:rtl w:val="true"/>
          <w:lang w:bidi="fa-IR"/>
        </w:rPr>
        <w:t>)</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هذه الروايات قاصرة سنداً وبعضها دلالة كالأولى الدالة على قضاة الجور؛ لذا لم يستشكل كثيرون على جواز أخذ القاضي الأجرة، وبعضها يحمل على الكراهة، ولو تنزلنا فإنها لا تصلح للخروج بقاعدة كلية تفيد حرمة أخذ الأجرة على عموم الواجبات فلا بد من الاقتصار على مواردها فقط لتخصيص العمومات والإطلاقات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 الأمور استدلوا على مجانيتها بالإجماع، كتجهيز</w:t>
      </w:r>
      <w:r>
        <w:rPr>
          <w:rStyle w:val="FootnoteAnchor"/>
          <w:rtl w:val="true"/>
        </w:rPr>
        <w:footnoteReference w:id="1078"/>
      </w:r>
    </w:p>
    <w:p>
      <w:pPr>
        <w:pStyle w:val="BookText"/>
        <w:rPr/>
      </w:pPr>
      <w:r>
        <w:rPr>
          <w:rFonts w:ascii="Amiri" w:hAnsi="Amiri" w:eastAsia="Amiri" w:cs="Amiri"/>
          <w:color w:val="111111"/>
          <w:sz w:val="28"/>
          <w:sz w:val="28"/>
          <w:szCs w:val="28"/>
          <w:rtl w:val="true"/>
          <w:lang w:bidi="ar-SA"/>
        </w:rPr>
        <w:t xml:space="preserve">الميت، قال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إنه قد يُفهم من أدلة وجوب الشيء كفاية كونه حقاً لمخلوق يستحقه على المكلفين، فكل من أقدم عليه فقد أدى حق ذلك المخلوق، فلا يجوز له أخذ الأجرة منه ولا من غيره ممن وجب عليه أيضاً كفاية، ولعل من هذا القبيل تجهيز الميت وإنقاذ الغريق، بل ومعالجة الطبيب لدفع الهلاك</w:t>
      </w:r>
      <w:r>
        <w:rPr>
          <w:rFonts w:eastAsia="Amiri" w:cs="Amiri" w:ascii="Amiri" w:hAnsi="Amiri"/>
          <w:color w:val="111111"/>
          <w:sz w:val="28"/>
          <w:szCs w:val="28"/>
          <w:rtl w:val="true"/>
          <w:lang w:bidi="ar-SA"/>
        </w:rPr>
        <w:t>»</w:t>
      </w:r>
      <w:r>
        <w:rPr>
          <w:rStyle w:val="FootnoteAnchor"/>
          <w:rtl w:val="true"/>
        </w:rPr>
        <w:footnoteReference w:id="1079"/>
      </w:r>
      <w:r>
        <w:rPr>
          <w:rFonts w:ascii="IRNazanin" w:hAnsi="IRNazanin" w:eastAsia="IRNazanin"/>
          <w:color w:val="111111"/>
          <w:sz w:val="28"/>
          <w:sz w:val="28"/>
          <w:szCs w:val="28"/>
          <w:rtl w:val="true"/>
          <w:lang w:bidi="fa-IR"/>
        </w:rPr>
        <w:t>،</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فالعمدة في حرمة أخذ </w:t>
      </w:r>
    </w:p>
    <w:p>
      <w:pPr>
        <w:pStyle w:val="BookText"/>
        <w:rPr/>
      </w:pPr>
      <w:r>
        <w:rPr>
          <w:rFonts w:ascii="Amiri" w:hAnsi="Amiri" w:eastAsia="Amiri" w:cs="Amiri"/>
          <w:color w:val="111111"/>
          <w:sz w:val="28"/>
          <w:sz w:val="28"/>
          <w:szCs w:val="28"/>
          <w:rtl w:val="true"/>
          <w:lang w:bidi="ar-SA"/>
        </w:rPr>
        <w:t>الأجرة هنا ما قد يدعى من أن المستفاد من أدلة وجوب التجهيز أنه حق من حقوق الميت على المكلفين الأحياء فهو مملوك لهعليهم وليس مملوكاً للفاعل كي يمكن أخذ الأجرة عليه، أو ما يدعى من الإجماع على الحرمة</w:t>
      </w:r>
      <w:r>
        <w:rPr>
          <w:rFonts w:eastAsia="Amiri" w:cs="Amiri" w:ascii="Amiri" w:hAnsi="Amiri"/>
          <w:color w:val="111111"/>
          <w:sz w:val="28"/>
          <w:szCs w:val="28"/>
          <w:rtl w:val="true"/>
          <w:lang w:bidi="ar-SA"/>
        </w:rPr>
        <w:t>»</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 تعليم الزوجين صيغة النكاح وأداء الشهادة قال في جامع المقاصد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إلقاء الصيغة على المتعاقدين فلا يجوز أخذ الأجرة عليه إجماعاً لأنه من الواجبات الكفائية</w:t>
      </w:r>
      <w:r>
        <w:rPr>
          <w:rFonts w:eastAsia="Amiri" w:cs="Amiri" w:ascii="Amiri" w:hAnsi="Amiri"/>
          <w:color w:val="111111"/>
          <w:sz w:val="28"/>
          <w:szCs w:val="28"/>
          <w:rtl w:val="true"/>
          <w:lang w:bidi="ar-SA"/>
        </w:rPr>
        <w:t>»</w:t>
      </w:r>
      <w:r>
        <w:rPr>
          <w:rStyle w:val="FootnoteAnchor"/>
          <w:rtl w:val="true"/>
        </w:rPr>
        <w:footnoteReference w:id="1081"/>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الشهادة تحملاً وأقامةً، فلأنها من الواجبات إما العينية أو الكفائية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عموم الجاهل بالأحكام الشرعية لأفعاله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انعقاد الإجماع على وجوب تعليم الأحكام مجاناً فيما كان محل الابتلاء</w:t>
      </w:r>
      <w:r>
        <w:rPr>
          <w:rFonts w:eastAsia="Amiri" w:cs="Amiri" w:ascii="Amiri" w:hAnsi="Amiri"/>
          <w:color w:val="111111"/>
          <w:sz w:val="28"/>
          <w:szCs w:val="28"/>
          <w:rtl w:val="true"/>
          <w:lang w:bidi="ar-SA"/>
        </w:rPr>
        <w:t>»</w:t>
      </w:r>
      <w:r>
        <w:rPr>
          <w:rStyle w:val="FootnoteAnchor"/>
          <w:rtl w:val="true"/>
        </w:rPr>
        <w:footnoteReference w:id="1082"/>
      </w:r>
    </w:p>
    <w:p>
      <w:pPr>
        <w:pStyle w:val="BookText"/>
        <w:rPr/>
      </w:pPr>
      <w:r>
        <w:rPr>
          <w:rFonts w:ascii="Amiri" w:hAnsi="Amiri" w:eastAsia="Amiri" w:cs="Amiri"/>
          <w:color w:val="111111"/>
          <w:sz w:val="28"/>
          <w:sz w:val="28"/>
          <w:szCs w:val="28"/>
          <w:rtl w:val="true"/>
          <w:lang w:bidi="ar-SA"/>
        </w:rPr>
        <w:t>العروة الوثقى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المناقشة في هذه الإجماعات لأن الظاهر أنها مدركية خصوصاً في مسألة تجهيز الميت ودفنه؛ لأن مستنده النكتة التي ذكروها وهو كونه حقاً للمخلوق ويناقش بأن هذا الوجوب لم يثبت على عامة المسلمين والظاهر من روايات الباب أنه موجّه إلى الولي أو يأذن هو لغيره وبه قال السيد المرتضى وصاحب الحدائق</w:t>
      </w:r>
      <w:r>
        <w:rPr>
          <w:rStyle w:val="FootnoteAnchor"/>
          <w:rtl w:val="true"/>
        </w:rPr>
        <w:footnoteReference w:id="10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سريهما</w:t>
      </w:r>
      <w:r>
        <w:rPr>
          <w:rFonts w:eastAsia="Amiri" w:cs="Amiri" w:ascii="Amiri" w:hAnsi="Amiri"/>
          <w:color w:val="111111"/>
          <w:sz w:val="28"/>
          <w:szCs w:val="28"/>
          <w:rtl w:val="true"/>
          <w:lang w:bidi="ar-SA"/>
        </w:rPr>
        <w:t>).</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سلمنا العموم فإنه غير كافٍ لإثبات مجانيته إلا أن يدل عليها دليل إذ لا مانع من الجمع بين كونه حقاً للغير واستحقاق الأجرة على الإتيان به بمقتضى احترام عمل المسلم، لذا لا نرى تهافتاً في الكلام لو صرّح في نفس دليل الوجوب بعدم المانع من أخذ العوض، فإن أعطي وإلا أجبر الطرف المقابل إن كان له مال وإلا فيبقى في ذمته كما في وجوب بذل الطعام في </w:t>
      </w:r>
    </w:p>
    <w:p>
      <w:pPr>
        <w:pStyle w:val="BookText"/>
        <w:rPr/>
      </w:pPr>
      <w:r>
        <w:rPr>
          <w:rFonts w:ascii="Amiri" w:hAnsi="Amiri" w:eastAsia="Amiri" w:cs="Amiri"/>
          <w:color w:val="111111"/>
          <w:sz w:val="28"/>
          <w:sz w:val="28"/>
          <w:szCs w:val="28"/>
          <w:rtl w:val="true"/>
          <w:lang w:bidi="ar-SA"/>
        </w:rPr>
        <w:t>المخمصة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فالنتيجة أن مجرد كونه واجباً أو حقاً لا يلزم منه المجانية إلا أن تثبت بدليل، وما عدا ذلك فإنه لا يمكن التعرف على المجانية فيجوز أخذ الأجرة للأصل، بل قرّب بعض الفقهاء جواز أخذ الأجرة حتى على أوضحالواجبات في كونها مجانية كالفرائض اليومية وقد تقدم التقريب في كلمة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1084"/>
      </w:r>
      <w:r>
        <w:rPr>
          <w:rFonts w:ascii="Amiri" w:hAnsi="Amiri" w:eastAsia="Amiri" w:cs="Amiri"/>
          <w:color w:val="111111"/>
          <w:sz w:val="28"/>
          <w:sz w:val="28"/>
          <w:szCs w:val="28"/>
          <w:rtl w:val="true"/>
          <w:lang w:bidi="ar-SA"/>
        </w:rPr>
        <w:t xml:space="preserve">وقال الشيخ المنتظري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استأجر أحداً ليصلي صلاته في حضور أولاد المستأجر ليتعلموا كيفية الصلاة وآدابها فهذه منفعة محللة مقصودة</w:t>
      </w:r>
      <w:r>
        <w:rPr>
          <w:rFonts w:eastAsia="Amiri" w:cs="Amiri" w:ascii="Amiri" w:hAnsi="Amiri"/>
          <w:color w:val="111111"/>
          <w:sz w:val="28"/>
          <w:szCs w:val="28"/>
          <w:rtl w:val="true"/>
          <w:lang w:bidi="ar-SA"/>
        </w:rPr>
        <w:t>»</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الإجارة على فعل واجب تقتضي جمع العوض والمعوض للأجير، وهذا ينافي مقتضى العقد فيكون باطلاً؛ لأن حقيقة الإجارة مبادلة منفعة معلومة بعوض معلوم 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لو حصل مانع خارجي كالجمع بين العوض والمعوض عنه ونحوه مما تكون المعاملة به سفهية عبثية ولو من جانب واحد اتجه المنع</w:t>
      </w:r>
      <w:r>
        <w:rPr>
          <w:rFonts w:eastAsia="Amiri" w:cs="Amiri" w:ascii="Amiri" w:hAnsi="Amiri"/>
          <w:color w:val="111111"/>
          <w:sz w:val="28"/>
          <w:szCs w:val="28"/>
          <w:rtl w:val="true"/>
          <w:lang w:bidi="ar-SA"/>
        </w:rPr>
        <w:t>»</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يتحلل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وجهين، أحدهما ما نحن بصدده والآخر هوالآتي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 خروجاً عن محل البحث الذي هو مانعية الوجوب عن أخذ الأجرة، وليس منه افتراض بطلان العقد لتخلف شرط أو جزء</w:t>
      </w:r>
      <w:r>
        <w:rPr>
          <w:rFonts w:eastAsia="Amiri" w:cs="Amiri" w:ascii="Amiri" w:hAnsi="Amiri"/>
          <w:color w:val="111111"/>
          <w:sz w:val="28"/>
          <w:szCs w:val="28"/>
          <w:rtl w:val="true"/>
          <w:lang w:bidi="ar-SA"/>
        </w:rPr>
        <w:t>.</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في مواضع من هذا البحث أن كون متعلق الإجارة فعلاً واجباً على الأجير لا يعني عدم وجود منفعة فيه للمستأجر وتكون هي المعوض، </w:t>
      </w:r>
    </w:p>
    <w:p>
      <w:pPr>
        <w:pStyle w:val="BookText"/>
        <w:rPr/>
      </w:pPr>
      <w:r>
        <w:rPr>
          <w:rFonts w:ascii="Amiri" w:hAnsi="Amiri" w:eastAsia="Amiri" w:cs="Amiri"/>
          <w:color w:val="111111"/>
          <w:sz w:val="28"/>
          <w:sz w:val="28"/>
          <w:szCs w:val="28"/>
          <w:rtl w:val="true"/>
          <w:lang w:bidi="ar-SA"/>
        </w:rPr>
        <w:t>فهو يقبض منفعة إزاء ما يبذله، وقد ذكرنا أمثلة لتقريب انتفاعه بقيام الأجير بما يجب عليه حتى في مثل الصلوات الخمس المفروضة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يشترط في الإجارة أن يكون النفع عائداً للمستأجر حيث يمكن عوده للأجير نفسه أو لطرف ثالث كما لو آجره لخياطة ثوب غيره أو لكنس المسجد أو لخدمة طلبة العلوم الدينية والمهم وجود منفعة محللة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مقصودة لدى العقلاء وهي متحققة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احتمله الشيخ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ونسبه إلى أستاذه –الشيخ الآخوند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مبحث القضاء وهو أن بذل العوض بإزاء ما تعيّن فعله على الأجير لغو محض فلا يكون مشمولاً للعمومات</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أراد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بالعبثية والسفهية في ذيل كلامه السابق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وتقريب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العمل إذا كان واجباً فإن الأجير المكلف به ملزم بإتيانه ويجبر على فعله ولو من دون رضاه لوجوبه عليه شرعاً، وحينئذٍ تصبح الإجارة لغواً وعبثاً ولا جدوى منها، ويكون أخذ الأجرة على الواجب بلا مقابل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وأجابه الأصفهاني بما مضمونه</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اللغوية إنما تكون عند اليقين بصدور العمل من المكلف لكن تعيّن العمل عليه شرعاً لا يساوق اليقين بصدوره منه إذ أن مجرد الإيجاب لا يلزم منه صدور الفعل، فلا لغوية حينئذٍ لو أوقع الإجارة معه لدفعه للعمل أو لتعجيله له</w:t>
      </w:r>
      <w:r>
        <w:rPr>
          <w:rFonts w:eastAsia="Amiri" w:cs="Amiri" w:ascii="Amiri" w:hAnsi="Amiri"/>
          <w:color w:val="111111"/>
          <w:sz w:val="28"/>
          <w:szCs w:val="28"/>
          <w:rtl w:val="true"/>
          <w:lang w:bidi="ar-SA"/>
        </w:rPr>
        <w:t>.</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الثمرة من الإجارة متحققة من خلال إيجاد حق مكتسب </w:t>
      </w:r>
    </w:p>
    <w:p>
      <w:pPr>
        <w:pStyle w:val="BookText"/>
        <w:rPr/>
      </w:pPr>
      <w:r>
        <w:rPr>
          <w:rFonts w:ascii="Amiri" w:hAnsi="Amiri" w:eastAsia="Amiri" w:cs="Amiri"/>
          <w:color w:val="111111"/>
          <w:sz w:val="28"/>
          <w:sz w:val="28"/>
          <w:szCs w:val="28"/>
          <w:rtl w:val="true"/>
          <w:lang w:bidi="ar-SA"/>
        </w:rPr>
        <w:t>للمستأجر يقضي بإلزام الأجير بالواجب ويكون دافعاً ومحركاً إضافياً للإتيان بالفعل كالدافع الذي يولده الأمر بالمعروف والنهي عن المنكر ولا قائل هناك باللغوية، ولا أدري كيف غفل القائلون باللغوية هنا عن إيجاب الأمر بالمعروف والنهي عن المنكر باعتبار متعلقه واجباً تلقائي الحصول فتشريع الفريضة لغو بناءً على ما قالوه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الفرق أن الدافع في المقام اكتسب بالإجارة واستحق هناك بالأمر والنهي، بل إن السلطة المكتسبة بالإجارة أقوى تنفيذياً من سلطة الأمر والنهي لأنها حق خاص بالمستأجر ومطلق لم يقيد بشيء وله مقاضاةالأجير عليه إذا لم ينفذ، بينما واجب الأمر والنهي عام لا يتعين به ولكل واحد من المكلفين أمره به وأنه مقيد بالشروط المذكورة للوجوب فيكون محدود القدرة على التنفيذ، وبذلك تصلح الإجارة كوسيلة لإقامة الأمر بالمعروف والنهي عن المنكر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منافاة أخذ الأجرة للإخلاص في 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تم فإنه أخص من المدعى لاختصاصه بالعبادات المشروطة بقصد القربة دون التوصليات وهو تفصيل فخر المحققين، وهو أعم من جهة أخرى لشموله للمستحبات التعبدية فأصبحت النسبة بين مانعية صفة الوجوب ومانعية صفة العبادية العموم من وجه</w:t>
      </w:r>
      <w:r>
        <w:rPr>
          <w:rFonts w:eastAsia="Amiri" w:cs="Amiri" w:ascii="Amiri" w:hAnsi="Amiri"/>
          <w:color w:val="111111"/>
          <w:sz w:val="28"/>
          <w:szCs w:val="28"/>
          <w:rtl w:val="true"/>
          <w:lang w:bidi="ar-SA"/>
        </w:rPr>
        <w:t>.</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الوجه نشأ بحث مستقل في إشكال أخذ الأجرة على الواجبات العبادية، ووُسّع إلى المستحبات بتقريب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يعتبر في دواعي امتثال العبادات كونها جهات قربية بحيث تنتهي سلسلة العلل والدواعي فيها بجميع حلقاتها إلى الله تعالى، ومتى كان فيها داعٍ غير قربي خرج العمل عن العبادية وعن تمحضه لله تعالى، وإن لم يكن الداعي غير القربي في عرض </w:t>
      </w:r>
    </w:p>
    <w:p>
      <w:pPr>
        <w:pStyle w:val="BookText"/>
        <w:rPr/>
      </w:pPr>
      <w:r>
        <w:rPr>
          <w:rFonts w:ascii="Amiri" w:hAnsi="Amiri" w:eastAsia="Amiri" w:cs="Amiri"/>
          <w:color w:val="111111"/>
          <w:sz w:val="28"/>
          <w:sz w:val="28"/>
          <w:szCs w:val="28"/>
          <w:rtl w:val="true"/>
          <w:lang w:bidi="ar-SA"/>
        </w:rPr>
        <w:t>الداعي الإلهي</w:t>
      </w:r>
      <w:r>
        <w:rPr>
          <w:rFonts w:eastAsia="Amiri" w:cs="Amiri" w:ascii="Amiri" w:hAnsi="Amiri"/>
          <w:color w:val="111111"/>
          <w:sz w:val="28"/>
          <w:szCs w:val="28"/>
          <w:rtl w:val="true"/>
          <w:lang w:bidi="ar-SA"/>
        </w:rPr>
        <w:t>»</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وبتقريب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دليل صحة الإجارة هو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ويستحيل شموله للمقام، لأن الوفاء بالشيء عبارة عن إتمامه وإنهائه، فالوفاء بعقد الإجارة هو الأتيان بالعمل المستأجر عليه أداءً لحق المستأجر وواضح أن هذا لا يجتمع مع الإتيان به أداءً لحق الله تعالى وامتثالاً لأمره، إذن لا بد من قصد 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الوفاء بالعقد، أو الامتثال لأمر المولى، وحيث لا يعقل اجتماعهما في محل واحد فلا بد من رفع اليد من الأمر بالوفاء، فتصبح الإجارة بلا دليل على الصحة</w:t>
      </w:r>
      <w:r>
        <w:rPr>
          <w:rFonts w:eastAsia="Amiri" w:cs="Amiri" w:ascii="Amiri" w:hAnsi="Amiri"/>
          <w:color w:val="111111"/>
          <w:sz w:val="28"/>
          <w:szCs w:val="28"/>
          <w:rtl w:val="true"/>
          <w:lang w:bidi="ar-SA"/>
        </w:rPr>
        <w:t>»</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وبتعبير مختصر إن العبادات يشترط في صحتها أن يؤتى بها بقصدالقربة وأخذ الأجرة عليها ينافي القربة والإخلاص؛ لأن الداعي إلى الفعل سيكون أخذ الأجرة وليس الإخلاص، فيلزم من صحة الإجارة فسادها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فالمانع حقيقة هو عدم القدرة على إيجاد الفعل الصحيح بإزاء العوض</w:t>
      </w:r>
      <w:r>
        <w:rPr>
          <w:rFonts w:eastAsia="Amiri" w:cs="Amiri" w:ascii="Amiri" w:hAnsi="Amiri"/>
          <w:color w:val="111111"/>
          <w:sz w:val="28"/>
          <w:szCs w:val="28"/>
          <w:rtl w:val="true"/>
          <w:lang w:bidi="ar-SA"/>
        </w:rPr>
        <w:t>»</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وسلّم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بوجود الإشكال مطلقاً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مورد الإجارة لا بد أن يكون عملاً قابلاً لأن يوفى به بعقد الإجارة ويؤتى به لأجل استحقاق المستأجر إياه ومن باب تسليم مال الغير إليه وما كان من قبيل العبادة غير قابل لذلك</w:t>
      </w:r>
      <w:r>
        <w:rPr>
          <w:rFonts w:eastAsia="Amiri" w:cs="Amiri" w:ascii="Amiri" w:hAnsi="Amiri"/>
          <w:color w:val="111111"/>
          <w:sz w:val="28"/>
          <w:szCs w:val="28"/>
          <w:rtl w:val="true"/>
          <w:lang w:bidi="ar-SA"/>
        </w:rPr>
        <w:t>»</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الرد على هذه التقريبات وإثبات جواز أخذ الأجرة على العبادات في الجملة وقوعها في النصوص والفتاوى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من النصوص ففي عدة طوائف من الروايات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على صحة النيابة في العبادات كأداء الصلاة والصوم والحج عن الأموات، بل الحج عن الحي كصحيحة عمار وعبد الله 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أمير المؤمنين صلوات الله عليه أمر شيخاً كبيراً لم يحج قط ولم يطق الحج لكبره أن يجهّز رجلاً يحج عنه</w:t>
      </w:r>
      <w:r>
        <w:rPr>
          <w:rFonts w:eastAsia="IRNazanin" w:cs="IRNazanin"/>
          <w:color w:val="111111"/>
          <w:sz w:val="28"/>
          <w:szCs w:val="28"/>
          <w:rtl w:val="true"/>
          <w:lang w:bidi="fa-IR"/>
        </w:rPr>
        <w:t>)</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 هذا النقض بالفرق بين الموردين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فالأجير إنما يجعل نفسه –لأجل استحقاق 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نائباً عن الغير في إتيان العمل الفلاني تقرباً إلى الله، فالأجرة في مقابل النيابة في العمل المتقرَّب به إلى الله التي مرجع نفعها إلى المنوب عنه، وهذا بخلاف ما نحن فيه؛ لأن الأجرة هنا في مقابل العمل تقرباً إلى الله لأن العمل بهذا الوجه لا يرجع نفعه إلا إلى العامل، لأن المفروض أنه يمتثل ما وجب على نفسه بل في مقابل نفس العمل فهو يستحق نفس العمل، والمفروض أن الإخلاص إتيان العمل لخصوص أمرالله تعالى، والتقرب يقع للعامل دون الباذل، ووقوعه للعامل يتوقف على أن لا يقصد بالعبادة سوى امتثال أمر الله تعالى</w:t>
      </w:r>
      <w:r>
        <w:rPr>
          <w:rFonts w:eastAsia="Amiri" w:cs="Amiri" w:ascii="Amiri" w:hAnsi="Amiri"/>
          <w:color w:val="111111"/>
          <w:sz w:val="28"/>
          <w:szCs w:val="28"/>
          <w:rtl w:val="true"/>
          <w:lang w:bidi="ar-SA"/>
        </w:rPr>
        <w:t>»</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وأُجيبَ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خلاف الواقع في الخارج، كيف؟ وإلا لزم الاستحقاق للأجرة من دون العمل أيضاً إذا قصد النيابة ولم يفعل شيئاً</w:t>
      </w:r>
      <w:r>
        <w:rPr>
          <w:rFonts w:eastAsia="Amiri" w:cs="Amiri" w:ascii="Amiri" w:hAnsi="Amiri"/>
          <w:color w:val="111111"/>
          <w:sz w:val="28"/>
          <w:szCs w:val="28"/>
          <w:rtl w:val="true"/>
          <w:lang w:bidi="ar-SA"/>
        </w:rPr>
        <w:t>.</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أراد من ذلك النيابة في العمل التي لا تتحقق في الخارج إلا به فرجع إلى أخذ الأجرة على العمل إذ ليست النيابة شيئاً والعمل شيء آخر </w:t>
      </w:r>
    </w:p>
    <w:p>
      <w:pPr>
        <w:pStyle w:val="BookText"/>
        <w:rPr/>
      </w:pPr>
      <w:r>
        <w:rPr>
          <w:rFonts w:ascii="Amiri" w:hAnsi="Amiri" w:eastAsia="Amiri" w:cs="Amiri"/>
          <w:color w:val="111111"/>
          <w:sz w:val="28"/>
          <w:sz w:val="28"/>
          <w:szCs w:val="28"/>
          <w:rtl w:val="true"/>
          <w:lang w:bidi="ar-SA"/>
        </w:rPr>
        <w:t>كما تفطن له في ما بعد</w:t>
      </w:r>
      <w:r>
        <w:rPr>
          <w:rFonts w:eastAsia="Amiri" w:cs="Amiri" w:ascii="Amiri" w:hAnsi="Amiri"/>
          <w:color w:val="111111"/>
          <w:sz w:val="28"/>
          <w:szCs w:val="28"/>
          <w:rtl w:val="true"/>
          <w:lang w:bidi="ar-SA"/>
        </w:rPr>
        <w:t>»</w:t>
      </w:r>
      <w:r>
        <w:rPr>
          <w:rStyle w:val="FootnoteAnchor"/>
          <w:rtl w:val="true"/>
        </w:rPr>
        <w:footnoteReference w:id="1095"/>
      </w:r>
      <w:r>
        <w:rPr>
          <w:rFonts w:ascii="Amiri" w:hAnsi="Amiri" w:eastAsia="Amiri" w:cs="Amiri"/>
          <w:color w:val="111111"/>
          <w:sz w:val="28"/>
          <w:sz w:val="28"/>
          <w:szCs w:val="28"/>
          <w:rtl w:val="true"/>
          <w:lang w:bidi="ar-SA"/>
        </w:rPr>
        <w:t>مضافاً إلى عدم تحقق الإخلاص –أي خلوص النية 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فلا يصح على مبناه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الكثيرة التي حثت على الإتيان بعبادات معينة كالصلاة والصوم بكيفيات مخصوصة أو مطلقة لحاجات دنيوية كسعة الرزق وطلب الولد وشفاء المرض وإزالة الهم وقضاء الحوائج ونحو ذلك، ولم يتوهم أحد منافاتها للإخلاص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إن الآيات الكريمة والروايات الشريفة المتواترة التي تحث العباد على الطاعة وتجنب المعصية بذكر الثواب والعقاب تصلح للنقض على الإشكال، لأن الدافع للعبادة سيكون مصلحة راجعة إلى النفس وهي جلب المصلحة ودفع المفسدة، وأكثر عبادات الخلق من هذا القبيل كما في تصنيف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قيل في التفريق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الغرض الدنيوي المطلوب من الخالق الذي يتقرب إليه بالعمل، وبين الغرض الحاصل من غيره، وهو استحقاق الأجرة من جهة أن طلب الحاجة من الله سبحانه ولو كانت دنيوية محبوب عندالله فلا يقدح في العبادة بل ربما يؤكدها</w:t>
      </w:r>
      <w:r>
        <w:rPr>
          <w:rFonts w:eastAsia="Amiri" w:cs="Amiri" w:ascii="Amiri" w:hAnsi="Amiri"/>
          <w:color w:val="111111"/>
          <w:sz w:val="28"/>
          <w:szCs w:val="28"/>
          <w:rtl w:val="true"/>
          <w:lang w:bidi="ar-SA"/>
        </w:rPr>
        <w:t>»</w:t>
      </w:r>
      <w:r>
        <w:rPr>
          <w:rStyle w:val="FootnoteAnchor"/>
          <w:rtl w:val="true"/>
        </w:rPr>
        <w:footnoteReference w:id="1096"/>
      </w:r>
    </w:p>
    <w:p>
      <w:pPr>
        <w:pStyle w:val="BookText"/>
        <w:rPr/>
      </w:pPr>
      <w:r>
        <w:rPr>
          <w:rFonts w:ascii="Amiri" w:hAnsi="Amiri" w:eastAsia="Amiri" w:cs="Amiri"/>
          <w:color w:val="111111"/>
          <w:sz w:val="28"/>
          <w:sz w:val="28"/>
          <w:szCs w:val="28"/>
          <w:rtl w:val="true"/>
          <w:lang w:bidi="ar-SA"/>
        </w:rPr>
        <w:t>لا يفيد لأن نفس الإشكال يأتي عليه لأن العامل لا يكون قاصداً للقربة في هذا الطلب بمعنى أن غرضه ليس امتثال أمر طلب الحاجة من الله، بل مجرد حصول المطلوب</w:t>
      </w:r>
      <w:r>
        <w:rPr>
          <w:rFonts w:eastAsia="Amiri" w:cs="Amiri" w:ascii="Amiri" w:hAnsi="Amiri"/>
          <w:color w:val="111111"/>
          <w:sz w:val="28"/>
          <w:szCs w:val="28"/>
          <w:rtl w:val="true"/>
          <w:lang w:bidi="ar-SA"/>
        </w:rPr>
        <w:t>.</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وجوب الأمر بالمعروف والنهي عن المنكر، بتقريب أن </w:t>
      </w:r>
    </w:p>
    <w:p>
      <w:pPr>
        <w:pStyle w:val="BookText"/>
        <w:rPr/>
      </w:pPr>
      <w:r>
        <w:rPr>
          <w:rFonts w:ascii="Amiri" w:hAnsi="Amiri" w:eastAsia="Amiri" w:cs="Amiri"/>
          <w:color w:val="111111"/>
          <w:sz w:val="28"/>
          <w:sz w:val="28"/>
          <w:szCs w:val="28"/>
          <w:rtl w:val="true"/>
          <w:lang w:bidi="ar-SA"/>
        </w:rPr>
        <w:t xml:space="preserve">المعروف لو كان من العبادات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والمكلف التارك كان غير منبعث عن أمر الله تعالى فأمره والده أو من يحتشم منه أو من يحبه ولا يرضى بمخالفته واقعاً، فأتى بالتكليف الإلهي وامتثل أمر الله إطاعة لوالده أو غيره، لا بد وأن تقع صحيحة، وإلا لزم أن يكون الأمر بالمعروف مُعدماً لموضوعه، بل موجباً لانقلابه بالمنكر، فإن إتيان العمل العبادي لغير الله من المنكرات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المراد بالأمر بالمعروف الموعظة الحسنة، بل المراد به وما هو الواجب الأمر المولوي لغرض البعث به، ولهذا لا يجب إذا لم يحتمل التأثير، فإن معه لا يمكن الأمر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لا شبهة في وجوب الأمر بالمعروف، فلا بد وأن يكون الانبعاث ببعث الآمر في طول الإتيان بالعمل عبادة وإطاعة لله تعالى غير مضرّ بالعبادية، وهو المقصود</w:t>
      </w:r>
      <w:r>
        <w:rPr>
          <w:rFonts w:eastAsia="Amiri" w:cs="Amiri" w:ascii="Amiri" w:hAnsi="Amiri"/>
          <w:color w:val="111111"/>
          <w:sz w:val="28"/>
          <w:szCs w:val="28"/>
          <w:rtl w:val="true"/>
          <w:lang w:bidi="ar-SA"/>
        </w:rPr>
        <w:t>»</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على وجوب طاعة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وأولي الأمر، قال السيد الخميني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ويؤيد عدم مضريّة وقوع الشيء طاعة وامتثالاً مع عدم رجوع جميع السلسلة إلى المطاع أمر الله تعالى بإطاعة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وأولى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فلو خرج المأتي به بواسطة كون الغاية إطاعة أمرالله تعالى عن طاعة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وأولي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 امتناع تعلق الأمر بها لكونه معدماً لموضوعه</w:t>
      </w:r>
      <w:r>
        <w:rPr>
          <w:rFonts w:eastAsia="IRNazanin" w:cs="IRNazanin"/>
          <w:color w:val="111111"/>
          <w:sz w:val="28"/>
          <w:szCs w:val="28"/>
          <w:rtl w:val="true"/>
          <w:lang w:bidi="fa-IR"/>
        </w:rPr>
        <w:t>.</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المراد بإطاعتهم أخذ الأحكام منهم أو العمل بالأحكامالشرعية الإلهية التي كانوا مبينين لها، لأن كل ذلك ليس إطاعة لهم، بل المراد إطاعة أوامرهم السلطانية الصادرة منهم بما هم حكام وسلاطين، كالأمر بالغزو </w:t>
      </w:r>
    </w:p>
    <w:p>
      <w:pPr>
        <w:pStyle w:val="BookText"/>
        <w:rPr/>
      </w:pPr>
      <w:r>
        <w:rPr>
          <w:rFonts w:ascii="Amiri" w:hAnsi="Amiri" w:eastAsia="Amiri" w:cs="Amiri"/>
          <w:color w:val="111111"/>
          <w:sz w:val="28"/>
          <w:sz w:val="28"/>
          <w:szCs w:val="28"/>
          <w:rtl w:val="true"/>
          <w:lang w:bidi="ar-SA"/>
        </w:rPr>
        <w:t>والجهاد وغيرهما من شؤون السلطنة</w:t>
      </w:r>
      <w:r>
        <w:rPr>
          <w:rFonts w:eastAsia="Amiri" w:cs="Amiri" w:ascii="Amiri" w:hAnsi="Amiri"/>
          <w:color w:val="111111"/>
          <w:sz w:val="28"/>
          <w:szCs w:val="28"/>
          <w:rtl w:val="true"/>
          <w:lang w:bidi="ar-SA"/>
        </w:rPr>
        <w:t>»</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في الفتوى فلإجماعهم على صحة تعلق النذر أو العهد أو اليمين بالعبادات وصحة اشتراطها في العقود اللازمة فتصير لازمة بذلك من دون أن يستشكل في ذلك أحد ويتوهم منافاة إتيانها وفاءً بالنذر أو الشرط للإخلاص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ذكرت عدة تقريبات لإجابة الإشكال وتصحيح أخذ الأجرة على العبادات، نذكر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الأجير يستحق الأجرة بمجرد العقد وتشتغل ذمته بالعمل، فيكون إتيانه بالعمل لأجل إبراء الذمة وهو دافع لا ينافي الإخلاص، وليس أن الأجير يستحق الأجرة بالعمل حتى يكون إتيانه بالواجب لأجل تحصيل الأجرة</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الجواب نافع في الجملة لكنه قد يخدش من عدة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الأجير حينما يأتي بالعمل إبراءً للذمة بعد استحقاقه الأجرة بالعقد فإن غرضه الكامن في أعماقه تثبيت استحقاق الأجرة وعدم استردادها منه، فرجع الغرض إلى أخذ الأجرة وهو أمر غير قربي بحسب الفرض</w:t>
      </w:r>
      <w:r>
        <w:rPr>
          <w:rFonts w:eastAsia="Amiri" w:cs="Amiri" w:ascii="Amiri" w:hAnsi="Amiri"/>
          <w:color w:val="111111"/>
          <w:sz w:val="28"/>
          <w:szCs w:val="28"/>
          <w:rtl w:val="true"/>
          <w:lang w:bidi="ar-SA"/>
        </w:rPr>
        <w:t>.</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وجوب الوفاء بالإجارة أمر توصلي فكيف تتحقق العبادية بإتيان الفعل بقصده؟ إلا أن يوجه بجواب الإشكال الذي سنذكره </w:t>
      </w:r>
      <w:r>
        <w:rPr>
          <w:rStyle w:val="FootnoteAnchor"/>
          <w:rtl w:val="true"/>
        </w:rPr>
        <w:footnoteReference w:id="11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النقض عليه بما لو كان العوض على نحو الجعالة فإنها لا تملك إلا </w:t>
      </w:r>
    </w:p>
    <w:p>
      <w:pPr>
        <w:pStyle w:val="BookText"/>
        <w:rPr/>
      </w:pPr>
      <w:r>
        <w:rPr>
          <w:rFonts w:ascii="Amiri" w:hAnsi="Amiri" w:eastAsia="Amiri" w:cs="Amiri"/>
          <w:color w:val="111111"/>
          <w:sz w:val="28"/>
          <w:sz w:val="28"/>
          <w:szCs w:val="28"/>
          <w:rtl w:val="true"/>
          <w:lang w:bidi="ar-SA"/>
        </w:rPr>
        <w:t>بالعمل وليست هي كالإجارة ومع ذلك فإنه يقول فيها بالجواز ولذا لا بد فيها من التمسك بوجه آخر</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العقد صحيح لأنه تام الأجزاء والشرائط فالمنفعة المحللة المقصودة للعقلاء موجودة، والأجير قادر على الإتيان به فإذا كان هذا الفرد وذاك غير قربي لمنافاته مع الإخلاص فنتيجته عدم صلاحيته للوفاء بمقتضى العقد من دون بطلانه، وعلى الأجير أن يأتي بفرد قربي غيره، نعم لو ادعي عدم الانفكاك بين أخذ الأجرة وعدم الإخلاص بحيث كانت المنافاة ذاتية بطل العقد لعدم إمكان الوفاء به والإتيان بمقتضاه لكن من البعيد القول باستحالة إتيان الأجير بفرد قربي لما استأجر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وتأتي هنا أيضاً مناقشة من اشترط في صحة الإجارة بأن لا يكون الأجير مسلوب الاختيار بإيجاب أو تحريم شرعي عليه، وقد تقدمت مناقشته في الخامس من الموانع الذاتية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الإجارة تعلقت بالعمل مشروطاً بقصد القربة، وهو عين ما تعلق به الأمر العبادي فلا تنافيها كما لو صلى قربة إلى الله تعالى في مكان معين لبرودته أو توضأ قربة إلى الله تعالى أو لأداء الصلاة وكان غرضه أيضاً من هذا العمل القربي التبريد والتنظيف فإنه لا ينافيه</w:t>
      </w:r>
      <w:r>
        <w:rPr>
          <w:rFonts w:eastAsia="Amiri" w:cs="Amiri" w:ascii="Amiri" w:hAnsi="Amiri"/>
          <w:color w:val="111111"/>
          <w:sz w:val="28"/>
          <w:szCs w:val="28"/>
          <w:rtl w:val="true"/>
          <w:lang w:bidi="ar-SA"/>
        </w:rPr>
        <w:t>.</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كانت الأجرة بإزاء ذات الفعل من دون ملاحظة كونه قربياً وأتى الأجير بها على هذا النحو فلا تتحقق به القربة، لكن المفروض على خلافه لتعلق الإجارة بالفعل القربي</w:t>
      </w:r>
      <w:r>
        <w:rPr>
          <w:rFonts w:eastAsia="Amiri" w:cs="Amiri" w:ascii="Amiri" w:hAnsi="Amiri"/>
          <w:color w:val="111111"/>
          <w:sz w:val="28"/>
          <w:szCs w:val="28"/>
          <w:rtl w:val="true"/>
          <w:lang w:bidi="ar-SA"/>
        </w:rPr>
        <w:t xml:space="preserve">. </w:t>
      </w:r>
      <w:bookmarkStart w:id="899" w:name="pg8133_63304"/>
    </w:p>
    <w:p>
      <w:pPr>
        <w:pStyle w:val="Heading6"/>
        <w:numPr>
          <w:ilvl w:val="5"/>
          <w:numId w:val="1"/>
        </w:numPr>
        <w:rPr/>
      </w:pPr>
      <w:bookmarkStart w:id="900" w:name="__RefHeading___Toc8193623_1051229030"/>
      <w:bookmarkStart w:id="901" w:name="_Toc323"/>
      <w:bookmarkEnd w:id="899"/>
      <w:bookmarkEnd w:id="900"/>
      <w:r>
        <w:rPr>
          <w:rtl w:val="true"/>
        </w:rPr>
        <w:t>تأكُّد القصد القربي بالإجارة</w:t>
      </w:r>
      <w:r>
        <w:rPr>
          <w:rtl w:val="true"/>
        </w:rPr>
        <w:t>:</w:t>
      </w:r>
      <w:bookmarkEnd w:id="901"/>
    </w:p>
    <w:p>
      <w:pPr>
        <w:pStyle w:val="BookText"/>
        <w:rPr/>
      </w:pPr>
      <w:r>
        <w:rPr>
          <w:rFonts w:ascii="Amiri" w:hAnsi="Amiri" w:eastAsia="Amiri" w:cs="Amiri"/>
          <w:color w:val="111111"/>
          <w:sz w:val="28"/>
          <w:sz w:val="28"/>
          <w:szCs w:val="28"/>
          <w:rtl w:val="true"/>
          <w:lang w:bidi="ar-SA"/>
        </w:rPr>
        <w:t xml:space="preserve">وإلى هنا يكون الجواب كافياً، لكن جملة من الأعلام تقدموا خطوةوقالوا بتأكد الوجوب والعبادية والإخلاص في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ووجهه أن أخذ الأجرة حينئذٍ صار سبباً لوجوبها عليه ومعه يتحقق الإخلاص في العمل لكونه حينئذٍ لمجرد الإطاعة والامتثال لله سبحانه وإن صارت الأجرة منشأ لتوجه الأمر الإيجابي إليه وهو واضح</w:t>
      </w:r>
      <w:r>
        <w:rPr>
          <w:rFonts w:eastAsia="Amiri" w:cs="Amiri" w:ascii="Amiri" w:hAnsi="Amiri"/>
          <w:color w:val="111111"/>
          <w:sz w:val="28"/>
          <w:szCs w:val="28"/>
          <w:rtl w:val="true"/>
          <w:lang w:bidi="ar-SA"/>
        </w:rPr>
        <w:t>»</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هذا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الإجارة مؤكدة له باعتبار تسبيبها الوجوب أيضاً</w:t>
      </w:r>
      <w:r>
        <w:rPr>
          <w:rFonts w:eastAsia="Amiri" w:cs="Amiri" w:ascii="Amiri" w:hAnsi="Amiri"/>
          <w:color w:val="111111"/>
          <w:sz w:val="28"/>
          <w:szCs w:val="28"/>
          <w:rtl w:val="true"/>
          <w:lang w:bidi="ar-SA"/>
        </w:rPr>
        <w:t>»</w:t>
      </w:r>
      <w:r>
        <w:rPr>
          <w:rStyle w:val="FootnoteAnchor"/>
          <w:rtl w:val="true"/>
        </w:rPr>
        <w:footnoteReference w:id="1103"/>
      </w:r>
      <w:r>
        <w:rPr>
          <w:rFonts w:ascii="Amiri" w:hAnsi="Amiri" w:eastAsia="Amiri" w:cs="Amiri"/>
          <w:color w:val="111111"/>
          <w:sz w:val="28"/>
          <w:sz w:val="28"/>
          <w:szCs w:val="28"/>
          <w:rtl w:val="true"/>
          <w:lang w:bidi="ar-SA"/>
        </w:rPr>
        <w:t xml:space="preserve">، حيث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الأمرين شيء واحد، فلا محالة يندك أحدهما في الآخر ويكون الوجوب مؤكداً</w:t>
      </w:r>
      <w:r>
        <w:rPr>
          <w:rFonts w:eastAsia="Amiri" w:cs="Amiri" w:ascii="Amiri" w:hAnsi="Amiri"/>
          <w:color w:val="111111"/>
          <w:sz w:val="28"/>
          <w:szCs w:val="28"/>
          <w:rtl w:val="true"/>
          <w:lang w:bidi="ar-SA"/>
        </w:rPr>
        <w:t>»</w:t>
      </w:r>
      <w:r>
        <w:rPr>
          <w:rStyle w:val="FootnoteAnchor"/>
          <w:rtl w:val="true"/>
        </w:rPr>
        <w:footnoteReference w:id="1104"/>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بتعدد سبب الوجوب مع فرض كون الداعي كليهما يتأكد الإخلاص</w:t>
      </w:r>
      <w:r>
        <w:rPr>
          <w:rFonts w:eastAsia="Amiri" w:cs="Amiri" w:ascii="Amiri" w:hAnsi="Amiri"/>
          <w:color w:val="111111"/>
          <w:sz w:val="28"/>
          <w:szCs w:val="28"/>
          <w:rtl w:val="true"/>
          <w:lang w:bidi="ar-SA"/>
        </w:rPr>
        <w:t>»</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وأشكل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تأكد الوجوب من جهة أن وجوب الوفاء بالإجارة توصلي فلا يؤكد اشتراط الإخلاص كما أنه لا يحققه من العامل لأن ما لا يترتب عليه أجر دنيوي أخلص مما يترتب عليه ذلك بحكم الوجدان</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هذا الإشكال غير تام لأن الأمر التوصلي –كالوفاء بالإجارة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يشترط فيه قصد القربة بمعنى أنه لا يعتبر في تحقق الامتثال قصد القربة، إلا أنه لا يعتبر فيه عدمه، فإذا أتى به بقصد الامتثال يكون عبادة </w:t>
      </w:r>
    </w:p>
    <w:p>
      <w:pPr>
        <w:pStyle w:val="BookText"/>
        <w:rPr/>
      </w:pPr>
      <w:r>
        <w:rPr>
          <w:rFonts w:ascii="Amiri" w:hAnsi="Amiri" w:eastAsia="Amiri" w:cs="Amiri"/>
          <w:color w:val="111111"/>
          <w:sz w:val="28"/>
          <w:sz w:val="28"/>
          <w:szCs w:val="28"/>
          <w:rtl w:val="true"/>
          <w:lang w:bidi="ar-SA"/>
        </w:rPr>
        <w:t>قطعاً، فهذا التقسيم بين التعبدي والتوصلي ليس للتمايز بينهما وإنما لتصحيح الأعمال التي يؤتى بها من دون قصد القربة أو تقع لا إرادياً كتطهير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قصد القربة لا ينفك عن العبادات الاستئجارية حين الامتثال لصدور الفعل منه بقصد طاعة الأمر الإلهي وعلى هذا فإنها تكونقربية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آخر إن امتثال الأجير لما استأجر عليه من العبادات لا بد أن يكون بنية ويكون قربياً؛ لأن الدافع للامتثال ليس إلا أمر الله تعالى، وإلا كان يمكنه أن يدعي الامتثال أمام المستأجر من دون أن يؤدي الفعل، أو لا يأتيه تام الأجزاء والشرائط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وأشكل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تأكد الوجوب بالإجارة بما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الأجير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أوجد الصلاة وفاءً بإجارته وقلنا بصحة الاستئجار يكون مصداق الصلاة معنوناً بعنوانين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ذاتي هو الصلاة وعرضي هو الوفاء بالإجارة، وكذا في النذر وإطاعة الوالد ونظائرهما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كان هذا شأنه لا يمكن أن يكون مؤكداً؛ لأن موطن تعلق الأوامر موطن اختلاف الموضوعات والمتعلقات، وموطن اتحادها وهو الخارج لا يكون موطن تعلقها</w:t>
      </w:r>
      <w:r>
        <w:rPr>
          <w:rFonts w:eastAsia="Amiri" w:cs="Amiri" w:ascii="Amiri" w:hAnsi="Amiri"/>
          <w:color w:val="111111"/>
          <w:sz w:val="28"/>
          <w:szCs w:val="28"/>
          <w:rtl w:val="true"/>
          <w:lang w:bidi="ar-SA"/>
        </w:rPr>
        <w:t>»</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الإشكال وارد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هو الصحيح من تعلق الأوامر بالطبائع لا بالأفراد أو قل بالعناوين لا بالمعنونات فموطن تعلق الأوامر وهي العناوين تكون فيها الموضوعات والمتعلقات مختلفة كما قربنا، وموطن اتحادها وهو الفعل الخارجي لا يكون </w:t>
      </w:r>
    </w:p>
    <w:p>
      <w:pPr>
        <w:pStyle w:val="BookText"/>
        <w:rPr/>
      </w:pPr>
      <w:r>
        <w:rPr>
          <w:rFonts w:ascii="Amiri" w:hAnsi="Amiri" w:eastAsia="Amiri" w:cs="Amiri"/>
          <w:color w:val="111111"/>
          <w:sz w:val="28"/>
          <w:sz w:val="28"/>
          <w:szCs w:val="28"/>
          <w:rtl w:val="true"/>
          <w:lang w:bidi="ar-SA"/>
        </w:rPr>
        <w:t>متعلقاً للأوامر فكيف يتأكد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الذي يهون الخطب أن المتقرَّب به والمدعى تأكد الإخلاص فيه هو العمل في الخارج وهما متحدان فيه كما اعترف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يتحقق التأكد، فالإشكال يأتي على تعبيرهم بتأكد الوجوب، ولو عبّروا بتأكد الباعث والداعي لكان صحيحاً لأن موطنهما متحد، وكلاهما قربيان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الأمر الإجاري متعلق بعنوان الوفاء بالعقد، وهو أمرتوصلي؛ لعدم اعتبار العبادية في متعلقه، ولو قصد الامتثال به يتقرّب بعنوان امتثال أمر الوفاء بالعقد، ولا يعقل أن يكون مجرد ذلك موجباً لامتثال الأمر الصلاتي أو مقرّباً لأجل أمرها، بل لو تعبّد بالأمر الإجاري من غير التعبد بالأمر الصلاتي لا يصير مقرّباً مطلقاً، إذ لم يأت بمتعلق الإجارة ولم يمتثل الأمر الإجاري أيضاً، ومجرد اتحاد العنوانين في المصداق لا يوجب أن يصير إيجاد أحد العنوانين بداعوية أمره موجباً للتقرب بعنوان آخر متحد معه ولو لم يكن مأتياً به بداعوية أمره أو بداع قربيّ آخر مربوط به</w:t>
      </w:r>
      <w:r>
        <w:rPr>
          <w:rFonts w:eastAsia="Amiri" w:cs="Amiri" w:ascii="Amiri" w:hAnsi="Amiri"/>
          <w:color w:val="111111"/>
          <w:sz w:val="28"/>
          <w:szCs w:val="28"/>
          <w:rtl w:val="true"/>
          <w:lang w:bidi="ar-SA"/>
        </w:rPr>
        <w:t>»</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كان مكلفاً بغسل الجنابة وهو تعبدي ووجب عليه غسل مثله ولكن ليس تعبدياً بنذر أو بأمر من تجب طاعته فأتى به بداعي الثاني لا يجزئه عن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ولكن لا يرد الإشكال لأننا لم نقل بكفاية أحدهما أو بدلية أحدهما عن الآخر حتى يتم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قلنا بإمكان الجمع بينهما وتأكدهما</w:t>
      </w:r>
      <w:r>
        <w:rPr>
          <w:rFonts w:eastAsia="Amiri" w:cs="Amiri" w:ascii="Amiri" w:hAnsi="Amiri"/>
          <w:color w:val="111111"/>
          <w:sz w:val="28"/>
          <w:szCs w:val="28"/>
          <w:rtl w:val="true"/>
          <w:lang w:bidi="ar-SA"/>
        </w:rPr>
        <w:t>.</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أورده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تصحيح النيابة في العبادات الاستئجارية وهي تشترك مع ما نحن فيه من هذه الجهة،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فعل النائب فعل تسبيبي للمستأجر، وقصد المستأجر التقرّب في استئجاره كافٍ في العبادة</w:t>
      </w:r>
      <w:r>
        <w:rPr>
          <w:rFonts w:eastAsia="Amiri" w:cs="Amiri" w:ascii="Amiri" w:hAnsi="Amiri"/>
          <w:color w:val="111111"/>
          <w:sz w:val="28"/>
          <w:szCs w:val="28"/>
          <w:rtl w:val="true"/>
          <w:lang w:bidi="ar-SA"/>
        </w:rPr>
        <w:t>»</w:t>
      </w:r>
      <w:r>
        <w:rPr>
          <w:rStyle w:val="FootnoteAnchor"/>
          <w:rtl w:val="true"/>
        </w:rPr>
        <w:footnoteReference w:id="1109"/>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الصادر من الأجير له نسبتان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إلى الأجير باعتبار أنه مباشر له ونسبة إلى المستأجر باعتبار أنه مسبب له، فيصح إسناد العمل إلى كل واحد منهما وأن يقال لكل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فاعل لهذا العمل، فله فاعلان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تسبيبي وفاعل مباشري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وقوع الفعل على صفة العبادية يحتاج إلى قصد القربة من الفاعل، وهاهنا حيث لا يمكن قصد التقرب من الفاعل المباشر فيقصد</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الفاعل الآخر أي الفاعل المسبب أعني المستأجر</w:t>
      </w:r>
      <w:r>
        <w:rPr>
          <w:rFonts w:eastAsia="Amiri" w:cs="Amiri" w:ascii="Amiri" w:hAnsi="Amiri"/>
          <w:color w:val="111111"/>
          <w:sz w:val="28"/>
          <w:szCs w:val="28"/>
          <w:rtl w:val="true"/>
          <w:lang w:bidi="ar-SA"/>
        </w:rPr>
        <w:t>»</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مثاله صحة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 الأمير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المباشر للفتح هو قائد العسكر، وكصحة التقرب ببناء المسجد مع أنه لم يباشر البناء وأن الباني المباشر لم يقصد إلا أخذ الأجرة وإنما صحّ قصد القربة بصدورها من الفاعل التسبيبي وهو الباذل للأموال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أجاب الشيخ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نقضاً من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إشكال في صحة التبرع عن الغير، مع أن المتبرع عنه غافل عن فعل المتبرع فكيف يكون فعلُ النائب فعلَ المنوب عنه وكيف يقصد المتبرع القربة الكافية من المنوب عنه</w:t>
      </w:r>
      <w:r>
        <w:rPr>
          <w:rFonts w:eastAsia="Amiri" w:cs="Amiri" w:ascii="Amiri" w:hAnsi="Amiri"/>
          <w:color w:val="111111"/>
          <w:sz w:val="28"/>
          <w:szCs w:val="28"/>
          <w:rtl w:val="true"/>
          <w:lang w:bidi="ar-SA"/>
        </w:rPr>
        <w:t>».</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المستدل اكتفى بصدور قصد القربة من المستأجر كما يكتفي بصدوره من الأجير، وإنما يصح النقض لو اشترط صدورها من المستأجر خاصة، نعم قد يقال أن الانحصار متحقق فعلاً بتعذر صدور قصد القربة من الأجير للمانع الذي ذكروه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مجرد كون داعي العامل أمر المستأجر لا يجعل فعله مسبِّباً توليدياً، فإن المسبِّب التوليدي هو الذي لا يكون بين فعل الفاعل والأثر المترتب عليه واسطة اختيارية، نعم قد يطلق المسبِّب التوليدي في مثال الأمير لكنه بالعناية وخارج عن باب المسبِّب التوليدي</w:t>
      </w:r>
      <w:r>
        <w:rPr>
          <w:rFonts w:eastAsia="Amiri" w:cs="Amiri" w:ascii="Amiri" w:hAnsi="Amiri"/>
          <w:color w:val="111111"/>
          <w:sz w:val="28"/>
          <w:szCs w:val="28"/>
          <w:rtl w:val="true"/>
          <w:lang w:bidi="ar-SA"/>
        </w:rPr>
        <w:t>»</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وبتعبير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اتصاف الفعل بكونه قربياً يتطلب تحقق هذا القصد بالمباشرة ومن نفس الفاعل ولا يصح بالتسبيب، ويتوسط فاعل مختار، فهو ليس كنسبة الفعل إلى فاعليه الطوليين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مثال بناء المسجد فهو أجنبي لأن قصد القربة فيه بنفس البذل وهي متحققة من الباذل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ورود الإشكال أصلاً لعدم لزوم المنافاة بين قصد القربة وأخذ الأجرة على العمل</w:t>
      </w:r>
      <w:r>
        <w:rPr>
          <w:rFonts w:eastAsia="Amiri" w:cs="Amiri" w:ascii="Amiri" w:hAnsi="Amiri"/>
          <w:color w:val="111111"/>
          <w:sz w:val="28"/>
          <w:szCs w:val="28"/>
          <w:rtl w:val="true"/>
          <w:lang w:bidi="ar-SA"/>
        </w:rPr>
        <w:t>.</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يشترط في سلسلة دواعي العمل الطولية أن تكون كلها لله تعالى، وإنما يشترط أن يكون الداعي المباشر المحرّك للفعل هو القربة إلى الله تعالى، أما الداعي إلى هذا الداعي فلا مانع من كونه جلب منفعة أو دفع مضرّة في الدنيا أو الآخرة، وإن البشر جميعاً –عدا من 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يعبدون الله تعالى طمعاً في جنته أو خوفاً من ناره أو لتحصيل مطلب معين وهكذا، وهذا لا ينافي الإخلاص ولا يضرّ بصحة العبادة، في الكافي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العباد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عبدوا الله عز وجل خوفاً فتلك عبادة العبيد، وقوم عبدوا الله تبارك وتعالى طلب الثواب فتلك عبادة الأجراء، وقوم </w:t>
      </w:r>
    </w:p>
    <w:p>
      <w:pPr>
        <w:pStyle w:val="BookText"/>
        <w:rPr/>
      </w:pPr>
      <w:r>
        <w:rPr>
          <w:rFonts w:ascii="Amiri" w:hAnsi="Amiri" w:eastAsia="Amiri" w:cs="Amiri"/>
          <w:color w:val="111111"/>
          <w:sz w:val="28"/>
          <w:sz w:val="28"/>
          <w:szCs w:val="28"/>
          <w:rtl w:val="true"/>
          <w:lang w:bidi="ar-SA"/>
        </w:rPr>
        <w:t>عبدوا الله حباً له فتلك عبادة الأحرار وهي أفضل العبادة</w:t>
      </w:r>
      <w:r>
        <w:rPr>
          <w:rFonts w:eastAsia="Amiri" w:cs="Amiri" w:ascii="Amiri" w:hAnsi="Amiri"/>
          <w:color w:val="111111"/>
          <w:sz w:val="28"/>
          <w:szCs w:val="28"/>
          <w:rtl w:val="true"/>
          <w:lang w:bidi="ar-SA"/>
        </w:rPr>
        <w:t>)</w:t>
      </w:r>
      <w:r>
        <w:rPr>
          <w:rStyle w:val="FootnoteAnchor"/>
          <w:rtl w:val="true"/>
        </w:rPr>
        <w:footnoteReference w:id="1112"/>
      </w:r>
    </w:p>
    <w:p>
      <w:pPr>
        <w:pStyle w:val="BookText"/>
        <w:rPr/>
      </w:pPr>
      <w:r>
        <w:rPr>
          <w:rFonts w:ascii="IRNazanin" w:hAnsi="IRNazanin" w:eastAsia="IRNazanin"/>
          <w:color w:val="111111"/>
          <w:sz w:val="28"/>
          <w:sz w:val="28"/>
          <w:szCs w:val="28"/>
          <w:rtl w:val="true"/>
          <w:lang w:bidi="fa-IR"/>
        </w:rPr>
        <w:t xml:space="preserve">وأصلها مناجاة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عبدتك خوفاً من نارك ولا طمعاً في جنتك ولكن وجدتك أهلاً للعبادة فعبدتك</w:t>
      </w:r>
      <w:r>
        <w:rPr>
          <w:rFonts w:eastAsia="IRNazanin" w:cs="IRNazanin"/>
          <w:color w:val="111111"/>
          <w:sz w:val="28"/>
          <w:szCs w:val="28"/>
          <w:rtl w:val="true"/>
          <w:lang w:bidi="fa-IR"/>
        </w:rPr>
        <w:t>)</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ويكون هذا المورد نظير الأمر بالمعروف والنهي عن المنكر، فإذا أتى المأمور بالفعل عبادياً جامعاً للشرائط ولكنه كان بداعي الخوف من الآمر أو احترامه أو حبّه مراعاة للقوانين المعمول بها فلا إشكال في وقوعه صحيحاً لوقوع الداعي غير القربي في طول القربي، وتحقيق غرض الآمر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الداعي عرضياً ودلّ الدليل على فساد العبادة به لم تصح كالرياء الذي ورد فيه أنه لا يدخل عملاً إلا أفسده</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اعتمد هذا الوجه جملة من المحققين على اختلاف في بيان التفاصيل، لكن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اعتبر هذا الجواب تعزيزاً للإشكال،قال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لو كان هذا إشكالاً لكان أولى وأحق من أن يكون جواباً، فإنه لولا الأجرة لما حصل للعامل الداعي إلى إتيان الفعل لله سبحانه، فصار محرّكه إلى العمل بالآخرة هو الأجرة</w:t>
      </w:r>
      <w:r>
        <w:rPr>
          <w:rFonts w:eastAsia="Amiri" w:cs="Amiri" w:ascii="Amiri" w:hAnsi="Amiri"/>
          <w:color w:val="111111"/>
          <w:sz w:val="28"/>
          <w:szCs w:val="28"/>
          <w:rtl w:val="true"/>
          <w:lang w:bidi="ar-SA"/>
        </w:rPr>
        <w:t>»</w:t>
      </w:r>
      <w:r>
        <w:rPr>
          <w:rStyle w:val="FootnoteAnchor"/>
          <w:rtl w:val="true"/>
        </w:rPr>
        <w:footnoteReference w:id="11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الدواعي الطولية الداعي الحقيقي والعلة الأصلية للعمل هو الداعي الأول فإنه هو المحرك للفاعل على فعله بحيث لو لم يكن لم يقدم على الفعل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اعترفت هيهنا أيضاً بأنه لو لم يكن أجرة في البين لما كان يقدم على هذا العمل فقد اعترفت بعدم تحقق الإخلاص ولعمري هذا واضح جلي</w:t>
      </w:r>
      <w:r>
        <w:rPr>
          <w:rFonts w:eastAsia="Amiri" w:cs="Amiri" w:ascii="Amiri" w:hAnsi="Amiri"/>
          <w:color w:val="111111"/>
          <w:sz w:val="28"/>
          <w:szCs w:val="28"/>
          <w:rtl w:val="true"/>
          <w:lang w:bidi="ar-SA"/>
        </w:rPr>
        <w:t>»</w:t>
      </w:r>
      <w:r>
        <w:rPr>
          <w:rStyle w:val="FootnoteAnchor"/>
          <w:rtl w:val="true"/>
        </w:rPr>
        <w:footnoteReference w:id="1116"/>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w:t>
      </w:r>
    </w:p>
    <w:p>
      <w:pPr>
        <w:pStyle w:val="BookText"/>
        <w:rPr/>
      </w:pPr>
      <w:r>
        <w:rPr>
          <w:rFonts w:ascii="Amiri" w:hAnsi="Amiri" w:eastAsia="Amiri" w:cs="Amiri"/>
          <w:color w:val="111111"/>
          <w:sz w:val="28"/>
          <w:sz w:val="28"/>
          <w:szCs w:val="28"/>
          <w:rtl w:val="true"/>
          <w:lang w:bidi="ar-SA"/>
        </w:rPr>
        <w:t xml:space="preserve">مثالاً لذلك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يحفر القناة لأجل الماء ويريد الماء لأجل الزرع ويزرع لأجل تحصيل الحنطة ويريد تحصيل الحنطة لأجل قوته وقوت عياله ففي الحقيقة العلة المحركة لحفر القناة ليس إلا قوت نفسه وعياله بحيث لو كان قوته وقوت عياله حاصلاً لم يقدم على الحفر أصلاً</w:t>
      </w:r>
      <w:r>
        <w:rPr>
          <w:rFonts w:eastAsia="Amiri" w:cs="Amiri" w:ascii="Amiri" w:hAnsi="Amiri"/>
          <w:color w:val="111111"/>
          <w:sz w:val="28"/>
          <w:szCs w:val="28"/>
          <w:rtl w:val="true"/>
          <w:lang w:bidi="ar-SA"/>
        </w:rPr>
        <w:t>»</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الوجوه إنما نذكرها لتفسير الجواز وفق القواعد لا للاستدلال عليه لأنه قد ثبت شرعاً بمقتضى الروايات الكثيرة المتقدمة، فالرد على هذه الوجوه لا يضر القول بالجواز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فإن جواب هذا الإشكال نقضاً وحلاً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نقضاً فلأن من أمر عبده أن يطيع زيداً من الناس فالتزم العبد وأطاع زيداً فإنه يصدق عليه أنه مطيع لزيد وإن كانت طاعته تنتهي إلى طاعة سيده إلا أن هذا لا يلغي صدق طاعته لزيد فالداعي الأول لا يلغي الدواعي الطولية المتتالية</w:t>
      </w:r>
    </w:p>
    <w:p>
      <w:pPr>
        <w:pStyle w:val="BookText"/>
        <w:rPr/>
      </w:pPr>
      <w:r>
        <w:rPr>
          <w:rFonts w:ascii="Amiri" w:hAnsi="Amiri" w:eastAsia="Amiri" w:cs="Amiri"/>
          <w:color w:val="111111"/>
          <w:sz w:val="28"/>
          <w:sz w:val="28"/>
          <w:szCs w:val="28"/>
          <w:rtl w:val="true"/>
          <w:lang w:bidi="ar-SA"/>
        </w:rPr>
        <w:t>وأما حلاً فمن جهة ما قررناه في هذا الوجه من كفاية إضافة الفعل إلى الله تعالى وإن كان الداعي المحرك لهذا الفعل القربي غير الله تعالىكمحركية الفوز بنعيم الجنة والنجاة من آلام النار إلى فعل الواجبات وترك المحرمات باعتبارها أموراً مرتبطة بالله تعالى، ولو لم تكن مضافة إلى الله تعالى لما قصدها لذا فقد اجتنب خمر الدنيا والحور العين فيها ونحو ذلك فهو لم يطلبها لذاتها</w:t>
      </w:r>
      <w:r>
        <w:rPr>
          <w:rFonts w:eastAsia="Amiri" w:cs="Amiri" w:ascii="Amiri" w:hAnsi="Amiri"/>
          <w:color w:val="111111"/>
          <w:sz w:val="28"/>
          <w:szCs w:val="28"/>
          <w:rtl w:val="true"/>
          <w:lang w:bidi="ar-SA"/>
        </w:rPr>
        <w:t>.</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يعتبر فيها –أي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كون العمل لله تعالى خالصاً بلا شركة شيء معه، فإذا صار شيء دنيوي سبباً لإيجاد عمل لله تعالى، ولا يكون في إتيان الفعل بداعي الله شريكاً وإن كان الإتيان بداعي </w:t>
      </w:r>
    </w:p>
    <w:p>
      <w:pPr>
        <w:pStyle w:val="BookText"/>
        <w:rPr/>
      </w:pPr>
      <w:r>
        <w:rPr>
          <w:rFonts w:ascii="Amiri" w:hAnsi="Amiri" w:eastAsia="Amiri" w:cs="Amiri"/>
          <w:color w:val="111111"/>
          <w:sz w:val="28"/>
          <w:sz w:val="28"/>
          <w:szCs w:val="28"/>
          <w:rtl w:val="true"/>
          <w:lang w:bidi="ar-SA"/>
        </w:rPr>
        <w:t>الله معلولاً لداعي غير الله، يقع الفعل عبادة</w:t>
      </w:r>
      <w:r>
        <w:rPr>
          <w:rFonts w:eastAsia="Amiri" w:cs="Amiri" w:ascii="Amiri" w:hAnsi="Amiri"/>
          <w:color w:val="111111"/>
          <w:sz w:val="28"/>
          <w:szCs w:val="28"/>
          <w:rtl w:val="true"/>
          <w:lang w:bidi="ar-SA"/>
        </w:rPr>
        <w:t>»</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واعتبر الواقع شاهداً على ذلك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يمكن حصول تلك المرتبة الرفيعة إلا لخلّص أولياء الله تعالى والمحبين المجذوبين له تعالى، بحيث كان تمام نظرهم إليه لا إلى غيره، وكان ما وراءه تعالى من الجنة وغيرها مغفولاً عنها، وهم غافلون عن غير الله ويشتغلون به عن غيره صلى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غيرهم من متعارف الناس فلا يكون محرّكهم إلا النتائج ومتعلقات الإضافات</w:t>
      </w:r>
      <w:r>
        <w:rPr>
          <w:rFonts w:eastAsia="Amiri" w:cs="Amiri" w:ascii="Amiri" w:hAnsi="Amiri"/>
          <w:color w:val="111111"/>
          <w:sz w:val="28"/>
          <w:szCs w:val="28"/>
          <w:rtl w:val="true"/>
          <w:lang w:bidi="ar-SA"/>
        </w:rPr>
        <w:t>»</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فرضنا أن مفاتيح الجنة والنار بيد عدو الله الشيطان الرجيم والعياذ بالله، وكان هو معطي الجنة ومُدخل النار، وكانت طاعة الله تعالى وعصيانه بلا جزاء أصلاً، لكنه تعالى أمر أن يعبدوه بلا جزاء وأن لا يعصوه بلا عقاب على عصيانه، وأمر بمخالفة الشيطان ونهى عن طاعته، وكان الشيطان أمر بمخالفة الله تعالى ونهى عن طاعته، وأعطى للمخالفين له تعالى الجنة وأدخل المطيعين له تعالى النار، لعلم أولو الألباب أن المطيع لله تعالى على الفرض كالكبريت الأحمر أو أندر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ولعمري أن هذا واضح لمن تأمل في غايات أفعاله وتدبر في حالاتنفسه ومكائدها، وليس هذا معنى دقيقاً عرفانياً خارجاً عن فهم الناس، بل شيء يعرفونه مع التنبيه على المحرك الأصلي في الأعمال وتميّزه عن غيره</w:t>
      </w:r>
      <w:r>
        <w:rPr>
          <w:rFonts w:eastAsia="Amiri" w:cs="Amiri" w:ascii="Amiri" w:hAnsi="Amiri"/>
          <w:color w:val="111111"/>
          <w:sz w:val="28"/>
          <w:szCs w:val="28"/>
          <w:rtl w:val="true"/>
          <w:lang w:bidi="ar-SA"/>
        </w:rPr>
        <w:t>».</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وجداناً آخر نذكره للاستئناس بإفاداته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في الآيات والروايات ما تدل على أن للأعمال الحسنة آثاراً ولوازم في النشأة الآخرة، كظاهر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يَعْمَلْ مِثْقَالَ ذَرَّةٍ خَيْراً 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الزلزلة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ورد حديث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الآية أحكم آية في كتاب الله فعليه يكون ظاهرها مراداً بلا تأوّل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منها أن عمل الخير بنفسه مورد الرؤية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ويؤكده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يَوْمَئِذٍ يَصْدُرُ النَّاسُ أَشْتَاتاً لِّيُرَوْا أَعْمَالَهُمْ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الزلزلة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فيظهر منها أن الأعمال نفسها متجسدة مرئية فيها والناس ملتذ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فرض أن الآتي بالصلاة لله تعالى والمجيب لدعوة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يأتي بها ويطيعه تعالى طمعاً للوصول إلى الصورة البهية اللازمة لعمله، فهل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عمله باطل؟</w:t>
      </w:r>
      <w:r>
        <w:rPr>
          <w:rFonts w:eastAsia="Amiri" w:cs="Amiri" w:ascii="Amiri" w:hAnsi="Amiri"/>
          <w:color w:val="111111"/>
          <w:sz w:val="28"/>
          <w:szCs w:val="28"/>
          <w:rtl w:val="true"/>
          <w:lang w:bidi="ar-SA"/>
        </w:rPr>
        <w:t>»</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نتيجة البحث في موانع أخذ 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ونتيجة ما تقدم وجود الدليل على صحة أخذ الأجرة على العبادات وتقريب عدة وجوه لعدم منافاة ذلك للقربة، وأن المهم صدور الفعل مرتبطاً بالله تعالى، بغض النظر عن الداعي المحرك له وإن كان دنيوياً؛ لأن الله تعالى يريد صلاح العباد ويحرّك كل الدواعي لذلك ما دام لم يرد نهي عنه حتى جعل سهماً من الزكاة للمؤلفة قلوبهم الذين يجلبون للإسلام من خلال الأموال التي تُعطى إليهم واعتبر إسلامهم صحيحاً</w:t>
      </w:r>
      <w:r>
        <w:rPr>
          <w:rFonts w:eastAsia="Amiri" w:cs="Amiri" w:ascii="Amiri" w:hAnsi="Amiri"/>
          <w:color w:val="111111"/>
          <w:sz w:val="28"/>
          <w:szCs w:val="28"/>
          <w:rtl w:val="true"/>
          <w:lang w:bidi="ar-SA"/>
        </w:rPr>
        <w:t>.</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ينتهي البحث في ما ذكروه من الموانع الذاتية والعرضية عنأخذ الأجرة على الواجبات، وقد اتضح عدم تمامية شيء منها، نعم من الواضح أن العمل حينما يكون مجرداً عن أخذ الأجرة أو أي مصلحة </w:t>
      </w:r>
    </w:p>
    <w:p>
      <w:pPr>
        <w:pStyle w:val="BookText"/>
        <w:rPr/>
      </w:pPr>
      <w:r>
        <w:rPr>
          <w:rFonts w:ascii="IRNazanin" w:hAnsi="IRNazanin" w:eastAsia="IRNazanin"/>
          <w:color w:val="111111"/>
          <w:sz w:val="28"/>
          <w:sz w:val="28"/>
          <w:szCs w:val="28"/>
          <w:rtl w:val="true"/>
          <w:lang w:bidi="fa-IR"/>
        </w:rPr>
        <w:t xml:space="preserve">شخصية سواء كانت من قبيل جلب منفعة أو دفع مفسدة في الدنيا والآخرة فإن العمل يكون أخلص وأقرب إلى الله تعالى كما في تصنيف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ختام البحث في الأدلة على حرمة أخذ الأجرة على الواجبات توجد عدة مطالب بها تمام البحث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استدلالهم على بطلان الإجارة وحرمة أخذ الأجرة عليها أن مورد الحكم ما لو تعلقت الإجارة بنفس ما تعلق به الوجوب، أما إذا كانا متغايرين فلا مانع، ولهذا حصراً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الحرمة بما إذا كان الوجوب عينياً تعيينياً، هذا ولكن لما كان الوجوب متعلقاً بالعناوين، وهو عالم الاختلاف بينها، فإنه لا يبقى مورد لحرمة أخذ 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المطلب يمثل جانباً من جوانب تنقيح الموضوع وتحرير محل النزاع الذي أشرنا إليه في بداية البحث، وبنفس الوقت يصاغ دليلاً على جواز أخذ الأجرة على الواجبات لتغاير متعلقي الإجارة والوجوب دائماً، 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مانع من صحّة الإيجار المتعلّق بأحد الفردين فيما إذا كان الواجب تخييريّاً، لوضوح تغاير المتعلّقين، فإنّ الواجب إنّما هو الجامع بين الفردين، ومورد الإجارة خصوص أحدهما المباح اختياره للمكلّف، فلم يكن من أخذ الأُجرة على الواجب ولا ينسحب إليه شيء من وجوه المنع المتقدّمة كما لا يخفى</w:t>
      </w:r>
      <w:r>
        <w:rPr>
          <w:rFonts w:eastAsia="Amiri" w:cs="Amiri" w:ascii="Amiri" w:hAnsi="Amiri"/>
          <w:color w:val="111111"/>
          <w:sz w:val="28"/>
          <w:szCs w:val="28"/>
          <w:rtl w:val="true"/>
          <w:lang w:bidi="ar-SA"/>
        </w:rPr>
        <w:t>.</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لا مانع من صحّته فيما إذا كان الواجب كفائيّاً، لأنّ موضوع الوجوب إنّما هو طبيعي المكلّف –كما أنّ متعلّقه هو الطبيعي في الواجب التخييري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خصوص هذا الفرد، ومن ثمّ يسقط التكليف بامتثال واحد وإن أثم الكلّ بترك الجميع، فالشخص بما هو شخص لا يجب عليه شيء،فلا مانع له من أخذ الأُجرة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ناقشنا هذا التصور للوجوب الكفائي عند البحث عن حقيقة الوجوب الكفائي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لا مانع من صحّته أيضاً في الواجب العيني التعييني فيما إذا كانت له أفراد طوليّة أو عرضيّة وقد وقعت الإجارة على اختيار صنف خاصّ منها، لما عرفت من تعلّق الوجوب بالجامع، وكون المكلّف مخيّراً في التطبيق على أيّ منها شاء بالتخيير العقلي –لا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والمفروض تعلّق الإجارة بحصّة خاصّة، فحصل التغاير بين المتعلّقين ولم يجتمعا في مورد واحد، فينحصر مورد الإشكال بما إذا كان الواجب عينيّاً تعيينيّاً وكان متعلّق الإجارة هو متعلّق الوجوب على سعته، أو بما إذا لم يكن له فرد إلاّ ما تعلّقت به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نادر التحقّق جدّاً، بل هو نادر في نادر</w:t>
      </w:r>
      <w:r>
        <w:rPr>
          <w:rFonts w:eastAsia="Amiri" w:cs="Amiri" w:ascii="Amiri" w:hAnsi="Amiri"/>
          <w:color w:val="111111"/>
          <w:sz w:val="28"/>
          <w:szCs w:val="28"/>
          <w:rtl w:val="true"/>
          <w:lang w:bidi="ar-SA"/>
        </w:rPr>
        <w:t>»</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يُعلم النظر في ما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تأكد الوجوب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الأمرين –أي الإجارة والوجوب – شيء واحد فلا محالة يندكّ أحدهما في الآخر ويكون الوجوب مؤكداً</w:t>
      </w:r>
      <w:r>
        <w:rPr>
          <w:rFonts w:eastAsia="Amiri" w:cs="Amiri" w:ascii="Amiri" w:hAnsi="Amiri"/>
          <w:color w:val="111111"/>
          <w:sz w:val="28"/>
          <w:szCs w:val="28"/>
          <w:rtl w:val="true"/>
          <w:lang w:bidi="ar-SA"/>
        </w:rPr>
        <w:t>»</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ولكن بعض الأعلام لا يرى لهذا الشرط وجهاً لأن موضوع المسألة منحصر بما لو تعلقت الإجارة بما تعلق به الوجوب فمورد التغاير خارج عن محل البحث،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موضوع البحث هو أن يكون معروض الوجوب ومتعلق الإجارة شيئاً واحداً، بحيث لو قلنا بالجواز يحصل للأجير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الواجب عن ذمته،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استحقاقه للأجرة</w:t>
      </w:r>
      <w:r>
        <w:rPr>
          <w:rFonts w:eastAsia="Amiri" w:cs="Amiri" w:ascii="Amiri" w:hAnsi="Amiri"/>
          <w:color w:val="111111"/>
          <w:sz w:val="28"/>
          <w:szCs w:val="28"/>
          <w:rtl w:val="true"/>
          <w:lang w:bidi="ar-SA"/>
        </w:rPr>
        <w:t>»</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هذه الفكرة من كلام السيد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المطلب التالي، </w:t>
      </w:r>
    </w:p>
    <w:p>
      <w:pPr>
        <w:pStyle w:val="BookText"/>
        <w:rPr/>
      </w:pPr>
      <w:r>
        <w:rPr>
          <w:rFonts w:ascii="Amiri" w:hAnsi="Amiri" w:eastAsia="Amiri" w:cs="Amiri"/>
          <w:color w:val="111111"/>
          <w:sz w:val="28"/>
          <w:sz w:val="28"/>
          <w:szCs w:val="28"/>
          <w:rtl w:val="true"/>
          <w:lang w:bidi="ar-SA"/>
        </w:rPr>
        <w:t>وربما كان وجهه مبنياً على وضع الألفاظ للفرد الصحيح وليسللأعم، فالواجب في عنوان المسألة يراد به ما يبرئ الذمة، أو أنهم استظهروا من عنوان المسألة أن المراد بالواجب المقابل للأجرة في عقد الإجارة منحصر بما يتحقق به الامتثال أي أن العقد يقع على إتيان المكلف بما يبرئ ذمته من الواجب المطابق للمأمور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أن هنا مأمورين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من قبل المولى بصفته واجباً، وهذا ظاهر في الصحيح وهو مورد تطبيق كبرى حمل اللفظ على الصحيح، والآخر من قبل المستأجر لتعلق عقد الإجارة به، وهذا ليس مورداً لإجراء الكبرى المذكورة لارتباطه بغرض المستأجر، ولاينحصر في الصحيح إذ قد يتحقق غرض المستأجر بغير الفرد الصحيح الموجب لبراءة الذمة، لذا قلنا بإمكان التفكيك وسيتضح أثر ذلك في المطلب التالي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تحصل بهذا الفعل براءة ذمة الأجير من الواجب عليه الذي قبض الأجرة عليه؟ قال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 صلح ذلك الفعل المقابل بالأجرة لامتثال الإيجاب المذكور أو إسقاطه به أو عنده، سقط الوجوب مع استحقاق الأجرة، وإن لم يصلح استحق الأجرة وبقي الواجب في ذمته لو بقي وقته، وإلا عوقب على تركه</w:t>
      </w:r>
      <w:r>
        <w:rPr>
          <w:rFonts w:eastAsia="Amiri" w:cs="Amiri" w:ascii="Amiri" w:hAnsi="Amiri"/>
          <w:color w:val="111111"/>
          <w:sz w:val="28"/>
          <w:szCs w:val="28"/>
          <w:rtl w:val="true"/>
          <w:lang w:bidi="ar-SA"/>
        </w:rPr>
        <w:t>».</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ووضّح السيد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الامتثال فكما إذا استأجره لدفن الميت عن نفسه –أي الأجير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فدفنه كذلك، وأما الإسقاط به –أي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إذا استأجره للدفن نيابة عنه، فإنه لو أتى به عنه يسقط عنه الوجوب بسبب هذا الفعل، وأما السقوط عنده فلم أفهم المراد منه</w:t>
      </w:r>
      <w:r>
        <w:rPr>
          <w:rFonts w:eastAsia="Amiri" w:cs="Amiri" w:ascii="Amiri" w:hAnsi="Amiri"/>
          <w:color w:val="111111"/>
          <w:sz w:val="28"/>
          <w:szCs w:val="28"/>
          <w:rtl w:val="true"/>
          <w:lang w:bidi="ar-SA"/>
        </w:rPr>
        <w:t>»</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التمثيل بهذا المورد ليس صحيحاً لأن المفروض عدم صحة الإجارة عنده على دفن الميت وتجهيزه فلا يتحقق بها امتثال لعدممطابقة المأتي به للمأمور به، مضافاً إلى أن افتراض النيابة خروج عن محل البحث الذي هو في الإجارة على ما يجب على نفس الأجير، وليس النيابة على ما يجب على غيره وإن ترتب على فعله سقوط الوجوب عنه، كما لو استأجره للنيابة عن والد الأجير الميت والأجير هو ولده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لكن أصل الإشكال يرجع إلى مشكلة في تعبير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وصفه البعض بالاضطراب أو بالغموض، وسيشير إليه المعلّق، وإذا أردنا أن نسير مع التعبير كما هو فيمكن فهم مراد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بتصور أن الحالات ثلاثة تترتب عليها الفقرات الثلاثة المذكورة فتارة يسمح المستأجر للأجير أن ينوي به إتيان الواجب عن نفسه فيأتي به الأجير كذلك فيتحقق الامتثال ويستحق الأجرة كما لو أمره بتطهير المسجد بقصد امتثال أمر المولى ففعل، فيكون ممتثلاً للأمر الوجوبي ومستحقاً للأجرة لأن وجوب الوفاء بالإجارة توصلي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وتارة يطلب المستأجر من الأجير الإتيان بالفعل نيابة عنه، فيفعل، فإنه يستحق الأجرة لقيامه بالفعل ويسقط الوجوب عنه بهذا الفعل لكونه كفائياً</w:t>
      </w:r>
      <w:r>
        <w:rPr>
          <w:rFonts w:eastAsia="Amiri" w:cs="Amiri" w:ascii="Amiri" w:hAnsi="Amiri"/>
          <w:color w:val="111111"/>
          <w:sz w:val="28"/>
          <w:szCs w:val="28"/>
          <w:rtl w:val="true"/>
          <w:lang w:bidi="ar-SA"/>
        </w:rPr>
        <w:t>.</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يسقط الوجوب عند الفعل لا لامتثاله من قبل الأجير أو نيابة عن المستأجر، بل لارتفاع موضوعه كما لو كان الفعل مقيداً بالمجانية وأتى به مقابل أجرة، أو طهر المسجد بماء مغصوب فإن الامتثال لم يتحقق؛ لعدم مطابقة المأتي به للمأمور به، وكذلك فإن الوجوب لم يسقط به لأنه ليس فرداً صالحاً للامتثال الذي يسقط به الوجوب، لكن الوجوب سقط عنده لانتفاء موضوعه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قول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وبقي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أشكل عليه السيد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عدم تعقل استحقاقه الأجرة على إتيان الواجب مع فرض بقائه في ذمته بعد الإتيان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فُرض كون الواجب مما يمكن استحقاق الأجرة به مع كونه باقياً في ذمته، فلا بد أنيفرض فيما كان ذا أفراد بحيث يجب على كل منهما إيجاد فرد؛ فأتى بفرد منه نيابة عن المستأجر، فإنه حينئذٍ يبقى عليه الإتيان بفرد آخر، لكن على هذا يشكل جعله من قبيل أخذ الأجرة على الواجب؛ إذ الفرد الواجب عليه باقٍ بعد، وما أتى به عن غيره ليس من الواجب عليه، ولا ينبغي الإشكال فيه بناءً على قابليته للنيابة، بل لو فرض من قبيل الحج بعد الاستطاعة –حيث إنه يجب عليه في العام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فرض أنه عصى وصار أجيراً لغيره لا يكون من قبيل المقام</w:t>
      </w:r>
      <w:r>
        <w:rPr>
          <w:rFonts w:eastAsia="Amiri" w:cs="Amiri" w:ascii="Amiri" w:hAnsi="Amiri"/>
          <w:color w:val="111111"/>
          <w:sz w:val="28"/>
          <w:szCs w:val="28"/>
          <w:rtl w:val="true"/>
          <w:lang w:bidi="ar-SA"/>
        </w:rPr>
        <w:t>»</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الفكرة منه بعض الأعلام وأسس الكبرى التي أوردناها له في المطلب السابق، وبنى عليها الإشكال على ذهاب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إمكان التفكيك بين الاستحقاق للأجرة وسقوط الواجب عن عهدة الأجير</w:t>
      </w:r>
      <w:r>
        <w:rPr>
          <w:rFonts w:eastAsia="Amiri" w:cs="Amiri" w:ascii="Amiri" w:hAnsi="Amiri"/>
          <w:color w:val="111111"/>
          <w:sz w:val="28"/>
          <w:szCs w:val="28"/>
          <w:rtl w:val="true"/>
          <w:lang w:bidi="ar-SA"/>
        </w:rPr>
        <w:t>»</w:t>
      </w:r>
      <w:r>
        <w:rPr>
          <w:rStyle w:val="FootnoteAnchor"/>
          <w:rtl w:val="true"/>
        </w:rPr>
        <w:footnoteReference w:id="112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آخر منشأ الإشكال،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فتصوير استحقاق الأجير للأجرة مع عدم سقوط الواجب في غاية الإشكال؛ لأن الإجارة على الفرض وقعت على إتيان ما هو واجب على نفسه، فلو أتى ما هو الواجب على نفسه سقط الوجوب واستحق الأجرة بناءً على الجواز وإلا لم يستحق الاجرة أيضاً، فالتفكيك بينهما لا نعقله</w:t>
      </w:r>
      <w:r>
        <w:rPr>
          <w:rFonts w:eastAsia="Amiri" w:cs="Amiri" w:ascii="Amiri" w:hAnsi="Amiri"/>
          <w:color w:val="111111"/>
          <w:sz w:val="28"/>
          <w:szCs w:val="28"/>
          <w:rtl w:val="true"/>
          <w:lang w:bidi="ar-SA"/>
        </w:rPr>
        <w:t>»</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تصوّر التفكيك بين متعلقي الوجوب والإجارة، كما لو تعلق </w:t>
      </w:r>
      <w:bookmarkStart w:id="902" w:name="pg8133_63318"/>
    </w:p>
    <w:p>
      <w:pPr>
        <w:pStyle w:val="BookText"/>
        <w:rPr/>
      </w:pPr>
      <w:bookmarkEnd w:id="902"/>
      <w:r>
        <w:rPr>
          <w:rFonts w:ascii="Amiri" w:hAnsi="Amiri" w:eastAsia="Amiri" w:cs="Amiri"/>
          <w:color w:val="111111"/>
          <w:sz w:val="28"/>
          <w:sz w:val="28"/>
          <w:szCs w:val="28"/>
          <w:rtl w:val="true"/>
          <w:lang w:bidi="ar-SA"/>
        </w:rPr>
        <w:t>غرض المستأجر بخصوصية في فعل الواجب لا ترتبط بإبراء الذمة وكون الفرد المأتي به صحيحاً، كما لو استأجره لتعليم أولاده الصلاة أو ليتعلم هو الصلاة الخاشعة فأتى بها الأجير تامة الأجزاء والشرائط لكن رياءً فإنه استحق الأجرة لأنه وفى بعقد الإجارة وحقق غرض المستأجر لكن ذمته لم تبرأ من الواجب لبطلان العمل ووجب عليه إعادة الصلاة امتثالاً للأمر المتعلق بها، وإنما صحّ التفكيك بين المتعلقين؛ لأن الأوامرتتعلق بالطبائع وهي كليات ذات أفراد عديدة، أما الإجارة فتتعلق بالأفراد والخصوصيات فالمتعلقان مختلفان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اتضح لنا الفرق بين الإجارة والنيابة لتعلق الثانية بالفرد الصحيح الموجب لإبراء ذمة المنوب عنه</w:t>
      </w:r>
      <w:r>
        <w:rPr>
          <w:rFonts w:eastAsia="Amiri" w:cs="Amiri" w:ascii="Amiri" w:hAnsi="Amiri"/>
          <w:color w:val="111111"/>
          <w:sz w:val="28"/>
          <w:szCs w:val="28"/>
          <w:rtl w:val="true"/>
          <w:lang w:bidi="ar-SA"/>
        </w:rPr>
        <w:t>.</w:t>
      </w:r>
    </w:p>
    <w:p>
      <w:pPr>
        <w:pStyle w:val="Heading6"/>
        <w:numPr>
          <w:ilvl w:val="5"/>
          <w:numId w:val="1"/>
        </w:numPr>
        <w:rPr/>
      </w:pPr>
      <w:bookmarkStart w:id="903" w:name="__RefHeading___Toc8193625_1051229030"/>
      <w:bookmarkStart w:id="904" w:name="_Toc324"/>
      <w:bookmarkEnd w:id="903"/>
      <w:r>
        <w:rPr>
          <w:rtl w:val="true"/>
        </w:rPr>
        <w:t>(</w:t>
      </w:r>
      <w:r>
        <w:rPr>
          <w:rtl w:val="true"/>
        </w:rPr>
        <w:t>الثالث</w:t>
      </w:r>
      <w:r>
        <w:rPr>
          <w:rtl w:val="true"/>
        </w:rPr>
        <w:t xml:space="preserve">) </w:t>
      </w:r>
      <w:r>
        <w:rPr>
          <w:rtl w:val="true"/>
        </w:rPr>
        <w:t>أخذ الأجرة على الواجبات النظامية</w:t>
      </w:r>
      <w:r>
        <w:rPr>
          <w:rtl w:val="true"/>
        </w:rPr>
        <w:t>:</w:t>
      </w:r>
      <w:bookmarkEnd w:id="904"/>
    </w:p>
    <w:p>
      <w:pPr>
        <w:pStyle w:val="BookText"/>
        <w:rPr/>
      </w:pPr>
      <w:r>
        <w:rPr>
          <w:rFonts w:ascii="Amiri" w:hAnsi="Amiri" w:eastAsia="Amiri" w:cs="Amiri"/>
          <w:color w:val="111111"/>
          <w:sz w:val="28"/>
          <w:sz w:val="28"/>
          <w:szCs w:val="28"/>
          <w:rtl w:val="true"/>
          <w:lang w:bidi="ar-SA"/>
        </w:rPr>
        <w:t xml:space="preserve">انتهينا في البحث السابق إلى أن الوجوب بذاته لا يمنع من أخذ الأجرة وكذا العبادية غير منافية، إلا أن يوجد مانع عرضي يُلحظ في كل مورد بحسب دليله والقرائن المتوفرة فيه، لذا لا حاجة إلى البحث في الواجبات النظامية؛ لوجود إجماع على جواز أخذ الأجرة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توصلاً إلى ما هو المقصود من الأمر بها، وهو انتظام أمر المعاش والمعاد، فإنه كما يوجب الأمر بها كذا يوجب جواز أخذ الأجرة عليها، لظهور عدم انتظام المقصود بدونه، مع أنه عليه الإجماع نصاً وفتوى</w:t>
      </w:r>
      <w:r>
        <w:rPr>
          <w:rFonts w:eastAsia="Amiri" w:cs="Amiri" w:ascii="Amiri" w:hAnsi="Amiri"/>
          <w:color w:val="111111"/>
          <w:sz w:val="28"/>
          <w:szCs w:val="28"/>
          <w:rtl w:val="true"/>
          <w:lang w:bidi="ar-SA"/>
        </w:rPr>
        <w:t>»</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لا إشكال في الجواز عند من اختار التفصيل في الحكم على نحو يؤدي إلى القول بالجواز هنا كما لو ذهب إلى الجواز في الواجبات </w:t>
      </w:r>
    </w:p>
    <w:p>
      <w:pPr>
        <w:pStyle w:val="BookText"/>
        <w:rPr/>
      </w:pPr>
      <w:r>
        <w:rPr>
          <w:rFonts w:ascii="Amiri" w:hAnsi="Amiri" w:eastAsia="Amiri" w:cs="Amiri"/>
          <w:color w:val="111111"/>
          <w:sz w:val="28"/>
          <w:sz w:val="28"/>
          <w:szCs w:val="28"/>
          <w:rtl w:val="true"/>
          <w:lang w:bidi="ar-SA"/>
        </w:rPr>
        <w:t>التوصلية أو الكفائية، والواجبات النظامية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مشهور الأصحاب لما ذهبوا إلى الحرمة مطلقاً وجدوا أنفسهم في مشكلة، قال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 هنا إشكالاً مشهوراً، وهو أن الصناعات التي يتوقف النظام عليها تجب كفاية؛ لوجوب إقامة النظام، بل قد يتعيّن بعضها على بعض المكلفين عند انحصار المكلف القادر فيه، مع أن جواز أخذ الأجرة عليها مما لا كلام فيه، وكذا يلزم أن يحرم على الطبيب أخذ الأجرة على الطبابة؛ لوجوبها عليه كفاية، أو عيناً كالفقاهة</w:t>
      </w:r>
      <w:r>
        <w:rPr>
          <w:rFonts w:eastAsia="Amiri" w:cs="Amiri" w:ascii="Amiri" w:hAnsi="Amiri"/>
          <w:color w:val="111111"/>
          <w:sz w:val="28"/>
          <w:szCs w:val="28"/>
          <w:rtl w:val="true"/>
          <w:lang w:bidi="ar-SA"/>
        </w:rPr>
        <w:t>»</w:t>
      </w:r>
      <w:r>
        <w:rPr>
          <w:rStyle w:val="FootnoteAnchor"/>
          <w:rtl w:val="true"/>
        </w:rPr>
        <w:footnoteReference w:id="11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تُفصّيَ منه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بخروج ذلك بالإجماع والسيرة القطعيين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التزم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ولذا اختار التفصيل في المسألة بلحاظ قيام الدليل على الجواز،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الواجب إذا كان عينياً تعيينياً لم يجز أخذ الأجرة عليه ولو كان من الصناعات فلا يجوز للطبيب أخذ الأجرة على بيان الدواء أو تشخيص الداء</w:t>
      </w:r>
      <w:r>
        <w:rPr>
          <w:rStyle w:val="FootnoteAnchor"/>
          <w:rtl w:val="true"/>
        </w:rPr>
        <w:footnoteReference w:id="113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وأما أخذ الوصي الأجرة على تولي أموال الطفل الموصى عليه الشامل بإطلاقه لصورة تعيّن العمل عليه فهو من جهة الإجماع والنصوص المستفيضة</w:t>
      </w:r>
      <w:r>
        <w:rPr>
          <w:rStyle w:val="FootnoteAnchor"/>
          <w:rtl w:val="true"/>
        </w:rPr>
        <w:footnoteReference w:id="1131"/>
      </w:r>
      <w:r>
        <w:rPr>
          <w:rFonts w:ascii="Amiri" w:hAnsi="Amiri" w:eastAsia="Amiri" w:cs="Amiri"/>
          <w:color w:val="111111"/>
          <w:sz w:val="28"/>
          <w:sz w:val="28"/>
          <w:szCs w:val="28"/>
          <w:rtl w:val="true"/>
          <w:lang w:bidi="ar-SA"/>
        </w:rPr>
        <w:t>على أن له أن يأخذ شيئاً</w:t>
      </w:r>
      <w:r>
        <w:rPr>
          <w:rFonts w:eastAsia="Amiri" w:cs="Amiri" w:ascii="Amiri" w:hAnsi="Amiri"/>
          <w:color w:val="111111"/>
          <w:sz w:val="28"/>
          <w:szCs w:val="28"/>
          <w:rtl w:val="true"/>
          <w:lang w:bidi="ar-SA"/>
        </w:rPr>
        <w:t>»</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عدم الجواز إن كان مبنياً على وجه ثبوتي كالتنافي الذاتي بين </w:t>
      </w:r>
    </w:p>
    <w:p>
      <w:pPr>
        <w:pStyle w:val="BookText"/>
        <w:rPr/>
      </w:pPr>
      <w:r>
        <w:rPr>
          <w:rFonts w:ascii="Amiri" w:hAnsi="Amiri" w:eastAsia="Amiri" w:cs="Amiri"/>
          <w:color w:val="111111"/>
          <w:sz w:val="28"/>
          <w:sz w:val="28"/>
          <w:szCs w:val="28"/>
          <w:rtl w:val="true"/>
          <w:lang w:bidi="ar-SA"/>
        </w:rPr>
        <w:t>الوجوب المقتضي للتملك وأخذ العوض أو كونه آكلاً للمال بالباطل فلا ينفع فيه الدليل الإثباتي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أدلة المنع تكون حينئذٍ آبية عن التخصيص والتقييد؛ لأن أخذ الأجرة على الواجبات إذا كان أكلاً للمال بالباطل أو أن الواجب مملوك لله تعالى فلا يجوز تمليكه لأحد ونحو ذلك مما قالوه فإنه لا يقبل التخصيص بموارد يجوز فيها ذلك، وإنما يجب إعادة قراءة أدلة تلك الموارد وفهمها على نحو لا يتنافى مع ذلك الملاك الثبوتي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وفصّل الشيخ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وجوه الاستدلال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إذا كان العمل مملوكاً لله تعالى وقلنا بأن تمليك مال الغير بإذنه صحيح صح استكشاف الإذن من الشارع المالك للعمل في تمليك العمل، بحيثيكون العوض للعامل</w:t>
      </w:r>
      <w:r>
        <w:rPr>
          <w:rFonts w:eastAsia="Amiri" w:cs="Amiri" w:ascii="Amiri" w:hAnsi="Amiri"/>
          <w:color w:val="111111"/>
          <w:sz w:val="28"/>
          <w:szCs w:val="28"/>
          <w:rtl w:val="true"/>
          <w:lang w:bidi="ar-SA"/>
        </w:rPr>
        <w:t>»</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ويجاب حلاً بأن هذا تهديم لأصل الدليل إذ لا يبقى تملك الله تعالى للفعل بإيجابه في ذمة العبد مانعاً عن أخذ الأجرة كما أراده المستدل ويرجع الدليل إلى وجه آخر وهو قيام الدليل الخاص على المجانية أو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ويجاب نقضاً بما ورد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إذا كان إيجاب العمل للغير موجباً لاستحقاق الغير له فلا يصح أصلاً، سواء أكان إذن من مالكه أم لا، وسواء أكان بعوض أو بلا عوض فإن تمليك مال الغير له محال لأنه من باب تحصيل الحاصل</w:t>
      </w:r>
      <w:r>
        <w:rPr>
          <w:rFonts w:eastAsia="Amiri" w:cs="Amiri" w:ascii="Amiri" w:hAnsi="Amiri"/>
          <w:color w:val="111111"/>
          <w:sz w:val="28"/>
          <w:szCs w:val="28"/>
          <w:rtl w:val="true"/>
          <w:lang w:bidi="ar-SA"/>
        </w:rPr>
        <w:t>».</w:t>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الوجه إثباتياً كالإجماع أو أي دليل تعبدي فيمكن تخصيصه بالإجماع والسيرة ولزوم اختلال النظام ونحو ذلك، ولا محل للإشكال </w:t>
      </w:r>
    </w:p>
    <w:p>
      <w:pPr>
        <w:pStyle w:val="BookText"/>
        <w:rPr/>
      </w:pPr>
      <w:r>
        <w:rPr>
          <w:rFonts w:ascii="Amiri" w:hAnsi="Amiri" w:eastAsia="Amiri" w:cs="Amiri"/>
          <w:color w:val="111111"/>
          <w:sz w:val="28"/>
          <w:sz w:val="28"/>
          <w:szCs w:val="28"/>
          <w:rtl w:val="true"/>
          <w:lang w:bidi="ar-SA"/>
        </w:rPr>
        <w:t>حينئذٍ، ولكن هذا الوجه لم يثبت كما تقدم مضافاً إلى أن الفرض بعيد بأن يكون أخذ الأجرة حكماً تعبدياً بأمر الشارع وليس من باب المعاوضة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جامع المقاصد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كل ما كان من الواجبات الكفائية إنما يجوز الاستئجار عليه عند عدم وجوبه بحال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ويمكن حمله على ما إذا عُلِم أو ظُنَّ قيام من فيه كفاية، أو كان المؤجر ممن لا تجب عليه أصلاً</w:t>
      </w:r>
      <w:r>
        <w:rPr>
          <w:rFonts w:eastAsia="Amiri" w:cs="Amiri" w:ascii="Amiri" w:hAnsi="Amiri"/>
          <w:color w:val="111111"/>
          <w:sz w:val="28"/>
          <w:szCs w:val="28"/>
          <w:rtl w:val="true"/>
          <w:lang w:bidi="ar-SA"/>
        </w:rPr>
        <w:t>»</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تسليم بالإشكال في حال عدم العلم أو الظن المقتضي للوجوب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مبني على كون الوجوب الكفائي وجوباً مشروطاً بعدم قيام الغير، وقد أثبتنا بطلانه في البحث عن حقيقة الوجوب الكفائي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مجرد قيام وتصدي من به الكفاية لا يسقط الوجوب إلا إذا أتى بالفعل، فإذا فعل فلا يبقى موضوع حتى نسأل عن جواز أخذ الأجرة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العمل والفتوى جواز الأخذ ولو مع بقاء الوجوب الكفائي بل ومع وجوبه عيناً بالانحصار</w:t>
      </w:r>
      <w:r>
        <w:rPr>
          <w:rFonts w:eastAsia="Amiri" w:cs="Amiri" w:ascii="Amiri" w:hAnsi="Amiri"/>
          <w:color w:val="111111"/>
          <w:sz w:val="28"/>
          <w:szCs w:val="28"/>
          <w:rtl w:val="true"/>
          <w:lang w:bidi="ar-SA"/>
        </w:rPr>
        <w:t>»</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وحكى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وجوهاً</w:t>
      </w:r>
      <w:r>
        <w:rPr>
          <w:rStyle w:val="FootnoteAnchor"/>
          <w:rtl w:val="true"/>
        </w:rPr>
        <w:footnoteReference w:id="1136"/>
      </w:r>
    </w:p>
    <w:p>
      <w:pPr>
        <w:pStyle w:val="BookText"/>
        <w:rPr/>
      </w:pPr>
      <w:r>
        <w:rPr>
          <w:rFonts w:ascii="Amiri" w:hAnsi="Amiri" w:eastAsia="Amiri" w:cs="Amiri"/>
          <w:color w:val="111111"/>
          <w:sz w:val="28"/>
          <w:sz w:val="28"/>
          <w:szCs w:val="28"/>
          <w:rtl w:val="true"/>
          <w:lang w:bidi="ar-SA"/>
        </w:rPr>
        <w:t>أخرى نذكرها بنفس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في مفتاح الكرامة من أن المنع مختص بالواجبات الكفائية المقصودة لذاتها، كأحكام الموتى وتعليم الفقه، دون ما يجب لغيره كالصنائع</w:t>
      </w:r>
      <w:r>
        <w:rPr>
          <w:rFonts w:eastAsia="Amiri" w:cs="Amiri" w:ascii="Amiri" w:hAnsi="Amiri"/>
          <w:color w:val="111111"/>
          <w:sz w:val="28"/>
          <w:szCs w:val="28"/>
          <w:rtl w:val="true"/>
          <w:lang w:bidi="ar-SA"/>
        </w:rPr>
        <w:t>»</w:t>
      </w:r>
      <w:r>
        <w:rPr>
          <w:rStyle w:val="FootnoteAnchor"/>
          <w:rtl w:val="true"/>
        </w:rPr>
        <w:footnoteReference w:id="1137"/>
      </w:r>
    </w:p>
    <w:p>
      <w:pPr>
        <w:pStyle w:val="BookText"/>
        <w:rPr/>
      </w:pPr>
      <w:r>
        <w:rPr>
          <w:rFonts w:ascii="Amiri" w:hAnsi="Amiri" w:eastAsia="Amiri" w:cs="Amiri"/>
          <w:color w:val="111111"/>
          <w:sz w:val="28"/>
          <w:sz w:val="28"/>
          <w:szCs w:val="28"/>
          <w:rtl w:val="true"/>
          <w:lang w:bidi="ar-SA"/>
        </w:rPr>
        <w:t>وكذا عن الرياض</w:t>
      </w:r>
      <w:r>
        <w:rPr>
          <w:rFonts w:eastAsia="Amiri" w:cs="Amiri" w:ascii="Amiri" w:hAnsi="Amiri"/>
          <w:color w:val="111111"/>
          <w:sz w:val="28"/>
          <w:szCs w:val="28"/>
          <w:rtl w:val="true"/>
          <w:lang w:bidi="ar-SA"/>
        </w:rPr>
        <w:t>.</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ليس تقريباً لحل الإشكال وإنما هو قول بالتفصيل أخرج </w:t>
      </w:r>
    </w:p>
    <w:p>
      <w:pPr>
        <w:pStyle w:val="BookText"/>
        <w:rPr/>
      </w:pPr>
      <w:r>
        <w:rPr>
          <w:rFonts w:ascii="Amiri" w:hAnsi="Amiri" w:eastAsia="Amiri" w:cs="Amiri"/>
          <w:color w:val="111111"/>
          <w:sz w:val="28"/>
          <w:sz w:val="28"/>
          <w:szCs w:val="28"/>
          <w:rtl w:val="true"/>
          <w:lang w:bidi="ar-SA"/>
        </w:rPr>
        <w:t>المورد من دائرة الحرمة وعلى صاحبه أن يقدّم الدليل على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التخصيص إن كان لاختصاص معاقد إجماعاتهم أو عنوانات كلامهم، فهو خلاف الموجود منها، وإن كان لدليل يقتضي الفرق فلا بد من بيانه</w:t>
      </w:r>
      <w:r>
        <w:rPr>
          <w:rFonts w:eastAsia="Amiri" w:cs="Amiri" w:ascii="Amiri" w:hAnsi="Amiri"/>
          <w:color w:val="111111"/>
          <w:sz w:val="28"/>
          <w:szCs w:val="28"/>
          <w:rtl w:val="true"/>
          <w:lang w:bidi="ar-SA"/>
        </w:rPr>
        <w:t>»</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مضافاً إلى ما حكي من الجواب عن بعض الأعاظم،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فعل الصنائع بالنسبة إلى ما يترتب عليها من حفظ النظام من قبيل المقدمة المتحدة مع ذيها في الوجود، كالإلقاء في النار والإحراق، والضرب والإيلام، ومثل هذه المقدمة ليس لها وجوب، بل هناك وجوب واحد نفسي، إذ لا معنى لإيجاب الشيء للتوصل إلى نفسه ونتيجته أن أخذ الأجرة حينئذٍ من باب أخذ الأجرة على الواجب النفسي الأصلي دون الواجب الغيري التبعي</w:t>
      </w:r>
      <w:r>
        <w:rPr>
          <w:rFonts w:eastAsia="Amiri" w:cs="Amiri" w:ascii="Amiri" w:hAnsi="Amiri"/>
          <w:color w:val="111111"/>
          <w:sz w:val="28"/>
          <w:szCs w:val="28"/>
          <w:rtl w:val="true"/>
          <w:lang w:bidi="ar-SA"/>
        </w:rPr>
        <w:t>»</w:t>
      </w:r>
      <w:r>
        <w:rPr>
          <w:rStyle w:val="FootnoteAnchor"/>
          <w:rtl w:val="true"/>
        </w:rPr>
        <w:footnoteReference w:id="11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تعلق الأحكام بالعناوين فإن هذه عناوين متغايرة حتى لو كانت متحدة في الوجود، فيصح التفريق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المنع عن أخذ الأجرة على الصناعات الواجبة لإقامة النظام يوجب اختلال النظام، لوقوع أكثر الناس في المعصية بتركها أو ترك الشاق منها والالتزام بالأسهل، فإنهم لا يرغبون في الصناعات الشاقة أو الدقيقة إلا طمعاً في الأجرة وزيادتها على ما يبذل لغيرها من الصناعات، فتسويغ أخذ الأجرة عليها لطف في التكليف بإقامة 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الوجه مأخوذ من كلام صاحب الرياض المتقدم </w:t>
      </w:r>
      <w:r>
        <w:rPr>
          <w:rStyle w:val="FootnoteAnchor"/>
          <w:rtl w:val="true"/>
        </w:rPr>
        <w:footnoteReference w:id="1140"/>
      </w:r>
      <w:r>
        <w:rPr>
          <w:rFonts w:ascii="IRNazanin" w:hAnsi="IRNazanin" w:eastAsia="IRNazanin"/>
          <w:color w:val="111111"/>
          <w:sz w:val="28"/>
          <w:sz w:val="28"/>
          <w:szCs w:val="28"/>
          <w:rtl w:val="true"/>
          <w:lang w:bidi="fa-IR"/>
        </w:rPr>
        <w:t>وهو</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 فإن منع أخذ الأجرة لا يبقي حافزاً للناس كي يتصدوا للواجبات النظامية </w:t>
      </w:r>
    </w:p>
    <w:p>
      <w:pPr>
        <w:pStyle w:val="BookText"/>
        <w:rPr/>
      </w:pPr>
      <w:r>
        <w:rPr>
          <w:rFonts w:ascii="Amiri" w:hAnsi="Amiri" w:eastAsia="Amiri" w:cs="Amiri"/>
          <w:color w:val="111111"/>
          <w:sz w:val="28"/>
          <w:sz w:val="28"/>
          <w:szCs w:val="28"/>
          <w:rtl w:val="true"/>
          <w:lang w:bidi="ar-SA"/>
        </w:rPr>
        <w:t>لحاجتهم إلى المال كي يكفوا به أنفسهم وعيالهم، إلا إذا افترضنا قيام مجتمع تتوفر فيه كل حاجات الإنسان مجاناً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والإشكال الذي يأتي عليه ما ذكرناه في جواب الوجه الأول من أن أدلتهم على الحرمة آبية عن التخصيص فلا بد أن يعدلوا عن القول بالحرمة مطلقاً ثم يقدموا مثل هذه التقريبات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الشيخ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المشاهَد بالوجدان أن اختيار الناس للصنائع الشاقة وتحملها ناش عن الدواعي الأخر غير زيادة الأجرة، مثل عدم قابليته لغير ما يختار، أو عدم ميله إليه، أو عدم كونه شاقاً عليه، لكونه ممن نشأ في تحمل المشقة، ألا ترى أن أغلب الصنائع الشاقة من الكفائيات كالفلاحة والحرث والحصاد وشبه ذلك لا تزيد اجرتها على الأعمال السهلة؟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الجواب لا يضرّ بأصل هذا الوجه لما قلناه في تقريب الصحة سواء كانت هذه الواجبات شاقة أو لا</w:t>
      </w:r>
      <w:r>
        <w:rPr>
          <w:rFonts w:eastAsia="Amiri" w:cs="Amiri" w:ascii="Amiri" w:hAnsi="Amiri"/>
          <w:color w:val="111111"/>
          <w:sz w:val="28"/>
          <w:szCs w:val="28"/>
          <w:rtl w:val="true"/>
          <w:lang w:bidi="ar-SA"/>
        </w:rPr>
        <w:t>.</w:t>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الوجوب في هذه الامور مشروط بالعوض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بعضالأساطين</w:t>
      </w:r>
      <w:r>
        <w:rPr>
          <w:rStyle w:val="FootnoteAnchor"/>
          <w:rtl w:val="true"/>
        </w:rPr>
        <w:footnoteReference w:id="1141"/>
      </w:r>
      <w:r>
        <w:rPr>
          <w:rFonts w:ascii="Amiri" w:hAnsi="Amiri" w:eastAsia="Amiri" w:cs="Amiri"/>
          <w:color w:val="111111"/>
          <w:sz w:val="28"/>
          <w:sz w:val="28"/>
          <w:szCs w:val="28"/>
          <w:rtl w:val="true"/>
          <w:lang w:bidi="ar-SA"/>
        </w:rPr>
        <w:t>– بعد ذكر ما يدل على المنع عن أخذ الأجرة على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كان واجباً مشروطاً فليس بواجب قبل حصول الشرط، فتعلق الإجارة به قبله لا مانع منه ولو كانت هي الشرط في وجوبه، فكل ما وجب كفاية من حرف وصناعات لم تجب إلا بشرط العوض بإجارة أو جعالة أو نحوهما، فلا فرق بين وجوبها العيني، للانحصار، ووجوبها الكفائي، لتأخر الوجوب عنها وعدمه قبلها، كما أن بذل الطعام والشراب للمضطر إن بقي على الكفاية أو تعين يستحق فيه أخذ العوض على الأصح، لأن وجوبه مشروط، </w:t>
      </w:r>
    </w:p>
    <w:p>
      <w:pPr>
        <w:pStyle w:val="BookText"/>
        <w:rPr/>
      </w:pPr>
      <w:r>
        <w:rPr>
          <w:rFonts w:ascii="Amiri" w:hAnsi="Amiri" w:eastAsia="Amiri" w:cs="Amiri"/>
          <w:color w:val="111111"/>
          <w:sz w:val="28"/>
          <w:sz w:val="28"/>
          <w:szCs w:val="28"/>
          <w:rtl w:val="true"/>
          <w:lang w:bidi="ar-SA"/>
        </w:rPr>
        <w:t>بخلاف ما وجب مطلقا بالأصالة كالنفقات، أو بالعارض كالمنذور ونحوه، انتهى كلامه رفع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وجوب الصناعات ليس مشروطاً ببذل العوض، لأنه لإقامة النظام التي هي من الواجبات المطلقة، فإن الطبابة والفصد والحجامة وغيرها – مما يتوقف عليه بقاء الحياة في بعض الأوقات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واجبة، بذل له العوض أم لم يبذل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كان قصد صاحب الوجه أن العمل ليس مشروطاً بالمجانية أي أنه يقبل اشتراط الأجرة، لكنه صاغه بعبارة اشتراط الوجوب بالأجرة وهو يعلم بأن الوجوب مطلق ولو لم يبذل بإزائه الأجر، فيكون هذا المعنى قريباً من الوجه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وجوب الصناعات المذكورة لم يثبت من حيث ذاتها، وإنما ثبت من حيث الأمر بإقامة النظام، وإقامة النظام غير متوقفة على العمل تبرعاً، بل تحصل به وبالعمل بالأجرة، فالذي يجب على الطبيب لأجل إحياء النفس وإقامة النظام هو بذل نفسه للعمل، لا بشرط التبرع به، بل له أن يتبرع به، وله أن يطلب الأجرة، وحينئذ فإن بذل المريض الأجرة وجب عليه العلاج، وإن لم يبذل الأجرة – والمفروض أداء تركالعلاج إلى الهلاك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أجبره الحاكم حسبة على بذل الأجرة للطبيب، وإن كان المريض مغمى عليه دفع عنه وليه، وإلا جاز للطبيب العمل بقصد الأجرة فيستحق الأجرة في ماله، وإن لم يكن له مال ففي ذمته، فيؤدى في حياته أو بعد مماته من الزكاة أو غيرها</w:t>
      </w:r>
      <w:r>
        <w:rPr>
          <w:rFonts w:eastAsia="Amiri" w:cs="Amiri" w:ascii="Amiri" w:hAnsi="Amiri"/>
          <w:color w:val="111111"/>
          <w:sz w:val="28"/>
          <w:szCs w:val="28"/>
          <w:rtl w:val="true"/>
          <w:lang w:bidi="ar-SA"/>
        </w:rPr>
        <w:t>.</w:t>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فما كان من الواجبات الكفائية ثبت من دليله وجوب نفس ذلك العنوان، فلا يجوز أخذ الأجرة عليه، بناء على المشهور، وأما ما أمر به من باب إقامة النظام، فإقامة النظام تحصل ببذل النفس للعمل به في </w:t>
      </w:r>
    </w:p>
    <w:p>
      <w:pPr>
        <w:pStyle w:val="BookText"/>
        <w:rPr/>
      </w:pPr>
      <w:r>
        <w:rPr>
          <w:rFonts w:ascii="Amiri" w:hAnsi="Amiri" w:eastAsia="Amiri" w:cs="Amiri"/>
          <w:color w:val="111111"/>
          <w:sz w:val="28"/>
          <w:sz w:val="28"/>
          <w:szCs w:val="28"/>
          <w:rtl w:val="true"/>
          <w:lang w:bidi="ar-SA"/>
        </w:rPr>
        <w:t>الجملة، وأما العمل تبرعاً فلا، وحينئذ فيجوز طلب الأجرة من المعمول له إذا كان أهلاً للطلب منه، وقصدها إذا لم يكن ممن يطلب منه، كالغائب الذي يعمل في ماله عمل لدفع الهلاك عنه، وكالمريض المغمى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فرض وجوب إحياء النفس ووجوب العلاج، لكونه مقدمة له، فأخذ الأجرة عليه غير جائز</w:t>
      </w:r>
      <w:r>
        <w:rPr>
          <w:rFonts w:eastAsia="Amiri" w:cs="Amiri" w:ascii="Amiri" w:hAnsi="Amiri"/>
          <w:color w:val="111111"/>
          <w:sz w:val="28"/>
          <w:szCs w:val="28"/>
          <w:rtl w:val="true"/>
          <w:lang w:bidi="ar-SA"/>
        </w:rPr>
        <w:t>»</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كون وجوب التطبيب مقدمياً لا يغيّر من الحكم لعموم حرمة أخذ الأجرة على الواجبات بحسب الفرض، ومنه يُعلم النظر في تعليقة السيد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يمكن دعوى أن خلافه باطل، لانتفاعه بعمل الغير –الذي هو محترم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دفع عوض، وهو يعدّ من الأكل بالباطل، إذ الأكل في كل شيء بحسبه</w:t>
      </w:r>
      <w:r>
        <w:rPr>
          <w:rFonts w:eastAsia="Amiri" w:cs="Amiri" w:ascii="Amiri" w:hAnsi="Amiri"/>
          <w:color w:val="111111"/>
          <w:sz w:val="28"/>
          <w:szCs w:val="28"/>
          <w:rtl w:val="true"/>
          <w:lang w:bidi="ar-SA"/>
        </w:rPr>
        <w:t>»</w:t>
      </w:r>
      <w:r>
        <w:rPr>
          <w:rStyle w:val="FootnoteAnchor"/>
          <w:rtl w:val="true"/>
        </w:rPr>
        <w:footnoteReference w:id="1143"/>
      </w:r>
      <w:r>
        <w:rPr>
          <w:rFonts w:ascii="Amiri" w:hAnsi="Amiri" w:eastAsia="Amiri" w:cs="Amiri"/>
          <w:color w:val="111111"/>
          <w:sz w:val="28"/>
          <w:sz w:val="28"/>
          <w:szCs w:val="28"/>
          <w:rtl w:val="true"/>
          <w:lang w:bidi="ar-SA"/>
        </w:rPr>
        <w:t>، إلا أن يكون كلامه مستقلاً عن هذا السياق ومبنياً على مختاره وهو عدم حرمة أخذ الأجرة على الواجبات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أورده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وبناه على شرطه في صحة عقد الإجارة من كون متعلقها مقدوراً للأجير وتحت سلطنته فعلاً وتركاً، ووجههالتفريق بين تعلق الوجوب بفعل المكلف بالمعنى المصدري وبين تعلقه به بالمعنى الاسم المصدري</w:t>
      </w:r>
      <w:r>
        <w:rPr>
          <w:rFonts w:eastAsia="Amiri" w:cs="Amiri" w:ascii="Amiri" w:hAnsi="Amiri"/>
          <w:color w:val="111111"/>
          <w:sz w:val="28"/>
          <w:szCs w:val="28"/>
          <w:rtl w:val="true"/>
          <w:lang w:bidi="ar-SA"/>
        </w:rPr>
        <w:t>.</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الواجب على الأجير هو بذل عمله، أي تعلق التكليف أو الوضع بالمعنى المصدري، لا بنتيجة عمله التي هي المعنى الاسم المصدري، فإن الطبيب وإن وجب عليه الطبابة عيناً إلا أنه مالك لعمله، والأجرة تقع بإزاء العمل الذي هو مناط مالية المال، لا بإزاء قوله من حيث الإصدار، وهما وإن لم يكونا أمرين خارجيين متمايزين إلا أنهما شيئان </w:t>
      </w:r>
    </w:p>
    <w:p>
      <w:pPr>
        <w:pStyle w:val="BookText"/>
        <w:rPr/>
      </w:pPr>
      <w:r>
        <w:rPr>
          <w:rFonts w:ascii="Amiri" w:hAnsi="Amiri" w:eastAsia="Amiri" w:cs="Amiri"/>
          <w:color w:val="111111"/>
          <w:sz w:val="28"/>
          <w:sz w:val="28"/>
          <w:szCs w:val="28"/>
          <w:rtl w:val="true"/>
          <w:lang w:bidi="ar-SA"/>
        </w:rPr>
        <w:t>اعتباراً، فللشارع التفكيك بين وجوب المصدر وملكية اسم المصدر، وليس الطبيب والصباغ والخياط كالقاضي، فإن في باب القضاء تعلّق التكليف بنتيجة عمله وهو فصله الخصومة، وهذا إذا خرج عن ملكه فلا يجوز له الأجرة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الصباغ ونحوه فما وجب عليه هو بذل عمله لا أثره</w:t>
      </w:r>
      <w:r>
        <w:rPr>
          <w:rFonts w:eastAsia="Amiri" w:cs="Amiri" w:ascii="Amiri" w:hAnsi="Amiri"/>
          <w:color w:val="111111"/>
          <w:sz w:val="28"/>
          <w:szCs w:val="28"/>
          <w:rtl w:val="true"/>
          <w:lang w:bidi="ar-SA"/>
        </w:rPr>
        <w:t>»</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وبيّنه بعض تلامذته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تعلق الوجوب بجهة إصدار فعل عن المكلف لا بما هو الصادر – أي كان المطلوب منه والذي يلزم به هو أن يصدر عنه هذا الفعل وأن لا يمتنع عن الاشتغال به وإلا فنفس الفعل وذاته يقع للفاعل ولا يخرج بهذا الطلب عن حيطة سلطانه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يمنع عن أخذ الأجرة عليه لأن المفروض أن المطلوب في هذا القسم هو اشتغال المكلف بالفعل وعدم امتناعه عنه، وهذا هو الذي ألزم به فما خرج عن تحت قدرته في عالم التشريع ليس إلا صرف الاشتغال وعدم الامتناع عن العمل، وأما نفس العمل الصادر فليس بمطلوب فلم تخرج عن ملكه وحيطة سلطانه فيكون كوجوب بيع الحنطة مثلاً وعدم جواز احتكاره في باب الأموال، فكما أنه هناك وجوب صدور البيع وعدم جواز الاحتكار لا يخرج الحنطة عن ملكه وحيطة سلطانه فكذلك هاهنا وجوب صدورالعمل عنه لا يخرج ذات العمل عن ملكه وسلطانه، فيجوز أخذ العوض على العمل الصادر لا على جهة الإصدار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هو الواجب شيء – أي جهة الإصدار والمعنى المصدري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يؤخذ العوض عليه شيء آخر أي نفس الصادر والمعنى الاسم المصدري</w:t>
      </w:r>
      <w:r>
        <w:rPr>
          <w:rFonts w:eastAsia="Amiri" w:cs="Amiri" w:ascii="Amiri" w:hAnsi="Amiri"/>
          <w:color w:val="111111"/>
          <w:sz w:val="28"/>
          <w:szCs w:val="28"/>
          <w:rtl w:val="true"/>
          <w:lang w:bidi="ar-SA"/>
        </w:rPr>
        <w:t>.</w:t>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فيما إذا تعلق الوجوب بالمعنى المصدري كجميع الواجبات النظامية التي بتركها عن الجميع وعدم اشتغال من به الكفاية بها يتحقق </w:t>
      </w:r>
    </w:p>
    <w:p>
      <w:pPr>
        <w:pStyle w:val="BookText"/>
        <w:rPr/>
      </w:pPr>
      <w:r>
        <w:rPr>
          <w:rFonts w:ascii="IRNazanin" w:hAnsi="IRNazanin" w:eastAsia="IRNazanin"/>
          <w:color w:val="111111"/>
          <w:sz w:val="28"/>
          <w:sz w:val="28"/>
          <w:szCs w:val="28"/>
          <w:rtl w:val="true"/>
          <w:lang w:bidi="fa-IR"/>
        </w:rPr>
        <w:t>اختلال النظام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لو تعلق الوجوب بما هو الصادر أي تعلق بما هو الفعل بالمعنى الاسم المصدري فيخرج ذات الفعل ونفس العمل الصادر عن تحت قدرته تشريعاً ويكون ملزماً بإتيانه، وليس له أن يتركه ولا يأتي به بل يجبر على الفعل إن أراد الترك من باب الأمر بالمعروف</w:t>
      </w:r>
      <w:r>
        <w:rPr>
          <w:rFonts w:eastAsia="Amiri" w:cs="Amiri" w:ascii="Amiri" w:hAnsi="Amiri"/>
          <w:color w:val="111111"/>
          <w:sz w:val="28"/>
          <w:szCs w:val="28"/>
          <w:rtl w:val="true"/>
          <w:lang w:bidi="ar-SA"/>
        </w:rPr>
        <w:t>»</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التقريب غير مستوعب لأن جملة من موارد جواز أخذ الأجرة يراد بها المعنى الاسم المصدري كإرضاع الأم لظاهر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أرضَعنَ لَكُمْ فَآتُوهُنَّ أجُورَهُنَّ فَرِيضَةً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كعمل الوصي حيث يظهر من الروايات أن الأجرة على العمل، وقد تقدم ذلك </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المانع عن أخذ الأجرة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السلطنة والقدرة على الفعل فعلاً وتركاً إذا كان واجباً، وإذا كان السبب واجباً ولا يصح تعلق الإجارة به، فإن المسبَّب عنه –وهو المعنى الاسم المصدري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غير مقدور له فعلاً وتركاً بالتبع له</w:t>
      </w:r>
      <w:r>
        <w:rPr>
          <w:rFonts w:eastAsia="Amiri" w:cs="Amiri" w:ascii="Amiri" w:hAnsi="Amiri"/>
          <w:color w:val="111111"/>
          <w:sz w:val="28"/>
          <w:szCs w:val="28"/>
          <w:rtl w:val="true"/>
          <w:lang w:bidi="ar-SA"/>
        </w:rPr>
        <w:t>.</w:t>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معنى محصّل لعدم بخله عن الطبابة عملاً إلا فعل الطبابة</w:t>
      </w:r>
      <w:r>
        <w:rPr>
          <w:rFonts w:eastAsia="Amiri" w:cs="Amiri" w:ascii="Amiri" w:hAnsi="Amiri"/>
          <w:color w:val="111111"/>
          <w:sz w:val="28"/>
          <w:szCs w:val="28"/>
          <w:rtl w:val="true"/>
          <w:lang w:bidi="ar-SA"/>
        </w:rPr>
        <w:t>»</w:t>
      </w:r>
      <w:r>
        <w:rPr>
          <w:rStyle w:val="FootnoteAnchor"/>
          <w:rtl w:val="true"/>
        </w:rPr>
        <w:footnoteReference w:id="1147"/>
      </w:r>
      <w:r>
        <w:rPr>
          <w:rFonts w:ascii="Amiri" w:hAnsi="Amiri" w:eastAsia="Amiri" w:cs="Amiri"/>
          <w:color w:val="111111"/>
          <w:sz w:val="28"/>
          <w:sz w:val="28"/>
          <w:szCs w:val="28"/>
          <w:rtl w:val="true"/>
          <w:lang w:bidi="ar-SA"/>
        </w:rPr>
        <w:t>، فلا ثمرة في هذا التفريق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قريب من سابقه، حاصله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الواجب كفاية فيها ليس هو العمل سواء أراد الغير أم لا كما في الواجبات الكفائية أو العينية الأخرى، بل الاستعداد له بنحو القضية الشرطية، بحيث لو أراده الطالب لوجده، وهذا </w:t>
      </w:r>
      <w:bookmarkStart w:id="905" w:name="pg8133_63328"/>
    </w:p>
    <w:p>
      <w:pPr>
        <w:pStyle w:val="BookText"/>
        <w:rPr/>
      </w:pPr>
      <w:bookmarkEnd w:id="905"/>
      <w:r>
        <w:rPr>
          <w:rFonts w:ascii="Amiri" w:hAnsi="Amiri" w:eastAsia="Amiri" w:cs="Amiri"/>
          <w:color w:val="111111"/>
          <w:sz w:val="28"/>
          <w:sz w:val="28"/>
          <w:szCs w:val="28"/>
          <w:rtl w:val="true"/>
          <w:lang w:bidi="ar-SA"/>
        </w:rPr>
        <w:t>لا ينافي مع أن يكون الطلب له بأجرة لا مجاناً، فالوجوب هنا وجوب تحصيل العمل بنحو القضية الشرطية لا الفعلية، أي لو طلبه المستأجر ودفع أجره لكان موجوداً، ومثله لا ينافي صحة الإجارة، وإنما المنافي لها –على القول ببطلان الإجارة على الواجبات – الوجوب الفعلي على كل تقدير، سواءً أراده المستأجر أم لا</w:t>
      </w:r>
      <w:r>
        <w:rPr>
          <w:rFonts w:eastAsia="Amiri" w:cs="Amiri" w:ascii="Amiri" w:hAnsi="Amiri"/>
          <w:color w:val="111111"/>
          <w:sz w:val="28"/>
          <w:szCs w:val="28"/>
          <w:rtl w:val="true"/>
          <w:lang w:bidi="ar-SA"/>
        </w:rPr>
        <w:t>»</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06" w:name="__RefHeading___Toc8193627_1051229030"/>
      <w:bookmarkStart w:id="907" w:name="_Toc325"/>
      <w:bookmarkEnd w:id="906"/>
      <w:r>
        <w:rPr>
          <w:rtl w:val="true"/>
        </w:rPr>
        <w:t>نتيجة البحث وخلاصة الاستدلال على الجواز</w:t>
      </w:r>
      <w:bookmarkEnd w:id="907"/>
    </w:p>
    <w:p>
      <w:pPr>
        <w:pStyle w:val="BookText"/>
        <w:rPr/>
      </w:pPr>
      <w:r>
        <w:rPr>
          <w:rFonts w:ascii="Amiri" w:hAnsi="Amiri" w:eastAsia="Amiri" w:cs="Amiri"/>
          <w:color w:val="111111"/>
          <w:sz w:val="28"/>
          <w:sz w:val="28"/>
          <w:szCs w:val="28"/>
          <w:rtl w:val="true"/>
          <w:lang w:bidi="ar-SA"/>
        </w:rPr>
        <w:t>تحصل من مجموع البحث جواز أخذ الأجرة على الواجبات حتى العبادية منها، لوجود المقتضي وعدم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المقتضي فأمور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عمومات وإطلاقات الوفاء بالعقود والإجارة وتداول المال بالتراضي، وقد أدّى الأجير عملاً محترماً ووفى بمقتضى العقد فحرمانه من الأجر ظلم وأكل للمال بالباطل بلحاظ حرمانه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الدالة على الجواز في واجبات عديدة ذكرناها كأخذ الأم الأجرة على إرضاع ولدها اللباء، وأخذ الوصي الأجرة على عمله والواجبات النظامية وغيرها، ولا يمكن فرضها استثناءً من القول بعدم الجواز وتخصيصاً للحرمة؛ لعدم صحة ماذكروه من تقريبات الاستثناء باعتبار أن ملاكات الحرمة آبية عن التخصيص وإنما هي نقض على عدم الجواز وكاشفة عن مقتضى القاعدة وهو الجواز</w:t>
      </w:r>
      <w:r>
        <w:rPr>
          <w:rFonts w:eastAsia="Amiri" w:cs="Amiri" w:ascii="Amiri" w:hAnsi="Amiri"/>
          <w:color w:val="111111"/>
          <w:sz w:val="28"/>
          <w:szCs w:val="28"/>
          <w:rtl w:val="true"/>
          <w:lang w:bidi="ar-SA"/>
        </w:rPr>
        <w:t>.</w:t>
      </w:r>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اختلاف متعلقي الوجوب والإجارة دائماً وشرط الحرمة وحدة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المتعلقين، وقد تقدّم بيان ذلك بالتفصيل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المورد في محرمات الأمر بالمعروف والنهي عن المنكر بكل الوسائل المتاحة لأن بحثنا في الواجبات وهي داخلة في المعروف، ومن تلك الوسائل بذل العوض سواءً على نحو الإجارة أو الجعالة لحث الآخرين على فعل المعروف واجتناب المنكر ما لم يرد نهي عنه والمفروض عدمه، وبذل هذه الحوافز والمكافئات لجلب الناس إلى الهداية والصلاح أمر معروف من سيرة الشارع المقدّس كجعل المؤلفة قلوبهم من مصارف الزكاة لحثّهم على الإسلام وهو أسلوب ناجح لإقامة هذه الفريضة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صحة ما تعارف عليه الناس من معاملات وتراضوا عليه ما لم يرد نهي من الشارع؛ لأن دور الشارع المقدس في المعاملات ترشيد وتهذيب وإمضاء ما تعارف عليه الناس والمفروض عدم ثبوت ما يمنع من هذه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عدم المانع فلعدم تمامية جميع التقريبات التي ذكروها لحرمة أخذ الأجرة على الواجبات حتى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ورد دليل على الحرمة في موردٍ ما اختُص الحكم بذلك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وبتطبيق هذه الكبرى على مسألتنا نستنتج عدم وجود مانع من ارتزاق الآمر بالمعروف والناهي عن المنكر من بيت مال المسلمين أو استيجاره للقيام بهذه الوظيفة من قبل ولي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فرض استيجاره من قبله فليس له تأجير نفسه لغيره لعدم جواز أن يؤجر نفسه من شخصين مستقلين لعمل واحد بأن يأخذ في قباله أجرتين</w:t>
      </w:r>
      <w:r>
        <w:rPr>
          <w:rFonts w:eastAsia="Amiri" w:cs="Amiri" w:ascii="Amiri" w:hAnsi="Amiri"/>
          <w:color w:val="111111"/>
          <w:sz w:val="28"/>
          <w:szCs w:val="28"/>
          <w:rtl w:val="true"/>
          <w:lang w:bidi="ar-SA"/>
        </w:rPr>
        <w:t>.</w:t>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وعرفنا من خلال هذه النتيجة إمكان اعتماد دفع العوض عن القيام بالواجب كوسيلة تحفيزية لإقامة فريضة الأمر بالمعروف والنهي عن المنكر</w:t>
      </w:r>
      <w:r>
        <w:rPr>
          <w:rFonts w:eastAsia="Amiri" w:cs="Amiri" w:ascii="Amiri" w:hAnsi="Amiri"/>
          <w:color w:val="111111"/>
          <w:sz w:val="28"/>
          <w:szCs w:val="28"/>
          <w:rtl w:val="true"/>
          <w:lang w:bidi="ar-SA"/>
        </w:rPr>
        <w:t xml:space="preserve">. </w:t>
      </w:r>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08" w:name="pg8133_63331"/>
      <w:bookmarkStart w:id="909" w:name="pg8133_63331"/>
      <w:bookmarkEnd w:id="909"/>
    </w:p>
    <w:p>
      <w:pPr>
        <w:pStyle w:val="Heading6"/>
        <w:numPr>
          <w:ilvl w:val="5"/>
          <w:numId w:val="1"/>
        </w:numPr>
        <w:rPr/>
      </w:pPr>
      <w:bookmarkStart w:id="910" w:name="pg8133_63331"/>
      <w:bookmarkStart w:id="911" w:name="__RefHeading___Toc8193629_1051229030"/>
      <w:bookmarkStart w:id="912" w:name="_Toc326"/>
      <w:bookmarkEnd w:id="910"/>
      <w:bookmarkEnd w:id="911"/>
      <w:r>
        <w:rPr>
          <w:rtl w:val="true"/>
        </w:rPr>
        <w:t>القاعدة السابعة</w:t>
      </w:r>
      <w:r>
        <w:rPr>
          <w:rtl w:val="true"/>
        </w:rPr>
        <w:t xml:space="preserve">: </w:t>
      </w:r>
      <w:r>
        <w:rPr>
          <w:rtl w:val="true"/>
        </w:rPr>
        <w:t>قاعدة تقديم الأيسر</w:t>
      </w:r>
      <w:r>
        <w:rPr>
          <w:rtl w:val="true"/>
        </w:rPr>
        <w:t>.</w:t>
      </w:r>
      <w:bookmarkEnd w:id="912"/>
    </w:p>
    <w:p>
      <w:pPr>
        <w:pStyle w:val="Heading6"/>
        <w:numPr>
          <w:ilvl w:val="5"/>
          <w:numId w:val="1"/>
        </w:numPr>
        <w:rPr/>
      </w:pPr>
      <w:bookmarkStart w:id="913" w:name="__RefHeading___Toc8193631_1051229030"/>
      <w:bookmarkStart w:id="914" w:name="_Toc327"/>
      <w:bookmarkEnd w:id="913"/>
      <w:r>
        <w:rPr>
          <w:rtl w:val="true"/>
        </w:rPr>
        <w:t>اشارة</w:t>
      </w:r>
      <w:bookmarkEnd w:id="914"/>
    </w:p>
    <w:p>
      <w:pPr>
        <w:pStyle w:val="BookText"/>
        <w:rPr/>
      </w:pPr>
      <w:r>
        <w:rPr>
          <w:rFonts w:ascii="Amiri" w:hAnsi="Amiri" w:eastAsia="Amiri" w:cs="Amiri"/>
          <w:color w:val="111111"/>
          <w:sz w:val="28"/>
          <w:sz w:val="28"/>
          <w:szCs w:val="28"/>
          <w:rtl w:val="true"/>
          <w:lang w:bidi="ar-SA"/>
        </w:rPr>
        <w:t xml:space="preserve">بحث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الجزء الثامن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 قاعدة تقديم الأيسر ، وجاء في هذا البحث</w:t>
      </w:r>
      <w:r>
        <w:rPr>
          <w:rFonts w:eastAsia="Amiri" w:cs="Amiri" w:ascii="Amiri" w:hAnsi="Amiri"/>
          <w:color w:val="111111"/>
          <w:sz w:val="28"/>
          <w:szCs w:val="28"/>
          <w:rtl w:val="true"/>
          <w:lang w:bidi="ar-SA"/>
        </w:rPr>
        <w:t>:</w:t>
      </w:r>
    </w:p>
    <w:p>
      <w:pPr>
        <w:pStyle w:val="Heading6"/>
        <w:numPr>
          <w:ilvl w:val="5"/>
          <w:numId w:val="1"/>
        </w:numPr>
        <w:rPr/>
      </w:pPr>
      <w:bookmarkStart w:id="915" w:name="__RefHeading___Toc8193633_1051229030"/>
      <w:bookmarkStart w:id="916" w:name="_Toc328"/>
      <w:bookmarkEnd w:id="915"/>
      <w:r>
        <w:rPr>
          <w:rtl w:val="true"/>
        </w:rPr>
        <w:t>قاعدة تقديم الأيسر</w:t>
      </w:r>
      <w:bookmarkEnd w:id="916"/>
    </w:p>
    <w:p>
      <w:pPr>
        <w:pStyle w:val="BookText"/>
        <w:rPr/>
      </w:pPr>
      <w:r>
        <w:rPr>
          <w:rFonts w:ascii="Amiri" w:hAnsi="Amiri" w:eastAsia="Amiri" w:cs="Amiri"/>
          <w:color w:val="111111"/>
          <w:sz w:val="28"/>
          <w:sz w:val="28"/>
          <w:szCs w:val="28"/>
          <w:rtl w:val="true"/>
          <w:lang w:bidi="ar-SA"/>
        </w:rPr>
        <w:t xml:space="preserve">المعروف بين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مراعاة الترتيب في وسائل امتثال الأمر بالمعروف والنهي عن المنكر فيبدأ بأيسر الوسائل، فإن لم تؤثر انتقل إلى التي تليها وهكذا، 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صرح الفاضل وابن سعيد والسيوري والشهيدان وغيرهم على ما حكي عن بعضهم بوجوب مراعاة الأيسر فالأيسر في الأمر بالمعروف والنهي عن المنكر، بل نسبه بعض الأفاضل إلى الشهرة، بل لم أجد من حكى الخلاف في ذلك</w:t>
      </w:r>
      <w:r>
        <w:rPr>
          <w:rFonts w:eastAsia="Amiri" w:cs="Amiri" w:ascii="Amiri" w:hAnsi="Amiri"/>
          <w:color w:val="111111"/>
          <w:sz w:val="28"/>
          <w:szCs w:val="28"/>
          <w:rtl w:val="true"/>
          <w:lang w:bidi="ar-SA"/>
        </w:rPr>
        <w:t>»</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الترتيب تجب مراعاته بين المراتب الثلاث، وفي ضمن كل مرتبة أيضاً، فإذا حصل المطلوب بالكلام اللين فلا يجوز الأمر والنهي بالكلام الخشن، وإذا أمكن النهي عن المنكر بالحيلولة بينه وبين فاعله فلا يجوز ضربه، مع أن الأسلوبين من مرتبة واحدة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عدة أمور ينبغي التعرض لها</w:t>
      </w:r>
      <w:r>
        <w:rPr>
          <w:rFonts w:eastAsia="Amiri" w:cs="Amiri" w:ascii="Amiri" w:hAnsi="Amiri"/>
          <w:color w:val="111111"/>
          <w:sz w:val="28"/>
          <w:szCs w:val="28"/>
          <w:rtl w:val="true"/>
          <w:lang w:bidi="ar-SA"/>
        </w:rPr>
        <w:t>:</w:t>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الترتيب الذي ذكرناه والذي اشتهر في كلمات الفقهاء ليس متفقاً عليه وإن تسالموا على أصل المراتب، فقد ورد اختلاف في ترتيب الوسائل في كلمات الفقهاء فعن الشيخ وابن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أولاً باللسان ثم باليد ثم بالقلب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سلار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باليد أولاً فإن لم يمكن فباللسان، فإن لميمكن </w:t>
      </w:r>
    </w:p>
    <w:p>
      <w:pPr>
        <w:pStyle w:val="BookText"/>
        <w:rPr/>
      </w:pPr>
      <w:r>
        <w:rPr>
          <w:rFonts w:ascii="Amiri" w:hAnsi="Amiri" w:eastAsia="Amiri" w:cs="Amiri"/>
          <w:color w:val="111111"/>
          <w:sz w:val="28"/>
          <w:sz w:val="28"/>
          <w:szCs w:val="28"/>
          <w:rtl w:val="true"/>
          <w:lang w:bidi="ar-SA"/>
        </w:rPr>
        <w:t>فالقلب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وبعضها غير ظاهر في الترتيب أصلاً وإنما يكتفي بذكر وسائل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الحلبي في إشارة السبق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باليد واللسان، فإن فقدت القدرة أو تعذّر الجمع فيه بين ذلك فباللسان والقلب خاصة، فإن لم يمكن الجمع فيه بينهما لأحد الأسباب المانعة فلا بد منه باللسان، ولا يسقط الإنكار به شيء</w:t>
      </w:r>
      <w:r>
        <w:rPr>
          <w:rFonts w:eastAsia="Amiri" w:cs="Amiri" w:ascii="Amiri" w:hAnsi="Amiri"/>
          <w:color w:val="111111"/>
          <w:sz w:val="28"/>
          <w:szCs w:val="28"/>
          <w:rtl w:val="true"/>
          <w:lang w:bidi="ar-SA"/>
        </w:rPr>
        <w:t>»</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الاستدلال عليه</w:t>
      </w:r>
    </w:p>
    <w:p>
      <w:pPr>
        <w:pStyle w:val="BookText"/>
        <w:rPr/>
      </w:pPr>
      <w:r>
        <w:rPr>
          <w:rFonts w:ascii="Amiri" w:hAnsi="Amiri" w:eastAsia="Amiri" w:cs="Amiri"/>
          <w:color w:val="111111"/>
          <w:sz w:val="28"/>
          <w:sz w:val="28"/>
          <w:szCs w:val="28"/>
          <w:rtl w:val="true"/>
          <w:lang w:bidi="ar-SA"/>
        </w:rPr>
        <w:t>ونقرّب الاستدلال على ترتيب المشهور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وهو مخدوش صغروياً لما ذكرناه من الخلاف، وكبروياً لاحتمال استناده إلى الروايات كما سيأتي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فإنها ذكرت المراتب على هذا النحو كالروايات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Style w:val="FootnoteAnchor"/>
          <w:rtl w:val="true"/>
        </w:rPr>
        <w:footnoteReference w:id="115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 هذا الاستدلال غير تام؛ لأن الروايات –مضافاً إلى كون بعضها غير ظاهر في الترتيب أصلاً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كالرواية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1152"/>
      </w:r>
    </w:p>
    <w:p>
      <w:pPr>
        <w:pStyle w:val="BookText"/>
        <w:rPr/>
      </w:pPr>
      <w:r>
        <w:rPr>
          <w:rFonts w:ascii="Amiri" w:hAnsi="Amiri" w:eastAsia="Amiri" w:cs="Amiri"/>
          <w:color w:val="111111"/>
          <w:sz w:val="28"/>
          <w:sz w:val="28"/>
          <w:szCs w:val="28"/>
          <w:rtl w:val="true"/>
          <w:lang w:bidi="ar-SA"/>
        </w:rPr>
        <w:t xml:space="preserve">وأن بعضها غير ظاهر في اللزوم كما هو المفروض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كالروايتين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Style w:val="FootnoteAnchor"/>
          <w:rtl w:val="true"/>
        </w:rPr>
        <w:footnoteReference w:id="1153"/>
      </w:r>
    </w:p>
    <w:p>
      <w:pPr>
        <w:pStyle w:val="BookText"/>
        <w:rPr/>
      </w:pPr>
      <w:r>
        <w:rPr>
          <w:rFonts w:ascii="IRNazanin" w:hAnsi="IRNazanin" w:eastAsia="IRNazanin"/>
          <w:color w:val="111111"/>
          <w:sz w:val="28"/>
          <w:sz w:val="28"/>
          <w:szCs w:val="28"/>
          <w:rtl w:val="true"/>
          <w:lang w:bidi="fa-IR"/>
        </w:rPr>
        <w:t>والمقصود بالرواية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الشريف الرضي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كلام له يجري هذا المجرى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 المنكر للمنكر بقلبه ولسانه ويده فذلك المستكمل لخصال الخير، ومنهم المنكر بلسانه وقلبه التارك بيده فذلك متمسك بخصلتين من خصال الخير، ومضيع خصلة، ومنهم المنكر بقلبه والتارك بيده ولسانه فذلك الذي ضيع أشرف الخصلتين من الثلاث وتمسك بواحدة، ومنهم تارك لإنكار المنكر بلسانه وقلبه ويده فذلك ميت الأحياء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w:t>
      </w:r>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فإنها مختلفة من هذه الناحية، وفيبعضها </w:t>
      </w:r>
    </w:p>
    <w:p>
      <w:pPr>
        <w:pStyle w:val="BookText"/>
        <w:rPr/>
      </w:pPr>
      <w:r>
        <w:rPr>
          <w:rFonts w:ascii="Amiri" w:hAnsi="Amiri" w:eastAsia="Amiri" w:cs="Amiri"/>
          <w:color w:val="111111"/>
          <w:sz w:val="28"/>
          <w:sz w:val="28"/>
          <w:szCs w:val="28"/>
          <w:rtl w:val="true"/>
          <w:lang w:bidi="ar-SA"/>
        </w:rPr>
        <w:t xml:space="preserve">تقديم اللسان ثم القلب ثم اليد، كالرواية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Style w:val="FootnoteAnchor"/>
          <w:rtl w:val="true"/>
        </w:rPr>
        <w:footnoteReference w:id="1154"/>
      </w:r>
    </w:p>
    <w:p>
      <w:pPr>
        <w:pStyle w:val="BookText"/>
        <w:rPr/>
      </w:pPr>
      <w:r>
        <w:rPr>
          <w:rFonts w:ascii="Amiri" w:hAnsi="Amiri" w:eastAsia="Amiri" w:cs="Amiri"/>
          <w:color w:val="111111"/>
          <w:sz w:val="28"/>
          <w:sz w:val="28"/>
          <w:szCs w:val="28"/>
          <w:rtl w:val="true"/>
          <w:lang w:bidi="ar-SA"/>
        </w:rPr>
        <w:t>إذ بدأت بالإنكار باللسان ثم الهجران، وقد ذكروه في مراتب القلب، ثم الإيذاء حتى الترك وهو من مراتب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خبر يحيى الطويل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1155"/>
      </w:r>
    </w:p>
    <w:p>
      <w:pPr>
        <w:pStyle w:val="BookText"/>
        <w:rPr/>
      </w:pPr>
      <w:r>
        <w:rPr>
          <w:rFonts w:ascii="Amiri" w:hAnsi="Amiri" w:eastAsia="Amiri" w:cs="Amiri"/>
          <w:color w:val="111111"/>
          <w:sz w:val="28"/>
          <w:sz w:val="28"/>
          <w:szCs w:val="28"/>
          <w:rtl w:val="true"/>
          <w:lang w:bidi="ar-SA"/>
        </w:rPr>
        <w:t xml:space="preserve">جمع اليد واللسان معاً في مرتبة واحدة، وقدّم بعضها اليد ثم اللسان ثم القلب كما في الروايات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Style w:val="FootnoteAnchor"/>
          <w:rtl w:val="true"/>
        </w:rPr>
        <w:footnoteReference w:id="1156"/>
      </w:r>
    </w:p>
    <w:p>
      <w:pPr>
        <w:pStyle w:val="BookText"/>
        <w:rPr/>
      </w:pPr>
      <w:r>
        <w:rPr>
          <w:rFonts w:ascii="IRNazanin" w:hAnsi="IRNazanin" w:eastAsia="IRNazanin"/>
          <w:color w:val="111111"/>
          <w:sz w:val="28"/>
          <w:sz w:val="28"/>
          <w:szCs w:val="28"/>
          <w:rtl w:val="true"/>
          <w:lang w:bidi="fa-IR"/>
        </w:rPr>
        <w:t xml:space="preserve">اما الرواية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الدعائم عن علي بن الحسين ومحمد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أنهما ذكرا وصية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أوصى إلى ابنه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إليّ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مُرْ بالمعروف وانهَ عن المنكر بيدك فإن لم تستطع فبلسانك فإن لم تستطع فبقلبك وإلا فلا تلومنّ إلا 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مستدرك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والرواية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العوالي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رأى منكم منكراً فليغيّره بيده فإن لم يستطع فبلسانه فإن لم يستطع فبقلبه ليس وراء ذلك شيء من 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صحاح العامة بالإسناد عن أبي سعيد الخدري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وذلك أضعف 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مستدرك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w:t>
      </w:r>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يمكن افتراض التعارض بينها والترجيح بموافقة الكتاب، ويستفاد هنا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طَائِفَتَانِ مِنَ الْمُؤْمِنِينَ اقْتَتَلُوا فَأَصْلِحُوا بَيْنَهُمَا فَإِن بَغَتْ إِحْدَاهُمَا عَلَى الأُخْرَى فَقَاتِلُوا الَّتِي تَبْغِي حَتَّى تَفِيءَ إلى أَمْرِ اللَّهِ فَإِن فَاءتْ فَأَصْلِحُوا بَيْنَهُمَا بِالْعَدْلِ وَأَقْسِطُوا إِنَّ اللَّهَ يُحِبُّ الْمُقْسِطِينَ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 أن الآية قدّمت الإصلاح أولاً وهو عنوان واسع يشمل المراتب القلبية أولاً كالهجران والصد وعبوس الوجه ثم المراتب اللسانية لإنشاء الأمر والنهي، فإن لم تؤثر التجأ إلى مراتب اليد ومنها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والآية تؤدي هذا المقدار من الدلالة وإن لم يصح الاستدلال بها على الترتيب التفصيلي الذي ذكروه، وبذلك نتجنب الإشكال الذي أثير على من استدل</w:t>
      </w:r>
      <w:r>
        <w:rPr>
          <w:rStyle w:val="FootnoteAnchor"/>
          <w:rtl w:val="true"/>
        </w:rPr>
        <w:footnoteReference w:id="1157"/>
      </w:r>
    </w:p>
    <w:p>
      <w:pPr>
        <w:pStyle w:val="BookText"/>
        <w:rPr/>
      </w:pPr>
      <w:r>
        <w:rPr>
          <w:rFonts w:ascii="Amiri" w:hAnsi="Amiri" w:eastAsia="Amiri" w:cs="Amiri"/>
          <w:color w:val="111111"/>
          <w:sz w:val="28"/>
          <w:sz w:val="28"/>
          <w:szCs w:val="28"/>
          <w:rtl w:val="true"/>
          <w:lang w:bidi="ar-SA"/>
        </w:rPr>
        <w:t>بالآية على لزوم التدرج بالمراتب فأشكل عليه بأن الآية أجنبية لأنها خاصة بالباغين الخارجين عن الطاعة ولا تعم كل موارد الأمر بالمعروف والنهي عن المنكر، أما نحن فجعلناها مرجحاً فيمكن أن تكون وافية بهذا المقدار لأن فحواها ذلك، لكن هذا في الحقيقة استدلال بنفس الآية</w:t>
      </w:r>
      <w:r>
        <w:rPr>
          <w:rFonts w:eastAsia="Amiri" w:cs="Amiri" w:ascii="Amiri" w:hAnsi="Amiri"/>
          <w:color w:val="111111"/>
          <w:sz w:val="28"/>
          <w:szCs w:val="28"/>
          <w:rtl w:val="true"/>
          <w:lang w:bidi="ar-SA"/>
        </w:rPr>
        <w:t>.</w:t>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وللمحقق العراقي مسلك آخر في جواب الإشكال،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المعنى –أي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نقل بمشروعيته في غير مورد البغي، لكن هذا المقدار لا ينافي الاستشهاد به على تقديم مراتب الأسهل على الأشد، فيلاحظ مثل هذه المراتب في جميع المقامات، المتعلقة بزجر الغير وردعهعن </w:t>
      </w:r>
    </w:p>
    <w:p>
      <w:pPr>
        <w:pStyle w:val="BookText"/>
        <w:rPr/>
      </w:pPr>
      <w:r>
        <w:rPr>
          <w:rFonts w:ascii="Amiri" w:hAnsi="Amiri" w:eastAsia="Amiri" w:cs="Amiri"/>
          <w:color w:val="111111"/>
          <w:sz w:val="28"/>
          <w:sz w:val="28"/>
          <w:szCs w:val="28"/>
          <w:rtl w:val="true"/>
          <w:lang w:bidi="ar-SA"/>
        </w:rPr>
        <w:t>المنكر بالفحوى</w:t>
      </w:r>
      <w:r>
        <w:rPr>
          <w:rFonts w:eastAsia="Amiri" w:cs="Amiri" w:ascii="Amiri" w:hAnsi="Amiri"/>
          <w:color w:val="111111"/>
          <w:sz w:val="28"/>
          <w:szCs w:val="28"/>
          <w:rtl w:val="true"/>
          <w:lang w:bidi="ar-SA"/>
        </w:rPr>
        <w:t>»</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الاستفادة الإجمالية لا تصلح للاستدلال على ترتيب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قاعدة حرمة إيذاء المؤمن وإضراره المقتصر في الخروج منها على مقدار ما ترتفع به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وتقريبه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التعارض بين إطلاق الأمر بالمعروف وبين النهي عن الإضرار بالمؤمن والإيذاء له من وجه، والمعلوم من تخصيص الأخير بالأول حال الترتيب الذي ذكرناه، وحينئذٍ فالمتجه الاقتصار فيهما على أول مراتب الإنكار بالقلب على وجه يظهر للمأمور والمنهي ذلك، ثم المرتبة الأخرى منه الأيسر فالأيسر إلى أن تنتهي مراتبه بأقسام الهجر وتغير الوجه ونحوهما فإن لم يجد استعمل اللسان أيضاً بمراتبه الأيسر فالأيسر، فإن لم يجد استعمل اليد أيضاً بمراتبها</w:t>
      </w:r>
      <w:r>
        <w:rPr>
          <w:rFonts w:eastAsia="Amiri" w:cs="Amiri" w:ascii="Amiri" w:hAnsi="Amiri"/>
          <w:color w:val="111111"/>
          <w:sz w:val="28"/>
          <w:szCs w:val="28"/>
          <w:rtl w:val="true"/>
          <w:lang w:bidi="ar-SA"/>
        </w:rPr>
        <w:t>»</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التقريب خاص بما لو اجتمع مع الأمر والنهي عنوان محرم فلزوم الترتيب غير مطلق</w:t>
      </w:r>
      <w:r>
        <w:rPr>
          <w:rFonts w:eastAsia="Amiri" w:cs="Amiri" w:ascii="Amiri" w:hAnsi="Amiri"/>
          <w:color w:val="111111"/>
          <w:sz w:val="28"/>
          <w:szCs w:val="28"/>
          <w:rtl w:val="true"/>
          <w:lang w:bidi="ar-SA"/>
        </w:rPr>
        <w:t>.</w:t>
      </w:r>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يبين لنا وجه تقديم إطلاقات الأمر والنهي مع أن التعارض من وجه، إذ يمكن أن يكون التقديم بالعكس ونتيجته عدم جواز استعمال أي وسيلة محرمة في الأمر والنهي، ويمكن أن يقال بعدم وقوع التعارض أصلاً لأنه بين إطلاقين –كما هو مبنى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فيرجع إلى أدلة أخرى أو الأصل العملي، ويمكن اعتبار المورد من التزاحم </w:t>
      </w:r>
    </w:p>
    <w:p>
      <w:pPr>
        <w:pStyle w:val="BookText"/>
        <w:rPr/>
      </w:pPr>
      <w:r>
        <w:rPr>
          <w:rFonts w:ascii="Amiri" w:hAnsi="Amiri" w:eastAsia="Amiri" w:cs="Amiri"/>
          <w:color w:val="111111"/>
          <w:sz w:val="28"/>
          <w:sz w:val="28"/>
          <w:szCs w:val="28"/>
          <w:rtl w:val="true"/>
          <w:lang w:bidi="ar-SA"/>
        </w:rPr>
        <w:t>فيقدَّم الأهم ملاكاً كما قرّبنا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المتشرعة ويمكن أن يكون هذا الوجه مدركياً مبنياً على الوجه السابق، ويأتي عليه ما قلناه هناك من اختصاص لزومه بحالةالاجتماع مع عنوان محرم، نعم يمكن تطوير هذا الوجه لتجنّب المدركية فيعنون بسيرة العقلاء وبنائهم على ذلك فيكون دليلاً مستقلاً ولكن مفاده غير مطلق أيضاً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ولله الحمد والمنة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الاخرة </w:t>
      </w:r>
      <w:r>
        <w:rPr>
          <w:rFonts w:eastAsia="Amiri" w:cs="Amiri" w:ascii="Amiri" w:hAnsi="Amiri"/>
          <w:color w:val="111111"/>
          <w:sz w:val="28"/>
          <w:szCs w:val="28"/>
          <w:lang w:bidi="ar-SA"/>
        </w:rPr>
        <w:t>1442</w:t>
      </w:r>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بقلم حيدر السعدي</w:t>
      </w:r>
      <w:r>
        <w:rPr>
          <w:rFonts w:eastAsia="Amiri" w:cs="Amiri" w:ascii="Amiri" w:hAnsi="Amiri"/>
          <w:color w:val="111111"/>
          <w:sz w:val="28"/>
          <w:szCs w:val="28"/>
          <w:rtl w:val="true"/>
          <w:lang w:bidi="ar-SA"/>
        </w:rPr>
        <w:t xml:space="preserve">. </w:t>
      </w:r>
      <w:bookmarkStart w:id="917" w:name="pg8133_63337"/>
    </w:p>
    <w:p>
      <w:pPr>
        <w:pStyle w:val="Heading2"/>
        <w:numPr>
          <w:ilvl w:val="1"/>
          <w:numId w:val="1"/>
        </w:numPr>
        <w:rPr/>
      </w:pPr>
      <w:bookmarkStart w:id="918" w:name="__RefHeading___Toc8193635_1051229030"/>
      <w:bookmarkStart w:id="919" w:name="_Toc329"/>
      <w:bookmarkEnd w:id="917"/>
      <w:bookmarkEnd w:id="918"/>
      <w:r>
        <w:rPr>
          <w:rtl w:val="true"/>
        </w:rPr>
        <w:t>الفهرس</w:t>
      </w:r>
      <w:bookmarkEnd w:id="919"/>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تسمية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الفقه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المطالب الأصولية المفصلة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الوجوب الكفائي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القول المختار</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مقتضى الأصل عند الشك في العينية والكفائية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الأصل اللفظي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وجه لمنع جريان الاستصحاب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تقريبان آخران للاستصحاب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الاشتغال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البراءة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المطلب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الدوران بين التخصص والتخصيص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الرأي المختار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المطلب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التسامح في ادلة السنن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تنبيهات في مفاد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المطلب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في حجية الاستصحاب بين الشك في الرافع والشك في المقتضي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المباني والتطبيقات الأصولية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تمهيد المطالب الأصولية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الشرعي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المسألة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انحاء أوامر ونواهي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إلزامية بعض الافعال ضمن فعل مستحب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الكراهة بالمعنى الاعم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مدخلية العلم بإرادة المولى في تنجيز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الوجوب لا يثبت الاستحباب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الأوامر على الاحكام الوضعية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الاستحباب والكراهة الوضعيان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الفساد والبطلان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المسألة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الوجوب حتى مع انعدام موضوعه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المسألة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تأثير الزمان والمكان على الحكم الشرعي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المسألة 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الاحكام على نحو القضية الحقيقية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المسألة 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فتوى الفقيه وحكم الحاكم الشرعي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المسألة الثالثة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احكام الولي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المسألة الرابعة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حدود ولاية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المسألة الخامسة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اعمال ولاية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المسألة السادسة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شروط إنفاذ الفقيه لولايته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المسألة السابعة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احكام الحاكم الشرعي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أنواع الحكم بثبوت الهلال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جراب النورة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إلقاء الخلاف بين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معايير صدور الخبر تقية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تقية في تحديد الموضوعات الخارجية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اخر للتقية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تبعية الدلالة الالتزامية للمطابقية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الاكتشافات العلمية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المجتهد الى مجتهد اخر</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تصرف الشارع في الحقائق التكوينية والعرفية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حديث لا ضرر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المباشرة والتسبيب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الحقيقة الشرعية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عاشرًا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والأعم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اللفظ في اكثر من معنى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القاعدة العامة للاستنباط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الأدلة المحرزة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دلالات الدليل الشرعي اللفظي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الأوامر والنواهي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امر بسيط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الامر على الوجوب بحكم العقل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إشكالية دلالة الترخيص المنفصل على الاستحباب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لفظ الوجوب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الامر بصيغة النهي والعكس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الامر بالأمر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الاطلاق مدلول لفظي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الشمولية المستفادة بالاطلاق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الاطلاق على عدم القيد المنفصل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الاطلاق عند إرادة المقَيَّد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الاطلاق والقرائن اللبية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مانعية الارتكاز للإطلاق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الاطلاق الذاتي واللحاظي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الوجوب التعييني بالاطلاق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المسألة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الأفعال على الزمان بالاطلاق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المسألة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الاطلاق السكوتي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المسألة 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الاطلاق المقامي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المسألة 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الاطلاق المقامي دليل 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المسألة الثالثة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الكل و إردة الجزء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المسألة الرابعة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اللفظ على الفرد النادر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المسألة الخامسة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الانصراف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المسألة السادسة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غلبة الوجود الخارجي لا توجب الانصراف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المسألة السابعة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الانصراف لا يصلح للتقيد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المسألة الثامنة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التفريعات لا تقيد الاحكام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المسألة التاسعة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مناسبات الحكم والموضوع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المسألة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التقييد بالمفهوم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المسألة الحادية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الموضوع بمتعلق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المسألة الثانية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نكات التقييد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المسألة الثالثة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الاطلاق بمعنى الظهور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العموم</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تنقيح المناط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استظهار المناط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المنصوصة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الفارق بين العلة والملاك والحكمة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بعدم الفصل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ضابط التعميم بالأولوية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التجريد عن الخصوصية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الفرد المشكوك دخوله تحت الخاص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المسألة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الافراد الدال على عدم العموم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المسألة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بالعام في الشبهة المصداقية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المسألة 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 العام الاستغراقي والمجموعي في كلام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 المرجعية غير 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المخصص المجمل مفهوما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المسألة الثالثة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المورد لا يخصص الوارد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المسألة الرابعة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التطبيق لا يخصص العموم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المسألة الخامسة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الكتاب بالسنة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تقدم الجزاء على الشرط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المسوق لتحقق الموضوع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التفصيلية بقوة الشرطية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مفهوم الغاية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الوصف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sectPr>
          <w:footerReference w:type="default" r:id="rId7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استفادة المفهوم من القرينة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الوصف واللقب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الدليل الشرعي غير اللفظي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اتصال السيرة بزمن المعصوم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سيرة المتشرعة على المرجوح احيانًا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شرطية الالتفات للحكم الشرعي في حجية السيرة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فعل المعصوم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إثبات صدور الدليل الشرعي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خبر الواحد بدلالة السيرة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خبر الثقة في الاحكام والموضوعات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الاطمئنان بالصدور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الاستفاضة في اثبات الصدور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تاثير إعراض الاصحاب على حجية الخبر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التفريق بين الإعراض وعدم العمل بالظاهر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الشهرة لا تجبر ضعف السند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الشهرة الجابرة لضعف السند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IRNazanin" w:hAnsi="IRNazanin" w:eastAsia="IRNazanin"/>
          <w:color w:val="111111"/>
          <w:sz w:val="28"/>
          <w:sz w:val="28"/>
          <w:szCs w:val="28"/>
          <w:rtl w:val="true"/>
          <w:lang w:bidi="fa-IR"/>
        </w:rPr>
        <w:t>الظهور</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عصر النص هو الحجة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ظروف النص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علاقة الظهور بالمعاني الاصطلاحية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تاثير وحدة السياق في الظهور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الاستشهاد بالكبرى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الاحتمال والاجمال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sectPr>
          <w:footerReference w:type="default" r:id="rId7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أصالة الحقيقة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الألفاظ في مفاهيمها لا في مصاديقها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المسألة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مرجعية العرف في ظهور الألفاظ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المسألة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الظهور لمانع ثبوتي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المسألة 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 والنقيصة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الدليل المحرز غير الشرعي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الإجماع والشهرة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المسألة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 الحجة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والشهرة المدركيان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والشهرة المدركيان لا يكون منشؤهما رواية ضعيفة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 الأوسع من النصوص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 المتأخر عن زمن المعصوم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أصحاب الائمة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 المركب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 المنقول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المسألة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 السابق على النص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المسألة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الاجماعية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المسألة 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 الكاشف عن الدليل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الدليل العقلي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الخلط بين مقدمات الواجب والوجوب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تحصيل مقدمات الوجوب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sectPr>
          <w:footerReference w:type="default" r:id="rId7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انحاء شروط الوجوب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مناقشة كبرى التكليف بمقدمات الواجب وعدم المسؤولية عن مقدمات الوجوب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الحرمة الغيرية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المستحب يقتضي الكراهة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إشكالية المقدمات المفوتة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المسألة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التخييري من اقسام الواجب لا الوجوب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المسألة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العيني والكفائي من تقسيمات الواجب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المسألة 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افضلية بعض أفراد الوجوب التخييري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المسألة 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قاعدة الاشتغال اليقيني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المسألة الثالثة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العقلي للنهي عن المنكر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المسألة الرابعة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ثمرة البحث في كون الوجوب عقلياً أو شرعياً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المسألة الخامسة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التزاحم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المسألة السادسة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التزاحم والطولية الرتبية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المسألة السابعة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الأهم ملاكا على المهم وان لم يكن الأهم الزاميا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المسألة الثامنة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الغاية تبرر الوسيلة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المسألة التاسعة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وجوبين على موضوع 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المسألة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استحالة الفرد المردد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المسألة الحادية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العلم ليست ذاتية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المسألة الثانية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 التقديري للأحكام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sectPr>
          <w:footerReference w:type="default" r:id="rId7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الثالثة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الواجبات النظامية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المسألة الرابعة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الترجيح بالسبق الى العمل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الأصول العملية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اصل البراءة الشرعية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البراءة في الاحكام الوضعية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البراءة عن جوب إصابة عمود الجمرة في 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اجراء الأصول في الألفاظ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أصالة الاحتياط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اكتفاء الشارع بالموافقة الاحتمالية للعلم الإجمالي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الإجمالي في التدريجيات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انحلال العلم الإجمالي الكبير بالعلم الصغير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الإجمالي بعد امتثال احد أطرافه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انقلاب الأصل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الدوران بين التعيين والتخيير العقلي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الدوران بين التعيين والتخيير الشرعي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الاحتمال المنجز للاحتياط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المسألة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اجمالي بين تكليف الشخص وتكليف 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ascii="IRNazanin" w:hAnsi="IRNazanin" w:eastAsia="IRNazanin"/>
          <w:color w:val="111111"/>
          <w:sz w:val="28"/>
          <w:sz w:val="28"/>
          <w:szCs w:val="28"/>
          <w:rtl w:val="true"/>
          <w:lang w:bidi="fa-IR"/>
        </w:rPr>
        <w:t>الاستصحاب</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ادلة حجية الاستصحاب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القضية المتيقنة والمشكوكة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الأثر الشرعي للمستصحَب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الاستصحاب التعليقي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الاحكام الكلية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p>
    <w:p>
      <w:pPr>
        <w:sectPr>
          <w:footerReference w:type="default" r:id="rId7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الأصول العملية الجارية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الكلي من القسم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الاستصحاب في التدريجيات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العدم الازلي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المسألة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السببي والمسببي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المسألة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مجهولي 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المسألة 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الاستصحاب في الموضوع المشتبه مفهوما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p>
    <w:p>
      <w:pPr>
        <w:pStyle w:val="BookText"/>
        <w:rPr/>
      </w:pPr>
      <w:r>
        <w:rPr>
          <w:rFonts w:ascii="Amiri" w:hAnsi="Amiri" w:eastAsia="Amiri" w:cs="Amiri"/>
          <w:color w:val="111111"/>
          <w:sz w:val="28"/>
          <w:sz w:val="28"/>
          <w:szCs w:val="28"/>
          <w:rtl w:val="true"/>
          <w:lang w:bidi="ar-SA"/>
        </w:rPr>
        <w:t>المسألة 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المثبت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المسألة الثالثة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الاستصحاب في مبادئ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المسألة الرابعة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الاستصحاب القهقرائي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p>
    <w:p>
      <w:pPr>
        <w:pStyle w:val="BookText"/>
        <w:rPr/>
      </w:pPr>
      <w:r>
        <w:rPr>
          <w:rFonts w:ascii="IRNazanin" w:hAnsi="IRNazanin" w:eastAsia="IRNazanin"/>
          <w:color w:val="111111"/>
          <w:sz w:val="28"/>
          <w:sz w:val="28"/>
          <w:szCs w:val="28"/>
          <w:rtl w:val="true"/>
          <w:lang w:bidi="fa-IR"/>
        </w:rPr>
        <w:t>التعارض</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تقنين الاحكام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الاحكام الدستورية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p>
    <w:p>
      <w:p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التفريط بروايات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p>
    <w:p>
      <w:pPr>
        <w:pStyle w:val="BookText"/>
        <w:rPr/>
      </w:pPr>
      <w:r>
        <w:rPr>
          <w:rFonts w:ascii="Amiri" w:hAnsi="Amiri" w:eastAsia="Amiri" w:cs="Amiri"/>
          <w:color w:val="111111"/>
          <w:sz w:val="28"/>
          <w:sz w:val="28"/>
          <w:szCs w:val="28"/>
          <w:rtl w:val="true"/>
          <w:lang w:bidi="ar-SA"/>
        </w:rPr>
        <w:t>التعارض غير المستقر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حجية الجمع العرفي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الاستنباطي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المرجح المساوي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المرجح المساوي على مرجحات باب التعارض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تعارض الشرطيتين بالعموم من وجه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أولى من الطرح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w:t>
      </w:r>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الظاهر على النص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w:t>
      </w:r>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الحكومة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531</w:t>
      </w:r>
    </w:p>
    <w:p>
      <w:pPr>
        <w:sectPr>
          <w:footerReference w:type="default" r:id="rId7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المانع على المقتضي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المسألة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تعارض المطلقين في إطلاقهما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w:t>
      </w:r>
    </w:p>
    <w:p>
      <w:pPr>
        <w:pStyle w:val="BookText"/>
        <w:rPr/>
      </w:pPr>
      <w:r>
        <w:rPr>
          <w:rFonts w:ascii="Amiri" w:hAnsi="Amiri" w:eastAsia="Amiri" w:cs="Amiri"/>
          <w:color w:val="111111"/>
          <w:sz w:val="28"/>
          <w:sz w:val="28"/>
          <w:szCs w:val="28"/>
          <w:rtl w:val="true"/>
          <w:lang w:bidi="ar-SA"/>
        </w:rPr>
        <w:t>المسألة 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انقلاب النسبة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w:t>
      </w:r>
    </w:p>
    <w:p>
      <w:pPr>
        <w:pStyle w:val="BookText"/>
        <w:rPr/>
      </w:pPr>
      <w:r>
        <w:rPr>
          <w:rFonts w:ascii="Amiri" w:hAnsi="Amiri" w:eastAsia="Amiri" w:cs="Amiri"/>
          <w:color w:val="111111"/>
          <w:sz w:val="28"/>
          <w:sz w:val="28"/>
          <w:szCs w:val="28"/>
          <w:rtl w:val="true"/>
          <w:lang w:bidi="ar-SA"/>
        </w:rPr>
        <w:t>المسألة 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المدار في التقييد والتخصيص على الظهور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w:t>
      </w:r>
    </w:p>
    <w:p>
      <w:pPr>
        <w:pStyle w:val="BookText"/>
        <w:rPr/>
      </w:pPr>
      <w:r>
        <w:rPr>
          <w:rFonts w:ascii="IRNazanin" w:hAnsi="IRNazanin" w:eastAsia="IRNazanin"/>
          <w:color w:val="111111"/>
          <w:sz w:val="28"/>
          <w:sz w:val="28"/>
          <w:szCs w:val="28"/>
          <w:rtl w:val="true"/>
          <w:lang w:bidi="fa-IR"/>
        </w:rPr>
        <w:t>التعارض المستقر</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التعارض فرع الحجية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الشهرة المرجحة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مدخلية الشهرة الفتوائية في الترجيح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546</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الترجيح بين الأكثر والأقل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547</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موافقة الكتاب الكريم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p>
    <w:p>
      <w:pPr>
        <w:pStyle w:val="BookText"/>
        <w:rPr/>
      </w:pPr>
      <w:r>
        <w:rPr>
          <w:rFonts w:ascii="Amiri" w:hAnsi="Amiri" w:eastAsia="Amiri" w:cs="Amiri"/>
          <w:color w:val="111111"/>
          <w:sz w:val="28"/>
          <w:sz w:val="28"/>
          <w:szCs w:val="28"/>
          <w:rtl w:val="true"/>
          <w:lang w:bidi="ar-SA"/>
        </w:rPr>
        <w:t>الترجيح بموافقة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550</w:t>
      </w:r>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الترجيح بموافقة لكتاب على باقي المرجحات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w:t>
      </w:r>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 الروايات المختلفة في التحديدات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w:t>
      </w:r>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للعموم الفوقاني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559</w:t>
      </w:r>
    </w:p>
    <w:p>
      <w:pPr>
        <w:pStyle w:val="BookText"/>
        <w:rPr/>
      </w:pPr>
      <w:r>
        <w:rPr>
          <w:rFonts w:ascii="Amiri" w:hAnsi="Amiri" w:eastAsia="Amiri" w:cs="Amiri"/>
          <w:color w:val="111111"/>
          <w:sz w:val="28"/>
          <w:sz w:val="28"/>
          <w:szCs w:val="28"/>
          <w:rtl w:val="true"/>
          <w:lang w:bidi="ar-SA"/>
        </w:rPr>
        <w:t>المسألة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الترجيح لخبر الامام المتأخر زمانًا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561</w:t>
      </w:r>
    </w:p>
    <w:p>
      <w:pPr>
        <w:pStyle w:val="BookText"/>
        <w:rPr/>
      </w:pPr>
      <w:r>
        <w:rPr>
          <w:rFonts w:ascii="Amiri" w:hAnsi="Amiri" w:eastAsia="Amiri" w:cs="Amiri"/>
          <w:color w:val="111111"/>
          <w:sz w:val="28"/>
          <w:sz w:val="28"/>
          <w:szCs w:val="28"/>
          <w:rtl w:val="true"/>
          <w:lang w:bidi="ar-SA"/>
        </w:rPr>
        <w:t>المسألة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تعارض الدليلين المثبتين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563</w:t>
      </w:r>
    </w:p>
    <w:p>
      <w:pPr>
        <w:pStyle w:val="BookText"/>
        <w:rPr/>
      </w:pPr>
      <w:r>
        <w:rPr>
          <w:rFonts w:ascii="Amiri" w:hAnsi="Amiri" w:eastAsia="Amiri" w:cs="Amiri"/>
          <w:color w:val="111111"/>
          <w:sz w:val="28"/>
          <w:sz w:val="28"/>
          <w:szCs w:val="28"/>
          <w:rtl w:val="true"/>
          <w:lang w:bidi="ar-SA"/>
        </w:rPr>
        <w:t>المسألة 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أصالة الجهة على أصالة الظهور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568</w:t>
      </w:r>
    </w:p>
    <w:p>
      <w:pPr>
        <w:pStyle w:val="BookText"/>
        <w:rPr/>
      </w:pPr>
      <w:r>
        <w:rPr>
          <w:rFonts w:ascii="Amiri" w:hAnsi="Amiri" w:eastAsia="Amiri" w:cs="Amiri"/>
          <w:color w:val="111111"/>
          <w:sz w:val="28"/>
          <w:sz w:val="28"/>
          <w:szCs w:val="28"/>
          <w:rtl w:val="true"/>
          <w:lang w:bidi="ar-SA"/>
        </w:rPr>
        <w:t>خاتمة في القواعد الفقهية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569</w:t>
      </w:r>
    </w:p>
    <w:p>
      <w:pPr>
        <w:pStyle w:val="BookText"/>
        <w:rPr/>
      </w:pPr>
      <w:r>
        <w:rPr>
          <w:rFonts w:ascii="Amiri" w:hAnsi="Amiri" w:eastAsia="Amiri" w:cs="Amiri"/>
          <w:color w:val="111111"/>
          <w:sz w:val="28"/>
          <w:sz w:val="28"/>
          <w:szCs w:val="28"/>
          <w:rtl w:val="true"/>
          <w:lang w:bidi="ar-SA"/>
        </w:rPr>
        <w:t>القاعدة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في الفروج في الجملة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570</w:t>
      </w:r>
    </w:p>
    <w:p>
      <w:pPr>
        <w:pStyle w:val="BookText"/>
        <w:rPr/>
      </w:pPr>
      <w:r>
        <w:rPr>
          <w:rFonts w:ascii="Amiri" w:hAnsi="Amiri" w:eastAsia="Amiri" w:cs="Amiri"/>
          <w:color w:val="111111"/>
          <w:sz w:val="28"/>
          <w:sz w:val="28"/>
          <w:szCs w:val="28"/>
          <w:rtl w:val="true"/>
          <w:lang w:bidi="ar-SA"/>
        </w:rPr>
        <w:t>أصالة الاحتياط في الفروج في الجملة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570</w:t>
      </w:r>
    </w:p>
    <w:p>
      <w:pPr>
        <w:pStyle w:val="BookText"/>
        <w:rPr/>
      </w:pPr>
      <w:r>
        <w:rPr>
          <w:rFonts w:ascii="Amiri" w:hAnsi="Amiri" w:eastAsia="Amiri" w:cs="Amiri"/>
          <w:color w:val="111111"/>
          <w:sz w:val="28"/>
          <w:sz w:val="28"/>
          <w:szCs w:val="28"/>
          <w:rtl w:val="true"/>
          <w:lang w:bidi="ar-SA"/>
        </w:rPr>
        <w:t>القاعدة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للفراش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582</w:t>
      </w:r>
    </w:p>
    <w:p>
      <w:pPr>
        <w:pStyle w:val="BookText"/>
        <w:rPr/>
      </w:pPr>
      <w:r>
        <w:rPr>
          <w:rFonts w:ascii="Amiri" w:hAnsi="Amiri" w:eastAsia="Amiri" w:cs="Amiri"/>
          <w:color w:val="111111"/>
          <w:sz w:val="28"/>
          <w:sz w:val="28"/>
          <w:szCs w:val="28"/>
          <w:rtl w:val="true"/>
          <w:lang w:bidi="ar-SA"/>
        </w:rPr>
        <w:t>قاعدة الولد للفراش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582</w:t>
      </w:r>
    </w:p>
    <w:p>
      <w:pPr>
        <w:pStyle w:val="BookText"/>
        <w:rPr/>
      </w:pPr>
      <w:r>
        <w:rPr>
          <w:rFonts w:ascii="Amiri" w:hAnsi="Amiri" w:eastAsia="Amiri" w:cs="Amiri"/>
          <w:color w:val="111111"/>
          <w:sz w:val="28"/>
          <w:sz w:val="28"/>
          <w:szCs w:val="28"/>
          <w:rtl w:val="true"/>
          <w:lang w:bidi="ar-SA"/>
        </w:rPr>
        <w:t>القاعدة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ملكية الإنسان لأعضائه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598</w:t>
      </w:r>
    </w:p>
    <w:p>
      <w:pPr>
        <w:sectPr>
          <w:footerReference w:type="default" r:id="rId7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حكم قطع أعضاء 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القاعدة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اشتراط المالية في المبيع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مناقشة قاعدة لا بيع الا في 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الميتة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الأعيان النجسة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المني والبويضة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658</w:t>
      </w:r>
    </w:p>
    <w:p>
      <w:pPr>
        <w:pStyle w:val="BookText"/>
        <w:rPr/>
      </w:pPr>
      <w:r>
        <w:rPr>
          <w:rFonts w:ascii="Amiri" w:hAnsi="Amiri" w:eastAsia="Amiri" w:cs="Amiri"/>
          <w:color w:val="111111"/>
          <w:sz w:val="28"/>
          <w:sz w:val="28"/>
          <w:szCs w:val="28"/>
          <w:rtl w:val="true"/>
          <w:lang w:bidi="ar-SA"/>
        </w:rPr>
        <w:t>القاعدة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ضمان الطبيب وذوي المهن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662</w:t>
      </w:r>
    </w:p>
    <w:p>
      <w:pPr>
        <w:pStyle w:val="BookText"/>
        <w:rPr/>
      </w:pPr>
      <w:r>
        <w:rPr>
          <w:rFonts w:ascii="Amiri" w:hAnsi="Amiri" w:eastAsia="Amiri" w:cs="Amiri"/>
          <w:color w:val="111111"/>
          <w:sz w:val="28"/>
          <w:sz w:val="28"/>
          <w:szCs w:val="28"/>
          <w:rtl w:val="true"/>
          <w:lang w:bidi="ar-SA"/>
        </w:rPr>
        <w:t>القاعدة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اخذ العوض على الواجبات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695</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الارتزاق</w:t>
      </w:r>
      <w:r>
        <w:rPr>
          <w:rFonts w:eastAsia="IRNazanin" w:cs="IRNazanin"/>
          <w:color w:val="111111"/>
          <w:sz w:val="28"/>
          <w:szCs w:val="28"/>
          <w:rtl w:val="true"/>
          <w:lang w:bidi="fa-IR"/>
        </w:rPr>
        <w:t xml:space="preserve">...... </w:t>
      </w:r>
      <w:r>
        <w:rPr>
          <w:rFonts w:eastAsia="IRNazanin" w:cs="IRNazanin"/>
          <w:color w:val="111111"/>
          <w:sz w:val="28"/>
          <w:szCs w:val="28"/>
          <w:lang w:bidi="fa-IR"/>
        </w:rPr>
        <w:t>697</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704</w:t>
      </w:r>
    </w:p>
    <w:p>
      <w:pPr>
        <w:pStyle w:val="BookText"/>
        <w:rPr/>
      </w:pPr>
      <w:r>
        <w:rPr>
          <w:rFonts w:ascii="IRNazanin" w:hAnsi="IRNazanin" w:eastAsia="IRNazanin"/>
          <w:color w:val="111111"/>
          <w:sz w:val="28"/>
          <w:sz w:val="28"/>
          <w:szCs w:val="28"/>
          <w:rtl w:val="true"/>
          <w:lang w:bidi="fa-IR"/>
        </w:rPr>
        <w:t>الاستدلال على عدم الجواز</w:t>
      </w:r>
      <w:r>
        <w:rPr>
          <w:rFonts w:eastAsia="IRNazanin" w:cs="IRNazanin"/>
          <w:color w:val="111111"/>
          <w:sz w:val="28"/>
          <w:szCs w:val="28"/>
          <w:rtl w:val="true"/>
          <w:lang w:bidi="fa-IR"/>
        </w:rPr>
        <w:t xml:space="preserve">:.... </w:t>
      </w:r>
      <w:r>
        <w:rPr>
          <w:rFonts w:eastAsia="IRNazanin" w:cs="IRNazanin"/>
          <w:color w:val="111111"/>
          <w:sz w:val="28"/>
          <w:szCs w:val="28"/>
          <w:lang w:bidi="fa-IR"/>
        </w:rPr>
        <w:t>709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الصنف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الموانع الذاتية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الصنف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الموانع العرضية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الأجرة على الواجبات النظامية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760</w:t>
      </w:r>
    </w:p>
    <w:p>
      <w:pPr>
        <w:pStyle w:val="BookText"/>
        <w:rPr/>
      </w:pPr>
      <w:r>
        <w:rPr>
          <w:rFonts w:ascii="Amiri" w:hAnsi="Amiri" w:eastAsia="Amiri" w:cs="Amiri"/>
          <w:color w:val="111111"/>
          <w:sz w:val="28"/>
          <w:sz w:val="28"/>
          <w:szCs w:val="28"/>
          <w:rtl w:val="true"/>
          <w:lang w:bidi="ar-SA"/>
        </w:rPr>
        <w:t>نتيجة البحث وخلاصة الاستدلال على الجواز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770</w:t>
      </w:r>
    </w:p>
    <w:p>
      <w:pPr>
        <w:pStyle w:val="BookText"/>
        <w:rPr/>
      </w:pPr>
      <w:r>
        <w:rPr>
          <w:rFonts w:ascii="Amiri" w:hAnsi="Amiri" w:eastAsia="Amiri" w:cs="Amiri"/>
          <w:color w:val="111111"/>
          <w:sz w:val="28"/>
          <w:sz w:val="28"/>
          <w:szCs w:val="28"/>
          <w:rtl w:val="true"/>
          <w:lang w:bidi="ar-SA"/>
        </w:rPr>
        <w:t>القاعدة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تقديم الأيسر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773</w:t>
      </w:r>
    </w:p>
    <w:p>
      <w:pPr>
        <w:pStyle w:val="BookText"/>
        <w:rPr/>
      </w:pPr>
      <w:r>
        <w:rPr>
          <w:rFonts w:ascii="Amiri" w:hAnsi="Amiri" w:eastAsia="Amiri" w:cs="Amiri"/>
          <w:color w:val="111111"/>
          <w:sz w:val="28"/>
          <w:sz w:val="28"/>
          <w:szCs w:val="28"/>
          <w:rtl w:val="true"/>
          <w:lang w:bidi="ar-SA"/>
        </w:rPr>
        <w:t>قاعدة تقديم الأيسر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773</w:t>
      </w:r>
    </w:p>
    <w:p>
      <w:pPr>
        <w:sectPr>
          <w:footerReference w:type="default" r:id="rId7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 xml:space="preserve">....... </w:t>
      </w:r>
      <w:r>
        <w:rPr>
          <w:rFonts w:eastAsia="IRNazanin" w:cs="IRNazanin"/>
          <w:color w:val="111111"/>
          <w:sz w:val="28"/>
          <w:szCs w:val="28"/>
          <w:lang w:bidi="fa-IR"/>
        </w:rPr>
        <w:t>779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9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9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784</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785</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786</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787</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788</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789</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790</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جميع تخريجاتنا لموسوعة فقه الخلاف ستكون على وفق الطبعة الثانية منها ان شاء الله تعالى</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2/424</w:t>
      </w:r>
      <w:r>
        <w:rPr>
          <w:rFonts w:ascii="IRNazanin" w:hAnsi="IRNazanin" w:eastAsia="IRNazanin"/>
          <w:b w:val="false"/>
          <w:b w:val="false"/>
          <w:bCs w:val="false"/>
          <w:i w:val="false"/>
          <w:i w:val="false"/>
          <w:iCs w:val="false"/>
          <w:color w:val="333333"/>
          <w:sz w:val="20"/>
          <w:sz w:val="20"/>
          <w:szCs w:val="20"/>
          <w:rtl w:val="true"/>
        </w:rPr>
        <w:t>، المباحث الأصولية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2/423</w:t>
      </w:r>
      <w:r>
        <w:rPr>
          <w:rFonts w:ascii="IRNazanin" w:hAnsi="IRNazanin" w:eastAsia="IRNazanin"/>
          <w:b w:val="false"/>
          <w:b w:val="false"/>
          <w:bCs w:val="false"/>
          <w:i w:val="false"/>
          <w:i w:val="false"/>
          <w:iCs w:val="false"/>
          <w:color w:val="333333"/>
          <w:sz w:val="20"/>
          <w:sz w:val="20"/>
          <w:szCs w:val="20"/>
          <w:rtl w:val="true"/>
        </w:rPr>
        <w:t xml:space="preserve">، وهي تقريرات السيد محمود الهاشمي لبحوث السيد الشهيد الصدر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الموسوعة الكاملة لآثار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45/237</w:t>
      </w:r>
      <w:r>
        <w:rPr>
          <w:rFonts w:ascii="IRNazanin" w:hAnsi="IRNazanin" w:eastAsia="IRNazanin"/>
          <w:b w:val="false"/>
          <w:b w:val="false"/>
          <w:bCs w:val="false"/>
          <w:i w:val="false"/>
          <w:i w:val="false"/>
          <w:iCs w:val="false"/>
          <w:color w:val="333333"/>
          <w:sz w:val="20"/>
          <w:sz w:val="20"/>
          <w:szCs w:val="20"/>
          <w:rtl w:val="true"/>
        </w:rPr>
        <w:t>، وتبنّاه أيضاً الشيخ الفياض في المباحث الأصولية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دامت بركاته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توجّه التكليف لأي أحد، يعني عدم إلزام أي مكلف بالتحرك نحو الامتثال، وبالتالي عدم امتثال أي واجب كفائي، وفيه مخالفة قطعية للوجوب نظير إجراء أصالة البراءة في أطراف العلم الإجمالي</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45/238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راجع تفسير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21/361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الامر بالمعروف والنهي عن المنكر ، الأبواب من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او موسوعة فقه الخلاف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الأطروحة التي أوردناها في الفائدة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التفسير الثالث</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النقطة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2/428</w:t>
      </w:r>
      <w:r>
        <w:rPr>
          <w:rFonts w:ascii="IRNazanin" w:hAnsi="IRNazanin" w:eastAsia="IRNazanin"/>
          <w:b w:val="false"/>
          <w:b w:val="false"/>
          <w:bCs w:val="false"/>
          <w:i w:val="false"/>
          <w:i w:val="false"/>
          <w:iCs w:val="false"/>
          <w:color w:val="333333"/>
          <w:sz w:val="20"/>
          <w:sz w:val="20"/>
          <w:szCs w:val="20"/>
          <w:rtl w:val="true"/>
        </w:rPr>
        <w:t>، منهج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4/206</w:t>
      </w:r>
      <w:r>
        <w:rPr>
          <w:rFonts w:ascii="IRNazanin" w:hAnsi="IRNazanin" w:eastAsia="IRNazanin"/>
          <w:b w:val="false"/>
          <w:b w:val="false"/>
          <w:bCs w:val="false"/>
          <w:i w:val="false"/>
          <w:i w:val="false"/>
          <w:iCs w:val="false"/>
          <w:color w:val="333333"/>
          <w:sz w:val="20"/>
          <w:sz w:val="20"/>
          <w:szCs w:val="20"/>
          <w:rtl w:val="true"/>
        </w:rPr>
        <w:t>، المباحث الأصولية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يراد به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منهاج الصالحين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مسالة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يختص وجوب الأمر بالمعروف والنهي عن المنكر بصنف من الناس دون صنف، بل يجب عند اجتماع الشرائط المذكورة على العلماء وغيرهم، والعدول والفسّاق، والسلطان والرعية، والأغنياء والفقراء، وقد تقدّم أنه إن قام به واحد سقط الوجوب عن غيره وإن لم يقم به أحد أثم الجميع، واستحقوا العقاب</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 – الشيخ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الاحتجاج – الشيخ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الدليل اللفظي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 المؤمنين في توادّهم وتراحمهم وتعاطفهم مثل الجسد، إذا اشتكى منه عضو تداعى له سائر الجسد بالسهر والحمى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وورد نفس المضمون بألفاظ قريبة في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109/173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دامت بركاته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قال في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الروايات أن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أثار هذه الحقيقة العقلائية ليدعو الناس للعمل بهذه الفريضة، فقد روي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 القائم على حدود الله والمرهن فيها كمثل قومٍ استهموا على سفينة في البحر فأصاب بعضهم أعلاها وأصاب بعضهم أسفلها –فقال الذين في أسفلها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إننا ننقبها من أسفلها فنستقي، فإن أخذوا على أيديهم فمعنوهم نجوا جميعاً، وإن تركوهم غرقوا جميعاً</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خطاب المرحلة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خطاب المرحلة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المباحث الأصولية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حكي عن السيد الشهيد الصدر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سياق الكلام عن شبهة القضاء ونقض الغرض</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الأمر بالمعروف والنهي عن المنكر، أبواب الأمر والنهي وما يناسبهما،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مما يؤسف له خلوّ الذهنية الفقهية والأصولية المشهورية من هذه المنطلقات للتفكير حتى تحوّلت هذه البحوث إلى قوالب فارغة من ذكر الله تعالى والعبرة والموعظة</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موسوعة فقه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ومثاله من الرياضيات المضاعف المشترك الأصغر والقاسم المشترك الأعظم، فالجامع كالأول لأنه يتضمن العناصر المشتركة وغير المشتركة، أما صرف الوجود والقدر المشترك فهو كالثاني لأنه يقتصر على العناصر المشتركة</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المباحث الأصولية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5/204</w:t>
      </w:r>
      <w:r>
        <w:rPr>
          <w:rFonts w:ascii="IRNazanin" w:hAnsi="IRNazanin" w:eastAsia="IRNazanin"/>
          <w:b w:val="false"/>
          <w:b w:val="false"/>
          <w:bCs w:val="false"/>
          <w:i w:val="false"/>
          <w:i w:val="false"/>
          <w:iCs w:val="false"/>
          <w:color w:val="333333"/>
          <w:sz w:val="20"/>
          <w:sz w:val="20"/>
          <w:szCs w:val="20"/>
          <w:rtl w:val="true"/>
        </w:rPr>
        <w:t>، مباحث الدليل اللفظي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2/424</w:t>
      </w:r>
      <w:r>
        <w:rPr>
          <w:rFonts w:ascii="IRNazanin" w:hAnsi="IRNazanin" w:eastAsia="IRNazanin"/>
          <w:b w:val="false"/>
          <w:b w:val="false"/>
          <w:bCs w:val="false"/>
          <w:i w:val="false"/>
          <w:i w:val="false"/>
          <w:iCs w:val="false"/>
          <w:color w:val="333333"/>
          <w:sz w:val="20"/>
          <w:sz w:val="20"/>
          <w:szCs w:val="20"/>
          <w:rtl w:val="true"/>
        </w:rPr>
        <w:t xml:space="preserve">، محاضرات في أصول الفقه من الموسوعة الكاملة لآثار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45/238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المباحث الأصولية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وتنمّيَ</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أنه إذا صحّ هذا فهو بلحاظ المجعول، أما بلحاظ الجعل فهي متعددة وقد قرّبنا جملة منها، وافتراض وحدة الملاك مع تعدد الجعل هو الذي أورد الإشكال عليهم</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يوجد جامع حقيقي بين فعل هذا الفرد وذاك حتى يتعلق التكليف به، وقد تقدّم أن تعلق التكليف بهذا الجامع غير مفهوم عرفاً ولا شرعاً، نعم يوجد قدر مشترك بينها وهو المعبَّر عنه بصرف الوجود، ويوجد التباس في عبارته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الجامع وبين الطبيعي، فإن الطبيعي المعبَّر عنه بصرف الوجود هو القدر المشترك بين الأفراد، إذ فعل كل فرد هو طبيعي الفعل زائداً خصوصية صدوره من هذا الفرد أو ذاك، أما الجامع فهو شامل للطبيعي وخصوصيات الأفراد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النكتة تصحح كون الوجوب على نحو العموم الاستغراقي كما قرّبنا، أما كونه إيجاباً مشروطاً فيحتاج إلى بيان نكتة غيرها</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صحّ هذا لصحّح أطروحة الوجوبات المشروطة من أصلها ولا حاجة حينئذٍ إلى نكتة لتبريره باعتباره على خلاف الأصل، ومما يكشف عن عدم رجوعها لبّاً إلى إيجاب واحد فيما لو لم يمتثل أحد فإن الوجوب يكون منجزاً بحق الجميع فتكون الوجوبات متعددة فعلاً</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سقوطه بانتفاء موضوعه، ولا يكفي فيه امتثال الآخر، كما تقدم إيضاحه في النقطة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إذ قد يتحقق الملاك بالنسبة للممتثل ولا يتحقق بلحاظ الفعل، كما لو قام الفرد بواجبه إزاء حالة معينة لكن الفعل المطلوب للمولى لم يتحقق لعدم امتثال الآخرين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ونحوه يظهر أن دافعهم لهذه الصياغات والأطروحات التخلص من الإشكال الذي حررناه وإن لم يصرحوا بذلك، وقد أجبنا بعدم ورود الإشكال أصلاً، فلا حاجة لهذه الأطروحات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جوابه في التعليقة الثالثة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النكتة تصحّح كون الوجوب على نحو العموم الاستغراقي ولا تصلح لتوجيه كونه مشروطاً</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التعليقة الثامنة عدم صحة النكتة الثبوتية</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المباحث الأصولية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خطاب المرحلة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لشيخنا الأستاذ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دامت بركاته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أظن ان العينية هي التي تقتضيها نفس طبيعة الواجبات ؟ فكان جوابه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الكفائية تقتضي ذلك وهي محل البحث وهذه الطبيعة نقصد بها انتفاء موضوع التكليف عند قيام البعض به ، فيسقط عن الاخرين بسقوط موضوعه ، وليس لان الوجوب يقتضي ذلك</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للاخوند الخراساني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طبعة مؤسسة ال البيت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الكاملة لآثار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المباحث الأصولية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حقائق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المباحث الأصولية للشيخ الفياض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أصول الفقه من الموسوعة الكاملة للسيد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المباحث الأصولية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منتقى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منتقى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2/114</w:t>
      </w:r>
      <w:r>
        <w:rPr>
          <w:rFonts w:ascii="IRNazanin" w:hAnsi="IRNazanin" w:eastAsia="IRNazanin"/>
          <w:b w:val="false"/>
          <w:b w:val="false"/>
          <w:bCs w:val="false"/>
          <w:i w:val="false"/>
          <w:i w:val="false"/>
          <w:iCs w:val="false"/>
          <w:color w:val="333333"/>
          <w:sz w:val="20"/>
          <w:sz w:val="20"/>
          <w:szCs w:val="20"/>
          <w:rtl w:val="true"/>
        </w:rPr>
        <w:t>، منتقى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راجعت تقريراتي فوجدته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يذكر استصحاب الكلي مجرداً عن وصفه بالثاني أو الثالث</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عرضت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الدرس فكرة متعلقة بهذا الباب قلت فيها كما هو مسجل في هامش تقريراتي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جريان بعض القواعد والأصول في الألفاظ مما انقدح في ذهني سابقاً ولم أحقق فيه، فمثلاً ذكر الشهيد في اللمعة خلافاً حاصله أن المبطل للصلاة هل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البكاء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والأول خروج الدمع بصوت، والثاني بدونه، فعندنا هنا قدر متيقن من اللفظ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نأخذ به ونجري البراءة من الزائد وهي الهمزة، كما نفعل في دوران الأمر بين الأقل والأكثر</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تقريراتي لبحثه الشريف، محاضرة بتأريخ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1/1417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المباحث الأصولية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الكاملة لآثار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في الهامش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لكنه لم يصرّح هناك بالدوران بين العيني والكفائي</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المباحث الأصولية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المباحث الأصولية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المباحث الأصولية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46/391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الأصول للسيد الحكيم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46/391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بقي شيء</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حقائق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تقريرات الشهيد 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بقلم الشيخ حسن عبد الساتر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الأصول للعراقي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تقريرات الشيخ حسن عبد الساتر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علم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تقريرات الشهيد 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بقلم السيد محمود الهاشمي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5/322</w:t>
      </w:r>
      <w:r>
        <w:rPr>
          <w:rFonts w:ascii="IRNazanin" w:hAnsi="IRNazanin" w:eastAsia="IRNazanin"/>
          <w:b w:val="false"/>
          <w:b w:val="false"/>
          <w:bCs w:val="false"/>
          <w:i w:val="false"/>
          <w:i w:val="false"/>
          <w:iCs w:val="false"/>
          <w:color w:val="333333"/>
          <w:sz w:val="20"/>
          <w:sz w:val="20"/>
          <w:szCs w:val="20"/>
          <w:rtl w:val="true"/>
        </w:rPr>
        <w:t xml:space="preserve">، الطبعة الأولى، مسألة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 الصلاة في عرفة لمن أقام بمكة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تجدها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 أبواب مقدمة العبادات، باب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تأريخ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8/296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القواعد الفقهية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الميرزا حسن البجنوردي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القاعدة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فقه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للراغب،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بلغ</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نقلها عنهم في القواعد الفقهية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حسن البجنوردي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الأربع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أصولية وفقهية، تقريرات بحث الشيخ جعفر سبحاني، الرسالة الرابعة، بقلم علي أكبر الكلانتري الشيرازي،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2/667</w:t>
      </w:r>
      <w:r>
        <w:rPr>
          <w:rFonts w:ascii="IRNazanin" w:hAnsi="IRNazanin" w:eastAsia="IRNazanin"/>
          <w:b w:val="false"/>
          <w:b w:val="false"/>
          <w:bCs w:val="false"/>
          <w:i w:val="false"/>
          <w:i w:val="false"/>
          <w:iCs w:val="false"/>
          <w:color w:val="333333"/>
          <w:sz w:val="20"/>
          <w:sz w:val="20"/>
          <w:szCs w:val="20"/>
          <w:rtl w:val="true"/>
        </w:rPr>
        <w:t>، 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موسوعة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48/23</w:t>
      </w:r>
      <w:r>
        <w:rPr>
          <w:rFonts w:ascii="IRNazanin" w:hAnsi="IRNazanin" w:eastAsia="IRNazanin"/>
          <w:b w:val="false"/>
          <w:b w:val="false"/>
          <w:bCs w:val="false"/>
          <w:i w:val="false"/>
          <w:i w:val="false"/>
          <w:iCs w:val="false"/>
          <w:color w:val="333333"/>
          <w:sz w:val="20"/>
          <w:sz w:val="20"/>
          <w:szCs w:val="20"/>
          <w:rtl w:val="true"/>
        </w:rPr>
        <w:t>، بحوث في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6/154</w:t>
      </w:r>
      <w:r>
        <w:rPr>
          <w:rFonts w:ascii="IRNazanin" w:hAnsi="IRNazanin" w:eastAsia="IRNazanin"/>
          <w:b w:val="false"/>
          <w:b w:val="false"/>
          <w:bCs w:val="false"/>
          <w:i w:val="false"/>
          <w:i w:val="false"/>
          <w:iCs w:val="false"/>
          <w:color w:val="333333"/>
          <w:sz w:val="20"/>
          <w:sz w:val="20"/>
          <w:szCs w:val="20"/>
          <w:rtl w:val="true"/>
        </w:rPr>
        <w:t>، منتهى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2/510</w:t>
      </w:r>
      <w:r>
        <w:rPr>
          <w:rFonts w:ascii="IRNazanin" w:hAnsi="IRNazanin" w:eastAsia="IRNazanin"/>
          <w:b w:val="false"/>
          <w:b w:val="false"/>
          <w:bCs w:val="false"/>
          <w:i w:val="false"/>
          <w:i w:val="false"/>
          <w:iCs w:val="false"/>
          <w:color w:val="333333"/>
          <w:sz w:val="20"/>
          <w:sz w:val="20"/>
          <w:szCs w:val="20"/>
          <w:rtl w:val="true"/>
        </w:rPr>
        <w:t>، منتقى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المباحث الأصولية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12/415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صحيحة زرارة،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ينام وهو على وضوء، أتوجب الخفقة والخفقتان عليه الوضوء؟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زرارة؟ قد تنام العين ولا ينام القلب والأذن، فإذا نامت العين، والأذن، والقلب، وجب الوضوء،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حرك على جنبه شيء ولم يعلم به؟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حتى يستيقن أنه قد نام، حتى يجيء من ذلك أمر بيّن، وإلا فإنه على يقين من وضوئه، ولا تنقض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ينقض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 أبداً بالشك، وإنما تنقضه بيقين 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1/245</w:t>
      </w:r>
      <w:r>
        <w:rPr>
          <w:rFonts w:ascii="IRNazanin" w:hAnsi="IRNazanin" w:eastAsia="IRNazanin"/>
          <w:b w:val="false"/>
          <w:b w:val="false"/>
          <w:bCs w:val="false"/>
          <w:i w:val="false"/>
          <w:i w:val="false"/>
          <w:iCs w:val="false"/>
          <w:color w:val="333333"/>
          <w:sz w:val="20"/>
          <w:sz w:val="20"/>
          <w:szCs w:val="20"/>
          <w:rtl w:val="true"/>
        </w:rPr>
        <w:t xml:space="preserve">، أبواب نواقض الوضوء،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نفس الباب عن عبد الله بن بكير عن أبيه،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لي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استيقنت أنك قد أحدثت فتوضأ، وإياك أن تحدث وضوءاً أبداً حتى تستيقن أنك قد أحدثت</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3/521</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النجاسات، باب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ردّ صاحب الكفاية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الشيخ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وتبعه 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مؤسسة أهل البيت</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3/521</w:t>
      </w:r>
      <w:r>
        <w:rPr>
          <w:rFonts w:ascii="IRNazanin" w:hAnsi="IRNazanin" w:eastAsia="IRNazanin"/>
          <w:b w:val="false"/>
          <w:b w:val="false"/>
          <w:bCs w:val="false"/>
          <w:i w:val="false"/>
          <w:i w:val="false"/>
          <w:iCs w:val="false"/>
          <w:color w:val="333333"/>
          <w:sz w:val="20"/>
          <w:sz w:val="20"/>
          <w:szCs w:val="20"/>
          <w:rtl w:val="true"/>
        </w:rPr>
        <w:t xml:space="preserve">، أبواب النجاسات، باب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طبعة مؤسسة أهل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أبواب الخلل الواقع في الصلاة،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الأصول، مصدر سابق، ق</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بحوث في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العلل التي تُروى عن الفضل بن شاذان النيسابوري رضي الله عنه ويُذكر أنه سمعها من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جُعل يوم الفطر العيد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 بحث السيد السيستاني، محاضرة بتأريخ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السيد الحائري لأبحاث السيد محمد باقر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المباحث الأصولية للشيخ الفياض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12/228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 مباحث الأصول، مصدر 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1/247</w:t>
      </w:r>
      <w:r>
        <w:rPr>
          <w:rFonts w:ascii="IRNazanin" w:hAnsi="IRNazanin" w:eastAsia="IRNazanin"/>
          <w:b w:val="false"/>
          <w:b w:val="false"/>
          <w:bCs w:val="false"/>
          <w:i w:val="false"/>
          <w:i w:val="false"/>
          <w:iCs w:val="false"/>
          <w:color w:val="333333"/>
          <w:sz w:val="20"/>
          <w:sz w:val="20"/>
          <w:szCs w:val="20"/>
          <w:rtl w:val="true"/>
        </w:rPr>
        <w:t xml:space="preserve">، أبواب نواقض الوضوء،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وأوردها بنفس التحريف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بحوث في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ولعله نقلها عن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عرض الشهيد الصدر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جملة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مباحث الأصول</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المباحث الأصولية للشيخ الفياض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12/419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المباحث الأصولية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12/420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يونس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لهشام ان أصحابك يحكون ان أبا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سرّح إليك مع عبد الرحمن بن الحجاج أن أمسك عن الكلام، والى هشام بن سالم، قال أتاني عبد الرحمن بن الحجاج وقال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لك أبو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أمسك عن الكلام هذه الأيام فقال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فأمسكتُ عن الكلام أصلاً حتى مات المهدي، وإنما قال لي هذه الأيام فأمسكت حتى مات المهدي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للسيد الخوئي 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هشام بن الحكم عن رجال الكشي</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النكاح، أبواب المتعة،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معاوية بن عمار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حين يُنحر ان يؤخذ من كل بدنة جذوة من لحمها ثم تطرح في برمة، ثم تطبخ فأكل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وحسيا مرقها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الحج، أبواب الذبح، 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سليم بن قيس الهلالي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فحمد الله وأثنى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لقد أمرت الناس ان لا يجتمعوا في شهر رمضان الا في فريضة وأعلمتهم ان اجتماعهم في النوافل بدعة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الصلاة، أبواب نافلة شهر رمضان،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أمر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يطاف عن المبطون والكسير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836</w:t>
      </w:r>
      <w:r>
        <w:rPr>
          <w:rFonts w:ascii="IRNazanin" w:hAnsi="IRNazanin" w:eastAsia="IRNazanin"/>
          <w:b w:val="false"/>
          <w:b w:val="false"/>
          <w:bCs w:val="false"/>
          <w:i w:val="false"/>
          <w:i w:val="false"/>
          <w:iCs w:val="false"/>
          <w:color w:val="333333"/>
          <w:sz w:val="20"/>
          <w:sz w:val="20"/>
          <w:szCs w:val="20"/>
          <w:rtl w:val="true"/>
        </w:rPr>
        <w:t xml:space="preserve">، كتاب الحج،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الطواف حديث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الطوسي</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سعيد البصري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قلت لأبي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نازل في بني عدي ومؤذنهم وإمامهم وجميع أهل المسجد عثمانية يتبرأون منكم ومن شيعتكم وأنا نازل فيهم فما ترى في الصلاة خلف الإمام؟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 خلفه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واحتسب بما تسمع ولو قدمت البصرة لقد سألك الفضيل بن يسار وأخبرته بما أفتيك فتأخذ بقول الفضيل وتدع قولي، قال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فقدمت البصرة فأخبرت فضيلاً بما قال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أعلم بما قال ولكني سمعته وسمعت أباه يقولان لا تعتد بالصلاة خلف الناصب اقرأ لنفسك كأنك وحدك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فأخذت بقول الفضيل وتركت قول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كتاب الصلاة، باب أحكام الجماعة،ح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بها صحيحة محمد بن قيس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شهد عند الامام شاهدان أنهما رأيا الهلال منذ ثلاثين يوما أمر الامام بالافطار ذلك اليوم إذا كانا شهدا قبل زوال الشمس، وإن شهدا بعد زوال الشمس أمر بافطار ذلك اليوم وأخر الصلاة إلى الغد فصلى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الأنصاري في المكاسب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طبعة النجف بتعليق المرحوم السيد محمد كلانتر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من وظائف المجتهد النظر في الموضوعات المستنبطة وما تقدم منا من تقريبه على قاعدة اللطف</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ان غلاف الكبسولة المستعملة كدواء مصنوعة من مواد محرّمة</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كتاب الذبائح والصيد،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5528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أبواب المتعة،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الكشي بسنده عن يونس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أصحابك يحكون أن أبا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سرّح إليك مع عبد الرحمن بن الحجاج أن أمسك عن الكلام، وإلى هشام بن سالم، قال أتاني عبد الرحمن بن الحجاج وقال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لك أبو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أمسك عن الكلام هذه الأيام فقال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فأمسكتُ عن الكلام أصلاً حتى مات المهدي، وإنما قال لي هذه الأيام فأمسكت حتى مات المهدي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معاوية بن عمار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حين يُنحر ان يؤخذ من كل بدنة جذوة من لحمها ثم تطرح في برمة، ثم تطبخ فأكل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وحسيا مرقها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الحج، ابواب الذبح، 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سليم بن قيس الهلالي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فحمد الله وأثنى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لقد أمرت الناس أن لا يجتمعوا في شهر رمضان إلا في فريضة وأعلمتهم أن اجتماعهم في النوافل بدعة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الصلاة، أبواب نافلة شهر رمضان،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أمر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يطاف عن المبطون والكسير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5/836</w:t>
      </w:r>
      <w:r>
        <w:rPr>
          <w:rFonts w:ascii="IRNazanin" w:hAnsi="IRNazanin" w:eastAsia="IRNazanin"/>
          <w:b w:val="false"/>
          <w:b w:val="false"/>
          <w:bCs w:val="false"/>
          <w:i w:val="false"/>
          <w:i w:val="false"/>
          <w:iCs w:val="false"/>
          <w:color w:val="333333"/>
          <w:sz w:val="20"/>
          <w:sz w:val="20"/>
          <w:szCs w:val="20"/>
          <w:rtl w:val="true"/>
        </w:rPr>
        <w:t xml:space="preserve">، كتاب الحج،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الطواف حديث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كالذي رواه علي بن سعيد البصري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قلت لأبي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نازل في بني عدي ومؤذنهم وإمامهم وجميع أهل المسجد عثمانية يتبرأون منكم ومن شيعتكم وأنا نازل فيهم فما ترى في الصلاة خلف الإمام؟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 خلفه،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واحتسب بما تسمع ولو قدمت البصرة لقد سألك الفضيل بن يسار وأخبرته بما أفتيك فتأخذ بقول الفضيل وتدع قولي، قال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فقدمت البصرة فأخبرت فضيلاً بما قال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أعلم بما قال ولكني سمعته وسمعت أباه يقولان لا تعتد بالصلاة خلف الناصب اقرأ لنفسك كأنك وحدك،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فأخذت بقول الفضيل وتركت قول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كتاب الصلاة، باب أحكام الجماعة،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للشيخ المنتظري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2/423</w:t>
      </w:r>
      <w:r>
        <w:rPr>
          <w:rFonts w:ascii="IRNazanin" w:hAnsi="IRNazanin" w:eastAsia="IRNazanin"/>
          <w:b w:val="false"/>
          <w:b w:val="false"/>
          <w:bCs w:val="false"/>
          <w:i w:val="false"/>
          <w:i w:val="false"/>
          <w:iCs w:val="false"/>
          <w:color w:val="333333"/>
          <w:sz w:val="20"/>
          <w:sz w:val="20"/>
          <w:szCs w:val="20"/>
          <w:rtl w:val="true"/>
        </w:rPr>
        <w:t xml:space="preserve">، وهي تقريرات السيد محمود الهاشمي لبحوث السيد الشهيد الصدر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16/228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أبواب النجاسات، 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موثقة عمار عن ابي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تصل في بيت فيه خمر ولا مسكر ، لان الملائكة لا تدخله ، ولا تصل في ثوب قد أصابه خمر او مسكر حتى تغسله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الأطعمة والأشربة، أبواب الأشربة المحرمة،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أبواب النجاسات،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الصدر الثاني كما أعرفه، طبعة 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أحكام المساجد،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 والتهذيب</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مكان المصلي،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ما يسجد عليه،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والفوائد للشهيد الأول، تحقيق السيد عبد الهادي الحكيم، القاعدة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والفوائد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الأول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أول كتاب القضاء</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مصادر الروايتين وغيرهما في تفسير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صحيفة الصادقين والمجلد التاسع من كتاب خطاب المرحلة</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مصادرها في تفسير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هذه المبادئ تدخل في ما يسمى بالعناوين الثانوية ومنها ما يعمل بها الفقهاء لإيمانهم بها وجداناً وإن لم يقننوا المسألة كما فعلنا، مثلاً من يشترط في كفاية رؤية الهلال في بلد لثبوته في بلد آخر أن يكون البلدان متقاربين ومتحدين في الأفق فإذا رؤي في دبي أو أبو ظبي لا يثبت في العراق لعدم تحقق الشرط، لكنه إذا ثبت في مشهد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شمال شرق إيران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يثبت في عموم إيران ومنها بندر عباس مثلاً في جنوب غرب إيران مع أن المسافة الفاصلة في الثاني أكثر من الأول فلماذا يثبت في الثاني دون الأول؟ فهذا الفقيه خاضع في وجدانه لمبدأ وحدة كلمة الشعب والدولة على سعتها</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طلبت منه أن يقضي حقي، وفي المعاني وتفسير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استقصيت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بلغ بالمسألة النهاية في طلبها، وهو الأقرب لمضمون الرواية</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ومعاني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وتفسير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5/201</w:t>
      </w:r>
      <w:r>
        <w:rPr>
          <w:rFonts w:ascii="IRNazanin" w:hAnsi="IRNazanin" w:eastAsia="IRNazanin"/>
          <w:b w:val="false"/>
          <w:b w:val="false"/>
          <w:bCs w:val="false"/>
          <w:i w:val="false"/>
          <w:i w:val="false"/>
          <w:iCs w:val="false"/>
          <w:color w:val="333333"/>
          <w:sz w:val="20"/>
          <w:sz w:val="20"/>
          <w:szCs w:val="20"/>
          <w:rtl w:val="true"/>
        </w:rPr>
        <w:t>، وفي المعاني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ولكنهم خافوا الاستقصاء والمداقّة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الحساب بدقة</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19/267</w:t>
      </w:r>
      <w:r>
        <w:rPr>
          <w:rFonts w:ascii="IRNazanin" w:hAnsi="IRNazanin" w:eastAsia="IRNazanin"/>
          <w:b w:val="false"/>
          <w:b w:val="false"/>
          <w:bCs w:val="false"/>
          <w:i w:val="false"/>
          <w:i w:val="false"/>
          <w:iCs w:val="false"/>
          <w:color w:val="333333"/>
          <w:sz w:val="20"/>
          <w:sz w:val="20"/>
          <w:szCs w:val="20"/>
          <w:rtl w:val="true"/>
        </w:rPr>
        <w:t xml:space="preserve">، كتاب الوصايا،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13/478</w:t>
      </w:r>
      <w:r>
        <w:rPr>
          <w:rFonts w:ascii="IRNazanin" w:hAnsi="IRNazanin" w:eastAsia="IRNazanin"/>
          <w:b w:val="false"/>
          <w:b w:val="false"/>
          <w:bCs w:val="false"/>
          <w:i w:val="false"/>
          <w:i w:val="false"/>
          <w:iCs w:val="false"/>
          <w:color w:val="333333"/>
          <w:sz w:val="20"/>
          <w:sz w:val="20"/>
          <w:szCs w:val="20"/>
          <w:rtl w:val="true"/>
        </w:rPr>
        <w:t xml:space="preserve">، أبواب السعي،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خطبة عيد الأضحى لسنة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ويخافون سوء الحساب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المجلد التاسع من موسوعة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خطاب المرحلة</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26/137</w:t>
      </w:r>
      <w:r>
        <w:rPr>
          <w:rFonts w:ascii="IRNazanin" w:hAnsi="IRNazanin" w:eastAsia="IRNazanin"/>
          <w:b w:val="false"/>
          <w:b w:val="false"/>
          <w:bCs w:val="false"/>
          <w:i w:val="false"/>
          <w:i w:val="false"/>
          <w:iCs w:val="false"/>
          <w:color w:val="333333"/>
          <w:sz w:val="20"/>
          <w:sz w:val="20"/>
          <w:szCs w:val="20"/>
          <w:rtl w:val="true"/>
        </w:rPr>
        <w:t>، أبواب ميراث الأبوين والأولاد،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13/137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كتاب المواريث، 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أخ وجد،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ميراث من علا من الآباء وهبط من الأولاد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كتاب الذبائح والصيد،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5528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أبواب المتعة،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الكشي بسنده عن يونس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أصحابك يحكون أن أبا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سرّح إليك مع عبد الرحمن بن الحجاج أن أمسك عن الكلام، وإلى هشام بن سالم، قال أتاني عبد الرحمن بن الحجاج وقال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لك أبو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أمسك عن الكلام هذه الأيام فقال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فأمسكتُ عن الكلام أصلاً حتى مات المهدي، وإنما قال لي هذه الأيام فأمسكت حتى مات المهدي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البيع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بحث الحكومة الإسلامية وولاية الفقيه</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الرواية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أبواب جهاد العدو، باب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البيع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كالروايات التي تتحدث عن تعليق وجوب دفع الخمس حتى إشعار آخر أو تغيير مقداره إلى نصف السدس لمراعاة أوضاع الشيعة كما في رواية علي بن مهزيار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الخمس، أبواب ما يجب فيه الخمس،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تغيير نوع الكفارة بحسب الظروف كالذي ورد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رجل يكون عليه بدنة واجبة في فداء،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يجد بدنة فسبع شياه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الذبح، 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افترضنا أنه إجراء مولوي لقضية واقعة في الخارج وليس تبليغاًً لحكم شرعي في البديل، فهنا تقتضي المصلحة العامة شيئاً، فالمعصوم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يستطيع هنا أن يشرِّع البدائل أو يتصرف في الحكم الأولي، لكن الولي الفقيه لا يرى من صلاحياته إجراء هذه التصرفات من دون دليل شرعي، كما لا يستطيع منع الحجاج من ذبح الهدي في منى وإلزامهم بالذبح في بلدانهم للاستفادة من مئات آلاف الماشية وفيها مصلحة أكيدة</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وراء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وراء لبفقه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البيع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ولاية الفقيه والحكومة الإسلامية</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البيع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ولاية الفقيه والحكومة الإسلامية</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السيد كاظم الحائري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المرجعية والقيادة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السيد الخميني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الحكم الولائي يتقدم حتى على الأحكام الأولية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في شرحه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يختص حكم الولي بالأحكام الثانوية ودائرة المباحات بل يتعداها ويتقدم حتى على الأحكام الإلزامية الأولية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كالأمر بمخالفة الحكم الشرعي أو إيقاف العمل بالواجب الشرعي، وحاول أن يجيب عن إشكال الأمر ببيع الدار من دون رضا المالك ومنع الحج مع توفر الاستطاعة فلم تغنِ إجابته من جوع، لكنه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رجع وفسَّر قول السيد الخميني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بالحدود التي ذكرناها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ليس مقصوده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للفقيه الحق مثلاً في إسقاط أصل الصلاة أو الصوم أو الحج عن الناس، بل له حق تشخيص التزاحمات بين الأحكام الأولية في القضايا الاجتماعية عند وقوعها، ومن ثم له حق تشخيص الأولويات منها وتقديمها على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ينافي ما ذكره أولاً لأن التصرف كان ضمن العنوان الثانوي الموجب للتزاحم، فيدخل في الحدود التي ذكرناها لصلاحيات الولي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ونترك التفصيل إلى بحث مستقل عن ولاية الفقيه إن شاء الله تعالى</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الخطبة الشقشقية</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خطاب المرحلة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الصوم، أبواب أحكام شهر رمضان،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الفتاوى الواضحة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من الموسوعة الكاملة للسيد الخوئي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الاجتهاد والتقليد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الكاملة للسيد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9/243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تعاليق مبسوطة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صحيحة محمد بن مسلم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سألته عن الحرث ما يزكى منها،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 والشعير والذرة والدخن والأرز والسلت والعدس والسمسم كل هذا يزكّى وأشباهه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تهذيب الاحكام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صحيحة أبي بصير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قلت لأبي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في الأرز شيء؟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المدينة لم تكن يومئذٍ أرض أرز فيقال فيه ولكنه قد جعل فيه، وكيف لا يكون فيه وعامة خراج العراق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معتبرة زرارة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قلت لأبي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الذرة شيء؟ 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الذرة والعدس والسلت والحبوب فيها مثل ما في الحنطة والشعير، وكل ما كيل بالصاع فبلغ الأوساق التي تجب فيها الزكاة فعليه فيه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صحيحة محمد بن إسماعيل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قلت لأبي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لنا رطبة وأرزاً فما الذي علينا فيهما؟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الرطبة فليس عليك فيها شيء، وأما الأرز فما سقت السماء العشر، وما سقي بالدلو فنصف العشر من كل ما كلت بالصاع أو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وكِيل بالمكيال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فقه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أبواب زكاة الذهب والفضة،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نقلها الشيخ المنتظري في كتاب الزكاة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عبيد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 الذي أختارُ من ذلك الاتباع لسنة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لا صدقة إلا في الأصناف الأربعة التي سماها، وسنّها مع قول من قاله من الصحابة والتابعين ثم اختيار ابن أبي ليلى وسفيان إياه</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أبواب زكاة الذهب والفضة،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لابن قدامة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الإسلامي وأدلته،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وهبة الزحيلي، ط</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3/1867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صحيحة زرارة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كنت قاعداً عند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وليس عنده غير ابنه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زرارة إن أبا ذر وعثمان تنازعا على عهد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مال من ذهب أو فضة يدار ويُعمل به ويُتّجر به ففيه الزكاة إذا حال عليه الحول، فقال أبو 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ما يتجر به أو دير وعُمل به فليس فيه زكاة إنما الزكاة فيه إذا كان ركازاً كنزاً موضوعاً، فإذا حال عليه الحول ففيه الزكاة، فاختصما في ذلك إلى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ما قال أبو ذر، فقال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تريد إلا أن يخرج مثل هذا فيكف الناس أن يعطوا فقراءهم ومساكينهم؟ فقال أبوه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إليك عني لا أجد منها 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للشيخ المنتظري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موسوعة فقه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موسوعة فقه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الكاملة لآثار الشيخ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للشيخ المنتظري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موسوعة فقه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موسوعة فقه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صحيحة يونس بن يعقوب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أرسلت إلى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لي إخوة صغاراً فمتى تجب على أموالهم الزكاة؟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وجبت عليهم الصلاة وجبت الزكاة،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لم تجب عليهم الصلاة؟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اتجر به فزكه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أبواب من تجب عليه الزكاة،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موسوعة فقه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للشيخ المنتظري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أبواب المستحقين،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39/121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تكملة المنهاج، مصدر 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قراءات فقهية معاصرة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الكاملة لآثار الشيخ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الكاملة لآثار الشيخ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وقرّر نفس السياق تلامذته الذين ناقشوا مطالبه كالشيخ الفياض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باعتبار أن من شهد برؤية الهلال بالمطابقة في الطرف الجنوبي فقد شهد بالالتزام برؤية الهلال بالجامع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فيض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محاضرة بتأريخ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أبان بن تغلب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شككت في حياة شاة فرأيتها تطرف عينها أو تحرك أُذنيها أو تمصع بذنبها فاذبحها، فإنها لك حلال</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الصيد والذباحة، أبواب الذبائح،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بعض المتخصصين أن نسبة الخطأ أي احتمال تشابه بصمتين وراثيتين بين شخص وآخر هو واحد من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مليار وقيل واحد من تريليون مع أن سكان الأرض لا يصلون إلى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مليار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الفقه الإسلامي والقضايا المعاصرة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لكن أخطاء القائمين على عملية الفحص وقراءة النتائج محتملة</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عائشة قالت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عتبة بن أبي وقاص عهد إلى أخيه سعد بن أبي وقاص أن ابن وليدة زمعة منّي، فاقبضه،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كان عام الفتح أخذه سعد بن أبي وقاص،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أخي قد عهد إليَّ فيه، فقام عبد بن زمعة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أخي وابن وليدة أبي ولد على فراشه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لك يا عبد الله بن زمعة، ثم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الولد للفراش وللعاهر الحجر، ثم قال لسودة بنت زمعة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زوج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احتجبي منه يا سودة؛ لما رأى شبهه بعتبة، فما رآها حتى لقي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التزم بأكثرها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 المجمع الفقهي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دورته السادسة عشرة المنعقدة بمكة المكرمة في الفترة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26/10/1422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10/1/2002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27/286</w:t>
      </w:r>
      <w:r>
        <w:rPr>
          <w:rFonts w:ascii="IRNazanin" w:hAnsi="IRNazanin" w:eastAsia="IRNazanin"/>
          <w:b w:val="false"/>
          <w:b w:val="false"/>
          <w:bCs w:val="false"/>
          <w:i w:val="false"/>
          <w:i w:val="false"/>
          <w:iCs w:val="false"/>
          <w:color w:val="333333"/>
          <w:sz w:val="20"/>
          <w:sz w:val="20"/>
          <w:szCs w:val="20"/>
          <w:rtl w:val="true"/>
        </w:rPr>
        <w:t xml:space="preserve">، أبواب كيفية الحكم وأحكام الدعوى،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21/168</w:t>
      </w:r>
      <w:r>
        <w:rPr>
          <w:rFonts w:ascii="IRNazanin" w:hAnsi="IRNazanin" w:eastAsia="IRNazanin"/>
          <w:b w:val="false"/>
          <w:b w:val="false"/>
          <w:bCs w:val="false"/>
          <w:i w:val="false"/>
          <w:i w:val="false"/>
          <w:iCs w:val="false"/>
          <w:color w:val="333333"/>
          <w:sz w:val="20"/>
          <w:sz w:val="20"/>
          <w:szCs w:val="20"/>
          <w:rtl w:val="true"/>
        </w:rPr>
        <w:t xml:space="preserve">، أبواب نكاح العبيد، باب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21/168</w:t>
      </w:r>
      <w:r>
        <w:rPr>
          <w:rFonts w:ascii="IRNazanin" w:hAnsi="IRNazanin" w:eastAsia="IRNazanin"/>
          <w:b w:val="false"/>
          <w:b w:val="false"/>
          <w:bCs w:val="false"/>
          <w:i w:val="false"/>
          <w:i w:val="false"/>
          <w:iCs w:val="false"/>
          <w:color w:val="333333"/>
          <w:sz w:val="20"/>
          <w:sz w:val="20"/>
          <w:szCs w:val="20"/>
          <w:rtl w:val="true"/>
        </w:rPr>
        <w:t xml:space="preserve">، أبواب نكاح العبيد، باب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1/505</w:t>
      </w:r>
      <w:r>
        <w:rPr>
          <w:rFonts w:ascii="IRNazanin" w:hAnsi="IRNazanin" w:eastAsia="IRNazanin"/>
          <w:b w:val="false"/>
          <w:b w:val="false"/>
          <w:bCs w:val="false"/>
          <w:i w:val="false"/>
          <w:i w:val="false"/>
          <w:iCs w:val="false"/>
          <w:color w:val="333333"/>
          <w:sz w:val="20"/>
          <w:sz w:val="20"/>
          <w:szCs w:val="20"/>
          <w:rtl w:val="true"/>
        </w:rPr>
        <w:t xml:space="preserve">، باب في القافة، ح </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3/298</w:t>
      </w:r>
      <w:r>
        <w:rPr>
          <w:rFonts w:ascii="IRNazanin" w:hAnsi="IRNazanin" w:eastAsia="IRNazanin"/>
          <w:b w:val="false"/>
          <w:b w:val="false"/>
          <w:bCs w:val="false"/>
          <w:i w:val="false"/>
          <w:i w:val="false"/>
          <w:iCs w:val="false"/>
          <w:color w:val="333333"/>
          <w:sz w:val="20"/>
          <w:sz w:val="20"/>
          <w:szCs w:val="20"/>
          <w:rtl w:val="true"/>
        </w:rPr>
        <w:t xml:space="preserve">، باب ما جاء في القافة، ح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الإسلامي والقضايا المعاصرة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الرجل يتكارى البيت والسفينة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18/32</w:t>
      </w:r>
      <w:r>
        <w:rPr>
          <w:rFonts w:ascii="IRNazanin" w:hAnsi="IRNazanin" w:eastAsia="IRNazanin"/>
          <w:b w:val="false"/>
          <w:b w:val="false"/>
          <w:bCs w:val="false"/>
          <w:i w:val="false"/>
          <w:i w:val="false"/>
          <w:iCs w:val="false"/>
          <w:color w:val="333333"/>
          <w:sz w:val="20"/>
          <w:sz w:val="20"/>
          <w:szCs w:val="20"/>
          <w:rtl w:val="true"/>
        </w:rPr>
        <w:t xml:space="preserve">، أبواب الخيار،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محسن الخرازي في مجلة فقه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سديدة في مسائل جديدة، الشيخ محمد المؤمن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المدرسين،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كتاب الأطعمة والأشربة، أبواب الأطعمة المباحة،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المباحة، 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المدرسين،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الفقيه</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3/347</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التيمم،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الرياضيات للفقيه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22/170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 ابن قولويه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أبواب الماء المضاف،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أبواب الماء المضاف،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في غريب القرآن – الاصفهاني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الشيخ الأنصاري، كتاب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الحيض،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فقه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للشيخ المنتظري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دام ظله الشريف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وسبقه إلى هذا الجواب المحقق الهمداني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مصباح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12/178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الموسوعة الكاملة لآثار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8/202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 من الموسوعة الكاملة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 من الموسوعة الكاملة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45/261</w:t>
      </w:r>
      <w:r>
        <w:rPr>
          <w:rFonts w:ascii="IRNazanin" w:hAnsi="IRNazanin" w:eastAsia="IRNazanin"/>
          <w:b w:val="false"/>
          <w:b w:val="false"/>
          <w:bCs w:val="false"/>
          <w:i w:val="false"/>
          <w:i w:val="false"/>
          <w:iCs w:val="false"/>
          <w:color w:val="333333"/>
          <w:sz w:val="20"/>
          <w:sz w:val="20"/>
          <w:szCs w:val="20"/>
          <w:rtl w:val="true"/>
        </w:rPr>
        <w:t>، بحوث في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2/311</w:t>
      </w:r>
      <w:r>
        <w:rPr>
          <w:rFonts w:ascii="IRNazanin" w:hAnsi="IRNazanin" w:eastAsia="IRNazanin"/>
          <w:b w:val="false"/>
          <w:b w:val="false"/>
          <w:bCs w:val="false"/>
          <w:i w:val="false"/>
          <w:i w:val="false"/>
          <w:iCs w:val="false"/>
          <w:color w:val="333333"/>
          <w:sz w:val="20"/>
          <w:sz w:val="20"/>
          <w:szCs w:val="20"/>
          <w:rtl w:val="true"/>
        </w:rPr>
        <w:t>، قال في الثاني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وقع البحث في دلالة الأمر بالأمر على وجوب الفعل على المأمور الثاني وعدمه</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من الموسوعة الكاملة لآثار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48/516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48/517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محاضرة بتأريخ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فقه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ممن ذكر الإشكال وأجاب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النراقي في 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 صاحب المدارك المخالفة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أقف على مستند في اشتراط طهارة محل السجود سوى الإجماع المنقول وليس بحجة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وسيأتي تفصيل الكلام إن شاء الله تعالى</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السجود على الأرض فريضة، وعلى الخمرة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كتاب الصلاة، أبواب ما يسجد عليه،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الحديث الثالث من نفس الباب عن أبي الحسن موسى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يستغني شيعتنا عن أربع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خمرة يصلي عليها</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الشيخ الطوسي في المصباح بإسناده عن معاوية بن عمار 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 السجود على تربة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يخرق الحجب السبع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نفس المصدر، 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بها صحيحة علي بن جعفر حيث روي انه سأل أخاه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البيت والدار لا تصيبهما الشمس ويصيبهما البول، ويغتسل فيها من الجنابة أيصلى فيهما إذا جفا؟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بها الروايات التي استدل بها على حجية الاستصحاب</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الموسوعة الكاملة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موثقة ابن بكير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سألت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قوم في قرية ليس لهم من يجمع بهم أيصلّون الظهر يوم الجمعة في جماعة؟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إذا لم يخافوا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فقه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سطر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طبعة النجف</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29/202</w:t>
      </w:r>
      <w:r>
        <w:rPr>
          <w:rFonts w:ascii="IRNazanin" w:hAnsi="IRNazanin" w:eastAsia="IRNazanin"/>
          <w:b w:val="false"/>
          <w:b w:val="false"/>
          <w:bCs w:val="false"/>
          <w:i w:val="false"/>
          <w:i w:val="false"/>
          <w:iCs w:val="false"/>
          <w:color w:val="333333"/>
          <w:sz w:val="20"/>
          <w:sz w:val="20"/>
          <w:szCs w:val="20"/>
          <w:rtl w:val="true"/>
        </w:rPr>
        <w:t xml:space="preserve">، أبواب ديات النفس،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قراءات فقهية معاصرة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9/139</w:t>
      </w:r>
      <w:r>
        <w:rPr>
          <w:rFonts w:ascii="IRNazanin" w:hAnsi="IRNazanin" w:eastAsia="IRNazanin"/>
          <w:b w:val="false"/>
          <w:b w:val="false"/>
          <w:bCs w:val="false"/>
          <w:i w:val="false"/>
          <w:i w:val="false"/>
          <w:iCs w:val="false"/>
          <w:color w:val="333333"/>
          <w:sz w:val="20"/>
          <w:sz w:val="20"/>
          <w:szCs w:val="20"/>
          <w:rtl w:val="true"/>
        </w:rPr>
        <w:t xml:space="preserve">، أبواب زكاة الذهب والفضة،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قراءات فقهية معاصرة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18/185</w:t>
      </w:r>
      <w:r>
        <w:rPr>
          <w:rFonts w:ascii="IRNazanin" w:hAnsi="IRNazanin" w:eastAsia="IRNazanin"/>
          <w:b w:val="false"/>
          <w:b w:val="false"/>
          <w:bCs w:val="false"/>
          <w:i w:val="false"/>
          <w:i w:val="false"/>
          <w:iCs w:val="false"/>
          <w:color w:val="333333"/>
          <w:sz w:val="20"/>
          <w:sz w:val="20"/>
          <w:szCs w:val="20"/>
          <w:rtl w:val="true"/>
        </w:rPr>
        <w:t xml:space="preserve">، أبواب الصرف،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قراءات فقهية معاصرة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قراءات فقهية معاصرة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18/186</w:t>
      </w:r>
      <w:r>
        <w:rPr>
          <w:rFonts w:ascii="IRNazanin" w:hAnsi="IRNazanin" w:eastAsia="IRNazanin"/>
          <w:b w:val="false"/>
          <w:b w:val="false"/>
          <w:bCs w:val="false"/>
          <w:i w:val="false"/>
          <w:i w:val="false"/>
          <w:iCs w:val="false"/>
          <w:color w:val="333333"/>
          <w:sz w:val="20"/>
          <w:sz w:val="20"/>
          <w:szCs w:val="20"/>
          <w:rtl w:val="true"/>
        </w:rPr>
        <w:t xml:space="preserve">، أبواب الصرف،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18/187</w:t>
      </w:r>
      <w:r>
        <w:rPr>
          <w:rFonts w:ascii="IRNazanin" w:hAnsi="IRNazanin" w:eastAsia="IRNazanin"/>
          <w:b w:val="false"/>
          <w:b w:val="false"/>
          <w:bCs w:val="false"/>
          <w:i w:val="false"/>
          <w:i w:val="false"/>
          <w:iCs w:val="false"/>
          <w:color w:val="333333"/>
          <w:sz w:val="20"/>
          <w:sz w:val="20"/>
          <w:szCs w:val="20"/>
          <w:rtl w:val="true"/>
        </w:rPr>
        <w:t>، الباب السابق،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قراءات فقهية معاصرة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10/252</w:t>
      </w:r>
      <w:r>
        <w:rPr>
          <w:rFonts w:ascii="IRNazanin" w:hAnsi="IRNazanin" w:eastAsia="IRNazanin"/>
          <w:b w:val="false"/>
          <w:b w:val="false"/>
          <w:bCs w:val="false"/>
          <w:i w:val="false"/>
          <w:i w:val="false"/>
          <w:iCs w:val="false"/>
          <w:color w:val="333333"/>
          <w:sz w:val="20"/>
          <w:sz w:val="20"/>
          <w:szCs w:val="20"/>
          <w:rtl w:val="true"/>
        </w:rPr>
        <w:t xml:space="preserve">، أبواب أحكام شهر رمضان،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22/123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حول مسألة رؤية الهلال للطهراني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سياتي بيان الفكرة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تقييد الموضوع بمتعلق الحكم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المجموعة الكاملة للشيخ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وممن ذكر الإشكال وأجاب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النراقي في 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معتبرة أبي علي بن راشد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إلي أبو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كتاباً وأرّخه يوم الثلاثاء لليلة بقيت من شعبان وذلك في سنة اثنتين وثلاثين ومائتين، وكان يوم الأربعاء يوم شك وصام أهل بغداد يوم الخميس، وأخبروني أنهم رأوا الهلال ليلة الخميس، ولم يغب إلا بعد الشفق بزمان طويل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فاعتقدت أن الصوم يوم الخميس وأن الشهر كان عندنا ببغداد يوم الأربعاء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فكتب إلي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زادك الله توفيقاً فقد صمت بصيامنا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لقيته بعد ذلك فسألته عما كتبت به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أولم أكتب إليك إنما صمت الخميس ولا تصم إلا للرؤية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كريب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قدمت الشام واستهل علي هلال رمضان وأنا بالشام فرأينا الهلال ليلة الجمعة ثم قدمت المدينة في آخر الشهر فسألني ابن عباس ثم ذكر الهلال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متى رأيتم الهلال؟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رأيناه ليلة الجمعة،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رأيته ليلة الجمعة؟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ورآه الناس وصاموا وصام معاوية،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رأيناه ليلة السبت فلا نزال نصوم حتى نكمل ثلاثين أو نراه، فقلت ألا تكتفي برؤية معاوية وصيامه؟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هكذا أمرنا رسول الله صلى الله عليه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عيسى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كتب إليه أبو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يا مولاي إنه ربما أشكل علينا هلال شهر رمضان فلا نراه ونرى السماء ليست فيها علة ويفطر الناس ونفطر معهم ويقول قوم من الحُسّاب قِبَلنا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يُرى في تلك الليلة بعينها بمصر وافريقية والأندلس، هل يجوز يا مولاي ما قال الحسّاب في هذا الباب حتى يختلف الفرض على أهل الأمصار فيكون صومهم خلاف صومنا وفطرهم خلاف فطرنا؟ فوقّع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تصومنّ الشك، أفطر لرؤيته وصم لرؤيته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الإسلامي وأدلته للدكتور وهبة الزحيلي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3/1628</w:t>
      </w:r>
      <w:r>
        <w:rPr>
          <w:rFonts w:ascii="IRNazanin" w:hAnsi="IRNazanin" w:eastAsia="IRNazanin"/>
          <w:b w:val="false"/>
          <w:b w:val="false"/>
          <w:bCs w:val="false"/>
          <w:i w:val="false"/>
          <w:i w:val="false"/>
          <w:iCs w:val="false"/>
          <w:color w:val="333333"/>
          <w:sz w:val="20"/>
          <w:sz w:val="20"/>
          <w:szCs w:val="20"/>
          <w:rtl w:val="true"/>
        </w:rPr>
        <w:t xml:space="preserve">، طبعة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10/252</w:t>
      </w:r>
      <w:r>
        <w:rPr>
          <w:rFonts w:ascii="IRNazanin" w:hAnsi="IRNazanin" w:eastAsia="IRNazanin"/>
          <w:b w:val="false"/>
          <w:b w:val="false"/>
          <w:bCs w:val="false"/>
          <w:i w:val="false"/>
          <w:i w:val="false"/>
          <w:iCs w:val="false"/>
          <w:color w:val="333333"/>
          <w:sz w:val="20"/>
          <w:sz w:val="20"/>
          <w:szCs w:val="20"/>
          <w:rtl w:val="true"/>
        </w:rPr>
        <w:t xml:space="preserve">، أبواب أحكام شهر رمضان،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كرواية الحلبي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سألته عن التمتع من البكر إذا كانت بين أبويها بلا إذن أبويها،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بأس ما لم يقتض ما هناك لتعف بذلك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المتعة،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الموسوعة الكاملة لآثار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33/213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قال المفيد في مكاسب المقنعة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وعمل الأصنام والصلبان والتماثيل المجسّمة والشطرنج والنرد وما أشبه ذلك حرام، وبيعه وابتياعه 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المكاسب المحرمة من النهاية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وعمل الأصنام والصلبان والتماثيل المجسّمة والصور والشطرنج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فالتجارة فيها والتصرف والتكسب بها حرام محظور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دراسات في المكاسب المحرمة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14/188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صحيحة عبد الله بن المغيرة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الحسن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أظلِّل وأنا محرم؟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أفأظلل وأكفّر؟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مرضت؟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ظلّل وكفّر،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علمت 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حاج يضحّي ملبّياً حتى تغيب الشمس الا غابت ذنوبه معها</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أبواب تروك الإحرام، باب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فقه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الرواية الثامنة والعاشرة</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السكوني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بعثني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المدينة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تدع صورة إلا محوتها، ولا قبراً إلا سوّيته، ولا كلباً إلا قتلته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الصدوق في الخصال عن أبيه عن سعد بن عبد الله عن محمد بن عيسى بن عبيد عن القاسم بن يحيى عن جده الحسن بن راشد، عن أبي بصير ومحمد بن مسلم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أبيه عن آبائه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إياكم وعمل الصور، فإنكم تسألون عنها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عبد الله بن طلحة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أكل السحت سبعة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والذين يصورون التماثيل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خبر تحف العقول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وصنعة صنوف التصاوير وما لم يكن مُثُل الروحاني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فحلال فعله وتعليمه والعمل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في المكاسب المحرمة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فقه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أبواب أحكام المساكن،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أبواب ما يكتسب به، باب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مجموعة الروايات التي دلّت على تكليف المصور بالنفخ فيما صور</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أحكام المساكن،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ابواب أحكام المساكن،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أبواب النجاسات،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الصيد والذبائح، أبواب الصيد،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مكان المصلي،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أحكام المساكن،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أحكام المساكن،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أحكام المساكن،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للسيد الخميني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صحيحة محمد بن مسلم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سألت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تماثيل الشجر والشمس والقمر،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ما لم يكن شيئاً من الحيوان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محسن الخرازي، مجلة فقه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ربما يريد الخروج المعنوي أو الخروج عن المعنى الحقيقي الكامل للإسلام</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الأمر بالمعروف والنهي عن المنكر، أبواب فعل المعروف، باب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وعقاب الأعمال، صفحة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في عقاب من يغضب</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صفحة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الوسيلة،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المكاسب والمتاجر، صفحة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هذه النسبة السيد محسن الخرازي في المصدر المتقدم، صفحة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ذكرنا ذلك في شرح الكفاية وهو مقرر عند الطلبة الذين حضروا الدرس خلال الأعوام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السيستاني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محاضرة بتأريخ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حول مسألة رؤية الهلال للطهراني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المكتبة الرضوية</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29/193</w:t>
      </w:r>
      <w:r>
        <w:rPr>
          <w:rFonts w:ascii="IRNazanin" w:hAnsi="IRNazanin" w:eastAsia="IRNazanin"/>
          <w:b w:val="false"/>
          <w:b w:val="false"/>
          <w:bCs w:val="false"/>
          <w:i w:val="false"/>
          <w:i w:val="false"/>
          <w:iCs w:val="false"/>
          <w:color w:val="333333"/>
          <w:sz w:val="20"/>
          <w:sz w:val="20"/>
          <w:szCs w:val="20"/>
          <w:rtl w:val="true"/>
        </w:rPr>
        <w:t xml:space="preserve">، أبواب ديات النفس،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29/197</w:t>
      </w:r>
      <w:r>
        <w:rPr>
          <w:rFonts w:ascii="IRNazanin" w:hAnsi="IRNazanin" w:eastAsia="IRNazanin"/>
          <w:b w:val="false"/>
          <w:b w:val="false"/>
          <w:bCs w:val="false"/>
          <w:i w:val="false"/>
          <w:i w:val="false"/>
          <w:iCs w:val="false"/>
          <w:color w:val="333333"/>
          <w:sz w:val="20"/>
          <w:sz w:val="20"/>
          <w:szCs w:val="20"/>
          <w:rtl w:val="true"/>
        </w:rPr>
        <w:t>، الباب السابق،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للاخوند الخراساني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 للشيخ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10/248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كتاب الصدقة،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 المعروف موضعه،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صحيحة زرارة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أبو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أربعة قد يجب عليهم التمام في سفر كانوا أو حضر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المكاري والكريّ والراعي والاشتقان لأنه عملهم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به الشيخ المنتظري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ونسبه في 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دعوى البعض، وقال به أيضاً في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الصلاة للشيخ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أبان بن تغلب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قلت لأبي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قطع أصبع امرأة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 عشرة من الإبل،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اثنين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فيهما عشرون من الإبل،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ثلاث أصابع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فيهن ثلاثون من الإبل،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أربعا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فيهن عشرون من الإبل،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أيقطع ثلاثا وفيهن ثلاثون من الإبل ويقطع أربعا وفيها عشرون من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إن المرأة إذا بلغت الثلث من دية الرجل سفلت المرأة وارتفع الرجل إن السنة لا تقاس، ألا ترى أنها تؤمر بقضاء صومها ولا تؤمر بقضاء صلاتها، يا أبان حدثتني بالقياس وإن السنة إذا قيست محق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18/168</w:t>
      </w:r>
      <w:r>
        <w:rPr>
          <w:rFonts w:ascii="IRNazanin" w:hAnsi="IRNazanin" w:eastAsia="IRNazanin"/>
          <w:b w:val="false"/>
          <w:b w:val="false"/>
          <w:bCs w:val="false"/>
          <w:i w:val="false"/>
          <w:i w:val="false"/>
          <w:iCs w:val="false"/>
          <w:color w:val="333333"/>
          <w:sz w:val="20"/>
          <w:sz w:val="20"/>
          <w:szCs w:val="20"/>
          <w:rtl w:val="true"/>
        </w:rPr>
        <w:t xml:space="preserve">، أبواب الصرف،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18/168</w:t>
      </w:r>
      <w:r>
        <w:rPr>
          <w:rFonts w:ascii="IRNazanin" w:hAnsi="IRNazanin" w:eastAsia="IRNazanin"/>
          <w:b w:val="false"/>
          <w:b w:val="false"/>
          <w:bCs w:val="false"/>
          <w:i w:val="false"/>
          <w:i w:val="false"/>
          <w:iCs w:val="false"/>
          <w:color w:val="333333"/>
          <w:sz w:val="20"/>
          <w:sz w:val="20"/>
          <w:szCs w:val="20"/>
          <w:rtl w:val="true"/>
        </w:rPr>
        <w:t xml:space="preserve">، أبواب الصرف،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وما</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18/166</w:t>
      </w:r>
      <w:r>
        <w:rPr>
          <w:rFonts w:ascii="IRNazanin" w:hAnsi="IRNazanin" w:eastAsia="IRNazanin"/>
          <w:b w:val="false"/>
          <w:b w:val="false"/>
          <w:bCs w:val="false"/>
          <w:i w:val="false"/>
          <w:i w:val="false"/>
          <w:iCs w:val="false"/>
          <w:color w:val="333333"/>
          <w:sz w:val="20"/>
          <w:sz w:val="20"/>
          <w:szCs w:val="20"/>
          <w:rtl w:val="true"/>
        </w:rPr>
        <w:t xml:space="preserve">، أبواب الصرف،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السابق،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18/178</w:t>
      </w:r>
      <w:r>
        <w:rPr>
          <w:rFonts w:ascii="IRNazanin" w:hAnsi="IRNazanin" w:eastAsia="IRNazanin"/>
          <w:b w:val="false"/>
          <w:b w:val="false"/>
          <w:bCs w:val="false"/>
          <w:i w:val="false"/>
          <w:i w:val="false"/>
          <w:iCs w:val="false"/>
          <w:color w:val="333333"/>
          <w:sz w:val="20"/>
          <w:sz w:val="20"/>
          <w:szCs w:val="20"/>
          <w:rtl w:val="true"/>
        </w:rPr>
        <w:t>، الباب السابق،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9/154</w:t>
      </w:r>
      <w:r>
        <w:rPr>
          <w:rFonts w:ascii="IRNazanin" w:hAnsi="IRNazanin" w:eastAsia="IRNazanin"/>
          <w:b w:val="false"/>
          <w:b w:val="false"/>
          <w:bCs w:val="false"/>
          <w:i w:val="false"/>
          <w:i w:val="false"/>
          <w:iCs w:val="false"/>
          <w:color w:val="333333"/>
          <w:sz w:val="20"/>
          <w:sz w:val="20"/>
          <w:szCs w:val="20"/>
          <w:rtl w:val="true"/>
        </w:rPr>
        <w:t xml:space="preserve">، أبواب زكاة الذهب والفضة،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السابق،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9/160</w:t>
      </w:r>
      <w:r>
        <w:rPr>
          <w:rFonts w:ascii="IRNazanin" w:hAnsi="IRNazanin" w:eastAsia="IRNazanin"/>
          <w:b w:val="false"/>
          <w:b w:val="false"/>
          <w:bCs w:val="false"/>
          <w:i w:val="false"/>
          <w:i w:val="false"/>
          <w:iCs w:val="false"/>
          <w:color w:val="333333"/>
          <w:sz w:val="20"/>
          <w:sz w:val="20"/>
          <w:szCs w:val="20"/>
          <w:rtl w:val="true"/>
        </w:rPr>
        <w:t xml:space="preserve">، أبواب زكاة الذهب والفضة،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الموسوعة الكاملة لآثار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33/210</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أبواب عقد النكاح وأولياء العقد،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2/259</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التنبيه العاشر من تنبيهات الاستصحاب في فرائد الأصول للشيخ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قرّب جريان الاستصحاب السيد الحكيم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 سنذكر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تبعاً لأستاذه النائيني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حكي عن تقريراته للخونساري في منية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الأطعمة والأشربة، أبواب الأطعمة المحرمة، 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 إِذَا نُودِيَ لِلصَّلَاةِ مِنْ يَوْمِ الْجُمُعَةِ فَاسْعَوْا إِلَى ذِكْرِ اللَّهِ وَذَرُوا الْبَيْعَ ذَلِكُمْ خَيْرٌ لَكُمْ إِنْ كُنْتُمْ تَعْلَمُونَ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9/399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في شرح العروة الوثقى،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الموسوعة الكاملة لآثار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تقريرات الميرزا علي الغروي لأبحاث السيد الخوئي، 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9/401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بالمصاهرة،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بالمصاهرة،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يقصد بها ما جاء في خبر تحف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وصنعة صنوف التصاوير ما لم يكن مثال الروحاني</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وراء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3/139</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موسوعة فقه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بها المكاتبة التي جاء فيها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والميراث الذي لا يحتسب من غير أب ولا ابن، ومثل عدو يصطلم فيؤخذ ماله، ومثل مال يؤخذ ولا يعرف له صاحب، وما صار إلى مواليّ من أموال الخرمية الفسقة، فقد علمت أن أموالاً عظاماً صارت إلى قوم من مواليّ، فمن كان عنده شيء من ذلك فليوصل إلى وكيلي، ومن كان نائياً بعيد الشقة فليتعمد لإيصاله ولو بعد حين، فإن نية المؤمن خير من عمله</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25/216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25/212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التي جاء 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على مال اليتيم في الدين والمال الصامت شيء</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 من الموسوعة الكاملة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46/280</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محاضرة بتأريخ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محاضرة بتأريخ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أبواب المتعة،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أبواب المتعة،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ذكرنا ذلك في شرح الكفاية وهو مقرر عند الطلبة الذين حضروا الدرس خلال الأعوام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 للشيخ الفياض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احد الموضعين في كتاب الطهارة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الجزء الأول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والآخر في كتاب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نفس الجزء</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35/348</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في المكاسب المحرمة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يقصد بها صحيحة سليمان بن جعفر الجعفري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سمعت أبا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أبي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يصوم يوم عرفة في اليوم الحار في الموقف ويأمر بظلّ مرتفع فيُضرب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أبواب الذبح، 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مج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كتاب الصلاة، أبواب المواقيت،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موثقة زرعة عن سماعة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سألته عن رجل تزوج جارية أو تمتع بها، فحدّثه رجل ثقة أو غير ثقة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هذه امرأتي وليست لي بيّنة،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ثقة فلا يقربها وإن كان غير ثقة فلا يقبل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20/300</w:t>
      </w:r>
      <w:r>
        <w:rPr>
          <w:rFonts w:ascii="IRNazanin" w:hAnsi="IRNazanin" w:eastAsia="IRNazanin"/>
          <w:b w:val="false"/>
          <w:b w:val="false"/>
          <w:bCs w:val="false"/>
          <w:i w:val="false"/>
          <w:i w:val="false"/>
          <w:iCs w:val="false"/>
          <w:color w:val="333333"/>
          <w:sz w:val="20"/>
          <w:sz w:val="20"/>
          <w:szCs w:val="20"/>
          <w:rtl w:val="true"/>
        </w:rPr>
        <w:t xml:space="preserve">، أبواب عقد النكاح،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وما دلّ على أن المؤذّن مؤتمن على دخول وقت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5/378</w:t>
      </w:r>
      <w:r>
        <w:rPr>
          <w:rFonts w:ascii="IRNazanin" w:hAnsi="IRNazanin" w:eastAsia="IRNazanin"/>
          <w:b w:val="false"/>
          <w:b w:val="false"/>
          <w:bCs w:val="false"/>
          <w:i w:val="false"/>
          <w:i w:val="false"/>
          <w:iCs w:val="false"/>
          <w:color w:val="333333"/>
          <w:sz w:val="20"/>
          <w:sz w:val="20"/>
          <w:szCs w:val="20"/>
          <w:rtl w:val="true"/>
        </w:rPr>
        <w:t xml:space="preserve">، أبواب الأذان والإقامة،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قلنا في كتاب الرياضيات للفقيه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بيروت ما ملخصه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درجة الاحتمال مهما تصاعدت حتى لو بلغت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فإنها لا تكون حجة حتى يحصل منها ولو بضميمة غيرها الاطمئنان الذي يعني سكون النفس إلى الشيء أما قوة الاحتمال فهي حالة عقلية</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35/350</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كتاب الطهارة، باب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تطهير الثياب وغيرها من النجاسات، ذيل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14/467</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صلاة المسافر،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أحاديث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10/218</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 – 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الريحان البيروني محمد بن أحمد الخوارزمي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فيلسوف رياضي فلكي، من كتبه الكثيرة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الآثار الباقية عن القرون الخالية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علت شهرته وارتفعت منزلته عند ملوك عصره وقد ترجمت بعض كتبه إلى اللغات العالمية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الأعلام للزركلي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محاضرة بتأريخ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1/1417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تقريراتي لبحثه الخارج من الفقه الذي كان يلتقيه صباحاً في مسجد الراس الشريف المجاور لمرقد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المحاضرة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 xml:space="preserve">هج ، وقد كنت اقرر في دفتري نص كلامه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يراد بها صحيحة محمد بن مسلم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سألت أبا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آنية أهل الذمة والمجوس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تأكلوا في آنيتهم، ولا من طعامهم الذي يطبخون، ولا في آنيتهم التي يشربون فيها الخمر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في شرح العروة الوثقى من المجموعة الكاملة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3/338</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19/195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المتعة،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ما يحرم بالمصاهرة، باب</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ما يحرم بالمصاهرة، باب</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5/398</w:t>
      </w:r>
      <w:r>
        <w:rPr>
          <w:rFonts w:ascii="IRNazanin" w:hAnsi="IRNazanin" w:eastAsia="IRNazanin"/>
          <w:b w:val="false"/>
          <w:b w:val="false"/>
          <w:bCs w:val="false"/>
          <w:i w:val="false"/>
          <w:i w:val="false"/>
          <w:iCs w:val="false"/>
          <w:color w:val="333333"/>
          <w:sz w:val="20"/>
          <w:sz w:val="20"/>
          <w:szCs w:val="20"/>
          <w:rtl w:val="true"/>
        </w:rPr>
        <w:t>، 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8/408</w:t>
      </w:r>
      <w:r>
        <w:rPr>
          <w:rFonts w:ascii="IRNazanin" w:hAnsi="IRNazanin" w:eastAsia="IRNazanin"/>
          <w:b w:val="false"/>
          <w:b w:val="false"/>
          <w:bCs w:val="false"/>
          <w:i w:val="false"/>
          <w:i w:val="false"/>
          <w:iCs w:val="false"/>
          <w:color w:val="333333"/>
          <w:sz w:val="20"/>
          <w:sz w:val="20"/>
          <w:szCs w:val="20"/>
          <w:rtl w:val="true"/>
        </w:rPr>
        <w:t>، 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وقد وجدتُ لاحقاً أن المرحوم السيد محمد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أشار إليه هنا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35/383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كصاحب العروة الوثقى وشرّاحها، راجع 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24/317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أبواب المواقيت،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أبواب المواقيت،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27/317</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11/298</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27/320</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في شرح 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 الكاملة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الصفحة</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الكبرى كان يميل إليها سيدنا الأستاذ الشهيد الصدر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وفهمت منه أنه تلقاها من أستاذه الشهيد الصدر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أبواب غسل المس،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أبواب ما تجب فيه الزكاة،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الأحاديث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 أبواب ما تجب فيه الزكاة،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 للعلامة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من الموسوعة الكاملة للسيد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ابواب النجاسات، 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وباب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وعيون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جمل من أخبار موسى بن جعفر مع هارون،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أبواب ما يحرم بالمصاهرة،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كتاب العروة الوثقى وشروحه كالمستمسك والمستند، ولم يُشِر أحدٌ إلى هذا البحث</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صحة صوم رمضان كوجوبه مشروطة بالحضر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21/452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أبواب كفارات الاستمتاع،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العنوان وهو ليس دقيقاً لأن المشروط من تقسيمات الوجوب لا الواجب</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21/476</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مواضعها في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الاستطاعة، والمسألة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خمس المعادن والمسألة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زكاة النقدين</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ذكرناه مع مناقشته في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فقه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الاولى</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أبواب زكاة الذهب والفضة،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أبواب النجاسات، 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في الثوب الذي أصابه شيء من النجاسات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عليَّ إن شككتُ في أنه أصابه شيء أن أنظر فيه؟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15/196</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 من الموسوعة الكاملة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47/591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سنبحثها باختصار في الفرع الخامس من الفروع الملحقة بالبحث بإذن الله تعالى</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أحكام شهر رمضان،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أحكام شهر رمضان،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8/381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الصالحين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وجدت أن الشيخ حسين النوري الهمداني أشار إلى المطلب هنا في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بالمعروف والنهي عن المنكر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أبواب ما يكتسب به، 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ذيل ترجمة محمد بن إسماعيل بن بزيع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 اختلاف في بعض الألفاظ</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السيد اليزدي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المكاسب،ص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حجرية</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أصول 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الموسوعة الكاملة للسيد الخوئي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44/333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محاضرات في أصول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44/331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فقه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في شرح 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الموسوعة الكاملة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21/352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أبواب صلاة الجمعة وآدابها، 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أبواب صلاة العيد، 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 في بعض المصادر خلط بينهما،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19/306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الطوسي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الاقتصاد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الأمر بالمعروف والنهي عن المنكر واجبان بلا خلاف بقول الأمة وإن اختلفوا في أنه هل يجبان عقلاً أو سمعاً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الجمهور من المتكلمين والفقهاء وغيرهم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إنهما يجبان سمعاً، وإنه ليس في العقل ما يدل على وجوبهما، وإنما علمناه بدليل الإجماع من الأمة وبآي القرآن وكثر من الأخبار المتواترة، وهو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طريق وجوبهما هو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يدلّ على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لو وجبا عقلاً لكان في العقل دليل على وجوبهما، وقد سبرنا أدلّة العقل فلم نجد فيها ما يدل على وجوبهما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ويقوى في نفسي أنهما يجبان عقلاً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بالمعروف والنهي عن المنكر، لما فيه من اللطف</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1/807</w:t>
      </w:r>
      <w:r>
        <w:rPr>
          <w:rFonts w:ascii="IRNazanin" w:hAnsi="IRNazanin" w:eastAsia="IRNazanin"/>
          <w:b w:val="false"/>
          <w:b w:val="false"/>
          <w:bCs w:val="false"/>
          <w:i w:val="false"/>
          <w:i w:val="false"/>
          <w:iCs w:val="false"/>
          <w:color w:val="333333"/>
          <w:sz w:val="20"/>
          <w:sz w:val="20"/>
          <w:szCs w:val="20"/>
          <w:rtl w:val="true"/>
        </w:rPr>
        <w:t xml:space="preserve">، تفسير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21/358</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4/471</w:t>
      </w:r>
      <w:r>
        <w:rPr>
          <w:rFonts w:ascii="IRNazanin" w:hAnsi="IRNazanin" w:eastAsia="IRNazanin"/>
          <w:b w:val="false"/>
          <w:b w:val="false"/>
          <w:bCs w:val="false"/>
          <w:i w:val="false"/>
          <w:i w:val="false"/>
          <w:iCs w:val="false"/>
          <w:color w:val="333333"/>
          <w:sz w:val="20"/>
          <w:sz w:val="20"/>
          <w:szCs w:val="20"/>
          <w:rtl w:val="true"/>
        </w:rPr>
        <w:t>، الروضة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1/453</w:t>
      </w:r>
      <w:r>
        <w:rPr>
          <w:rFonts w:ascii="IRNazanin" w:hAnsi="IRNazanin" w:eastAsia="IRNazanin"/>
          <w:b w:val="false"/>
          <w:b w:val="false"/>
          <w:bCs w:val="false"/>
          <w:i w:val="false"/>
          <w:i w:val="false"/>
          <w:iCs w:val="false"/>
          <w:color w:val="333333"/>
          <w:sz w:val="20"/>
          <w:sz w:val="20"/>
          <w:szCs w:val="20"/>
          <w:rtl w:val="true"/>
        </w:rPr>
        <w:t>، وأورده المحقق الطوسي في آخر التجريد، والعلامة في شرحه للتجريد المسمّى كشف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المقصد السادس، المسألة السادسة عشرة</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وأورد إشكالاً قال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وارد عليكم في وجوبهما على المكلف؛ لأن الأمر هو الحمل، والنهي هو المنع، ولا فرق في اقتضاء الحمل والمنع الإلجاء بين ما إذا صدرا من المكلف أو من الله تعالى، وذلك قولٌ بإبطال التكليف</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النوع الثاني من القسم الثاني</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19/306</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19/308</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الصالحين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15/193</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14/381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الحدود،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18/318</w:t>
      </w:r>
      <w:r>
        <w:rPr>
          <w:rFonts w:ascii="IRNazanin" w:hAnsi="IRNazanin" w:eastAsia="IRNazanin"/>
          <w:b w:val="false"/>
          <w:b w:val="false"/>
          <w:bCs w:val="false"/>
          <w:i w:val="false"/>
          <w:i w:val="false"/>
          <w:iCs w:val="false"/>
          <w:color w:val="333333"/>
          <w:sz w:val="20"/>
          <w:sz w:val="20"/>
          <w:szCs w:val="20"/>
          <w:rtl w:val="true"/>
        </w:rPr>
        <w:t xml:space="preserve">، أبواب مقدمات الحدود،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يغفل الفقهاء التقليديون عن هذه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هي في إدارة شؤون الأمة ورعاية مصالحها</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أبواب جهاد العدو،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صفحة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التاسع من موسوعة فقه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طبّق السيد الخميني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الكبرى هنا فقيّد بها إطلاق وجوب الأمر والنهي فقط دون الولاية المحرمة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ويمكن إنكار إطلاق أدلة الأمر بالمعروف لمورد توقفه على الولاية من قبل الجائر بأن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وجوب الأمر بالمعروف إنما هو لإقامة الفرائض ولا إطلاق فيها يشمل ما يوجب سقوط فريضة أو ارتكاب محرم –كالولاية للجائر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يقع التعارض بينها وبين أدلة حرمة الولاية</w:t>
      </w:r>
      <w:r>
        <w:rPr>
          <w:rFonts w:eastAsia="IRNazanin" w:cs="IRNazanin"/>
          <w:b w:val="false"/>
          <w:bCs w:val="false"/>
          <w:i w:val="false"/>
          <w:iCs w:val="false"/>
          <w:color w:val="333333"/>
          <w:sz w:val="20"/>
          <w:szCs w:val="20"/>
          <w:rtl w:val="true"/>
        </w:rPr>
        <w:t>» .</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صفحة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التاسع من موسوعة فقه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 لأجل هذا قرّب بعض الأعلام المعاصرين إشكال المحقق السبزواري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بنحو آخر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دليل الأمر بالمعروف والنهي عن المنكر مقيد بالقدرة الشرعية، ودليل حرمة الولاية مطلق من هذه الجهة، وقد حقق في محله أنه إذا تزاحم تكليفان أحدهما مشروط بالقدرة شرعاً دون الآخر يقدم المشروط عقلاً على المشروط بالقدرة شرعاً، إذ ملاك الحكم غير المشروط بالقدرة شرعاً تام لا قصور فيه، ولا مانع عن جعل الحكم على طبقه فيكون حكمه فعلياً وموجباً لعجز المكلف عن امتثال التكليف الآخر ومانعاً عن تحقق ملاكه المتوقف على القدرة عليه على الفرض</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21/390</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الذي ذكرنا فيه ما جاء في صفحة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توجد تقارير تتحدث عن سياسة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التعقيم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إحداث العقم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طبقتها جهات معادية للمسلمين في بعض بلدانهم كمصر، أو هوس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تحديد النسل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جرى التثقيف عليه في إيران مثلاً</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20/14</w:t>
      </w:r>
      <w:r>
        <w:rPr>
          <w:rFonts w:ascii="IRNazanin" w:hAnsi="IRNazanin" w:eastAsia="IRNazanin"/>
          <w:b w:val="false"/>
          <w:b w:val="false"/>
          <w:bCs w:val="false"/>
          <w:i w:val="false"/>
          <w:i w:val="false"/>
          <w:iCs w:val="false"/>
          <w:color w:val="333333"/>
          <w:sz w:val="20"/>
          <w:sz w:val="20"/>
          <w:szCs w:val="20"/>
          <w:rtl w:val="true"/>
        </w:rPr>
        <w:t xml:space="preserve">، أبواب مقدمات النكاح،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Pr>
        <w:t>21/355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أحكام الأولاد وفيها أحاديث كثيرة</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3/208</w:t>
      </w:r>
      <w:r>
        <w:rPr>
          <w:rFonts w:ascii="IRNazanin" w:hAnsi="IRNazanin" w:eastAsia="IRNazanin"/>
          <w:b w:val="false"/>
          <w:b w:val="false"/>
          <w:bCs w:val="false"/>
          <w:i w:val="false"/>
          <w:i w:val="false"/>
          <w:iCs w:val="false"/>
          <w:color w:val="333333"/>
          <w:sz w:val="20"/>
          <w:sz w:val="20"/>
          <w:szCs w:val="20"/>
          <w:rtl w:val="true"/>
        </w:rPr>
        <w:t xml:space="preserve">، أبواب المواقيت، باب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يقصد قوله تعالى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لْتَكُنْ مِنْكُمْ أُمَّةٌ يَدْعُونَ إِلَى الْخَيْرِ وَ يَأْمُرُونَ بِالْمَعْرُوفِ وَ يَنْهَوْنَ عَنِ الْمُنْكَرِ وَ أُولئِكَ هُمُ الْمُفْلِحُونَ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يقصد في حالة الليل المستمر والنهار المستمر</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صحيحة معاوية بن عمار عن ابي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موثقة زرعة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سالته عن رجل احصر في الحج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فليبعث بهديه اذا كان مع أصحابه ، ومحله ان يبلغ الهدي محله ، ومحله منى يوم النحر اذا كان في الحج ، وان كان في عمرة نحر بمكة فانما عليه ان يعدهم لذلك يوما ، فاذا كان ذلك اليوم فقد وفى وان اختلفوا في الميعاد لم يضره ان شاء 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أبواب الانحصار والصد ،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أبان بن عثمان، عن عبد الرحمن،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أسرته الروم ولم يصم شهر رمضان ولم يدر أي شهر هو؟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يصوم شهرا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يتوخاه ويحسب فإن كان الشهر الذي صامه قبل شهر رمضان لم يجزه وإن كان بعد رمضان أجزأه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الدليل اللفظي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2/427</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 المؤمنين في توادّهم وتراحمهم وتعاطفهم مثل الجسد، إذا اشتكى منه عضو تداعى له سائر الجسد بالسهر والحمى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وورد نفس المضمون بألفاظ قريبة في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109/173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دامت بركاته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قال في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وفي بعض الروايات أن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أثار هذه الحقيقة العقلائية ليدعو الناس للعمل بهذه الفريضة، فقد روي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 القائم على حدود الله والمرهن فيها كمثل قومٍ استهموا على سفينة في البحر فأصاب بعضهم أعلاها وأصاب بعضهم أسفلها –فقال الذين في أسفلها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إننا ننقبها من أسفلها فنستقي، فإن أخذوا على أيديهم فمعنوهم نجوا جميعاً، وإن تركوهم غرقوا جميعاً</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45/238</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4/313</w:t>
      </w:r>
      <w:r>
        <w:rPr>
          <w:rFonts w:ascii="IRNazanin" w:hAnsi="IRNazanin" w:eastAsia="IRNazanin"/>
          <w:b w:val="false"/>
          <w:b w:val="false"/>
          <w:bCs w:val="false"/>
          <w:i w:val="false"/>
          <w:i w:val="false"/>
          <w:iCs w:val="false"/>
          <w:color w:val="333333"/>
          <w:sz w:val="20"/>
          <w:sz w:val="20"/>
          <w:szCs w:val="20"/>
          <w:rtl w:val="true"/>
        </w:rPr>
        <w:t>، مركز الأبحاث الإسلامية</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حواشي الشهيد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بحسب هامش 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6/240</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6/240</w:t>
      </w:r>
      <w:r>
        <w:rPr>
          <w:rFonts w:ascii="IRNazanin" w:hAnsi="IRNazanin" w:eastAsia="IRNazanin"/>
          <w:b w:val="false"/>
          <w:b w:val="false"/>
          <w:bCs w:val="false"/>
          <w:i w:val="false"/>
          <w:i w:val="false"/>
          <w:iCs w:val="false"/>
          <w:color w:val="333333"/>
          <w:sz w:val="20"/>
          <w:sz w:val="20"/>
          <w:szCs w:val="20"/>
          <w:rtl w:val="true"/>
        </w:rPr>
        <w:t>، 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وسبقهما في النسبة إلى الشهيد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الكركي في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وتلاه في 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8/224</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12/488</w:t>
      </w:r>
      <w:r>
        <w:rPr>
          <w:rFonts w:ascii="IRNazanin" w:hAnsi="IRNazanin" w:eastAsia="IRNazanin"/>
          <w:b w:val="false"/>
          <w:b w:val="false"/>
          <w:bCs w:val="false"/>
          <w:i w:val="false"/>
          <w:i w:val="false"/>
          <w:iCs w:val="false"/>
          <w:color w:val="333333"/>
          <w:sz w:val="20"/>
          <w:sz w:val="20"/>
          <w:szCs w:val="20"/>
          <w:rtl w:val="true"/>
        </w:rPr>
        <w:t>،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صحيحة معاوية بن عمار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اعلم أنه ليس عليك فداء شيء أتيته وأنت محرم جاهلاً به إذا كنت محرماً في حجك أو عمرتك إلا الصيد فإن عليك الفداء بجهل كان أو عمد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أبواب كفارات الصيد،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8/224</w:t>
      </w:r>
      <w:r>
        <w:rPr>
          <w:rFonts w:ascii="IRNazanin" w:hAnsi="IRNazanin" w:eastAsia="IRNazanin"/>
          <w:b w:val="false"/>
          <w:b w:val="false"/>
          <w:bCs w:val="false"/>
          <w:i w:val="false"/>
          <w:i w:val="false"/>
          <w:iCs w:val="false"/>
          <w:color w:val="333333"/>
          <w:sz w:val="20"/>
          <w:sz w:val="20"/>
          <w:szCs w:val="20"/>
          <w:rtl w:val="true"/>
        </w:rPr>
        <w:t>، 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6/240</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موسوعة فقه 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12/488</w:t>
      </w:r>
      <w:r>
        <w:rPr>
          <w:rFonts w:ascii="IRNazanin" w:hAnsi="IRNazanin" w:eastAsia="IRNazanin"/>
          <w:b w:val="false"/>
          <w:b w:val="false"/>
          <w:bCs w:val="false"/>
          <w:i w:val="false"/>
          <w:i w:val="false"/>
          <w:iCs w:val="false"/>
          <w:color w:val="333333"/>
          <w:sz w:val="20"/>
          <w:sz w:val="20"/>
          <w:szCs w:val="20"/>
          <w:rtl w:val="true"/>
        </w:rPr>
        <w:t>،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13/158</w:t>
      </w:r>
      <w:r>
        <w:rPr>
          <w:rFonts w:ascii="IRNazanin" w:hAnsi="IRNazanin" w:eastAsia="IRNazanin"/>
          <w:b w:val="false"/>
          <w:b w:val="false"/>
          <w:bCs w:val="false"/>
          <w:i w:val="false"/>
          <w:i w:val="false"/>
          <w:iCs w:val="false"/>
          <w:color w:val="333333"/>
          <w:sz w:val="20"/>
          <w:sz w:val="20"/>
          <w:szCs w:val="20"/>
          <w:rtl w:val="true"/>
        </w:rPr>
        <w:t xml:space="preserve">، أبواب بقية كفارات الإحرام،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21/307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28/501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13/154</w:t>
      </w:r>
      <w:r>
        <w:rPr>
          <w:rFonts w:ascii="IRNazanin" w:hAnsi="IRNazanin" w:eastAsia="IRNazanin"/>
          <w:b w:val="false"/>
          <w:b w:val="false"/>
          <w:bCs w:val="false"/>
          <w:i w:val="false"/>
          <w:i w:val="false"/>
          <w:iCs w:val="false"/>
          <w:color w:val="333333"/>
          <w:sz w:val="20"/>
          <w:sz w:val="20"/>
          <w:szCs w:val="20"/>
          <w:rtl w:val="true"/>
        </w:rPr>
        <w:t xml:space="preserve">، أبواب بقية كفارات الإحرام،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12/516</w:t>
      </w:r>
      <w:r>
        <w:rPr>
          <w:rFonts w:ascii="IRNazanin" w:hAnsi="IRNazanin" w:eastAsia="IRNazanin"/>
          <w:b w:val="false"/>
          <w:b w:val="false"/>
          <w:bCs w:val="false"/>
          <w:i w:val="false"/>
          <w:i w:val="false"/>
          <w:iCs w:val="false"/>
          <w:color w:val="333333"/>
          <w:sz w:val="20"/>
          <w:sz w:val="20"/>
          <w:szCs w:val="20"/>
          <w:rtl w:val="true"/>
        </w:rPr>
        <w:t>، أبواب تروك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13/159</w:t>
      </w:r>
      <w:r>
        <w:rPr>
          <w:rFonts w:ascii="IRNazanin" w:hAnsi="IRNazanin" w:eastAsia="IRNazanin"/>
          <w:b w:val="false"/>
          <w:b w:val="false"/>
          <w:bCs w:val="false"/>
          <w:i w:val="false"/>
          <w:i w:val="false"/>
          <w:iCs w:val="false"/>
          <w:color w:val="333333"/>
          <w:sz w:val="20"/>
          <w:sz w:val="20"/>
          <w:szCs w:val="20"/>
          <w:rtl w:val="true"/>
        </w:rPr>
        <w:t xml:space="preserve">، أبواب بقية تروك الإحرام،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موسوعة فقه 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صفحة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 من الموسوعة الكاملة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47/312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الثالث من القسم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وهي تقريرات الشهيد 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بقلم السيد كاظم الحائري،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تقريرات بحث الشهيد الصدر في علم الأصول بقلم الشيخ حسن عبد الساتر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11/170</w:t>
      </w:r>
      <w:r>
        <w:rPr>
          <w:rFonts w:ascii="IRNazanin" w:hAnsi="IRNazanin" w:eastAsia="IRNazanin"/>
          <w:b w:val="false"/>
          <w:b w:val="false"/>
          <w:bCs w:val="false"/>
          <w:i w:val="false"/>
          <w:i w:val="false"/>
          <w:iCs w:val="false"/>
          <w:color w:val="333333"/>
          <w:sz w:val="20"/>
          <w:sz w:val="20"/>
          <w:szCs w:val="20"/>
          <w:rtl w:val="true"/>
        </w:rPr>
        <w:t xml:space="preserve">، الطبعة الأولى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14/253</w:t>
      </w:r>
      <w:r>
        <w:rPr>
          <w:rFonts w:ascii="IRNazanin" w:hAnsi="IRNazanin" w:eastAsia="IRNazanin"/>
          <w:b w:val="false"/>
          <w:b w:val="false"/>
          <w:bCs w:val="false"/>
          <w:i w:val="false"/>
          <w:i w:val="false"/>
          <w:iCs w:val="false"/>
          <w:color w:val="333333"/>
          <w:sz w:val="20"/>
          <w:sz w:val="20"/>
          <w:szCs w:val="20"/>
          <w:rtl w:val="true"/>
        </w:rPr>
        <w:t xml:space="preserve">، أبواب العود إلى منى،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14/253</w:t>
      </w:r>
      <w:r>
        <w:rPr>
          <w:rFonts w:ascii="IRNazanin" w:hAnsi="IRNazanin" w:eastAsia="IRNazanin"/>
          <w:b w:val="false"/>
          <w:b w:val="false"/>
          <w:bCs w:val="false"/>
          <w:i w:val="false"/>
          <w:i w:val="false"/>
          <w:iCs w:val="false"/>
          <w:color w:val="333333"/>
          <w:sz w:val="20"/>
          <w:sz w:val="20"/>
          <w:szCs w:val="20"/>
          <w:rtl w:val="true"/>
        </w:rPr>
        <w:t xml:space="preserve">، أبواب العود إلى منى،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للشيخ الطوسي محمد بن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5/259</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الكتب الإسلامية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14/256</w:t>
      </w:r>
      <w:r>
        <w:rPr>
          <w:rFonts w:ascii="IRNazanin" w:hAnsi="IRNazanin" w:eastAsia="IRNazanin"/>
          <w:b w:val="false"/>
          <w:b w:val="false"/>
          <w:bCs w:val="false"/>
          <w:i w:val="false"/>
          <w:i w:val="false"/>
          <w:iCs w:val="false"/>
          <w:color w:val="333333"/>
          <w:sz w:val="20"/>
          <w:sz w:val="20"/>
          <w:szCs w:val="20"/>
          <w:rtl w:val="true"/>
        </w:rPr>
        <w:t xml:space="preserve">، أبواب العود إلى منى،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14/215</w:t>
      </w:r>
      <w:r>
        <w:rPr>
          <w:rFonts w:ascii="IRNazanin" w:hAnsi="IRNazanin" w:eastAsia="IRNazanin"/>
          <w:b w:val="false"/>
          <w:b w:val="false"/>
          <w:bCs w:val="false"/>
          <w:i w:val="false"/>
          <w:i w:val="false"/>
          <w:iCs w:val="false"/>
          <w:color w:val="333333"/>
          <w:sz w:val="20"/>
          <w:sz w:val="20"/>
          <w:szCs w:val="20"/>
          <w:rtl w:val="true"/>
        </w:rPr>
        <w:t xml:space="preserve">، أبواب الحلق والتقصير،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الفياض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تعاليق مبسوطة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10/627</w:t>
      </w:r>
      <w:r>
        <w:rPr>
          <w:rFonts w:ascii="IRNazanin" w:hAnsi="IRNazanin" w:eastAsia="IRNazanin"/>
          <w:b w:val="false"/>
          <w:b w:val="false"/>
          <w:bCs w:val="false"/>
          <w:i w:val="false"/>
          <w:i w:val="false"/>
          <w:iCs w:val="false"/>
          <w:color w:val="333333"/>
          <w:sz w:val="20"/>
          <w:sz w:val="20"/>
          <w:szCs w:val="20"/>
          <w:rtl w:val="true"/>
        </w:rPr>
        <w:t>، والأغرب منه أنه أوقع التعارض بين إطلاقي حديث الرفع والروايات الدالة على وجوب الكفارة فيتساقطان وتجري أصالة البراءة مع أن حديث الرفع في مورد جريانه يكون حاكماً على الأدلة الأولية</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2/364</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3/263</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17/298</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12/488</w:t>
      </w:r>
      <w:r>
        <w:rPr>
          <w:rFonts w:ascii="IRNazanin" w:hAnsi="IRNazanin" w:eastAsia="IRNazanin"/>
          <w:b w:val="false"/>
          <w:b w:val="false"/>
          <w:bCs w:val="false"/>
          <w:i w:val="false"/>
          <w:i w:val="false"/>
          <w:iCs w:val="false"/>
          <w:color w:val="333333"/>
          <w:sz w:val="20"/>
          <w:sz w:val="20"/>
          <w:szCs w:val="20"/>
          <w:rtl w:val="true"/>
        </w:rPr>
        <w:t xml:space="preserve">، أبواب تروك الإحرام،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موسوعة فقه 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أبواب كفارات الصيد،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من ثمرات القول بالحرمة الغيرية التي تقدم بيانها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13/157</w:t>
      </w:r>
      <w:r>
        <w:rPr>
          <w:rFonts w:ascii="IRNazanin" w:hAnsi="IRNazanin" w:eastAsia="IRNazanin"/>
          <w:b w:val="false"/>
          <w:b w:val="false"/>
          <w:bCs w:val="false"/>
          <w:i w:val="false"/>
          <w:i w:val="false"/>
          <w:iCs w:val="false"/>
          <w:color w:val="333333"/>
          <w:sz w:val="20"/>
          <w:sz w:val="20"/>
          <w:szCs w:val="20"/>
          <w:rtl w:val="true"/>
        </w:rPr>
        <w:t xml:space="preserve">، أبواب بقية كفارات الإحرام،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13/108</w:t>
      </w:r>
      <w:r>
        <w:rPr>
          <w:rFonts w:ascii="IRNazanin" w:hAnsi="IRNazanin" w:eastAsia="IRNazanin"/>
          <w:b w:val="false"/>
          <w:b w:val="false"/>
          <w:bCs w:val="false"/>
          <w:i w:val="false"/>
          <w:i w:val="false"/>
          <w:iCs w:val="false"/>
          <w:color w:val="333333"/>
          <w:sz w:val="20"/>
          <w:sz w:val="20"/>
          <w:szCs w:val="20"/>
          <w:rtl w:val="true"/>
        </w:rPr>
        <w:t xml:space="preserve">، أبواب كفارات الاستمتاع،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قياس مع الفارق لأن كفارة الجماع مما يسقطها حديث الرفع دون محل البحث كما تقدم في المقام الأول</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13/97</w:t>
      </w:r>
      <w:r>
        <w:rPr>
          <w:rFonts w:ascii="IRNazanin" w:hAnsi="IRNazanin" w:eastAsia="IRNazanin"/>
          <w:b w:val="false"/>
          <w:b w:val="false"/>
          <w:bCs w:val="false"/>
          <w:i w:val="false"/>
          <w:i w:val="false"/>
          <w:iCs w:val="false"/>
          <w:color w:val="333333"/>
          <w:sz w:val="20"/>
          <w:sz w:val="20"/>
          <w:szCs w:val="20"/>
          <w:rtl w:val="true"/>
        </w:rPr>
        <w:t xml:space="preserve">، أبواب كفارات الصيد، باب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13/155</w:t>
      </w:r>
      <w:r>
        <w:rPr>
          <w:rFonts w:ascii="IRNazanin" w:hAnsi="IRNazanin" w:eastAsia="IRNazanin"/>
          <w:b w:val="false"/>
          <w:b w:val="false"/>
          <w:bCs w:val="false"/>
          <w:i w:val="false"/>
          <w:i w:val="false"/>
          <w:iCs w:val="false"/>
          <w:color w:val="333333"/>
          <w:sz w:val="20"/>
          <w:sz w:val="20"/>
          <w:szCs w:val="20"/>
          <w:rtl w:val="true"/>
        </w:rPr>
        <w:t xml:space="preserve">، أبواب كفارات الإحرام،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13/159</w:t>
      </w:r>
      <w:r>
        <w:rPr>
          <w:rFonts w:ascii="IRNazanin" w:hAnsi="IRNazanin" w:eastAsia="IRNazanin"/>
          <w:b w:val="false"/>
          <w:b w:val="false"/>
          <w:bCs w:val="false"/>
          <w:i w:val="false"/>
          <w:i w:val="false"/>
          <w:iCs w:val="false"/>
          <w:color w:val="333333"/>
          <w:sz w:val="20"/>
          <w:sz w:val="20"/>
          <w:szCs w:val="20"/>
          <w:rtl w:val="true"/>
        </w:rPr>
        <w:t xml:space="preserve">، أبواب بقية تروك الإحرام،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13/169</w:t>
      </w:r>
      <w:r>
        <w:rPr>
          <w:rFonts w:ascii="IRNazanin" w:hAnsi="IRNazanin" w:eastAsia="IRNazanin"/>
          <w:b w:val="false"/>
          <w:b w:val="false"/>
          <w:bCs w:val="false"/>
          <w:i w:val="false"/>
          <w:i w:val="false"/>
          <w:iCs w:val="false"/>
          <w:color w:val="333333"/>
          <w:sz w:val="20"/>
          <w:sz w:val="20"/>
          <w:szCs w:val="20"/>
          <w:rtl w:val="true"/>
        </w:rPr>
        <w:t xml:space="preserve">، أبواب كفارات الصيد،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17/304</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3/264</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الشرعية في فقه الإمامية، الشهيد الأول محمد بن مكي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1/460</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المدرسين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13/109</w:t>
      </w:r>
      <w:r>
        <w:rPr>
          <w:rFonts w:ascii="IRNazanin" w:hAnsi="IRNazanin" w:eastAsia="IRNazanin"/>
          <w:b w:val="false"/>
          <w:b w:val="false"/>
          <w:bCs w:val="false"/>
          <w:i w:val="false"/>
          <w:i w:val="false"/>
          <w:iCs w:val="false"/>
          <w:color w:val="333333"/>
          <w:sz w:val="20"/>
          <w:sz w:val="20"/>
          <w:szCs w:val="20"/>
          <w:rtl w:val="true"/>
        </w:rPr>
        <w:t xml:space="preserve">، أبواب كفارات الاستمتاع،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موسوعة فقه 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موسوعة فقه 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21/307</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التعارف</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14/359</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فجر الإيمان،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يراد بها صحيحة عبد الرحمن بن أبي عبد الله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أسَرته الروم ولم يصحّ له شهر رمضان ولم يدر أي شهر هو؟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يصوم شهراً يتوخى ويحسب، فإن كان الشهر الذي صامه قبل شهر رمضان لم يجزه، وإن كان بعد شهر رمضان أجزأه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للمتحير الذي لا يعرف جهة القبلة الصلاة الى اَي اتجاه شاء اذا تحرى ولَم يترجح عنده شيء</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8/477</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11/457</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22/127</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تعاليق مبسوطة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تعاليق مبسوطة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22/133</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كالاصل في النساء البكارة إلا أنه لغلبة الثيبوبة في الإماء انقلب الأصل، لذا لا تعد الثيبوبة عيباً في الأمة المشتراة</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22/131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محاضرة بتأريخ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2/1417</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أصول 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الموسوعة الكاملة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في شرح 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الموسوعة الكاملة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21/353</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قراءات فقهية معاصرة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20/167</w:t>
      </w:r>
      <w:r>
        <w:rPr>
          <w:rFonts w:ascii="IRNazanin" w:hAnsi="IRNazanin" w:eastAsia="IRNazanin"/>
          <w:b w:val="false"/>
          <w:b w:val="false"/>
          <w:bCs w:val="false"/>
          <w:i w:val="false"/>
          <w:i w:val="false"/>
          <w:iCs w:val="false"/>
          <w:color w:val="333333"/>
          <w:sz w:val="20"/>
          <w:sz w:val="20"/>
          <w:szCs w:val="20"/>
          <w:rtl w:val="true"/>
        </w:rPr>
        <w:t xml:space="preserve">، أبواب مقدمات النكاح وآدابه، باب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عن الفقيه و </w:t>
      </w:r>
      <w:r>
        <w:rPr>
          <w:rFonts w:eastAsia="IRNazanin" w:cs="IRNazanin"/>
          <w:b w:val="false"/>
          <w:bCs w:val="false"/>
          <w:i w:val="false"/>
          <w:iCs w:val="false"/>
          <w:color w:val="333333"/>
          <w:sz w:val="20"/>
          <w:szCs w:val="20"/>
        </w:rPr>
        <w:t>20/170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الموسوعة الكاملة لآثار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الكاملة لاثار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3/473</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للسيد الخميني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3/185</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5/340</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3/117</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الموسوعة الكاملة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47/520</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11/177</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بها صحيحة عبد الله بن وضاح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كتبت إلى العبد الصالح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يتوارى القرص ويقبل الليل ثم يزيد الليل ارتفاعاً، وتستتر عنا الشمس، وترتفع فوق الجبل حمرة، ويؤذن عندنا المؤذنون، أفأصلي حينئذ وأفطر إن كنت صائماً؟ أو أنتظر حتى تذهب الحمرة التي فوق الجبل؟ فكتب إلي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أرى لك أن تنتظر حتى تذهب الحمرة، وتأخذ بالحائطة لدينك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وقت المغرب والعشاء الآخرة،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3/475</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من الموسوعة الكاملة لآثار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8/224</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 من الموسوعة الكاملة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46/360</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في شرح العروة الوثقى من المجموعة الكاملة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4/224</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نؤسس لمطلب أصولي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أن خروج بعض الموارد من تحت عام أو مطلق قد لا يعبِّر عن مجرد تخصيص أو تقييد فيهما وإنما يكون كاشفاً عن أن العموم والإطلاق غير تام في نفسه والخارج عنهما لا يقتصر على المذكورات أي أن نكتة الخروج ثبوتية يمكن أن تعمِّم الخارج لا إثباتية بالدليل الخاص مقتصرة على المذكورات فيُنظر في الأدلة لاكتشاف النكتة الثبوتية</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تفصيله في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29/115</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ادريس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3/243</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39/82</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11/435</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القضاء، أبواب صفات القاضي،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محاضرة بتأريخ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صفحة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الأول</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قررنا كلامه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المطلب في مسألة سابقة</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دامت غير مسوقة للبيان من هذه الجهة فلا يمكن التمسك بالإطلاق في المرجح المساوي فمثلاً في التعارض المتقدم في الجهة الأولى من البحث في كون الولاية في تزويج البكر لنفسها أمْ لأبيها قد تُتَّخذ صحيحة أبي عبيدة مرجّحاً لولاية الأب على البكر؛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سألت أبا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رجل كُنَّ له ثلاث بنات أبكار فزوَّج إحداهن رجلاً ولم يسمِّ التي زوّج للزوج ولا للشهود، وقد كان الزوج فرض لها صداقها، فلما بلغ إدخالها على الزوج بلغ الزوج أنها الكبرى من الثلاثة، فقال الزوج لأبيها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تزوّجت منك الصغيرة من بناتك،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أبو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الزوج رآهنَّ كلهن ولم يسمِّ له واحدة منهنَّ فالقول في ذلك قول الأب، وعلى الأب فيما بينه وبين الله أن يدفع إلى الزوج الجارية التي كان نوى أن يزوجها إياه عند عقده النكاح، وإن كان الزوج لم يرهُنَّ كلهن ولم يسمّ له واحدة منهنّ عند عقده النكاح فالنكاح باطل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أبواب عقد النكاح وأولياء العقد، 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كتاب فضل العلم، باب اختلاف الحديث،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أبواب ما يحرم بالكفر،باب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أبواب ما يحرم بالكفر،باب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أبواب تغسيل الميت،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خالد هو أبو خالد الواسطي بحسب القرائن وقد وثّقه ابن فضال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13/104</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الطهارة، باب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يموت في السفر،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أبواب النجاسات، باب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السند عمرو بن عثمان وهو مشترك بين الثقة وغيره، ويُعلم أنه الثقفي الثقة بقرينة الطبقة ورواية ابن فضال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رجال النجاشي</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الزيادة رواها في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أبواب من يصح منه الصوم، وتركها هنا</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أبواب من يصح منه الصوم،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نسبت الكلمة إلى ابن أبي جمهور الأحسائي صاحب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غوالي اللئالي</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8/308</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النكاح، أبواب المتعة،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وروايات أخرى في نفس الباب</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أبواب المتعة،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أبواب المتعة،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للشيخ المنتظري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للشيخ المنتظري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مقطوعة ابن أذينة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رواها الشيخ الصدوق في الفقيه بسنده عن ابن أبي عمير، والشيخ في التهذيب والاستبصار بسنده عن محمد بن أحمد بن يحيى عن يعقوب بن يزيد عن ابن أبي عمير عن ابن أذينة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النساء إذا كان لهن ولد أعطين من الرباع</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3/100</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وأورد هذا التقريب الشيخ محمد تقي البروجردي في رسالته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نخبة الأفكار في حرمان الزوجة من الأراضي والعقار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وقد حررها سنة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الحكيم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مصدر سابق، العدد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صفحة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الصدوق تعليقاً على الصحيحة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إذا كان لها منه ولد أما إذا لم يكن لها منه ولد فلا ترث من الأصول إلا قيمتها، وتصديق ذلك ما رواه محمد بن أبي عمير عن ابن أذينة</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يعفور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سألته عن الرجل هل يرث من دار امرأته أو أرضها من التربة شيئاً؟ أو يكون في ذلك بمنزلة المرأة فلا يرث من ذلك شيئاً؟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يرثها وترثه من كل شيء ترك وتركت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محمود الهاشمي، مصدر سابق، العدد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صفحة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ماوراء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6/188</w:t>
      </w:r>
      <w:r>
        <w:rPr>
          <w:rFonts w:ascii="IRNazanin" w:hAnsi="IRNazanin" w:eastAsia="IRNazanin"/>
          <w:b w:val="false"/>
          <w:b w:val="false"/>
          <w:bCs w:val="false"/>
          <w:i w:val="false"/>
          <w:i w:val="false"/>
          <w:iCs w:val="false"/>
          <w:color w:val="333333"/>
          <w:sz w:val="20"/>
          <w:sz w:val="20"/>
          <w:szCs w:val="20"/>
          <w:rtl w:val="true"/>
        </w:rPr>
        <w:t>، طبعة بيروت</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كتاب الصيد والذبائح، باب الذبائح والأطعمة وما يحل وما يحرم، الحديث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13/309</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سنذكر نص ما قاله بعد هذا المقطع ان شاء الله تعالى</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صحيحة شعيب العقرقوفي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كنت عند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ومعنا أبو بصير وأناس من أهل الجبل يسألونه عن ذبايح أهل الكتاب فقال لهم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سمعتم ما قال الله عز وجل في كتابه، فقالوا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نحب أن تخبرنا، فقال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تأكلوها، فلما خرجنا قال أبو بصير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في عنقي ما فيها، فقد سمعته وسمعت آبائه جميعاً يأمران بأكلها، فرجعنا إليه فقال لي أبو بصير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سله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ما تقول في ذبائح أهل الكتاب؟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أليس قد شهدتنا بالغداة وسمعت؟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تأكلها</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المجلد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ذكرها الحر العاملي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من كتاب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الصيد والذباحة، أبواب الذبائح،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الصيد والذباحة، أبواب الذبائح،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تفصيله في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29/115</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في مقابل ان الصاع أربعة امداد</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أبواب الوضوء، باب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أبواب الوضوء، باب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تعاليق مبسوطة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5/136</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اختاره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قدمنا</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بها الرواية الرابعة من الصنف الثاني</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تعاليق مبسوطة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ورواية العيون بسنده عن أحمد بن الحسن الميثمي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أنه سأل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يوماً وقد اجتمع عنده قوم من أصحابه وقد كانوا يتنازعون في الحديثين المختلفين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الشيء الواحد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يرد عنكم الحديث في الشيء عن 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ليس في الكتاب وهو في السنة ثم يرد خلافه فقال كذلك قد نهى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أشياء نهي حرام فوافق في ذلك نهيه نهى الله، وأمر بأشياء فصار ذلك الأمر واجباً لازماً كعدل فرايض الله ووافق في ذلك أمره أمر الله تعالى، فما جاء في النهى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نهي حرام ثم جاء خلافه لم يسع استعمال ذلك، وكذلك فيما أمر به، لأنا لا نرخص فيما لم يرخص فيه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ولا نأمر بخلاف ما أمر به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لعلة خوف ضرورة، فأما أن نستحل ما حرم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نحرم ما استحل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يكون ذلك أبداً؛ لأنا تابعون لرسول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مسلّمون له كما كان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تابعاً لأمر ربه عز وجل مسلماً له، وقال عز وجل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آتاكم الرسول فخذوه وما نهاكم عنه فانتهوا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وإن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نهى عن أشياء ليس نهي حرام بل إعافة وكراهة، وأمر بأشياء ليس بأمر فرض ولا واجب بل أمر فضل ورجحان في الدين، ثم رخص في ذلك للمعلول وغير المعلول فما كان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نهي إعافة أو أمر فضل، فذلك الذي يسع استعمال الرخصة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فقه اهل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القضاء، أبواب صفات القاضي،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القضاء، أبواب صفات القاضي،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 أبواب الصرف،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القضاء، أبواب صفات القاضي،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الوصية،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الرجل يوصي إليهما</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الوصية،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الرجوع عن الوصية</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 للسيد محمود الهاشمي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2/112</w:t>
      </w:r>
      <w:r>
        <w:rPr>
          <w:rFonts w:ascii="IRNazanin" w:hAnsi="IRNazanin" w:eastAsia="IRNazanin"/>
          <w:b w:val="false"/>
          <w:b w:val="false"/>
          <w:bCs w:val="false"/>
          <w:i w:val="false"/>
          <w:i w:val="false"/>
          <w:iCs w:val="false"/>
          <w:color w:val="333333"/>
          <w:sz w:val="20"/>
          <w:sz w:val="20"/>
          <w:szCs w:val="20"/>
          <w:rtl w:val="true"/>
        </w:rPr>
        <w:t>، ونقل كلام العراقي عن شرح 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3/183</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مصححة أحمد بن محمد بن عيسى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كتبت جعلت لك الفداء، تعلمني ما الفائدة وما حدها؟ رأيك أبقاك الله أن تمن علي ببيان ذلك لكي لا أكون مقيماً على حرام لا صلاة لي ولا صوم، فكتب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مما يفيد إليك في تجارة من ربحها، وحرث بعد الغرام، أو جائزة</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صحيحة الريان بن الصلت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كتبت إلى أبي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الذي يجب علي يا مولاي في غلة رحى أرض في قطيعة لي، وفي ثمن سمك وبردي وقصب أبيعه من أجمة هذه القطيعة؟ فكتب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يجب عليك فيه الخمس، إن شاء الله تعالى</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 للسيد محمود الهاشمي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 للسيد محمود الهاشمي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بسند فيه سهل بن زياد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كراهية الرهبنة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ورواه ابن ماجة وأحمد والحاكم والطبراني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تركتكم، أو جئتكم بها بيضاء نقية ليلها كنهارها لا يزيغ عنها إلا هالك</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مع تعليقات المراجع العظام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5/500</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12/192</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20/258</w:t>
      </w:r>
      <w:r>
        <w:rPr>
          <w:rFonts w:ascii="IRNazanin" w:hAnsi="IRNazanin" w:eastAsia="IRNazanin"/>
          <w:b w:val="false"/>
          <w:b w:val="false"/>
          <w:bCs w:val="false"/>
          <w:i w:val="false"/>
          <w:i w:val="false"/>
          <w:iCs w:val="false"/>
          <w:color w:val="333333"/>
          <w:sz w:val="20"/>
          <w:sz w:val="20"/>
          <w:szCs w:val="20"/>
          <w:rtl w:val="true"/>
        </w:rPr>
        <w:t xml:space="preserve">، أبواب مقدمات النكاح، 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20/296</w:t>
      </w:r>
      <w:r>
        <w:rPr>
          <w:rFonts w:ascii="IRNazanin" w:hAnsi="IRNazanin" w:eastAsia="IRNazanin"/>
          <w:b w:val="false"/>
          <w:b w:val="false"/>
          <w:bCs w:val="false"/>
          <w:i w:val="false"/>
          <w:i w:val="false"/>
          <w:iCs w:val="false"/>
          <w:color w:val="333333"/>
          <w:sz w:val="20"/>
          <w:sz w:val="20"/>
          <w:szCs w:val="20"/>
          <w:rtl w:val="true"/>
        </w:rPr>
        <w:t xml:space="preserve">، أبواب عقد النكاح وأولياء العقد،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النكاح، 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العلاء لم يوثق في كتب الرجال لكن السيد الخوئي وثّقه بناءً على وروده في تفسير القمي ووثقه غيره لرواية ابن أبي عمير عنه في موضع من الفقيه لكننا صححنا هذه الكبرى في المراسيل دون المسانيد</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الملأ</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11/286</w:t>
      </w:r>
      <w:r>
        <w:rPr>
          <w:rFonts w:ascii="IRNazanin" w:hAnsi="IRNazanin" w:eastAsia="IRNazanin"/>
          <w:b w:val="false"/>
          <w:b w:val="false"/>
          <w:bCs w:val="false"/>
          <w:i w:val="false"/>
          <w:i w:val="false"/>
          <w:iCs w:val="false"/>
          <w:color w:val="333333"/>
          <w:sz w:val="20"/>
          <w:sz w:val="20"/>
          <w:szCs w:val="20"/>
          <w:rtl w:val="true"/>
        </w:rPr>
        <w:t>، من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الإسلامية، أبواب الوكالة،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Pr>
        <w:t>19/163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آل البيت غيّر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 بما يوافق التهذيب لكن الأول أنسب بموضع المسألة الذي هو صحّة تصرّف الوكيل إذا لم يكن يعلم بالعزل</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20/450</w:t>
      </w:r>
      <w:r>
        <w:rPr>
          <w:rFonts w:ascii="IRNazanin" w:hAnsi="IRNazanin" w:eastAsia="IRNazanin"/>
          <w:b w:val="false"/>
          <w:b w:val="false"/>
          <w:bCs w:val="false"/>
          <w:i w:val="false"/>
          <w:i w:val="false"/>
          <w:iCs w:val="false"/>
          <w:color w:val="333333"/>
          <w:sz w:val="20"/>
          <w:sz w:val="20"/>
          <w:szCs w:val="20"/>
          <w:rtl w:val="true"/>
        </w:rPr>
        <w:t xml:space="preserve">، أبواب ما يحرم بالمصاهرة،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21/23</w:t>
      </w:r>
      <w:r>
        <w:rPr>
          <w:rFonts w:ascii="IRNazanin" w:hAnsi="IRNazanin" w:eastAsia="IRNazanin"/>
          <w:b w:val="false"/>
          <w:b w:val="false"/>
          <w:bCs w:val="false"/>
          <w:i w:val="false"/>
          <w:i w:val="false"/>
          <w:iCs w:val="false"/>
          <w:color w:val="333333"/>
          <w:sz w:val="20"/>
          <w:sz w:val="20"/>
          <w:szCs w:val="20"/>
          <w:rtl w:val="true"/>
        </w:rPr>
        <w:t xml:space="preserve">، أبواب المتعة،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21/27</w:t>
      </w:r>
      <w:r>
        <w:rPr>
          <w:rFonts w:ascii="IRNazanin" w:hAnsi="IRNazanin" w:eastAsia="IRNazanin"/>
          <w:b w:val="false"/>
          <w:b w:val="false"/>
          <w:bCs w:val="false"/>
          <w:i w:val="false"/>
          <w:i w:val="false"/>
          <w:iCs w:val="false"/>
          <w:color w:val="333333"/>
          <w:sz w:val="20"/>
          <w:sz w:val="20"/>
          <w:szCs w:val="20"/>
          <w:rtl w:val="true"/>
        </w:rPr>
        <w:t xml:space="preserve">، أبواب المتعة،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21/325</w:t>
      </w:r>
      <w:r>
        <w:rPr>
          <w:rFonts w:ascii="IRNazanin" w:hAnsi="IRNazanin" w:eastAsia="IRNazanin"/>
          <w:b w:val="false"/>
          <w:b w:val="false"/>
          <w:bCs w:val="false"/>
          <w:i w:val="false"/>
          <w:i w:val="false"/>
          <w:iCs w:val="false"/>
          <w:color w:val="333333"/>
          <w:sz w:val="20"/>
          <w:sz w:val="20"/>
          <w:szCs w:val="20"/>
          <w:rtl w:val="true"/>
        </w:rPr>
        <w:t xml:space="preserve">، أبواب المهور، 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21/89</w:t>
      </w:r>
      <w:r>
        <w:rPr>
          <w:rFonts w:ascii="IRNazanin" w:hAnsi="IRNazanin" w:eastAsia="IRNazanin"/>
          <w:b w:val="false"/>
          <w:b w:val="false"/>
          <w:bCs w:val="false"/>
          <w:i w:val="false"/>
          <w:i w:val="false"/>
          <w:iCs w:val="false"/>
          <w:color w:val="333333"/>
          <w:sz w:val="20"/>
          <w:sz w:val="20"/>
          <w:szCs w:val="20"/>
          <w:rtl w:val="true"/>
        </w:rPr>
        <w:t xml:space="preserve">، أبواب المتعة،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21/90</w:t>
      </w:r>
      <w:r>
        <w:rPr>
          <w:rFonts w:ascii="IRNazanin" w:hAnsi="IRNazanin" w:eastAsia="IRNazanin"/>
          <w:b w:val="false"/>
          <w:b w:val="false"/>
          <w:bCs w:val="false"/>
          <w:i w:val="false"/>
          <w:i w:val="false"/>
          <w:iCs w:val="false"/>
          <w:color w:val="333333"/>
          <w:sz w:val="20"/>
          <w:sz w:val="20"/>
          <w:szCs w:val="20"/>
          <w:rtl w:val="true"/>
        </w:rPr>
        <w:t xml:space="preserve">، أبواب المتعة،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21/85</w:t>
      </w:r>
      <w:r>
        <w:rPr>
          <w:rFonts w:ascii="IRNazanin" w:hAnsi="IRNazanin" w:eastAsia="IRNazanin"/>
          <w:b w:val="false"/>
          <w:b w:val="false"/>
          <w:bCs w:val="false"/>
          <w:i w:val="false"/>
          <w:i w:val="false"/>
          <w:iCs w:val="false"/>
          <w:color w:val="333333"/>
          <w:sz w:val="20"/>
          <w:sz w:val="20"/>
          <w:szCs w:val="20"/>
          <w:rtl w:val="true"/>
        </w:rPr>
        <w:t xml:space="preserve">، أبواب المتعة،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17/89</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البيت، </w:t>
      </w:r>
      <w:r>
        <w:rPr>
          <w:rFonts w:eastAsia="IRNazanin" w:cs="IRNazanin"/>
          <w:b w:val="false"/>
          <w:bCs w:val="false"/>
          <w:i w:val="false"/>
          <w:iCs w:val="false"/>
          <w:color w:val="333333"/>
          <w:sz w:val="20"/>
          <w:szCs w:val="20"/>
        </w:rPr>
        <w:t>20/60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 كتاب التجارة، أبواب ما يكتسب به،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20/301</w:t>
      </w:r>
      <w:r>
        <w:rPr>
          <w:rFonts w:ascii="IRNazanin" w:hAnsi="IRNazanin" w:eastAsia="IRNazanin"/>
          <w:b w:val="false"/>
          <w:b w:val="false"/>
          <w:bCs w:val="false"/>
          <w:i w:val="false"/>
          <w:i w:val="false"/>
          <w:iCs w:val="false"/>
          <w:color w:val="333333"/>
          <w:sz w:val="20"/>
          <w:sz w:val="20"/>
          <w:szCs w:val="20"/>
          <w:rtl w:val="true"/>
        </w:rPr>
        <w:t xml:space="preserve">، أبواب أولياء العقد،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20/300</w:t>
      </w:r>
      <w:r>
        <w:rPr>
          <w:rFonts w:ascii="IRNazanin" w:hAnsi="IRNazanin" w:eastAsia="IRNazanin"/>
          <w:b w:val="false"/>
          <w:b w:val="false"/>
          <w:bCs w:val="false"/>
          <w:i w:val="false"/>
          <w:i w:val="false"/>
          <w:iCs w:val="false"/>
          <w:color w:val="333333"/>
          <w:sz w:val="20"/>
          <w:sz w:val="20"/>
          <w:szCs w:val="20"/>
          <w:rtl w:val="true"/>
        </w:rPr>
        <w:t xml:space="preserve">، أبواب عقد النكاح وأولياء العقد،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21/91</w:t>
      </w:r>
      <w:r>
        <w:rPr>
          <w:rFonts w:ascii="IRNazanin" w:hAnsi="IRNazanin" w:eastAsia="IRNazanin"/>
          <w:b w:val="false"/>
          <w:b w:val="false"/>
          <w:bCs w:val="false"/>
          <w:i w:val="false"/>
          <w:i w:val="false"/>
          <w:iCs w:val="false"/>
          <w:color w:val="333333"/>
          <w:sz w:val="20"/>
          <w:sz w:val="20"/>
          <w:szCs w:val="20"/>
          <w:rtl w:val="true"/>
        </w:rPr>
        <w:t xml:space="preserve">، أبواب المتعة،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20/301</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عقد النكاح،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20/401</w:t>
      </w:r>
      <w:r>
        <w:rPr>
          <w:rFonts w:ascii="IRNazanin" w:hAnsi="IRNazanin" w:eastAsia="IRNazanin"/>
          <w:b w:val="false"/>
          <w:b w:val="false"/>
          <w:bCs w:val="false"/>
          <w:i w:val="false"/>
          <w:i w:val="false"/>
          <w:iCs w:val="false"/>
          <w:color w:val="333333"/>
          <w:sz w:val="20"/>
          <w:sz w:val="20"/>
          <w:szCs w:val="20"/>
          <w:rtl w:val="true"/>
        </w:rPr>
        <w:t xml:space="preserve">، أبواب ما يحرم بالرضاع،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الباب السابق</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30/178</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1/108</w:t>
      </w:r>
      <w:r>
        <w:rPr>
          <w:rFonts w:ascii="IRNazanin" w:hAnsi="IRNazanin" w:eastAsia="IRNazanin"/>
          <w:b w:val="false"/>
          <w:b w:val="false"/>
          <w:bCs w:val="false"/>
          <w:i w:val="false"/>
          <w:i w:val="false"/>
          <w:iCs w:val="false"/>
          <w:color w:val="333333"/>
          <w:sz w:val="20"/>
          <w:sz w:val="20"/>
          <w:szCs w:val="20"/>
          <w:rtl w:val="true"/>
        </w:rPr>
        <w:t xml:space="preserve">، أبواب مقدمة العبادات،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محسن الخرازي، مجلة فقه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وجهه منافاته لقوله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وَلَوْلا رِجَالٌ مُّؤْمِنُونَ وَنِسَاء مُّؤْمِنَاتٌ لَّمْ تَعْلَمُوهُمْ أَن تَطَؤُوهُمْ فَتُصِيبَكُم مِّنْهُم مَّعَرَّةٌ بِغَيْرِ عِلْمٍ لِيُدْخِلَ اللَّهُ فِي رَحْمَتِهِ مَن يَشَاءُ لَوْ تَزَيَّلُوا لَعَذَّبْنَا الَّذِينَ كَفَرُوا مِنْهُمْ عَذَاباً أَلِيماً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ويمكن دفع المنافاة بوجود علم إجمالي في مورد الآية، أما المثال ففيه شبهة بدوية</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حكي عن أبي حنيفة وأبي يوسف والحنابلة الحد عليه إذا بانت أنها ليست امرأته لوجوب التثبت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ومجرد وجود المرأة على الفراش لا يصلح شبهة مسقطة للحد، ولا يلحقه النسب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موسوعة الفقه الإسلامي والقضايا المعاصرة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13/603</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21/174</w:t>
      </w:r>
      <w:r>
        <w:rPr>
          <w:rFonts w:ascii="IRNazanin" w:hAnsi="IRNazanin" w:eastAsia="IRNazanin"/>
          <w:b w:val="false"/>
          <w:b w:val="false"/>
          <w:bCs w:val="false"/>
          <w:i w:val="false"/>
          <w:i w:val="false"/>
          <w:iCs w:val="false"/>
          <w:color w:val="333333"/>
          <w:sz w:val="20"/>
          <w:sz w:val="20"/>
          <w:szCs w:val="20"/>
          <w:rtl w:val="true"/>
        </w:rPr>
        <w:t xml:space="preserve">، أبواب نكاح العبيد، باب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ورد في الصحيحين عندهم وغيرهما حتى عدّه السيوطي من الأحاديث المتواترة عن عائشة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عتبة بن أبي وقاص عهد إلى أخيه سعد بن أبي وقاص أن ابن وليدة زمعة منّي، فاقبضه،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كان عام الفتح أخذه سعد بن أبي وقاص،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أخي قد عهد إليَّ فيه، فقام عبد بن زمعة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أخي وابن وليدة أبي ولد على فراشه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لك يا عبد الله بن زمعة، ثم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الولد للفراش وللعاهر الحجر، ثم قال لسودة بنت زمعة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زوج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احتجبي منه يا سودة؛ لما رأى شبهه بعتبة، فما رآها حتى لقي الله تعالى</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ترجمة عمرو بن الحمق، رقم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بعض العامة وهو ابو حنيفة دون غيره من علماء الجمهور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الفه الاسلامي وأدلته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31/223</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34/29</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21/380</w:t>
      </w:r>
      <w:r>
        <w:rPr>
          <w:rFonts w:ascii="IRNazanin" w:hAnsi="IRNazanin" w:eastAsia="IRNazanin"/>
          <w:b w:val="false"/>
          <w:b w:val="false"/>
          <w:bCs w:val="false"/>
          <w:i w:val="false"/>
          <w:i w:val="false"/>
          <w:iCs w:val="false"/>
          <w:color w:val="333333"/>
          <w:sz w:val="20"/>
          <w:sz w:val="20"/>
          <w:szCs w:val="20"/>
          <w:rtl w:val="true"/>
        </w:rPr>
        <w:t xml:space="preserve">، أبواب أحكام الأولاد،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21/380</w:t>
      </w:r>
      <w:r>
        <w:rPr>
          <w:rFonts w:ascii="IRNazanin" w:hAnsi="IRNazanin" w:eastAsia="IRNazanin"/>
          <w:b w:val="false"/>
          <w:b w:val="false"/>
          <w:bCs w:val="false"/>
          <w:i w:val="false"/>
          <w:i w:val="false"/>
          <w:iCs w:val="false"/>
          <w:color w:val="333333"/>
          <w:sz w:val="20"/>
          <w:sz w:val="20"/>
          <w:szCs w:val="20"/>
          <w:rtl w:val="true"/>
        </w:rPr>
        <w:t xml:space="preserve">، أبواب أحكام الأولاد،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21/378</w:t>
      </w:r>
      <w:r>
        <w:rPr>
          <w:rFonts w:ascii="IRNazanin" w:hAnsi="IRNazanin" w:eastAsia="IRNazanin"/>
          <w:b w:val="false"/>
          <w:b w:val="false"/>
          <w:bCs w:val="false"/>
          <w:i w:val="false"/>
          <w:i w:val="false"/>
          <w:iCs w:val="false"/>
          <w:color w:val="333333"/>
          <w:sz w:val="20"/>
          <w:sz w:val="20"/>
          <w:szCs w:val="20"/>
          <w:rtl w:val="true"/>
        </w:rPr>
        <w:t xml:space="preserve">، أبواب أحكام الأولاد،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21/378</w:t>
      </w:r>
      <w:r>
        <w:rPr>
          <w:rFonts w:ascii="IRNazanin" w:hAnsi="IRNazanin" w:eastAsia="IRNazanin"/>
          <w:b w:val="false"/>
          <w:b w:val="false"/>
          <w:bCs w:val="false"/>
          <w:i w:val="false"/>
          <w:i w:val="false"/>
          <w:iCs w:val="false"/>
          <w:color w:val="333333"/>
          <w:sz w:val="20"/>
          <w:sz w:val="20"/>
          <w:szCs w:val="20"/>
          <w:rtl w:val="true"/>
        </w:rPr>
        <w:t xml:space="preserve">، أبواب أحكام الأولاد،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31/223</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 إن مثله يحصل في التلقيح العذري لبعض الحيوانات الثدية</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الأحكام للسيد السبزواري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25/280</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الفقهية للبجنوردي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محسن حرم بناهي في مجلة فقه أهل البيت، العدد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الفقهية للبجنوردي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21/172</w:t>
      </w:r>
      <w:r>
        <w:rPr>
          <w:rFonts w:ascii="IRNazanin" w:hAnsi="IRNazanin" w:eastAsia="IRNazanin"/>
          <w:b w:val="false"/>
          <w:b w:val="false"/>
          <w:bCs w:val="false"/>
          <w:i w:val="false"/>
          <w:i w:val="false"/>
          <w:iCs w:val="false"/>
          <w:color w:val="333333"/>
          <w:sz w:val="20"/>
          <w:sz w:val="20"/>
          <w:szCs w:val="20"/>
          <w:rtl w:val="true"/>
        </w:rPr>
        <w:t xml:space="preserve">، أبواب نكاح العبيد، 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26/280</w:t>
      </w:r>
      <w:r>
        <w:rPr>
          <w:rFonts w:ascii="IRNazanin" w:hAnsi="IRNazanin" w:eastAsia="IRNazanin"/>
          <w:b w:val="false"/>
          <w:b w:val="false"/>
          <w:bCs w:val="false"/>
          <w:i w:val="false"/>
          <w:i w:val="false"/>
          <w:iCs w:val="false"/>
          <w:color w:val="333333"/>
          <w:sz w:val="20"/>
          <w:sz w:val="20"/>
          <w:szCs w:val="20"/>
          <w:rtl w:val="true"/>
        </w:rPr>
        <w:t xml:space="preserve">، أبواب ميراث ولد الملاعنة،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21/383</w:t>
      </w:r>
      <w:r>
        <w:rPr>
          <w:rFonts w:ascii="IRNazanin" w:hAnsi="IRNazanin" w:eastAsia="IRNazanin"/>
          <w:b w:val="false"/>
          <w:b w:val="false"/>
          <w:bCs w:val="false"/>
          <w:i w:val="false"/>
          <w:i w:val="false"/>
          <w:iCs w:val="false"/>
          <w:color w:val="333333"/>
          <w:sz w:val="20"/>
          <w:sz w:val="20"/>
          <w:szCs w:val="20"/>
          <w:rtl w:val="true"/>
        </w:rPr>
        <w:t xml:space="preserve">، أبواب أحكام الأولاد،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21/174</w:t>
      </w:r>
      <w:r>
        <w:rPr>
          <w:rFonts w:ascii="IRNazanin" w:hAnsi="IRNazanin" w:eastAsia="IRNazanin"/>
          <w:b w:val="false"/>
          <w:b w:val="false"/>
          <w:bCs w:val="false"/>
          <w:i w:val="false"/>
          <w:i w:val="false"/>
          <w:iCs w:val="false"/>
          <w:color w:val="333333"/>
          <w:sz w:val="20"/>
          <w:sz w:val="20"/>
          <w:szCs w:val="20"/>
          <w:rtl w:val="true"/>
        </w:rPr>
        <w:t xml:space="preserve">، أبواب نكاح العبيد، باب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الفقهية للبجنوردي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21/174</w:t>
      </w:r>
      <w:r>
        <w:rPr>
          <w:rFonts w:ascii="IRNazanin" w:hAnsi="IRNazanin" w:eastAsia="IRNazanin"/>
          <w:b w:val="false"/>
          <w:b w:val="false"/>
          <w:bCs w:val="false"/>
          <w:i w:val="false"/>
          <w:i w:val="false"/>
          <w:iCs w:val="false"/>
          <w:color w:val="333333"/>
          <w:sz w:val="20"/>
          <w:sz w:val="20"/>
          <w:szCs w:val="20"/>
          <w:rtl w:val="true"/>
        </w:rPr>
        <w:t xml:space="preserve">، أبواب نكاح العبيد، باب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21/173</w:t>
      </w:r>
      <w:r>
        <w:rPr>
          <w:rFonts w:ascii="IRNazanin" w:hAnsi="IRNazanin" w:eastAsia="IRNazanin"/>
          <w:b w:val="false"/>
          <w:b w:val="false"/>
          <w:bCs w:val="false"/>
          <w:i w:val="false"/>
          <w:i w:val="false"/>
          <w:iCs w:val="false"/>
          <w:color w:val="333333"/>
          <w:sz w:val="20"/>
          <w:sz w:val="20"/>
          <w:szCs w:val="20"/>
          <w:rtl w:val="true"/>
        </w:rPr>
        <w:t xml:space="preserve">، أبواب نكاح العبيد، باب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صحيحة أبي بصير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بعث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اليمن فقال له حين 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بأعجب ما ورد عليك،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أتاني قوم قد تبايعوا جارية فوطئوها جميعاً في طهر واحد فولدت غلاماً واحتجّوا فيه كلهم يدعيه، فأسهمت بينهم وجعلته للذي خرج سهمه، وضمّنته نصيبهم، فقال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ليس من قوم تنازعوا ثم فوضوا أمرهم إلى الله عز وجل إلا خرج سهم المحق</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الفقهية للبجنوردي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بعض المتخصصين أن نسبة الخطأ أي احتمال تشابه بصمتين وراثيتين بين شخص وآخر هو واحد من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مليار وقيل واحد من تريليون مع أن سكان الأرض لا يصلون إلى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مليار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الفقه الإسلامي والقضايا المعاصرة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لكن أخطاء القائمين على عملية الفحص وقراءة النتائج محتملة</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التزم بأكثرها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 المجمع الفقهي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دورته السادسة عشرة المنعقدة بمكة المكرمة في الفترة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26/10/1422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10/1/2002</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27/286</w:t>
      </w:r>
      <w:r>
        <w:rPr>
          <w:rFonts w:ascii="IRNazanin" w:hAnsi="IRNazanin" w:eastAsia="IRNazanin"/>
          <w:b w:val="false"/>
          <w:b w:val="false"/>
          <w:bCs w:val="false"/>
          <w:i w:val="false"/>
          <w:i w:val="false"/>
          <w:iCs w:val="false"/>
          <w:color w:val="333333"/>
          <w:sz w:val="20"/>
          <w:sz w:val="20"/>
          <w:szCs w:val="20"/>
          <w:rtl w:val="true"/>
        </w:rPr>
        <w:t xml:space="preserve">، أبواب كيفية الحكم وأحكام الدعوى،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21/168</w:t>
      </w:r>
      <w:r>
        <w:rPr>
          <w:rFonts w:ascii="IRNazanin" w:hAnsi="IRNazanin" w:eastAsia="IRNazanin"/>
          <w:b w:val="false"/>
          <w:b w:val="false"/>
          <w:bCs w:val="false"/>
          <w:i w:val="false"/>
          <w:i w:val="false"/>
          <w:iCs w:val="false"/>
          <w:color w:val="333333"/>
          <w:sz w:val="20"/>
          <w:sz w:val="20"/>
          <w:szCs w:val="20"/>
          <w:rtl w:val="true"/>
        </w:rPr>
        <w:t xml:space="preserve">، أبواب نكاح العبيد، باب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29/356</w:t>
      </w:r>
      <w:r>
        <w:rPr>
          <w:rFonts w:ascii="IRNazanin" w:hAnsi="IRNazanin" w:eastAsia="IRNazanin"/>
          <w:b w:val="false"/>
          <w:b w:val="false"/>
          <w:bCs w:val="false"/>
          <w:i w:val="false"/>
          <w:i w:val="false"/>
          <w:iCs w:val="false"/>
          <w:color w:val="333333"/>
          <w:sz w:val="20"/>
          <w:sz w:val="20"/>
          <w:szCs w:val="20"/>
          <w:rtl w:val="true"/>
        </w:rPr>
        <w:t xml:space="preserve">، أبواب ديات الأعضاء، 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16/157</w:t>
      </w:r>
      <w:r>
        <w:rPr>
          <w:rFonts w:ascii="IRNazanin" w:hAnsi="IRNazanin" w:eastAsia="IRNazanin"/>
          <w:b w:val="false"/>
          <w:b w:val="false"/>
          <w:bCs w:val="false"/>
          <w:i w:val="false"/>
          <w:i w:val="false"/>
          <w:iCs w:val="false"/>
          <w:color w:val="333333"/>
          <w:sz w:val="20"/>
          <w:sz w:val="20"/>
          <w:szCs w:val="20"/>
          <w:rtl w:val="true"/>
        </w:rPr>
        <w:t xml:space="preserve">، أبواب الأمر والنهي،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29/356</w:t>
      </w:r>
      <w:r>
        <w:rPr>
          <w:rFonts w:ascii="IRNazanin" w:hAnsi="IRNazanin" w:eastAsia="IRNazanin"/>
          <w:b w:val="false"/>
          <w:b w:val="false"/>
          <w:bCs w:val="false"/>
          <w:i w:val="false"/>
          <w:i w:val="false"/>
          <w:iCs w:val="false"/>
          <w:color w:val="333333"/>
          <w:sz w:val="20"/>
          <w:sz w:val="20"/>
          <w:szCs w:val="20"/>
          <w:rtl w:val="true"/>
        </w:rPr>
        <w:t>، أبواب ديات الأعضاء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عوالي اللئالي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النبي مرسلاً، و </w:t>
      </w:r>
      <w:r>
        <w:rPr>
          <w:rFonts w:eastAsia="IRNazanin" w:cs="IRNazanin"/>
          <w:b w:val="false"/>
          <w:bCs w:val="false"/>
          <w:i w:val="false"/>
          <w:iCs w:val="false"/>
          <w:color w:val="333333"/>
          <w:sz w:val="20"/>
          <w:szCs w:val="20"/>
        </w:rPr>
        <w:t>2/138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3/208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وأرسله الشيخ في الخلاف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في مصادر العامة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6/100</w:t>
      </w:r>
      <w:r>
        <w:rPr>
          <w:rFonts w:ascii="IRNazanin" w:hAnsi="IRNazanin" w:eastAsia="IRNazanin"/>
          <w:b w:val="false"/>
          <w:b w:val="false"/>
          <w:bCs w:val="false"/>
          <w:i w:val="false"/>
          <w:i w:val="false"/>
          <w:iCs w:val="false"/>
          <w:color w:val="333333"/>
          <w:sz w:val="20"/>
          <w:sz w:val="20"/>
          <w:szCs w:val="20"/>
          <w:rtl w:val="true"/>
        </w:rPr>
        <w:t>، سنن الدارقطني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أنها لم ترد كرواية في جوامع الأحاديث وإن ألمح صاحب الوسائل إلى تواترها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19/68</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أي حال فإن مضمونها صحيح دلّت عليه روايات معتبرة كثيرة كرواية الكليني 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الرجل يكون له الولد أيسعه أن يجعل ماله لقرابته؟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ماله يصنع به ما يشاء إلى أن يأتيه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لصاحب المال أن يعمل بماله ما شاء ما دام حياً إن شاء وهبه، وإن شاء تصدق به، وإن شاء تركه إلى أن يأتيه الموت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صاحب المال أحق بماله</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 للشيخ المنتظري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4/263</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وجهه أن النفس كذلك فللآخرين حق عليه في قضاء حوائجهم وإغاثة ملهوفهم والدفاع عن مظلومهم إلى حد القتال والقتل، 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لَكُمْ لاَ تُقَاتِلُونَ فِي سَبِيلِ اللّهِ وَالْمُسْتَضْعَفِينَ مِنَ الرِّجَالِ وَالنِّسَاء وَالْوِلْدَانِ الَّذِينَ يَقُولُونَ رَبَّنَا أَخْرِجْنَا مِنْ هَذِهِ الْقَرْيَةِ الظَّالِمِ أَهْلُهَا وَاجْعَل لَّنَا مِن لَّدُنكَ وَلِيّاً وَاجْعَل لَّنَا مِن لَّدُنكَ نَصِيراً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البيع من الموسوعة الكاملة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محسن خرازي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فقه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مجلة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العددان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الشيخ جوادي آملي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الحق والتكليف في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22/34</w:t>
      </w:r>
      <w:r>
        <w:rPr>
          <w:rFonts w:ascii="IRNazanin" w:hAnsi="IRNazanin" w:eastAsia="IRNazanin"/>
          <w:b w:val="false"/>
          <w:b w:val="false"/>
          <w:bCs w:val="false"/>
          <w:i w:val="false"/>
          <w:i w:val="false"/>
          <w:iCs w:val="false"/>
          <w:color w:val="333333"/>
          <w:sz w:val="20"/>
          <w:sz w:val="20"/>
          <w:szCs w:val="20"/>
          <w:rtl w:val="true"/>
        </w:rPr>
        <w:t xml:space="preserve">، أبواب مقدمات الطلاق،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2/190</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3/346</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التيمم،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19/378</w:t>
      </w:r>
      <w:r>
        <w:rPr>
          <w:rFonts w:ascii="IRNazanin" w:hAnsi="IRNazanin" w:eastAsia="IRNazanin"/>
          <w:b w:val="false"/>
          <w:b w:val="false"/>
          <w:bCs w:val="false"/>
          <w:i w:val="false"/>
          <w:i w:val="false"/>
          <w:iCs w:val="false"/>
          <w:color w:val="333333"/>
          <w:sz w:val="20"/>
          <w:sz w:val="20"/>
          <w:szCs w:val="20"/>
          <w:rtl w:val="true"/>
        </w:rPr>
        <w:t xml:space="preserve">، كتاب الوصايا، باب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29/24</w:t>
      </w:r>
      <w:r>
        <w:rPr>
          <w:rFonts w:ascii="IRNazanin" w:hAnsi="IRNazanin" w:eastAsia="IRNazanin"/>
          <w:b w:val="false"/>
          <w:b w:val="false"/>
          <w:bCs w:val="false"/>
          <w:i w:val="false"/>
          <w:i w:val="false"/>
          <w:iCs w:val="false"/>
          <w:color w:val="333333"/>
          <w:sz w:val="20"/>
          <w:sz w:val="20"/>
          <w:szCs w:val="20"/>
          <w:rtl w:val="true"/>
        </w:rPr>
        <w:t xml:space="preserve">، أبواب القصاص في النفس،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15/174</w:t>
      </w:r>
      <w:r>
        <w:rPr>
          <w:rFonts w:ascii="IRNazanin" w:hAnsi="IRNazanin" w:eastAsia="IRNazanin"/>
          <w:b w:val="false"/>
          <w:b w:val="false"/>
          <w:bCs w:val="false"/>
          <w:i w:val="false"/>
          <w:i w:val="false"/>
          <w:iCs w:val="false"/>
          <w:color w:val="333333"/>
          <w:sz w:val="20"/>
          <w:sz w:val="20"/>
          <w:szCs w:val="20"/>
          <w:rtl w:val="true"/>
        </w:rPr>
        <w:t xml:space="preserve">، أبواب جهاد النفس وما يناسبه،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39880</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الرجل يتكارى البيت والسفينة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18/32</w:t>
      </w:r>
      <w:r>
        <w:rPr>
          <w:rFonts w:ascii="IRNazanin" w:hAnsi="IRNazanin" w:eastAsia="IRNazanin"/>
          <w:b w:val="false"/>
          <w:b w:val="false"/>
          <w:bCs w:val="false"/>
          <w:i w:val="false"/>
          <w:i w:val="false"/>
          <w:iCs w:val="false"/>
          <w:color w:val="333333"/>
          <w:sz w:val="20"/>
          <w:sz w:val="20"/>
          <w:szCs w:val="20"/>
          <w:rtl w:val="true"/>
        </w:rPr>
        <w:t xml:space="preserve">، أبواب الخيار،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محسن الخرازي في مجلة فقه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سديدة في مسائل جديدة، الشيخ محمد المؤمن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المدرسين،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كتاب الأطعمة والأشربة، أبواب الأطعمة المباحة،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المباحة، 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المدرسين،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الفقيه</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3/347</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التيمم،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الرياضيات للفقيه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محسن الخرازي، 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16/157</w:t>
      </w:r>
      <w:r>
        <w:rPr>
          <w:rFonts w:ascii="IRNazanin" w:hAnsi="IRNazanin" w:eastAsia="IRNazanin"/>
          <w:b w:val="false"/>
          <w:b w:val="false"/>
          <w:bCs w:val="false"/>
          <w:i w:val="false"/>
          <w:i w:val="false"/>
          <w:iCs w:val="false"/>
          <w:color w:val="333333"/>
          <w:sz w:val="20"/>
          <w:sz w:val="20"/>
          <w:szCs w:val="20"/>
          <w:rtl w:val="true"/>
        </w:rPr>
        <w:t xml:space="preserve">، أبواب الأمر والنهي وما يناسبهما،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يقصد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دامت بركاته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وبما أن الدليل على هذه السلطنة هو بناء العقلاء فلا بد أن نضيف إلى القيود قيداً آخر وهو أن لا يكون هناك مانع عقلائي بحيث يُعَدُّ الفعل سفهياً أو عبثياً أو غير عقلائي كقطع جزء من جلده أو لحمه أو إحداث جرح في رأسه أو في أي جزء آخر ونزف الدم منه أو التقلب في الأوحال الآسنة أو ضرب الظهر بسكاكين حادة أو ممارسة بعض الرياضات العنيفة كالملاكمة، فإنها كلها مما تتوفر فيها القيود المذكورة عند الفقهاء ويكون مقتضى كلماتهم جوازها وهو كما ترى، إذ لا يتردد العقلاء في استهجانها وتشديد النكير على فاعليها، فسلطة الإنسان على نفسه لا تتسع لمثل هذه التصرفات، وما ذكروه من القيود غير كافٍ للمنع من أفعال كثيرة يقضي وجدان الفقهاء وارتكازهم بالمنع منها</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يقصد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دامت بركاته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هذه الملكية ليست مستقلة عن ملك الله تعالى الخالق البارئ؛ لذا عليه أن يتقيد بحدود الاستخلاف التي يضعها له الشارع المقدس كعدم إلقاء النفس في التهلكة وعدم الإضرار بها والإذلال لها، مما ذكره الأعلام وسنشير إليها في المطلب الآتي إن شاء الله تعالى</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ما نقلناه في الهامشين السابقين</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عدة الداعي، لأحمد بن فهد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المنتخبة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الشرعية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2/318</w:t>
      </w:r>
      <w:r>
        <w:rPr>
          <w:rFonts w:ascii="IRNazanin" w:hAnsi="IRNazanin" w:eastAsia="IRNazanin"/>
          <w:b w:val="false"/>
          <w:b w:val="false"/>
          <w:bCs w:val="false"/>
          <w:i w:val="false"/>
          <w:i w:val="false"/>
          <w:iCs w:val="false"/>
          <w:color w:val="333333"/>
          <w:sz w:val="20"/>
          <w:sz w:val="20"/>
          <w:szCs w:val="20"/>
          <w:rtl w:val="true"/>
        </w:rPr>
        <w:t xml:space="preserve">، السؤال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الشرعية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2/305</w:t>
      </w:r>
      <w:r>
        <w:rPr>
          <w:rFonts w:ascii="IRNazanin" w:hAnsi="IRNazanin" w:eastAsia="IRNazanin"/>
          <w:b w:val="false"/>
          <w:b w:val="false"/>
          <w:bCs w:val="false"/>
          <w:i w:val="false"/>
          <w:i w:val="false"/>
          <w:iCs w:val="false"/>
          <w:color w:val="333333"/>
          <w:sz w:val="20"/>
          <w:sz w:val="20"/>
          <w:szCs w:val="20"/>
          <w:rtl w:val="true"/>
        </w:rPr>
        <w:t xml:space="preserve">، السؤال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16/337</w:t>
      </w:r>
      <w:r>
        <w:rPr>
          <w:rFonts w:ascii="IRNazanin" w:hAnsi="IRNazanin" w:eastAsia="IRNazanin"/>
          <w:b w:val="false"/>
          <w:b w:val="false"/>
          <w:bCs w:val="false"/>
          <w:i w:val="false"/>
          <w:i w:val="false"/>
          <w:iCs w:val="false"/>
          <w:color w:val="333333"/>
          <w:sz w:val="20"/>
          <w:sz w:val="20"/>
          <w:szCs w:val="20"/>
          <w:rtl w:val="true"/>
        </w:rPr>
        <w:t xml:space="preserve">، أبواب فعل المعروف،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15/142</w:t>
      </w:r>
      <w:r>
        <w:rPr>
          <w:rFonts w:ascii="IRNazanin" w:hAnsi="IRNazanin" w:eastAsia="IRNazanin"/>
          <w:b w:val="false"/>
          <w:b w:val="false"/>
          <w:bCs w:val="false"/>
          <w:i w:val="false"/>
          <w:i w:val="false"/>
          <w:iCs w:val="false"/>
          <w:color w:val="333333"/>
          <w:sz w:val="20"/>
          <w:sz w:val="20"/>
          <w:szCs w:val="20"/>
          <w:rtl w:val="true"/>
        </w:rPr>
        <w:t xml:space="preserve">، أبواب جهاد العدو، باب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كتاب الجهاد، أبواب جهاد العدو،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قسم الكتب والرسائل، العدد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29/327</w:t>
      </w:r>
      <w:r>
        <w:rPr>
          <w:rFonts w:ascii="IRNazanin" w:hAnsi="IRNazanin" w:eastAsia="IRNazanin"/>
          <w:b w:val="false"/>
          <w:b w:val="false"/>
          <w:bCs w:val="false"/>
          <w:i w:val="false"/>
          <w:i w:val="false"/>
          <w:iCs w:val="false"/>
          <w:color w:val="333333"/>
          <w:sz w:val="20"/>
          <w:sz w:val="20"/>
          <w:szCs w:val="20"/>
          <w:rtl w:val="true"/>
        </w:rPr>
        <w:t xml:space="preserve">، كتاب الديات، أبواب ديات الأعضاء،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3/219</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الدفن، باب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29/325</w:t>
      </w:r>
      <w:r>
        <w:rPr>
          <w:rFonts w:ascii="IRNazanin" w:hAnsi="IRNazanin" w:eastAsia="IRNazanin"/>
          <w:b w:val="false"/>
          <w:b w:val="false"/>
          <w:bCs w:val="false"/>
          <w:i w:val="false"/>
          <w:i w:val="false"/>
          <w:iCs w:val="false"/>
          <w:color w:val="333333"/>
          <w:sz w:val="20"/>
          <w:sz w:val="20"/>
          <w:szCs w:val="20"/>
          <w:rtl w:val="true"/>
        </w:rPr>
        <w:t xml:space="preserve">، أبواب ديات الأعضاء،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2/500</w:t>
      </w:r>
      <w:r>
        <w:rPr>
          <w:rFonts w:ascii="IRNazanin" w:hAnsi="IRNazanin" w:eastAsia="IRNazanin"/>
          <w:b w:val="false"/>
          <w:b w:val="false"/>
          <w:bCs w:val="false"/>
          <w:i w:val="false"/>
          <w:i w:val="false"/>
          <w:iCs w:val="false"/>
          <w:color w:val="333333"/>
          <w:sz w:val="20"/>
          <w:sz w:val="20"/>
          <w:szCs w:val="20"/>
          <w:rtl w:val="true"/>
        </w:rPr>
        <w:t xml:space="preserve">، أبواب غسل الميت،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في الكافي وقد عُرِّف في نفس الرواية في التهذيب أنه ابن أذينة مما يقوي استقراء أن ابن عمير لا يرسل إلا عن ثقة خصوصاً عند استعمال مثل هذا التعبير</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2/470</w:t>
      </w:r>
      <w:r>
        <w:rPr>
          <w:rFonts w:ascii="IRNazanin" w:hAnsi="IRNazanin" w:eastAsia="IRNazanin"/>
          <w:b w:val="false"/>
          <w:b w:val="false"/>
          <w:bCs w:val="false"/>
          <w:i w:val="false"/>
          <w:i w:val="false"/>
          <w:iCs w:val="false"/>
          <w:color w:val="333333"/>
          <w:sz w:val="20"/>
          <w:sz w:val="20"/>
          <w:szCs w:val="20"/>
          <w:rtl w:val="true"/>
        </w:rPr>
        <w:t xml:space="preserve">، أبواب الاحتضار، 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2/470</w:t>
      </w:r>
      <w:r>
        <w:rPr>
          <w:rFonts w:ascii="IRNazanin" w:hAnsi="IRNazanin" w:eastAsia="IRNazanin"/>
          <w:b w:val="false"/>
          <w:b w:val="false"/>
          <w:bCs w:val="false"/>
          <w:i w:val="false"/>
          <w:i w:val="false"/>
          <w:iCs w:val="false"/>
          <w:color w:val="333333"/>
          <w:sz w:val="20"/>
          <w:sz w:val="20"/>
          <w:szCs w:val="20"/>
          <w:rtl w:val="true"/>
        </w:rPr>
        <w:t xml:space="preserve">، أبواب الاحتضار، 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زرارة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سأله أبي وأنا حاضر عن الرجل يسقط سنّه، فيأخذ سنّ إنسان ميت فيضعه مكانه،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نؤسس لمطلب أصولي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أن خروج بعض الموارد من تحت عام أو مطلق قد لا يعبِّر عن مجرد تخصيص أو تقييد فيهما وإنما يكون كاشفاً عن أن العموم والإطلاق غير تام في نفسه والخارج عنهما لا يقتصر على المذكورات أي أن نكتة الخروج ثبوتية يمكن أن تعمِّم الخارج لا إثباتية بالدليل الخاص مقتصرة على المذكورات فيُنظر في الأدلة لاكتشاف النكتة الثبوتية</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أبواب التكفين،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3/141</w:t>
      </w:r>
      <w:r>
        <w:rPr>
          <w:rFonts w:ascii="IRNazanin" w:hAnsi="IRNazanin" w:eastAsia="IRNazanin"/>
          <w:b w:val="false"/>
          <w:b w:val="false"/>
          <w:bCs w:val="false"/>
          <w:i w:val="false"/>
          <w:i w:val="false"/>
          <w:iCs w:val="false"/>
          <w:color w:val="333333"/>
          <w:sz w:val="20"/>
          <w:sz w:val="20"/>
          <w:szCs w:val="20"/>
          <w:rtl w:val="true"/>
        </w:rPr>
        <w:t xml:space="preserve">، أبواب الدفن،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علي الصوفي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استأذن إبراهيم الجمال رضي الله عنه على أبي الحسن علي بن يقطين الوزير فحجبه، فحج علي بن يقطين في تلك السنة فاستأذن بالمدينة على مولانا موسى بن جعفر فحجبه، فرآه ثاني يومه فقال علي بن يقطين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سيدي ما ذنبي؟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حجبتك لأنك حجبت أخاك إبراهيم الجمال وقد أبى الله أن يشكر سعيك أو يغفر لك إبراهيم الجمال،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سيدي ومولاي من لي بإبراهيم الجمال في هذا الوقت وأنا بالمدينة وهو بالكوفة؟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الليل فامض إلى البقيع وحدك من غير أن يعلم بك أحد من أصحابك وغلمانك واركب نجيباً هناك مسرّجاً،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فوافى البقيع وركب النجيب ولم يلبث أن أناخه على باب إبراهيم الجمال بالكوفة فقرع الباب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علي بن يقطين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إبراهيم الجمال من داخل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يعمل علي بن يقطين الوزير ببابي؟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علي بن يقطين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هذا إن أمري عظيم وآلى عليه أن يأذن له، فلما دخل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إبراهيم إن المولى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أبى أن يقبلني أو تغفر لي،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يغفر الله لك فآلى علي بن يقطين على إبراهيم الجمال أن يطأ خده فامتنع إبراهيم من ذلك فآلى عليه ثانياً ففعل، فلم يزل إبراهيم يطأ خده وعلي بن يقطين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اشهد، ثم انصرف وركب النجيب وأناخه من ليلته بباب المولى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بالمدينة فأذن له ودخل عليه فقبله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عيون المعجزات</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29/312</w:t>
      </w:r>
      <w:r>
        <w:rPr>
          <w:rFonts w:ascii="IRNazanin" w:hAnsi="IRNazanin" w:eastAsia="IRNazanin"/>
          <w:b w:val="false"/>
          <w:b w:val="false"/>
          <w:bCs w:val="false"/>
          <w:i w:val="false"/>
          <w:i w:val="false"/>
          <w:iCs w:val="false"/>
          <w:color w:val="333333"/>
          <w:sz w:val="20"/>
          <w:sz w:val="20"/>
          <w:szCs w:val="20"/>
          <w:rtl w:val="true"/>
        </w:rPr>
        <w:t xml:space="preserve">، أبواب ديات الأعضاء،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يقصد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دامت بركاته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صفحات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للإحساس الوجداني بأن هذه الموارد خرجت من الحرمة لا لخصوصية فيها وإنما بني خروجها على نكتة ثبوتية علينا اكتشافها من الأدلة لأن هذا الإحساس ليس دليلاً بمفرده وإنما هو منبّه ومحرِّك للبحث باتجاه اكتشاف حقيقة ما</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1/730</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2/359</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قضاياه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عهد عمر</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سديدة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16/214</w:t>
      </w:r>
      <w:r>
        <w:rPr>
          <w:rFonts w:ascii="IRNazanin" w:hAnsi="IRNazanin" w:eastAsia="IRNazanin"/>
          <w:b w:val="false"/>
          <w:b w:val="false"/>
          <w:bCs w:val="false"/>
          <w:i w:val="false"/>
          <w:i w:val="false"/>
          <w:iCs w:val="false"/>
          <w:color w:val="333333"/>
          <w:sz w:val="20"/>
          <w:sz w:val="20"/>
          <w:szCs w:val="20"/>
          <w:rtl w:val="true"/>
        </w:rPr>
        <w:t xml:space="preserve">، أبواب الأمر والنهي،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16/234</w:t>
      </w:r>
      <w:r>
        <w:rPr>
          <w:rFonts w:ascii="IRNazanin" w:hAnsi="IRNazanin" w:eastAsia="IRNazanin"/>
          <w:b w:val="false"/>
          <w:b w:val="false"/>
          <w:bCs w:val="false"/>
          <w:i w:val="false"/>
          <w:i w:val="false"/>
          <w:iCs w:val="false"/>
          <w:color w:val="333333"/>
          <w:sz w:val="20"/>
          <w:sz w:val="20"/>
          <w:szCs w:val="20"/>
          <w:rtl w:val="true"/>
        </w:rPr>
        <w:t xml:space="preserve">، أبواب الأمر والنهي،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ما 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دامت بركاته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صفحات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صاحب الجواهر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عبارة الشرائع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لم يجد المضطر ما يمسك رمقه سوى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يقطع قطعة من فخذه ونحوه من المواضع اللحمة فإن كان الخوف فيه كالخوف على نفسه في ترك الأكل أو أشد حرم القطع قطعاً، وإن علم السلامة حل قطعاً، بل وجب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أرجى للسلامة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جاز له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يأكل من المواضع اللحمة كالفخذ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إتلاف بعض لاستبقاء الكل، فأشبه قطع اليد مثلاً بسبب الآكلة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وليس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 فيه دفع الضرر بالضرر، ولا كذلك جواز قطع الآكلة، لأن الجواز هناك إنما هو لقطع السراية الحاصلة، وهنا إحداث سراية</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سديدة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الشرعية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2/133</w:t>
      </w:r>
      <w:r>
        <w:rPr>
          <w:rFonts w:ascii="IRNazanin" w:hAnsi="IRNazanin" w:eastAsia="IRNazanin"/>
          <w:b w:val="false"/>
          <w:b w:val="false"/>
          <w:bCs w:val="false"/>
          <w:i w:val="false"/>
          <w:i w:val="false"/>
          <w:iCs w:val="false"/>
          <w:color w:val="333333"/>
          <w:sz w:val="20"/>
          <w:sz w:val="20"/>
          <w:szCs w:val="20"/>
          <w:rtl w:val="true"/>
        </w:rPr>
        <w:t xml:space="preserve">، السؤال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الخوئي الإسلامية</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يقصد بها روايات الطائفة الثانية الدالة على ان حرمة الميت كحرمة الحي</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آصف محسني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الفقه ومسائل طبية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الشرعية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2/318</w:t>
      </w:r>
      <w:r>
        <w:rPr>
          <w:rFonts w:ascii="IRNazanin" w:hAnsi="IRNazanin" w:eastAsia="IRNazanin"/>
          <w:b w:val="false"/>
          <w:b w:val="false"/>
          <w:bCs w:val="false"/>
          <w:i w:val="false"/>
          <w:i w:val="false"/>
          <w:iCs w:val="false"/>
          <w:color w:val="333333"/>
          <w:sz w:val="20"/>
          <w:sz w:val="20"/>
          <w:szCs w:val="20"/>
          <w:rtl w:val="true"/>
        </w:rPr>
        <w:t xml:space="preserve">، السؤال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29/10</w:t>
      </w:r>
      <w:r>
        <w:rPr>
          <w:rFonts w:ascii="IRNazanin" w:hAnsi="IRNazanin" w:eastAsia="IRNazanin"/>
          <w:b w:val="false"/>
          <w:b w:val="false"/>
          <w:bCs w:val="false"/>
          <w:i w:val="false"/>
          <w:i w:val="false"/>
          <w:iCs w:val="false"/>
          <w:color w:val="333333"/>
          <w:sz w:val="20"/>
          <w:sz w:val="20"/>
          <w:szCs w:val="20"/>
          <w:rtl w:val="true"/>
        </w:rPr>
        <w:t xml:space="preserve">، أبواب القصاص في النفس،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سديدة، مصدر 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صاحب العضو حي بحسب الفرض فالمورد من سلطنة الحي على أعضائه وليس من سلطنة الميت على أعضائه فلا يصح النقض به إلا أن نقول بأن كل عضو ينتهي الاستخلاف عليه بقطعه وموته</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جواب سؤال ورد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 الأفراد هنا يوصون بإعطاء عين أو عضو آخر من الجسم بعد وفاتهم لمستشفى أو شخص محتاج، فهل يجوز اقتلاع العضو من الميت ولو بوصيته؟ وهل يجوز للموصي الوصية بذلك؟ وإذا وقعت على أي حال من الأحوال هل يجب إنفاذها وهل تصح هذه الوصية شرعاً؟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الوصية المذكورة صحيحة، ويجب إنفاذها</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المعارف</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الأحكام الشرعية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3074</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29/340</w:t>
      </w:r>
      <w:r>
        <w:rPr>
          <w:rFonts w:ascii="IRNazanin" w:hAnsi="IRNazanin" w:eastAsia="IRNazanin"/>
          <w:b w:val="false"/>
          <w:b w:val="false"/>
          <w:bCs w:val="false"/>
          <w:i w:val="false"/>
          <w:i w:val="false"/>
          <w:iCs w:val="false"/>
          <w:color w:val="333333"/>
          <w:sz w:val="20"/>
          <w:sz w:val="20"/>
          <w:szCs w:val="20"/>
          <w:rtl w:val="true"/>
        </w:rPr>
        <w:t xml:space="preserve">، أبواب ديات الأعضاء، 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29/340</w:t>
      </w:r>
      <w:r>
        <w:rPr>
          <w:rFonts w:ascii="IRNazanin" w:hAnsi="IRNazanin" w:eastAsia="IRNazanin"/>
          <w:b w:val="false"/>
          <w:b w:val="false"/>
          <w:bCs w:val="false"/>
          <w:i w:val="false"/>
          <w:i w:val="false"/>
          <w:iCs w:val="false"/>
          <w:color w:val="333333"/>
          <w:sz w:val="20"/>
          <w:sz w:val="20"/>
          <w:szCs w:val="20"/>
          <w:rtl w:val="true"/>
        </w:rPr>
        <w:t xml:space="preserve">، أبواب ديات الأعضاء، 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صحيحة عبد الله بن سنان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رجل قطع رأس الميت؟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الدية لأن حرمته ميتاً كحرمته وهو حي</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29/325</w:t>
      </w:r>
      <w:r>
        <w:rPr>
          <w:rFonts w:ascii="IRNazanin" w:hAnsi="IRNazanin" w:eastAsia="IRNazanin"/>
          <w:b w:val="false"/>
          <w:b w:val="false"/>
          <w:bCs w:val="false"/>
          <w:i w:val="false"/>
          <w:i w:val="false"/>
          <w:iCs w:val="false"/>
          <w:color w:val="333333"/>
          <w:sz w:val="20"/>
          <w:sz w:val="20"/>
          <w:szCs w:val="20"/>
          <w:rtl w:val="true"/>
        </w:rPr>
        <w:t xml:space="preserve">، أبواب ديات الأعضاء،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صحيحة السند بحسب البرقي في المحاسن دون الكتب الأربعة فإن سندها فيها ضعيف</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تصلح الرواية لجعلها مثالاً للحاجة إلى تأسيس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 الاجتماعي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واستحداث البحث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المصالح والمفاسد</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29/221</w:t>
      </w:r>
      <w:r>
        <w:rPr>
          <w:rFonts w:ascii="IRNazanin" w:hAnsi="IRNazanin" w:eastAsia="IRNazanin"/>
          <w:b w:val="false"/>
          <w:b w:val="false"/>
          <w:bCs w:val="false"/>
          <w:i w:val="false"/>
          <w:i w:val="false"/>
          <w:iCs w:val="false"/>
          <w:color w:val="333333"/>
          <w:sz w:val="20"/>
          <w:sz w:val="20"/>
          <w:szCs w:val="20"/>
          <w:rtl w:val="true"/>
        </w:rPr>
        <w:t xml:space="preserve">، أبواب ديات النفس،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29/218</w:t>
      </w:r>
      <w:r>
        <w:rPr>
          <w:rFonts w:ascii="IRNazanin" w:hAnsi="IRNazanin" w:eastAsia="IRNazanin"/>
          <w:b w:val="false"/>
          <w:b w:val="false"/>
          <w:bCs w:val="false"/>
          <w:i w:val="false"/>
          <w:i w:val="false"/>
          <w:iCs w:val="false"/>
          <w:color w:val="333333"/>
          <w:sz w:val="20"/>
          <w:sz w:val="20"/>
          <w:szCs w:val="20"/>
          <w:rtl w:val="true"/>
        </w:rPr>
        <w:t xml:space="preserve">، أبواب ديات النفس،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29/107</w:t>
      </w:r>
      <w:r>
        <w:rPr>
          <w:rFonts w:ascii="IRNazanin" w:hAnsi="IRNazanin" w:eastAsia="IRNazanin"/>
          <w:b w:val="false"/>
          <w:b w:val="false"/>
          <w:bCs w:val="false"/>
          <w:i w:val="false"/>
          <w:i w:val="false"/>
          <w:iCs w:val="false"/>
          <w:color w:val="333333"/>
          <w:sz w:val="20"/>
          <w:sz w:val="20"/>
          <w:szCs w:val="20"/>
          <w:rtl w:val="true"/>
        </w:rPr>
        <w:t xml:space="preserve">، أبواب قصاص النفس، باب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29/325</w:t>
      </w:r>
      <w:r>
        <w:rPr>
          <w:rFonts w:ascii="IRNazanin" w:hAnsi="IRNazanin" w:eastAsia="IRNazanin"/>
          <w:b w:val="false"/>
          <w:b w:val="false"/>
          <w:bCs w:val="false"/>
          <w:i w:val="false"/>
          <w:i w:val="false"/>
          <w:iCs w:val="false"/>
          <w:color w:val="333333"/>
          <w:sz w:val="20"/>
          <w:sz w:val="20"/>
          <w:szCs w:val="20"/>
          <w:rtl w:val="true"/>
        </w:rPr>
        <w:t xml:space="preserve">، أبواب ديات الأعضاء،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ومسائل طبية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 أسوداً دخل على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 إني سرقت فطهرني،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لعلك سرقت من غير حرز، ونحى رأسه عنه،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أمير المؤمنين سرقت من حرز فطهرني،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لعلك سرقت غير نصاب، و نحى رأسه عنه،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أمير المؤمنين سرقت نصاباً، فلما أقر ثلاث مرات قطعه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فذهب وجعل يقول في الطريق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قطعني أمير المؤمنين وإمام المتقين وقائد الغر المحجلين ويعسوب الدين وسيد الوصيين، وجعل يمدحه، فسمع ذلك منه الحسن والحسين ‘ وقد استقبلاه، فدخلا على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رأينا أسوداً يمدحك في الطريق، فبعث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أعاده إلى عنده،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قطعتك وأنت تمدحني؟ فقال يا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 طهرتني وإن حبك قد خالط لحمي وعظمي، فلو قطعتني إرباً إرباً لما ذهب حبك من قلبي، فدعا له أمير المؤمنين</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معتبرة الحلبي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سألته عن الثنية تنفصم وتسقط، أيصلح أن يجعل مكانها سنّ شاة؟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شاء فليضع مكانها سنّاً بعد أن تكون ذكية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2/535</w:t>
      </w:r>
      <w:r>
        <w:rPr>
          <w:rFonts w:ascii="IRNazanin" w:hAnsi="IRNazanin" w:eastAsia="IRNazanin"/>
          <w:b w:val="false"/>
          <w:b w:val="false"/>
          <w:bCs w:val="false"/>
          <w:i w:val="false"/>
          <w:i w:val="false"/>
          <w:iCs w:val="false"/>
          <w:color w:val="333333"/>
          <w:sz w:val="20"/>
          <w:sz w:val="20"/>
          <w:szCs w:val="20"/>
          <w:rtl w:val="true"/>
        </w:rPr>
        <w:t xml:space="preserve">، أبواب غسل الميت،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3/114</w:t>
      </w:r>
      <w:r>
        <w:rPr>
          <w:rFonts w:ascii="IRNazanin" w:hAnsi="IRNazanin" w:eastAsia="IRNazanin"/>
          <w:b w:val="false"/>
          <w:b w:val="false"/>
          <w:bCs w:val="false"/>
          <w:i w:val="false"/>
          <w:i w:val="false"/>
          <w:iCs w:val="false"/>
          <w:color w:val="333333"/>
          <w:sz w:val="20"/>
          <w:sz w:val="20"/>
          <w:szCs w:val="20"/>
          <w:rtl w:val="true"/>
        </w:rPr>
        <w:t xml:space="preserve">، أبواب صلاة الجنازة،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الشرعية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5/315</w:t>
      </w:r>
      <w:r>
        <w:rPr>
          <w:rFonts w:ascii="IRNazanin" w:hAnsi="IRNazanin" w:eastAsia="IRNazanin"/>
          <w:b w:val="false"/>
          <w:b w:val="false"/>
          <w:bCs w:val="false"/>
          <w:i w:val="false"/>
          <w:i w:val="false"/>
          <w:iCs w:val="false"/>
          <w:color w:val="333333"/>
          <w:sz w:val="20"/>
          <w:sz w:val="20"/>
          <w:szCs w:val="20"/>
          <w:rtl w:val="true"/>
        </w:rPr>
        <w:t xml:space="preserve">، السؤال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سماحته عدة روايات تدل على ذلك في الجزء الثاني عشر صفحة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فليراجع</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36/18</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7/318</w:t>
      </w:r>
      <w:r>
        <w:rPr>
          <w:rFonts w:ascii="IRNazanin" w:hAnsi="IRNazanin" w:eastAsia="IRNazanin"/>
          <w:b w:val="false"/>
          <w:b w:val="false"/>
          <w:bCs w:val="false"/>
          <w:i w:val="false"/>
          <w:i w:val="false"/>
          <w:iCs w:val="false"/>
          <w:color w:val="333333"/>
          <w:sz w:val="20"/>
          <w:sz w:val="20"/>
          <w:szCs w:val="20"/>
          <w:rtl w:val="true"/>
        </w:rPr>
        <w:t>، كتاب الخلع والطلاق</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18/51</w:t>
      </w:r>
      <w:r>
        <w:rPr>
          <w:rFonts w:ascii="IRNazanin" w:hAnsi="IRNazanin" w:eastAsia="IRNazanin"/>
          <w:b w:val="false"/>
          <w:b w:val="false"/>
          <w:bCs w:val="false"/>
          <w:i w:val="false"/>
          <w:i w:val="false"/>
          <w:iCs w:val="false"/>
          <w:color w:val="333333"/>
          <w:sz w:val="20"/>
          <w:sz w:val="20"/>
          <w:szCs w:val="20"/>
          <w:rtl w:val="true"/>
        </w:rPr>
        <w:t xml:space="preserve">، أبواب أحكام العقود،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27/292</w:t>
      </w:r>
      <w:r>
        <w:rPr>
          <w:rFonts w:ascii="IRNazanin" w:hAnsi="IRNazanin" w:eastAsia="IRNazanin"/>
          <w:b w:val="false"/>
          <w:b w:val="false"/>
          <w:bCs w:val="false"/>
          <w:i w:val="false"/>
          <w:i w:val="false"/>
          <w:iCs w:val="false"/>
          <w:color w:val="333333"/>
          <w:sz w:val="20"/>
          <w:sz w:val="20"/>
          <w:szCs w:val="20"/>
          <w:rtl w:val="true"/>
        </w:rPr>
        <w:t>، كتاب 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القاضي،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دامت بركاته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ويصدق عنوان الملكية على السلطنة بهذا النحو نظير ملكية الرجل لزمام الزوجية وعصمة المرأة فإنها بيده وقد عبّرت الروايات عنها بالملك كموثقة معمر بن يحيى آل سام عن أبي جعفر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يطلّق الرجل إلا ما ملك، ولا يعتق إلا ما ملك، ولا يتصدق إلا بما 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وهي متحدة المعنى مع الحديث النبوي الذي جمع الأمور كلها في لفظ واحد وهي رواية عامية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يجوز طلاق ولا بيع ولا عتق ولا وفاء نذر في ما لا يملك</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ضمن محصل المطالب</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مصدر 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البيع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من الموسوعة الكاملة</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سديدة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محسن الخرازي في مجلة فقه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مسألة وجوب الغسل بمس القطعة المبانة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الطبعة الأولى</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أبواب غسل المس،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ترجمة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5/341</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أبواب النجاسات، باب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23/376</w:t>
      </w:r>
      <w:r>
        <w:rPr>
          <w:rFonts w:ascii="IRNazanin" w:hAnsi="IRNazanin" w:eastAsia="IRNazanin"/>
          <w:b w:val="false"/>
          <w:b w:val="false"/>
          <w:bCs w:val="false"/>
          <w:i w:val="false"/>
          <w:i w:val="false"/>
          <w:iCs w:val="false"/>
          <w:color w:val="333333"/>
          <w:sz w:val="20"/>
          <w:sz w:val="20"/>
          <w:szCs w:val="20"/>
          <w:rtl w:val="true"/>
        </w:rPr>
        <w:t xml:space="preserve">، كتاب الصيد والذباحة، أبواب الصيد،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 الموضع</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5/340</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موسوعة فقه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موسوعة فقه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17/98</w:t>
      </w:r>
      <w:r>
        <w:rPr>
          <w:rFonts w:ascii="IRNazanin" w:hAnsi="IRNazanin" w:eastAsia="IRNazanin"/>
          <w:b w:val="false"/>
          <w:b w:val="false"/>
          <w:bCs w:val="false"/>
          <w:i w:val="false"/>
          <w:i w:val="false"/>
          <w:iCs w:val="false"/>
          <w:color w:val="333333"/>
          <w:sz w:val="20"/>
          <w:sz w:val="20"/>
          <w:szCs w:val="20"/>
          <w:rtl w:val="true"/>
        </w:rPr>
        <w:t>، أبواب ما يكتسب به،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17/93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17/93</w:t>
      </w:r>
      <w:r>
        <w:rPr>
          <w:rFonts w:ascii="IRNazanin" w:hAnsi="IRNazanin" w:eastAsia="IRNazanin"/>
          <w:b w:val="false"/>
          <w:b w:val="false"/>
          <w:bCs w:val="false"/>
          <w:i w:val="false"/>
          <w:i w:val="false"/>
          <w:iCs w:val="false"/>
          <w:color w:val="333333"/>
          <w:sz w:val="20"/>
          <w:sz w:val="20"/>
          <w:szCs w:val="20"/>
          <w:rtl w:val="true"/>
        </w:rPr>
        <w:t>، أبواب ما يكتسب به،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17/173</w:t>
      </w:r>
      <w:r>
        <w:rPr>
          <w:rFonts w:ascii="IRNazanin" w:hAnsi="IRNazanin" w:eastAsia="IRNazanin"/>
          <w:b w:val="false"/>
          <w:b w:val="false"/>
          <w:bCs w:val="false"/>
          <w:i w:val="false"/>
          <w:i w:val="false"/>
          <w:iCs w:val="false"/>
          <w:color w:val="333333"/>
          <w:sz w:val="20"/>
          <w:sz w:val="20"/>
          <w:szCs w:val="20"/>
          <w:rtl w:val="true"/>
        </w:rPr>
        <w:t xml:space="preserve">، أبواب ما يكتسب به، 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موسوعة فقه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موسوعة فقه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1/175</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الماء المطلق،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3/187</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15/357</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15/27</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 من الموسوعة الكاملة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35/107</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24/186</w:t>
      </w:r>
      <w:r>
        <w:rPr>
          <w:rFonts w:ascii="IRNazanin" w:hAnsi="IRNazanin" w:eastAsia="IRNazanin"/>
          <w:b w:val="false"/>
          <w:b w:val="false"/>
          <w:bCs w:val="false"/>
          <w:i w:val="false"/>
          <w:i w:val="false"/>
          <w:iCs w:val="false"/>
          <w:color w:val="333333"/>
          <w:sz w:val="20"/>
          <w:sz w:val="20"/>
          <w:szCs w:val="20"/>
          <w:rtl w:val="true"/>
        </w:rPr>
        <w:t xml:space="preserve">، كتاب الأطعمة والأشربة، أبواب الأطعمة المحرّمة،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 من موسوعة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35/107</w:t>
      </w:r>
      <w:r>
        <w:rPr>
          <w:rFonts w:ascii="IRNazanin" w:hAnsi="IRNazanin" w:eastAsia="IRNazanin"/>
          <w:b w:val="false"/>
          <w:b w:val="false"/>
          <w:bCs w:val="false"/>
          <w:i w:val="false"/>
          <w:i w:val="false"/>
          <w:iCs w:val="false"/>
          <w:color w:val="333333"/>
          <w:sz w:val="20"/>
          <w:sz w:val="20"/>
          <w:szCs w:val="20"/>
          <w:rtl w:val="true"/>
        </w:rPr>
        <w:t>، منهاج الصالحين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17/175</w:t>
      </w:r>
      <w:r>
        <w:rPr>
          <w:rFonts w:ascii="IRNazanin" w:hAnsi="IRNazanin" w:eastAsia="IRNazanin"/>
          <w:b w:val="false"/>
          <w:b w:val="false"/>
          <w:bCs w:val="false"/>
          <w:i w:val="false"/>
          <w:i w:val="false"/>
          <w:iCs w:val="false"/>
          <w:color w:val="333333"/>
          <w:sz w:val="20"/>
          <w:sz w:val="20"/>
          <w:szCs w:val="20"/>
          <w:rtl w:val="true"/>
        </w:rPr>
        <w:t xml:space="preserve">، أبواب ما يكتسب به، 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محسن الخرازي، مصدر سابق،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ضمن الموسوعة الكاملة</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17/172</w:t>
      </w:r>
      <w:r>
        <w:rPr>
          <w:rFonts w:ascii="IRNazanin" w:hAnsi="IRNazanin" w:eastAsia="IRNazanin"/>
          <w:b w:val="false"/>
          <w:b w:val="false"/>
          <w:bCs w:val="false"/>
          <w:i w:val="false"/>
          <w:i w:val="false"/>
          <w:iCs w:val="false"/>
          <w:color w:val="333333"/>
          <w:sz w:val="20"/>
          <w:sz w:val="20"/>
          <w:szCs w:val="20"/>
          <w:rtl w:val="true"/>
        </w:rPr>
        <w:t xml:space="preserve">، أبواب ما يكتسب به، 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17/98</w:t>
      </w:r>
      <w:r>
        <w:rPr>
          <w:rFonts w:ascii="IRNazanin" w:hAnsi="IRNazanin" w:eastAsia="IRNazanin"/>
          <w:b w:val="false"/>
          <w:b w:val="false"/>
          <w:bCs w:val="false"/>
          <w:i w:val="false"/>
          <w:i w:val="false"/>
          <w:iCs w:val="false"/>
          <w:color w:val="333333"/>
          <w:sz w:val="20"/>
          <w:sz w:val="20"/>
          <w:szCs w:val="20"/>
          <w:rtl w:val="true"/>
        </w:rPr>
        <w:t xml:space="preserve">، أبواب ما يُكتسب به،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17/175</w:t>
      </w:r>
      <w:r>
        <w:rPr>
          <w:rFonts w:ascii="IRNazanin" w:hAnsi="IRNazanin" w:eastAsia="IRNazanin"/>
          <w:b w:val="false"/>
          <w:b w:val="false"/>
          <w:bCs w:val="false"/>
          <w:i w:val="false"/>
          <w:i w:val="false"/>
          <w:iCs w:val="false"/>
          <w:color w:val="333333"/>
          <w:sz w:val="20"/>
          <w:sz w:val="20"/>
          <w:szCs w:val="20"/>
          <w:rtl w:val="true"/>
        </w:rPr>
        <w:t xml:space="preserve">، أبواب ما يكتسب به، 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17/175</w:t>
      </w:r>
      <w:r>
        <w:rPr>
          <w:rFonts w:ascii="IRNazanin" w:hAnsi="IRNazanin" w:eastAsia="IRNazanin"/>
          <w:b w:val="false"/>
          <w:b w:val="false"/>
          <w:bCs w:val="false"/>
          <w:i w:val="false"/>
          <w:i w:val="false"/>
          <w:iCs w:val="false"/>
          <w:color w:val="333333"/>
          <w:sz w:val="20"/>
          <w:sz w:val="20"/>
          <w:szCs w:val="20"/>
          <w:rtl w:val="true"/>
        </w:rPr>
        <w:t xml:space="preserve">، أبواب ما يُكتسب به، 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الموسوعة الكاملة</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هامش التحقيق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العلامة المجلسي في ملاذ الأخيار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والده العلامة المجلسي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موسوعة فقه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2/565</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المطبعة الحيدرية في النجف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29/260</w:t>
      </w:r>
      <w:r>
        <w:rPr>
          <w:rFonts w:ascii="IRNazanin" w:hAnsi="IRNazanin" w:eastAsia="IRNazanin"/>
          <w:b w:val="false"/>
          <w:b w:val="false"/>
          <w:bCs w:val="false"/>
          <w:i w:val="false"/>
          <w:i w:val="false"/>
          <w:iCs w:val="false"/>
          <w:color w:val="333333"/>
          <w:sz w:val="20"/>
          <w:sz w:val="20"/>
          <w:szCs w:val="20"/>
          <w:rtl w:val="true"/>
        </w:rPr>
        <w:t xml:space="preserve">، أبواب موجبات الضمان،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2/491</w:t>
      </w:r>
      <w:r>
        <w:rPr>
          <w:rFonts w:ascii="IRNazanin" w:hAnsi="IRNazanin" w:eastAsia="IRNazanin"/>
          <w:b w:val="false"/>
          <w:b w:val="false"/>
          <w:bCs w:val="false"/>
          <w:i w:val="false"/>
          <w:i w:val="false"/>
          <w:iCs w:val="false"/>
          <w:color w:val="333333"/>
          <w:sz w:val="20"/>
          <w:sz w:val="20"/>
          <w:szCs w:val="20"/>
          <w:rtl w:val="true"/>
        </w:rPr>
        <w:t>، القسم الرابع، كتاب الديات، موجبات الضمان</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في شرح الإرشاد للشهيد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4/446</w:t>
      </w:r>
      <w:r>
        <w:rPr>
          <w:rFonts w:ascii="IRNazanin" w:hAnsi="IRNazanin" w:eastAsia="IRNazanin"/>
          <w:b w:val="false"/>
          <w:b w:val="false"/>
          <w:bCs w:val="false"/>
          <w:i w:val="false"/>
          <w:i w:val="false"/>
          <w:iCs w:val="false"/>
          <w:color w:val="333333"/>
          <w:sz w:val="20"/>
          <w:sz w:val="20"/>
          <w:szCs w:val="20"/>
          <w:rtl w:val="true"/>
        </w:rPr>
        <w:t>، 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16/374</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6/120</w:t>
      </w:r>
      <w:r>
        <w:rPr>
          <w:rFonts w:ascii="IRNazanin" w:hAnsi="IRNazanin" w:eastAsia="IRNazanin"/>
          <w:b w:val="false"/>
          <w:b w:val="false"/>
          <w:bCs w:val="false"/>
          <w:i w:val="false"/>
          <w:i w:val="false"/>
          <w:iCs w:val="false"/>
          <w:color w:val="333333"/>
          <w:sz w:val="20"/>
          <w:sz w:val="20"/>
          <w:szCs w:val="20"/>
          <w:rtl w:val="true"/>
        </w:rPr>
        <w:t>، كتاب الإجارة</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في شرح الإرشاد للشهيد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4/446</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27/350</w:t>
      </w:r>
      <w:r>
        <w:rPr>
          <w:rFonts w:ascii="IRNazanin" w:hAnsi="IRNazanin" w:eastAsia="IRNazanin"/>
          <w:b w:val="false"/>
          <w:b w:val="false"/>
          <w:bCs w:val="false"/>
          <w:i w:val="false"/>
          <w:i w:val="false"/>
          <w:iCs w:val="false"/>
          <w:color w:val="333333"/>
          <w:sz w:val="20"/>
          <w:sz w:val="20"/>
          <w:szCs w:val="20"/>
          <w:rtl w:val="true"/>
        </w:rPr>
        <w:t xml:space="preserve">، كتاب الشهادات،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29/106</w:t>
      </w:r>
      <w:r>
        <w:rPr>
          <w:rFonts w:ascii="IRNazanin" w:hAnsi="IRNazanin" w:eastAsia="IRNazanin"/>
          <w:b w:val="false"/>
          <w:b w:val="false"/>
          <w:bCs w:val="false"/>
          <w:i w:val="false"/>
          <w:i w:val="false"/>
          <w:iCs w:val="false"/>
          <w:color w:val="333333"/>
          <w:sz w:val="20"/>
          <w:sz w:val="20"/>
          <w:szCs w:val="20"/>
          <w:rtl w:val="true"/>
        </w:rPr>
        <w:t xml:space="preserve">، أبواب القصاص في النفس، 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نكت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السكوني عن جعفر عن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ختّاناً قطع حشفة غلام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29/261</w:t>
      </w:r>
      <w:r>
        <w:rPr>
          <w:rFonts w:ascii="IRNazanin" w:hAnsi="IRNazanin" w:eastAsia="IRNazanin"/>
          <w:b w:val="false"/>
          <w:b w:val="false"/>
          <w:bCs w:val="false"/>
          <w:i w:val="false"/>
          <w:i w:val="false"/>
          <w:iCs w:val="false"/>
          <w:color w:val="333333"/>
          <w:sz w:val="20"/>
          <w:sz w:val="20"/>
          <w:szCs w:val="20"/>
          <w:rtl w:val="true"/>
        </w:rPr>
        <w:t xml:space="preserve">، موجبات الضمان،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43/46</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15/85</w:t>
      </w:r>
      <w:r>
        <w:rPr>
          <w:rFonts w:ascii="IRNazanin" w:hAnsi="IRNazanin" w:eastAsia="IRNazanin"/>
          <w:b w:val="false"/>
          <w:b w:val="false"/>
          <w:bCs w:val="false"/>
          <w:i w:val="false"/>
          <w:i w:val="false"/>
          <w:iCs w:val="false"/>
          <w:color w:val="333333"/>
          <w:sz w:val="20"/>
          <w:sz w:val="20"/>
          <w:szCs w:val="20"/>
          <w:rtl w:val="true"/>
        </w:rPr>
        <w:t>، المصنف لعبد الرزاق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9/471</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مثلاً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27/324</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3/503</w:t>
      </w:r>
      <w:r>
        <w:rPr>
          <w:rFonts w:ascii="IRNazanin" w:hAnsi="IRNazanin" w:eastAsia="IRNazanin"/>
          <w:b w:val="false"/>
          <w:b w:val="false"/>
          <w:bCs w:val="false"/>
          <w:i w:val="false"/>
          <w:i w:val="false"/>
          <w:iCs w:val="false"/>
          <w:color w:val="333333"/>
          <w:sz w:val="20"/>
          <w:sz w:val="20"/>
          <w:szCs w:val="20"/>
          <w:rtl w:val="true"/>
        </w:rPr>
        <w:t xml:space="preserve">، كتاب الإجارة،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في شرح الإرشاد للشهيد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4/447</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3/373</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4/447</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نكت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27/323</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29/56</w:t>
      </w:r>
      <w:r>
        <w:rPr>
          <w:rFonts w:ascii="IRNazanin" w:hAnsi="IRNazanin" w:eastAsia="IRNazanin"/>
          <w:b w:val="false"/>
          <w:b w:val="false"/>
          <w:bCs w:val="false"/>
          <w:i w:val="false"/>
          <w:i w:val="false"/>
          <w:iCs w:val="false"/>
          <w:color w:val="333333"/>
          <w:sz w:val="20"/>
          <w:sz w:val="20"/>
          <w:szCs w:val="20"/>
          <w:rtl w:val="true"/>
        </w:rPr>
        <w:t xml:space="preserve">، أبواب القصاص في النفس،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موسوعة فقه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خبر حمدان بن إسحاق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لي ابن، وكان تصيبه الحصاة فقيل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له علاج إلا أن تبطَّه، فبططته فمات، فقالت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شركت في دم ابنك،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فكتبت إلى أبي الحسن صاحب العسكر فوقَّع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أحمد ليس عليك في ما فعلت شيء، إنما التمست الدواء، وكان أجله في ما فعلت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29/326</w:t>
      </w:r>
      <w:r>
        <w:rPr>
          <w:rFonts w:ascii="IRNazanin" w:hAnsi="IRNazanin" w:eastAsia="IRNazanin"/>
          <w:b w:val="false"/>
          <w:b w:val="false"/>
          <w:bCs w:val="false"/>
          <w:i w:val="false"/>
          <w:i w:val="false"/>
          <w:iCs w:val="false"/>
          <w:color w:val="333333"/>
          <w:sz w:val="20"/>
          <w:sz w:val="20"/>
          <w:szCs w:val="20"/>
          <w:rtl w:val="true"/>
        </w:rPr>
        <w:t xml:space="preserve">، أبواب ديات الأعضاء،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الإحسان يصدق مع عدم أخذ الأجرة وهو معنى يمكن تحصيله من مجموعة من الروايات كرواية يونس بن عبد الرحمن عن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رجل استنجد به قوم لدفع عدو عنهم فأنجدهم بسلاحه وفي طريقة تسبّب بقتل إنسان خطأ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ديته على القوم الذين استنجدوا الرجل فأنجدهم وأنقذ أموالهم ونساءهم وذراريهم، أما إنه لو كان آجر نفسه بأجرة لكانت الدية عليه وعلى عاقلته دونهم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29/264</w:t>
      </w:r>
      <w:r>
        <w:rPr>
          <w:rFonts w:ascii="IRNazanin" w:hAnsi="IRNazanin" w:eastAsia="IRNazanin"/>
          <w:b w:val="false"/>
          <w:b w:val="false"/>
          <w:bCs w:val="false"/>
          <w:i w:val="false"/>
          <w:i w:val="false"/>
          <w:iCs w:val="false"/>
          <w:color w:val="333333"/>
          <w:sz w:val="20"/>
          <w:sz w:val="20"/>
          <w:szCs w:val="20"/>
          <w:rtl w:val="true"/>
        </w:rPr>
        <w:t xml:space="preserve">، أبواب موجبات الضمان،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29/274</w:t>
      </w:r>
      <w:r>
        <w:rPr>
          <w:rFonts w:ascii="IRNazanin" w:hAnsi="IRNazanin" w:eastAsia="IRNazanin"/>
          <w:b w:val="false"/>
          <w:b w:val="false"/>
          <w:bCs w:val="false"/>
          <w:i w:val="false"/>
          <w:i w:val="false"/>
          <w:iCs w:val="false"/>
          <w:color w:val="333333"/>
          <w:sz w:val="20"/>
          <w:sz w:val="20"/>
          <w:szCs w:val="20"/>
          <w:rtl w:val="true"/>
        </w:rPr>
        <w:t xml:space="preserve">، أبواب موجبات الضمان، 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2/408</w:t>
      </w:r>
      <w:r>
        <w:rPr>
          <w:rFonts w:ascii="IRNazanin" w:hAnsi="IRNazanin" w:eastAsia="IRNazanin"/>
          <w:b w:val="false"/>
          <w:b w:val="false"/>
          <w:bCs w:val="false"/>
          <w:i w:val="false"/>
          <w:i w:val="false"/>
          <w:iCs w:val="false"/>
          <w:color w:val="333333"/>
          <w:sz w:val="20"/>
          <w:sz w:val="20"/>
          <w:szCs w:val="20"/>
          <w:rtl w:val="true"/>
        </w:rPr>
        <w:t>، أبواب الاحتضار</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في خبر محاولة اغتيال معاوية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فأما صاحب معاوية فإنه قصده فلما وقعت عينه عليه ضربه فوقعت ضربته على أليته فجاء الطبيب فنظر إلى الضربة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السيف مسموم فاختر أن أحمي لك حديدة فأجعلها في الضربة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فتبرأ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وإما أن أسقيك دواءً فتبرأ وينقطع نسلك،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النار فلا أطيقها وأما النسل ففي يزيد وعبد الله ما يقرّ عيني وحسبي بهما، فسقاه الدواء وعالج جرحه حتى التأم ولم يولد له بعد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6/113</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الفقه، الشيخ محمد حسين الأصفهاني، الإجارة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الثانية، جماعة المدرسين،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موسوعة فقه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أبان بن تغلب،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كان المسيح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التارك شفاء المجروح من جرحه شريك جارحه لا محالة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فكذلك لا تحدثوا بالحكمة غير أهلها فتجهلوا، ولا تمنعوها أهلها فتأثموا، وليكن أحدكم بمنزلة الطبيب المداوي إن رأى موضعا لدوائه وإلا أمسك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ال البيت </w:t>
      </w:r>
      <w:r>
        <w:rPr>
          <w:rFonts w:eastAsia="IRNazanin" w:cs="IRNazanin"/>
          <w:b w:val="false"/>
          <w:bCs w:val="false"/>
          <w:i w:val="false"/>
          <w:iCs w:val="false"/>
          <w:color w:val="333333"/>
          <w:sz w:val="20"/>
          <w:szCs w:val="20"/>
          <w:rtl w:val="true"/>
        </w:rPr>
        <w:t>) .</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الأمر بالمعروف والنهي عن المنكر، القسم الثاني،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 تصحيح استدلالهم بأن يقال إن التأديب حق للأب وللزوج وليس حكماً واجباً مثل الأمر بالمعروف والنهي عن المنكر والضمان يأتي على القول بالأول لا الثاني</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موسوعة فقه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43/45</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1/664</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بتعليق المراجع العظام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كتاب الإجارة</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كصحيحة عبيد بن زرارة المتقدمة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30/248</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والروايتان بعدها في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 xml:space="preserve">، كتاب العارية،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14/229</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حاصله أن الأصحاب قبلوا رواية السكوني كما صرّح به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العدة وأن أغلب رواياته عن النوفلي فهذا يعني قبول روايات النوفلي وإلا لم تصدق هذه المقولة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عبارة الشيخ ظاهرة في أن معنى قبول رواية السكوني وعموم أبناء العامة أي أن انحراف عقيدته لكونه من أبناء العامة لا تضر بعد ورود التصريح بوثاقته كغيره من العامة، أما قبول روايته فهي غالباً لموافقتها لروايات الإمامية أو قواعد المذهب فتكون حجة لرواية الإمامي والقواعد، أما أخبار السكوني التي رواها عنه النوفلي ولا يوجد ما يوافقها ولا ما يخالفها في كتب الإمامية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كمحل البحث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فهي قليلة جداً فقد روى كثيرون عن السكوني كالربيع بن سليمان الذي أكثر عنه بحسب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وأمية بن عمرو الشعيري الذي قال فيه النجاشي إن أكثر كتابه عن السكوني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وعبد الله بن المغيرة وغيرهم، وذكر الإسناد غالباً عن النوفلي لا يعني قلة ما رواه غيره عن السكوني لأن الأصحاب يكتفون عادة بذكر طريق واحد كما هو المعروف للمتابعين، وكمثال على ذلك الرواية في حرمة ثمن الميتة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17/93</w:t>
      </w:r>
      <w:r>
        <w:rPr>
          <w:rFonts w:ascii="IRNazanin" w:hAnsi="IRNazanin" w:eastAsia="IRNazanin"/>
          <w:b w:val="false"/>
          <w:b w:val="false"/>
          <w:bCs w:val="false"/>
          <w:i w:val="false"/>
          <w:i w:val="false"/>
          <w:iCs w:val="false"/>
          <w:color w:val="333333"/>
          <w:sz w:val="20"/>
          <w:sz w:val="20"/>
          <w:szCs w:val="20"/>
          <w:rtl w:val="true"/>
        </w:rPr>
        <w:t xml:space="preserve">، أبواب ما يكتسب به،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رواها الكليني بسنده عن النوفلي ورواها الشيخ الصدوق في الخصال بسنده عن موسى بن عمر عن عبد الله بن المغيرة عن السكوني</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نكت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4/449</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42/234</w:t>
      </w:r>
      <w:r>
        <w:rPr>
          <w:rFonts w:ascii="IRNazanin" w:hAnsi="IRNazanin" w:eastAsia="IRNazanin"/>
          <w:b w:val="false"/>
          <w:b w:val="false"/>
          <w:bCs w:val="false"/>
          <w:i w:val="false"/>
          <w:i w:val="false"/>
          <w:iCs w:val="false"/>
          <w:color w:val="333333"/>
          <w:sz w:val="20"/>
          <w:sz w:val="20"/>
          <w:szCs w:val="20"/>
          <w:rtl w:val="true"/>
        </w:rPr>
        <w:t>، عن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19/145</w:t>
      </w:r>
      <w:r>
        <w:rPr>
          <w:rFonts w:ascii="IRNazanin" w:hAnsi="IRNazanin" w:eastAsia="IRNazanin"/>
          <w:b w:val="false"/>
          <w:b w:val="false"/>
          <w:bCs w:val="false"/>
          <w:i w:val="false"/>
          <w:i w:val="false"/>
          <w:iCs w:val="false"/>
          <w:color w:val="333333"/>
          <w:sz w:val="20"/>
          <w:sz w:val="20"/>
          <w:szCs w:val="20"/>
          <w:rtl w:val="true"/>
        </w:rPr>
        <w:t xml:space="preserve">، كتاب الإجارة،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14/229</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30/244</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كتاب الإجارة</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19/147</w:t>
      </w:r>
      <w:r>
        <w:rPr>
          <w:rFonts w:ascii="IRNazanin" w:hAnsi="IRNazanin" w:eastAsia="IRNazanin"/>
          <w:b w:val="false"/>
          <w:b w:val="false"/>
          <w:bCs w:val="false"/>
          <w:i w:val="false"/>
          <w:i w:val="false"/>
          <w:iCs w:val="false"/>
          <w:color w:val="333333"/>
          <w:sz w:val="20"/>
          <w:sz w:val="20"/>
          <w:szCs w:val="20"/>
          <w:rtl w:val="true"/>
        </w:rPr>
        <w:t xml:space="preserve">، كتاب الإجارة،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30/243</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19/143</w:t>
      </w:r>
      <w:r>
        <w:rPr>
          <w:rFonts w:ascii="IRNazanin" w:hAnsi="IRNazanin" w:eastAsia="IRNazanin"/>
          <w:b w:val="false"/>
          <w:b w:val="false"/>
          <w:bCs w:val="false"/>
          <w:i w:val="false"/>
          <w:i w:val="false"/>
          <w:iCs w:val="false"/>
          <w:color w:val="333333"/>
          <w:sz w:val="20"/>
          <w:sz w:val="20"/>
          <w:szCs w:val="20"/>
          <w:rtl w:val="true"/>
        </w:rPr>
        <w:t xml:space="preserve">، كتاب الإجارة،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30/244</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كتاب الإجارة</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والرواية التي بعدها في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19/145</w:t>
      </w:r>
      <w:r>
        <w:rPr>
          <w:rFonts w:ascii="IRNazanin" w:hAnsi="IRNazanin" w:eastAsia="IRNazanin"/>
          <w:b w:val="false"/>
          <w:b w:val="false"/>
          <w:bCs w:val="false"/>
          <w:i w:val="false"/>
          <w:i w:val="false"/>
          <w:iCs w:val="false"/>
          <w:color w:val="333333"/>
          <w:sz w:val="20"/>
          <w:sz w:val="20"/>
          <w:szCs w:val="20"/>
          <w:rtl w:val="true"/>
        </w:rPr>
        <w:t xml:space="preserve">، كتاب الإجارة،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الموضع السابق،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27/323</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 للعلامة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3/116</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اعتماد،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14/229</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موسوعة فقه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موسوعة فقه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19/147</w:t>
      </w:r>
      <w:r>
        <w:rPr>
          <w:rFonts w:ascii="IRNazanin" w:hAnsi="IRNazanin" w:eastAsia="IRNazanin"/>
          <w:b w:val="false"/>
          <w:b w:val="false"/>
          <w:bCs w:val="false"/>
          <w:i w:val="false"/>
          <w:i w:val="false"/>
          <w:iCs w:val="false"/>
          <w:color w:val="333333"/>
          <w:sz w:val="20"/>
          <w:sz w:val="20"/>
          <w:szCs w:val="20"/>
          <w:rtl w:val="true"/>
        </w:rPr>
        <w:t xml:space="preserve">، كتاب الإجارة،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بحواشي المراجع العظام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19/143</w:t>
      </w:r>
      <w:r>
        <w:rPr>
          <w:rFonts w:ascii="IRNazanin" w:hAnsi="IRNazanin" w:eastAsia="IRNazanin"/>
          <w:b w:val="false"/>
          <w:b w:val="false"/>
          <w:bCs w:val="false"/>
          <w:i w:val="false"/>
          <w:i w:val="false"/>
          <w:iCs w:val="false"/>
          <w:color w:val="333333"/>
          <w:sz w:val="20"/>
          <w:sz w:val="20"/>
          <w:szCs w:val="20"/>
          <w:rtl w:val="true"/>
        </w:rPr>
        <w:t xml:space="preserve">، كتاب الإجارة،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3/116</w:t>
      </w:r>
      <w:r>
        <w:rPr>
          <w:rFonts w:ascii="IRNazanin" w:hAnsi="IRNazanin" w:eastAsia="IRNazanin"/>
          <w:b w:val="false"/>
          <w:b w:val="false"/>
          <w:bCs w:val="false"/>
          <w:i w:val="false"/>
          <w:i w:val="false"/>
          <w:iCs w:val="false"/>
          <w:color w:val="333333"/>
          <w:sz w:val="20"/>
          <w:sz w:val="20"/>
          <w:szCs w:val="20"/>
          <w:rtl w:val="true"/>
        </w:rPr>
        <w:t>، مصدر سابق</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1/664</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موسوعة فقه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27/325</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موسوعة فقه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نكت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الحاشية المطبوعة في هامش غاية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4/446</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بحواشي المراجع العظام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موسوعة فقه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30/247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كتاب الإجارة</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43/47</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14/231</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30/244</w:t>
      </w:r>
      <w:r>
        <w:rPr>
          <w:rFonts w:ascii="IRNazanin" w:hAnsi="IRNazanin" w:eastAsia="IRNazanin"/>
          <w:b w:val="false"/>
          <w:b w:val="false"/>
          <w:bCs w:val="false"/>
          <w:i w:val="false"/>
          <w:i w:val="false"/>
          <w:iCs w:val="false"/>
          <w:color w:val="333333"/>
          <w:sz w:val="20"/>
          <w:sz w:val="20"/>
          <w:szCs w:val="20"/>
          <w:rtl w:val="true"/>
        </w:rPr>
        <w:t xml:space="preserve">، كتاب الإجارة،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الطبية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موسوعة فقه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4/449</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سبل السلام، المعاملات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w:t>
      </w:r>
      <w:r>
        <w:rPr>
          <w:rFonts w:ascii="IRNazanin" w:hAnsi="IRNazanin" w:eastAsia="IRNazanin"/>
          <w:b w:val="false"/>
          <w:b w:val="false"/>
          <w:bCs w:val="false"/>
          <w:i w:val="false"/>
          <w:i w:val="false"/>
          <w:iCs w:val="false"/>
          <w:color w:val="333333"/>
          <w:sz w:val="20"/>
          <w:sz w:val="20"/>
          <w:szCs w:val="20"/>
          <w:rtl w:val="true"/>
        </w:rPr>
        <w:t>، كتاب القضاء للشيخ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الموسوعة الكاملة لآثار الشيخ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مصباح الفقاهة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الموسوعة الكاملة للسيد الخوئي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وراجع أيضاً موسوعة الفقه الإسلامي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8/466</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القضاء، أبواب القاضي،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القضاء، أبواب القاضي،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القضاء، أبواب كيفية الحكم،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وأبواب آداب القاضي،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القضاء، أبواب آداب القاضي،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أبواب ما يكتسب به،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13/348</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موسوعة تراث الشيخ الأعظم</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القضاء من موسوعة الشيخ الأعظم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22/104</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صحيحة عبد الله بن سنان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قاضٍ بين قريتين يأخذ من السلطان على القضاء الرزق؟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السحت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موسوعة الشيخ الأعظم،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35/731</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40/52</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40/51</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13/348</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13/348</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40/51</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22/121</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المجلة، للشيخ محمد حسين كاشف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2/156</w:t>
      </w:r>
      <w:r>
        <w:rPr>
          <w:rFonts w:ascii="IRNazanin" w:hAnsi="IRNazanin" w:eastAsia="IRNazanin"/>
          <w:b w:val="false"/>
          <w:b w:val="false"/>
          <w:bCs w:val="false"/>
          <w:i w:val="false"/>
          <w:i w:val="false"/>
          <w:iCs w:val="false"/>
          <w:color w:val="333333"/>
          <w:sz w:val="20"/>
          <w:sz w:val="20"/>
          <w:szCs w:val="20"/>
          <w:rtl w:val="true"/>
        </w:rPr>
        <w:t xml:space="preserve">، المادة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3/130</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22/118</w:t>
      </w:r>
      <w:r>
        <w:rPr>
          <w:rFonts w:ascii="IRNazanin" w:hAnsi="IRNazanin" w:eastAsia="IRNazanin"/>
          <w:b w:val="false"/>
          <w:b w:val="false"/>
          <w:bCs w:val="false"/>
          <w:i w:val="false"/>
          <w:i w:val="false"/>
          <w:iCs w:val="false"/>
          <w:color w:val="333333"/>
          <w:sz w:val="20"/>
          <w:sz w:val="20"/>
          <w:szCs w:val="20"/>
          <w:rtl w:val="true"/>
        </w:rPr>
        <w:t>، مصباح الفقاهة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الجزء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الموسوعة الكاملة</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القول للسيد صاحب الرياض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وجعله التوصلي مقابل الذاتي لا يخلو من إشكال إذ أنه يجعل الذاتي بمعنى التعبدي مع أن بعض الواجبات الذاتية ليست تعبدية كوجوب إرضاع اللبا، مضافاً إلى أنه يجعل هذا القول كتفصيل فخر المحققين بين التعبدي والتوصلي وهو ما ردّ عليه المحقق النراقي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وتوهم اتحاد القولين الأخيرين باطل، لأن الذاتي قد تكون فيه النية وقد لا تكون كردّ الأمانة وأداء الدين ومضاجعة الزوجة ونحوها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لذلك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الذاتي بين ما تجب فيه النية أو لا تجب</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راجعها في كتاب مكاسب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الجزء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الموسوعة الكاملة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22/118</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السيد اليزدي على 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1/150</w:t>
      </w:r>
      <w:r>
        <w:rPr>
          <w:rFonts w:ascii="IRNazanin" w:hAnsi="IRNazanin" w:eastAsia="IRNazanin"/>
          <w:b w:val="false"/>
          <w:b w:val="false"/>
          <w:bCs w:val="false"/>
          <w:i w:val="false"/>
          <w:i w:val="false"/>
          <w:iCs w:val="false"/>
          <w:color w:val="333333"/>
          <w:sz w:val="20"/>
          <w:sz w:val="20"/>
          <w:szCs w:val="20"/>
          <w:rtl w:val="true"/>
        </w:rPr>
        <w:t xml:space="preserve">، التعليقة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1/699</w:t>
      </w:r>
      <w:r>
        <w:rPr>
          <w:rFonts w:ascii="IRNazanin" w:hAnsi="IRNazanin" w:eastAsia="IRNazanin"/>
          <w:b w:val="false"/>
          <w:b w:val="false"/>
          <w:bCs w:val="false"/>
          <w:i w:val="false"/>
          <w:i w:val="false"/>
          <w:iCs w:val="false"/>
          <w:color w:val="333333"/>
          <w:sz w:val="20"/>
          <w:sz w:val="20"/>
          <w:szCs w:val="20"/>
          <w:rtl w:val="true"/>
        </w:rPr>
        <w:t xml:space="preserve">، وقال مثله في كتاب الإجارة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الموسوعة الكاملة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30/373</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مكاسب الشيخ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2/130</w:t>
      </w:r>
      <w:r>
        <w:rPr>
          <w:rFonts w:ascii="IRNazanin" w:hAnsi="IRNazanin" w:eastAsia="IRNazanin"/>
          <w:b w:val="false"/>
          <w:b w:val="false"/>
          <w:bCs w:val="false"/>
          <w:i w:val="false"/>
          <w:i w:val="false"/>
          <w:iCs w:val="false"/>
          <w:color w:val="333333"/>
          <w:sz w:val="20"/>
          <w:sz w:val="20"/>
          <w:szCs w:val="20"/>
          <w:rtl w:val="true"/>
        </w:rPr>
        <w:t>، مصباح الفقاهة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1/714</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1/716</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الفقهية للسيد البجنوردي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2/158</w:t>
      </w:r>
      <w:r>
        <w:rPr>
          <w:rFonts w:ascii="IRNazanin" w:hAnsi="IRNazanin" w:eastAsia="IRNazanin"/>
          <w:b w:val="false"/>
          <w:b w:val="false"/>
          <w:bCs w:val="false"/>
          <w:i w:val="false"/>
          <w:i w:val="false"/>
          <w:iCs w:val="false"/>
          <w:color w:val="333333"/>
          <w:sz w:val="20"/>
          <w:sz w:val="20"/>
          <w:szCs w:val="20"/>
          <w:rtl w:val="true"/>
        </w:rPr>
        <w:t>، والأصل في منية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8/89</w:t>
      </w:r>
      <w:r>
        <w:rPr>
          <w:rFonts w:ascii="IRNazanin" w:hAnsi="IRNazanin" w:eastAsia="IRNazanin"/>
          <w:b w:val="false"/>
          <w:b w:val="false"/>
          <w:bCs w:val="false"/>
          <w:i w:val="false"/>
          <w:i w:val="false"/>
          <w:iCs w:val="false"/>
          <w:color w:val="333333"/>
          <w:sz w:val="20"/>
          <w:sz w:val="20"/>
          <w:szCs w:val="20"/>
          <w:rtl w:val="true"/>
        </w:rPr>
        <w:t xml:space="preserve">، سواء اعتبرنا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فعلاً أو حرفاً وإن كان على الأول أوضح</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8/180</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يجب على الإنسان فعله</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القسم الخامس مما يحرم التكسب به، ما يجب على الإنسان فعله</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22/121</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7/181</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22/116</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القسم الخامس مما يحرم التكسب به</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22/120</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مثلاً مصباح الفقاهة للسيد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716</w:t>
      </w:r>
      <w:r>
        <w:rPr>
          <w:rFonts w:ascii="IRNazanin" w:hAnsi="IRNazanin" w:eastAsia="IRNazanin"/>
          <w:b w:val="false"/>
          <w:b w:val="false"/>
          <w:bCs w:val="false"/>
          <w:i w:val="false"/>
          <w:i w:val="false"/>
          <w:iCs w:val="false"/>
          <w:color w:val="333333"/>
          <w:sz w:val="20"/>
          <w:sz w:val="20"/>
          <w:szCs w:val="20"/>
          <w:rtl w:val="true"/>
        </w:rPr>
        <w:t xml:space="preserve">، ويلاحظ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السيد الخميني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المكاسب المحرمة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قدّم البحث في مانعية صفة العبادية على البحث في مانعية صفة الوجوب مع أن مقتضى التحقيق لحوق الأول للثاني؛ لأن من وجوه حرمة أخذ الأجرة على الواجبات منافاتها للإخلاص وهي خاصة بالتعبديات، ثم أصبح الثاني مستقلاً لدخول العبادات المستحبة في الإشكال فبينهما عموم من وجه، لكنه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صحّح ترتيب البحث في كتاب الإجارة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الموسوعة الكاملة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30/375</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القسم الخامس مما يحرم التكسب به</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14/177</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للشيخ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2/130</w:t>
      </w:r>
      <w:r>
        <w:rPr>
          <w:rFonts w:ascii="IRNazanin" w:hAnsi="IRNazanin" w:eastAsia="IRNazanin"/>
          <w:b w:val="false"/>
          <w:b w:val="false"/>
          <w:bCs w:val="false"/>
          <w:i w:val="false"/>
          <w:i w:val="false"/>
          <w:iCs w:val="false"/>
          <w:color w:val="333333"/>
          <w:sz w:val="20"/>
          <w:sz w:val="20"/>
          <w:szCs w:val="20"/>
          <w:rtl w:val="true"/>
        </w:rPr>
        <w:t xml:space="preserve">، وهو الجزء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الموسوعة الكاملة</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السيد اليزدي على 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 الفقرة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القسم الخامس مما يحرم الاكتساب به</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22/117</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الشيخ في التهذيب والحميري في قرب الإسناد بسند فيه ضعف عن جعفر بن محمد عن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عن أجعال الغزو،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أن يغزو الرجل عن الرجل ويأخذ منه الجعل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أبواب جهاد العدو،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السيد اليزدي على 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القسم الخامس مما يحرم الاكتساب به</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700</w:t>
      </w:r>
      <w:r>
        <w:rPr>
          <w:rFonts w:ascii="IRNazanin" w:hAnsi="IRNazanin" w:eastAsia="IRNazanin"/>
          <w:b w:val="false"/>
          <w:b w:val="false"/>
          <w:bCs w:val="false"/>
          <w:i w:val="false"/>
          <w:i w:val="false"/>
          <w:iCs w:val="false"/>
          <w:color w:val="333333"/>
          <w:sz w:val="20"/>
          <w:sz w:val="20"/>
          <w:szCs w:val="20"/>
          <w:rtl w:val="true"/>
        </w:rPr>
        <w:t xml:space="preserve">، وهو المجلد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الموسوعة الكاملة</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السيد اليزدي على 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1/132</w:t>
      </w:r>
      <w:r>
        <w:rPr>
          <w:rFonts w:ascii="IRNazanin" w:hAnsi="IRNazanin" w:eastAsia="IRNazanin"/>
          <w:b w:val="false"/>
          <w:b w:val="false"/>
          <w:bCs w:val="false"/>
          <w:i w:val="false"/>
          <w:i w:val="false"/>
          <w:iCs w:val="false"/>
          <w:color w:val="333333"/>
          <w:sz w:val="20"/>
          <w:sz w:val="20"/>
          <w:szCs w:val="20"/>
          <w:rtl w:val="true"/>
        </w:rPr>
        <w:t>، فقرة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في المكاسب المحرمة للشيخ المنتظري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3/179</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تقييد المستدل مورد الاستدلال بالواجب العيني التعييني دليل على اعترافه بأن ملاك الحرمة أمر غير أصل الوجوب –وهو ما نبحث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صفة عارضة عليه وهي كونه عينياً تعيينياً</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مال الى هذا التفسير السيد حسن البجنوردي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القواعد الفقهية ، راجع موسوعة فقه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موسوعة فقه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وكذا لا ضمان فيما لا مالية له وإن لم يجز أخذه بدون إذن مالكه كالإناء المكسور والخمر</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أخذ الأجرة على الواجبات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الأصفهاني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وقرّره السيد الخميني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المكاسب المحرمة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حاشية الشيخ محمد حسين الإصفهاني على 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المقبوض بالعقد الفاسد</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مؤسسة النشر الإسلامي، وهي تقريرات الشيخ النائيني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بقلم الشيخ موسى الخوانساري</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الفقهية للسيد حسن البجنوردي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22/118</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الحاشية على 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1/150</w:t>
      </w:r>
      <w:r>
        <w:rPr>
          <w:rFonts w:ascii="IRNazanin" w:hAnsi="IRNazanin" w:eastAsia="IRNazanin"/>
          <w:b w:val="false"/>
          <w:b w:val="false"/>
          <w:bCs w:val="false"/>
          <w:i w:val="false"/>
          <w:i w:val="false"/>
          <w:iCs w:val="false"/>
          <w:color w:val="333333"/>
          <w:sz w:val="20"/>
          <w:sz w:val="20"/>
          <w:szCs w:val="20"/>
          <w:rtl w:val="true"/>
        </w:rPr>
        <w:t xml:space="preserve">، التعليقة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الإجارة،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فصل إجارة الأرض بما يحصل منها</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22/117</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في المكاسب المحرمة للشيخ المنتظري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3/182</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أبواب ما يُكتسب به، باب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السيد اليزدي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1/149</w:t>
      </w:r>
      <w:r>
        <w:rPr>
          <w:rFonts w:ascii="IRNazanin" w:hAnsi="IRNazanin" w:eastAsia="IRNazanin"/>
          <w:b w:val="false"/>
          <w:b w:val="false"/>
          <w:bCs w:val="false"/>
          <w:i w:val="false"/>
          <w:i w:val="false"/>
          <w:iCs w:val="false"/>
          <w:color w:val="333333"/>
          <w:sz w:val="20"/>
          <w:sz w:val="20"/>
          <w:szCs w:val="20"/>
          <w:rtl w:val="true"/>
        </w:rPr>
        <w:t>، التعليقة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القسم الخامس مما يحرم الاكتساب به</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14/177</w:t>
      </w:r>
      <w:r>
        <w:rPr>
          <w:rFonts w:ascii="IRNazanin" w:hAnsi="IRNazanin" w:eastAsia="IRNazanin"/>
          <w:b w:val="false"/>
          <w:b w:val="false"/>
          <w:bCs w:val="false"/>
          <w:i w:val="false"/>
          <w:i w:val="false"/>
          <w:iCs w:val="false"/>
          <w:color w:val="333333"/>
          <w:sz w:val="20"/>
          <w:sz w:val="20"/>
          <w:szCs w:val="20"/>
          <w:rtl w:val="true"/>
        </w:rPr>
        <w:t>، وتقدم في كلام صاحب الجواهر مثله ، راجع موسوعة فقه الخلاف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30/379</w:t>
      </w:r>
      <w:r>
        <w:rPr>
          <w:rFonts w:ascii="IRNazanin" w:hAnsi="IRNazanin" w:eastAsia="IRNazanin"/>
          <w:b w:val="false"/>
          <w:b w:val="false"/>
          <w:bCs w:val="false"/>
          <w:i w:val="false"/>
          <w:i w:val="false"/>
          <w:iCs w:val="false"/>
          <w:color w:val="333333"/>
          <w:sz w:val="20"/>
          <w:sz w:val="20"/>
          <w:szCs w:val="20"/>
          <w:rtl w:val="true"/>
        </w:rPr>
        <w:t>، كتاب الإجارة</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14/178</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أبواب ما يكتسب به،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الشهادات، 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الأمر بالمعروف والنهي عن المنكر، 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أبواب ما يكتسب به،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كلمات جملة من الأعلام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ما نص الشارع على تحريمه كالدفن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2/263</w:t>
      </w:r>
      <w:r>
        <w:rPr>
          <w:rFonts w:ascii="IRNazanin" w:hAnsi="IRNazanin" w:eastAsia="IRNazanin"/>
          <w:b w:val="false"/>
          <w:b w:val="false"/>
          <w:bCs w:val="false"/>
          <w:i w:val="false"/>
          <w:i w:val="false"/>
          <w:iCs w:val="false"/>
          <w:color w:val="333333"/>
          <w:sz w:val="20"/>
          <w:sz w:val="20"/>
          <w:szCs w:val="20"/>
          <w:rtl w:val="true"/>
        </w:rPr>
        <w:t>، ونقله من دون تعليق عليه في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7/181</w:t>
      </w:r>
      <w:r>
        <w:rPr>
          <w:rFonts w:ascii="IRNazanin" w:hAnsi="IRNazanin" w:eastAsia="IRNazanin"/>
          <w:b w:val="false"/>
          <w:b w:val="false"/>
          <w:bCs w:val="false"/>
          <w:i w:val="false"/>
          <w:i w:val="false"/>
          <w:iCs w:val="false"/>
          <w:color w:val="333333"/>
          <w:sz w:val="20"/>
          <w:sz w:val="20"/>
          <w:szCs w:val="20"/>
          <w:rtl w:val="true"/>
        </w:rPr>
        <w:t>، 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نجد مثل هذا النص</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2/137</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18/212</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موسوعة فقه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في المكاسب المحرمة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3/180</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22/118</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1/716</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أخذ الأجرة على الواجبات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1/705</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للشيخ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2/127</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2/129</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أبواب وجوب الحج،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2/128</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السيد اليزدي على 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1/135</w:t>
      </w:r>
      <w:r>
        <w:rPr>
          <w:rFonts w:ascii="IRNazanin" w:hAnsi="IRNazanin" w:eastAsia="IRNazanin"/>
          <w:b w:val="false"/>
          <w:b w:val="false"/>
          <w:bCs w:val="false"/>
          <w:i w:val="false"/>
          <w:i w:val="false"/>
          <w:iCs w:val="false"/>
          <w:color w:val="333333"/>
          <w:sz w:val="20"/>
          <w:sz w:val="20"/>
          <w:szCs w:val="20"/>
          <w:rtl w:val="true"/>
        </w:rPr>
        <w:t>، والمورد المقصود في 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وليست النيابة عن الميت في الصلاة المتقرب بها إلى الله تعالى شيئاً ونفس الصلاة شيئاً آخر حتى يكون الأول متعلقاً للإجارة والثاني مورداً للإخلاص</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في مصباح الفقاهة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الشيخ الأنصاري في المكاسب وعن غيره من الأعاظم كصاحب البلغة</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للسيد الخميني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للسيد الخميني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2/279</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تبناه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مصباح الفقاهة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1/707</w:t>
      </w:r>
      <w:r>
        <w:rPr>
          <w:rFonts w:ascii="IRNazanin" w:hAnsi="IRNazanin" w:eastAsia="IRNazanin"/>
          <w:b w:val="false"/>
          <w:b w:val="false"/>
          <w:bCs w:val="false"/>
          <w:i w:val="false"/>
          <w:i w:val="false"/>
          <w:iCs w:val="false"/>
          <w:color w:val="333333"/>
          <w:sz w:val="20"/>
          <w:sz w:val="20"/>
          <w:szCs w:val="20"/>
          <w:rtl w:val="true"/>
        </w:rPr>
        <w:t xml:space="preserve">، وفصّله في كتاب الإجارة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الموسوعة الكاملة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30/380</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موسوعة فقه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كعدم اشتراط كون الداعي إلى الداعي القربي قربياً وقد رجع إليه في 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30/381</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8/181</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8/556</w:t>
      </w:r>
      <w:r>
        <w:rPr>
          <w:rFonts w:ascii="IRNazanin" w:hAnsi="IRNazanin" w:eastAsia="IRNazanin"/>
          <w:b w:val="false"/>
          <w:b w:val="false"/>
          <w:bCs w:val="false"/>
          <w:i w:val="false"/>
          <w:i w:val="false"/>
          <w:iCs w:val="false"/>
          <w:color w:val="333333"/>
          <w:sz w:val="20"/>
          <w:sz w:val="20"/>
          <w:szCs w:val="20"/>
          <w:rtl w:val="true"/>
        </w:rPr>
        <w:t>، وقال مثله في 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الخامس مما يحرم التكسب به</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1/707</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السيد اليزدي على 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1/132</w:t>
      </w:r>
      <w:r>
        <w:rPr>
          <w:rFonts w:ascii="IRNazanin" w:hAnsi="IRNazanin" w:eastAsia="IRNazanin"/>
          <w:b w:val="false"/>
          <w:b w:val="false"/>
          <w:bCs w:val="false"/>
          <w:i w:val="false"/>
          <w:i w:val="false"/>
          <w:iCs w:val="false"/>
          <w:color w:val="333333"/>
          <w:sz w:val="20"/>
          <w:sz w:val="20"/>
          <w:szCs w:val="20"/>
          <w:rtl w:val="true"/>
        </w:rPr>
        <w:t xml:space="preserve">، فقرة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مكاسب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2/127</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2/260</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الفقهية للسيد البجنوردي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أبواب مقدمات العبادات،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67/234</w:t>
      </w:r>
      <w:r>
        <w:rPr>
          <w:rFonts w:ascii="IRNazanin" w:hAnsi="IRNazanin" w:eastAsia="IRNazanin"/>
          <w:b w:val="false"/>
          <w:b w:val="false"/>
          <w:bCs w:val="false"/>
          <w:i w:val="false"/>
          <w:i w:val="false"/>
          <w:iCs w:val="false"/>
          <w:color w:val="333333"/>
          <w:sz w:val="20"/>
          <w:sz w:val="20"/>
          <w:szCs w:val="20"/>
          <w:rtl w:val="true"/>
        </w:rPr>
        <w:t>، 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أبواب مقدمات العبادات،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2/277</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كتاب الإجارة</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1/707</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الفقهية للسيد البجنوردي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السيد اليزدي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1/145</w:t>
      </w:r>
      <w:r>
        <w:rPr>
          <w:rFonts w:ascii="IRNazanin" w:hAnsi="IRNazanin" w:eastAsia="IRNazanin"/>
          <w:b w:val="false"/>
          <w:b w:val="false"/>
          <w:bCs w:val="false"/>
          <w:i w:val="false"/>
          <w:i w:val="false"/>
          <w:iCs w:val="false"/>
          <w:color w:val="333333"/>
          <w:sz w:val="20"/>
          <w:sz w:val="20"/>
          <w:szCs w:val="20"/>
          <w:rtl w:val="true"/>
        </w:rPr>
        <w:t>، التعليقة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السيد اليزدي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1/145</w:t>
      </w:r>
      <w:r>
        <w:rPr>
          <w:rFonts w:ascii="IRNazanin" w:hAnsi="IRNazanin" w:eastAsia="IRNazanin"/>
          <w:b w:val="false"/>
          <w:b w:val="false"/>
          <w:bCs w:val="false"/>
          <w:i w:val="false"/>
          <w:i w:val="false"/>
          <w:iCs w:val="false"/>
          <w:color w:val="333333"/>
          <w:sz w:val="20"/>
          <w:sz w:val="20"/>
          <w:szCs w:val="20"/>
          <w:rtl w:val="true"/>
        </w:rPr>
        <w:t>، التعليقة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2/170</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8/180</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2/137</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أنه بعد ذلك جوّز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أخذ الأجرة على حضوره عند المريض إذا تعيّن عليه علاجه، فإن العلاج وإن كان معيناً عليه إلا أن الجمع بينه وبين المريض مقدمة للعلاج واجب كفائي بينه وبين أولياء المريض، فحضوره أداء للواجب الكفائي إلا أنه لا بأس بأخذ الأجرة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ما لا يخفى</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12/184</w:t>
      </w:r>
      <w:r>
        <w:rPr>
          <w:rFonts w:ascii="IRNazanin" w:hAnsi="IRNazanin" w:eastAsia="IRNazanin"/>
          <w:b w:val="false"/>
          <w:b w:val="false"/>
          <w:bCs w:val="false"/>
          <w:i w:val="false"/>
          <w:i w:val="false"/>
          <w:iCs w:val="false"/>
          <w:color w:val="333333"/>
          <w:sz w:val="20"/>
          <w:sz w:val="20"/>
          <w:szCs w:val="20"/>
          <w:rtl w:val="true"/>
        </w:rPr>
        <w:t xml:space="preserve">، أبواب ما يُكتسب به، 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أخذ الأجرة على الواجبات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7/182</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2/138</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حكي عن حاشية الميرزا محمد تقي الشيرازي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موسوعة فقه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كاشف الغطاء في شرحه على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السيد اليزدي على 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1/149</w:t>
      </w:r>
      <w:r>
        <w:rPr>
          <w:rFonts w:ascii="IRNazanin" w:hAnsi="IRNazanin" w:eastAsia="IRNazanin"/>
          <w:b w:val="false"/>
          <w:b w:val="false"/>
          <w:bCs w:val="false"/>
          <w:i w:val="false"/>
          <w:i w:val="false"/>
          <w:iCs w:val="false"/>
          <w:color w:val="333333"/>
          <w:sz w:val="20"/>
          <w:sz w:val="20"/>
          <w:szCs w:val="20"/>
          <w:rtl w:val="true"/>
        </w:rPr>
        <w:t xml:space="preserve">، التعليقة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موسوعة فقه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أخذ الأجرة على الواجبات للشيخ الأصفهاني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الإجارة للسيد محمود الهاشمي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2/290</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21/378</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21/379</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موسوعة فقه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ترك إنكار المنكر بقلبه ولسانه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ويده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ميت بين الأحياء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يقصد بالرواية الرابعة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رواه ابن ابي ليلى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إني سمعت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يوم لقينا أهل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المؤمنون إنه من رأى عدواناً يُعمل به ومنكراً يدعى إليه فأنكره بقلبه فقد سلم وبرئ، ومن أنكره بلسانه فقد أجر، وهو أفضل من صاحبه، ومن أنكره بالسيف لتكون كلمة الله العليا وكلمة الظالمين السفلى فذلك الذي أصاب سبيل الهدى، وقام على الطريق، ونور في قلبه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ان المقصود هي الرواية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قد حقّ لي أن أأخذ البريء منكم بالسقيم، وكيف لا يحقُّ لي ذلك وأنتم يبلغكم عن الرجل منكم القبيح فلا تنكرون عليه ولا تهجرونه ولا تؤذونه حتى يتركه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يحيى الطويل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جعل الله بسط اللسان وكف اليد، ولكن جعلهما يبسطان معاً ويُكفان معاً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جاء في تفسير الإمام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آبائه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إلى أن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فقالوا يا رسول الله فكيف بنا ونحن لا نقدر على إنكار ما نشاهده من منكر؟ فقال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لتأمُرُنَّ بالمعروف، ولتنهن عن المنكر، أو ليعمنّكم عذاب الله،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رأى منكم منكراً فلينكر بيده إن استطاع، فإن لم يستطع فبلسانه، فإن لم يستطع فبقلبه فحسبه أن يعلم الله من قلبه أنه لذلك كاره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4/459</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21/378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footer" Target="footer773.xml"/><Relationship Id="rId779" Type="http://schemas.openxmlformats.org/officeDocument/2006/relationships/footer" Target="footer774.xml"/><Relationship Id="rId780" Type="http://schemas.openxmlformats.org/officeDocument/2006/relationships/footer" Target="footer775.xml"/><Relationship Id="rId781" Type="http://schemas.openxmlformats.org/officeDocument/2006/relationships/footer" Target="footer776.xml"/><Relationship Id="rId782" Type="http://schemas.openxmlformats.org/officeDocument/2006/relationships/footer" Target="footer777.xml"/><Relationship Id="rId783" Type="http://schemas.openxmlformats.org/officeDocument/2006/relationships/footer" Target="footer778.xml"/><Relationship Id="rId784" Type="http://schemas.openxmlformats.org/officeDocument/2006/relationships/footer" Target="footer779.xml"/><Relationship Id="rId785" Type="http://schemas.openxmlformats.org/officeDocument/2006/relationships/footer" Target="footer780.xml"/><Relationship Id="rId786" Type="http://schemas.openxmlformats.org/officeDocument/2006/relationships/footer" Target="footer781.xml"/><Relationship Id="rId787" Type="http://schemas.openxmlformats.org/officeDocument/2006/relationships/footer" Target="footer782.xml"/><Relationship Id="rId788" Type="http://schemas.openxmlformats.org/officeDocument/2006/relationships/footer" Target="footer783.xml"/><Relationship Id="rId789" Type="http://schemas.openxmlformats.org/officeDocument/2006/relationships/footer" Target="footer784.xml"/><Relationship Id="rId790" Type="http://schemas.openxmlformats.org/officeDocument/2006/relationships/footer" Target="footer785.xml"/><Relationship Id="rId791" Type="http://schemas.openxmlformats.org/officeDocument/2006/relationships/footer" Target="footer786.xml"/><Relationship Id="rId792" Type="http://schemas.openxmlformats.org/officeDocument/2006/relationships/footer" Target="footer787.xml"/><Relationship Id="rId793" Type="http://schemas.openxmlformats.org/officeDocument/2006/relationships/footer" Target="footer788.xml"/><Relationship Id="rId794" Type="http://schemas.openxmlformats.org/officeDocument/2006/relationships/footer" Target="footer789.xml"/><Relationship Id="rId795" Type="http://schemas.openxmlformats.org/officeDocument/2006/relationships/footer" Target="footer790.xml"/><Relationship Id="rId796" Type="http://schemas.openxmlformats.org/officeDocument/2006/relationships/image" Target="media/image2.jpeg"/><Relationship Id="rId797" Type="http://schemas.openxmlformats.org/officeDocument/2006/relationships/image" Target="media/image2.jpeg"/><Relationship Id="rId798" Type="http://schemas.openxmlformats.org/officeDocument/2006/relationships/footer" Target="footer791.xml"/><Relationship Id="rId799" Type="http://schemas.openxmlformats.org/officeDocument/2006/relationships/footnotes" Target="footnotes.xml"/><Relationship Id="rId800" Type="http://schemas.openxmlformats.org/officeDocument/2006/relationships/numbering" Target="numbering.xml"/><Relationship Id="rId801" Type="http://schemas.openxmlformats.org/officeDocument/2006/relationships/fontTable" Target="fontTable.xml"/><Relationship Id="rId802" Type="http://schemas.openxmlformats.org/officeDocument/2006/relationships/settings" Target="settings.xml"/><Relationship Id="rId80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801</Pages>
  <Words>84011</Words>
  <Characters>382918</Characters>
  <CharactersWithSpaces>464610</CharactersWithSpaces>
  <Paragraphs>2751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2026-08-27T14:39:38Z</dcterms:created>
  <dc:creator>ghaemiyeh.com</dc:creator>
  <dc:description/>
  <dc:language>en-US</dc:language>
  <cp:lastModifiedBy/>
  <dcterms:modified xsi:type="dcterms:W3CDTF">2026-08-27T18:10:55Z</dcterms:modified>
  <cp:revision>1</cp:revision>
  <dc:subject/>
  <dc:title>الدرر الأصولیة فی موسوعة فقه الخلاف</dc:title>
</cp:coreProperties>
</file>

<file path=docProps/custom.xml><?xml version="1.0" encoding="utf-8"?>
<Properties xmlns="http://schemas.openxmlformats.org/officeDocument/2006/custom-properties" xmlns:vt="http://schemas.openxmlformats.org/officeDocument/2006/docPropsVTypes"/>
</file>