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سوال و جواب درباره صلح حق الرجوع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6544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16546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16548_105122903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416550_1051229030">
            <w:r>
              <w:rPr>
                <w:webHidden/>
                <w:rStyle w:val="IndexLink"/>
                <w:rtl w:val="true"/>
              </w:rPr>
              <w:t>توضيحى پيرامون رساله حاضر</w:t>
            </w:r>
            <w:r>
              <w:rPr>
                <w:rStyle w:val="IndexLink"/>
                <w:rtl w:val="true"/>
              </w:rPr>
              <w:tab/>
            </w:r>
            <w:r>
              <w:rPr>
                <w:rStyle w:val="IndexLink"/>
              </w:rPr>
              <w:t>11</w:t>
            </w:r>
          </w:hyperlink>
        </w:p>
        <w:p>
          <w:pPr>
            <w:pStyle w:val="Contents2"/>
            <w:tabs>
              <w:tab w:val="clear" w:pos="8743"/>
              <w:tab w:val="right" w:pos="9026" w:leader="dot"/>
            </w:tabs>
            <w:rPr/>
          </w:pPr>
          <w:hyperlink w:anchor="__RefHeading___Toc3416552_1051229030">
            <w:r>
              <w:rPr>
                <w:webHidden/>
                <w:rStyle w:val="IndexLink"/>
                <w:rtl w:val="true"/>
              </w:rPr>
              <w:t>زندگى نامه مؤلّف</w:t>
            </w:r>
            <w:r>
              <w:rPr>
                <w:rStyle w:val="IndexLink"/>
                <w:rtl w:val="true"/>
              </w:rPr>
              <w:tab/>
            </w:r>
            <w:r>
              <w:rPr>
                <w:rStyle w:val="IndexLink"/>
              </w:rPr>
              <w:t>13</w:t>
            </w:r>
          </w:hyperlink>
        </w:p>
        <w:p>
          <w:pPr>
            <w:pStyle w:val="Contents3"/>
            <w:tabs>
              <w:tab w:val="clear" w:pos="8459"/>
              <w:tab w:val="right" w:pos="9026" w:leader="dot"/>
            </w:tabs>
            <w:rPr/>
          </w:pPr>
          <w:hyperlink w:anchor="__RefHeading___Toc3416554_1051229030">
            <w:r>
              <w:rPr>
                <w:webHidden/>
                <w:rStyle w:val="IndexLink"/>
                <w:rtl w:val="true"/>
              </w:rPr>
              <w:t>نام</w:t>
            </w:r>
            <w:r>
              <w:rPr>
                <w:rStyle w:val="IndexLink"/>
                <w:rtl w:val="true"/>
              </w:rPr>
              <w:tab/>
            </w:r>
            <w:r>
              <w:rPr>
                <w:rStyle w:val="IndexLink"/>
              </w:rPr>
              <w:t>13</w:t>
            </w:r>
          </w:hyperlink>
        </w:p>
        <w:p>
          <w:pPr>
            <w:pStyle w:val="Contents3"/>
            <w:tabs>
              <w:tab w:val="clear" w:pos="8459"/>
              <w:tab w:val="right" w:pos="9026" w:leader="dot"/>
            </w:tabs>
            <w:rPr/>
          </w:pPr>
          <w:hyperlink w:anchor="__RefHeading___Toc3416556_1051229030">
            <w:r>
              <w:rPr>
                <w:webHidden/>
                <w:rStyle w:val="IndexLink"/>
                <w:rtl w:val="true"/>
              </w:rPr>
              <w:t>شهرت</w:t>
            </w:r>
            <w:r>
              <w:rPr>
                <w:rStyle w:val="IndexLink"/>
                <w:rtl w:val="true"/>
              </w:rPr>
              <w:tab/>
            </w:r>
            <w:r>
              <w:rPr>
                <w:rStyle w:val="IndexLink"/>
              </w:rPr>
              <w:t>13</w:t>
            </w:r>
          </w:hyperlink>
        </w:p>
        <w:p>
          <w:pPr>
            <w:pStyle w:val="Contents3"/>
            <w:tabs>
              <w:tab w:val="clear" w:pos="8459"/>
              <w:tab w:val="right" w:pos="9026" w:leader="dot"/>
            </w:tabs>
            <w:rPr/>
          </w:pPr>
          <w:hyperlink w:anchor="__RefHeading___Toc3416558_1051229030">
            <w:r>
              <w:rPr>
                <w:webHidden/>
                <w:rStyle w:val="IndexLink"/>
                <w:rtl w:val="true"/>
              </w:rPr>
              <w:t>از نگاه ديگران</w:t>
            </w:r>
            <w:r>
              <w:rPr>
                <w:rStyle w:val="IndexLink"/>
                <w:rtl w:val="true"/>
              </w:rPr>
              <w:tab/>
            </w:r>
            <w:r>
              <w:rPr>
                <w:rStyle w:val="IndexLink"/>
              </w:rPr>
              <w:t>14</w:t>
            </w:r>
          </w:hyperlink>
        </w:p>
        <w:p>
          <w:pPr>
            <w:pStyle w:val="Contents4"/>
            <w:tabs>
              <w:tab w:val="clear" w:pos="8176"/>
              <w:tab w:val="right" w:pos="9026" w:leader="dot"/>
            </w:tabs>
            <w:rPr/>
          </w:pPr>
          <w:hyperlink w:anchor="__RefHeading___Toc3416560_105122903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3416562_1051229030">
            <w:r>
              <w:rPr>
                <w:webHidden/>
                <w:rStyle w:val="IndexLink"/>
              </w:rPr>
              <w:t>1</w:t>
            </w:r>
            <w:r>
              <w:rPr>
                <w:rStyle w:val="IndexLink"/>
                <w:rtl w:val="true"/>
              </w:rPr>
              <w:t xml:space="preserve"> - </w:t>
            </w:r>
            <w:r>
              <w:rPr>
                <w:rStyle w:val="IndexLink"/>
                <w:rtl w:val="true"/>
              </w:rPr>
              <w:t>حكيم ملاّ على نورى قدس‌سره</w:t>
            </w:r>
            <w:r>
              <w:rPr>
                <w:rStyle w:val="IndexLink"/>
                <w:rtl w:val="true"/>
              </w:rPr>
              <w:tab/>
            </w:r>
            <w:r>
              <w:rPr>
                <w:rStyle w:val="IndexLink"/>
              </w:rPr>
              <w:t>14</w:t>
            </w:r>
          </w:hyperlink>
        </w:p>
        <w:p>
          <w:pPr>
            <w:pStyle w:val="Contents4"/>
            <w:tabs>
              <w:tab w:val="clear" w:pos="8176"/>
              <w:tab w:val="right" w:pos="9026" w:leader="dot"/>
            </w:tabs>
            <w:rPr/>
          </w:pPr>
          <w:hyperlink w:anchor="__RefHeading___Toc3416564_1051229030">
            <w:r>
              <w:rPr>
                <w:webHidden/>
                <w:rStyle w:val="IndexLink"/>
              </w:rPr>
              <w:t>2</w:t>
            </w:r>
            <w:r>
              <w:rPr>
                <w:rStyle w:val="IndexLink"/>
                <w:rtl w:val="true"/>
              </w:rPr>
              <w:t xml:space="preserve"> - </w:t>
            </w:r>
            <w:r>
              <w:rPr>
                <w:rStyle w:val="IndexLink"/>
                <w:rtl w:val="true"/>
              </w:rPr>
              <w:t>مرحوم آية اللّه حاج محمّد ابراهيم كرباسى</w:t>
            </w:r>
            <w:r>
              <w:rPr>
                <w:rStyle w:val="IndexLink"/>
                <w:rtl w:val="true"/>
              </w:rPr>
              <w:tab/>
            </w:r>
            <w:r>
              <w:rPr>
                <w:rStyle w:val="IndexLink"/>
              </w:rPr>
              <w:t>15</w:t>
            </w:r>
          </w:hyperlink>
        </w:p>
        <w:p>
          <w:pPr>
            <w:pStyle w:val="Contents4"/>
            <w:tabs>
              <w:tab w:val="clear" w:pos="8176"/>
              <w:tab w:val="right" w:pos="9026" w:leader="dot"/>
            </w:tabs>
            <w:rPr/>
          </w:pPr>
          <w:hyperlink w:anchor="__RefHeading___Toc3416566_1051229030">
            <w:r>
              <w:rPr>
                <w:webHidden/>
                <w:rStyle w:val="IndexLink"/>
              </w:rPr>
              <w:t>3</w:t>
            </w:r>
            <w:r>
              <w:rPr>
                <w:rStyle w:val="IndexLink"/>
                <w:rtl w:val="true"/>
              </w:rPr>
              <w:t xml:space="preserve"> - </w:t>
            </w:r>
            <w:r>
              <w:rPr>
                <w:rStyle w:val="IndexLink"/>
                <w:rtl w:val="true"/>
              </w:rPr>
              <w:t>علاّمه حاج سيّد محمّد باقر خوانسارى قدس‌سره</w:t>
            </w:r>
            <w:r>
              <w:rPr>
                <w:rStyle w:val="IndexLink"/>
                <w:rtl w:val="true"/>
              </w:rPr>
              <w:tab/>
            </w:r>
            <w:r>
              <w:rPr>
                <w:rStyle w:val="IndexLink"/>
              </w:rPr>
              <w:t>16</w:t>
            </w:r>
          </w:hyperlink>
        </w:p>
        <w:p>
          <w:pPr>
            <w:pStyle w:val="Contents4"/>
            <w:tabs>
              <w:tab w:val="clear" w:pos="8176"/>
              <w:tab w:val="right" w:pos="9026" w:leader="dot"/>
            </w:tabs>
            <w:rPr/>
          </w:pPr>
          <w:hyperlink w:anchor="__RefHeading___Toc3416568_1051229030">
            <w:r>
              <w:rPr>
                <w:webHidden/>
                <w:rStyle w:val="IndexLink"/>
              </w:rPr>
              <w:t>4</w:t>
            </w:r>
            <w:r>
              <w:rPr>
                <w:rStyle w:val="IndexLink"/>
                <w:rtl w:val="true"/>
              </w:rPr>
              <w:t xml:space="preserve"> - </w:t>
            </w:r>
            <w:r>
              <w:rPr>
                <w:rStyle w:val="IndexLink"/>
                <w:rtl w:val="true"/>
              </w:rPr>
              <w:t>محدّث خبير مرحوم حاج شيخ عبّاس قمّى</w:t>
            </w:r>
            <w:r>
              <w:rPr>
                <w:rStyle w:val="IndexLink"/>
                <w:rtl w:val="true"/>
              </w:rPr>
              <w:tab/>
            </w:r>
            <w:r>
              <w:rPr>
                <w:rStyle w:val="IndexLink"/>
              </w:rPr>
              <w:t>16</w:t>
            </w:r>
          </w:hyperlink>
        </w:p>
        <w:p>
          <w:pPr>
            <w:pStyle w:val="Contents3"/>
            <w:tabs>
              <w:tab w:val="clear" w:pos="8459"/>
              <w:tab w:val="right" w:pos="9026" w:leader="dot"/>
            </w:tabs>
            <w:rPr/>
          </w:pPr>
          <w:hyperlink w:anchor="__RefHeading___Toc3416570_1051229030">
            <w:r>
              <w:rPr>
                <w:webHidden/>
                <w:rStyle w:val="IndexLink"/>
                <w:rtl w:val="true"/>
              </w:rPr>
              <w:t>نسب</w:t>
            </w:r>
            <w:r>
              <w:rPr>
                <w:rStyle w:val="IndexLink"/>
                <w:rtl w:val="true"/>
              </w:rPr>
              <w:tab/>
            </w:r>
            <w:r>
              <w:rPr>
                <w:rStyle w:val="IndexLink"/>
              </w:rPr>
              <w:t>17</w:t>
            </w:r>
          </w:hyperlink>
        </w:p>
        <w:p>
          <w:pPr>
            <w:pStyle w:val="Contents3"/>
            <w:tabs>
              <w:tab w:val="clear" w:pos="8459"/>
              <w:tab w:val="right" w:pos="9026" w:leader="dot"/>
            </w:tabs>
            <w:rPr/>
          </w:pPr>
          <w:hyperlink w:anchor="__RefHeading___Toc3416572_1051229030">
            <w:r>
              <w:rPr>
                <w:webHidden/>
                <w:rStyle w:val="IndexLink"/>
                <w:rtl w:val="true"/>
              </w:rPr>
              <w:t>نياكان</w:t>
            </w:r>
            <w:r>
              <w:rPr>
                <w:rStyle w:val="IndexLink"/>
                <w:rtl w:val="true"/>
              </w:rPr>
              <w:tab/>
            </w:r>
            <w:r>
              <w:rPr>
                <w:rStyle w:val="IndexLink"/>
              </w:rPr>
              <w:t>18</w:t>
            </w:r>
          </w:hyperlink>
        </w:p>
        <w:p>
          <w:pPr>
            <w:pStyle w:val="Contents3"/>
            <w:tabs>
              <w:tab w:val="clear" w:pos="8459"/>
              <w:tab w:val="right" w:pos="9026" w:leader="dot"/>
            </w:tabs>
            <w:rPr/>
          </w:pPr>
          <w:hyperlink w:anchor="__RefHeading___Toc3416574_1051229030">
            <w:r>
              <w:rPr>
                <w:webHidden/>
                <w:rStyle w:val="IndexLink"/>
                <w:rtl w:val="true"/>
              </w:rPr>
              <w:t>تولّد</w:t>
            </w:r>
            <w:r>
              <w:rPr>
                <w:rStyle w:val="IndexLink"/>
                <w:rtl w:val="true"/>
              </w:rPr>
              <w:tab/>
            </w:r>
            <w:r>
              <w:rPr>
                <w:rStyle w:val="IndexLink"/>
              </w:rPr>
              <w:t>19</w:t>
            </w:r>
          </w:hyperlink>
        </w:p>
        <w:p>
          <w:pPr>
            <w:pStyle w:val="Contents3"/>
            <w:tabs>
              <w:tab w:val="clear" w:pos="8459"/>
              <w:tab w:val="right" w:pos="9026" w:leader="dot"/>
            </w:tabs>
            <w:rPr/>
          </w:pPr>
          <w:hyperlink w:anchor="__RefHeading___Toc3416576_1051229030">
            <w:r>
              <w:rPr>
                <w:webHidden/>
                <w:rStyle w:val="IndexLink"/>
                <w:rtl w:val="true"/>
              </w:rPr>
              <w:t>زادگاه</w:t>
            </w:r>
            <w:r>
              <w:rPr>
                <w:rStyle w:val="IndexLink"/>
                <w:rtl w:val="true"/>
              </w:rPr>
              <w:tab/>
            </w:r>
            <w:r>
              <w:rPr>
                <w:rStyle w:val="IndexLink"/>
              </w:rPr>
              <w:t>20</w:t>
            </w:r>
          </w:hyperlink>
        </w:p>
        <w:p>
          <w:pPr>
            <w:pStyle w:val="Contents3"/>
            <w:tabs>
              <w:tab w:val="clear" w:pos="8459"/>
              <w:tab w:val="right" w:pos="9026" w:leader="dot"/>
            </w:tabs>
            <w:rPr/>
          </w:pPr>
          <w:hyperlink w:anchor="__RefHeading___Toc3416578_1051229030">
            <w:r>
              <w:rPr>
                <w:webHidden/>
                <w:rStyle w:val="IndexLink"/>
                <w:rtl w:val="true"/>
              </w:rPr>
              <w:t>دوران تحصيل</w:t>
            </w:r>
            <w:r>
              <w:rPr>
                <w:rStyle w:val="IndexLink"/>
                <w:rtl w:val="true"/>
              </w:rPr>
              <w:tab/>
            </w:r>
            <w:r>
              <w:rPr>
                <w:rStyle w:val="IndexLink"/>
              </w:rPr>
              <w:t>21</w:t>
            </w:r>
          </w:hyperlink>
        </w:p>
        <w:p>
          <w:pPr>
            <w:pStyle w:val="Contents3"/>
            <w:tabs>
              <w:tab w:val="clear" w:pos="8459"/>
              <w:tab w:val="right" w:pos="9026" w:leader="dot"/>
            </w:tabs>
            <w:rPr/>
          </w:pPr>
          <w:hyperlink w:anchor="__RefHeading___Toc3416580_1051229030">
            <w:r>
              <w:rPr>
                <w:webHidden/>
                <w:rStyle w:val="IndexLink"/>
                <w:rtl w:val="true"/>
              </w:rPr>
              <w:t>استادان</w:t>
            </w:r>
            <w:r>
              <w:rPr>
                <w:rStyle w:val="IndexLink"/>
                <w:rtl w:val="true"/>
              </w:rPr>
              <w:tab/>
            </w:r>
            <w:r>
              <w:rPr>
                <w:rStyle w:val="IndexLink"/>
              </w:rPr>
              <w:t>23</w:t>
            </w:r>
          </w:hyperlink>
        </w:p>
        <w:p>
          <w:pPr>
            <w:pStyle w:val="Contents4"/>
            <w:tabs>
              <w:tab w:val="clear" w:pos="8176"/>
              <w:tab w:val="right" w:pos="9026" w:leader="dot"/>
            </w:tabs>
            <w:rPr/>
          </w:pPr>
          <w:hyperlink w:anchor="__RefHeading___Toc3416582_105122903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416584_1051229030">
            <w:r>
              <w:rPr>
                <w:webHidden/>
                <w:rStyle w:val="IndexLink"/>
              </w:rPr>
              <w:t>1</w:t>
            </w:r>
            <w:r>
              <w:rPr>
                <w:rStyle w:val="IndexLink"/>
                <w:rtl w:val="true"/>
              </w:rPr>
              <w:t xml:space="preserve"> - </w:t>
            </w:r>
            <w:r>
              <w:rPr>
                <w:rStyle w:val="IndexLink"/>
                <w:rtl w:val="true"/>
              </w:rPr>
              <w:t>مرحوم حاج ميرزا ابوالقاسم گيلانى قمّى</w:t>
            </w:r>
            <w:r>
              <w:rPr>
                <w:rStyle w:val="IndexLink"/>
                <w:rtl w:val="true"/>
              </w:rPr>
              <w:tab/>
            </w:r>
            <w:r>
              <w:rPr>
                <w:rStyle w:val="IndexLink"/>
              </w:rPr>
              <w:t>23</w:t>
            </w:r>
          </w:hyperlink>
        </w:p>
        <w:p>
          <w:pPr>
            <w:pStyle w:val="Contents4"/>
            <w:tabs>
              <w:tab w:val="clear" w:pos="8176"/>
              <w:tab w:val="right" w:pos="9026" w:leader="dot"/>
            </w:tabs>
            <w:rPr/>
          </w:pPr>
          <w:hyperlink w:anchor="__RefHeading___Toc3416586_1051229030">
            <w:r>
              <w:rPr>
                <w:webHidden/>
                <w:rStyle w:val="IndexLink"/>
              </w:rPr>
              <w:t>2</w:t>
            </w:r>
            <w:r>
              <w:rPr>
                <w:rStyle w:val="IndexLink"/>
                <w:rtl w:val="true"/>
              </w:rPr>
              <w:t xml:space="preserve"> - </w:t>
            </w:r>
            <w:r>
              <w:rPr>
                <w:rStyle w:val="IndexLink"/>
                <w:rtl w:val="true"/>
              </w:rPr>
              <w:t>علاّمه آقا محمّد باقر بهبهانى قدس‌سره</w:t>
            </w:r>
            <w:r>
              <w:rPr>
                <w:rStyle w:val="IndexLink"/>
                <w:rtl w:val="true"/>
              </w:rPr>
              <w:tab/>
            </w:r>
            <w:r>
              <w:rPr>
                <w:rStyle w:val="IndexLink"/>
              </w:rPr>
              <w:t>24</w:t>
            </w:r>
          </w:hyperlink>
        </w:p>
        <w:p>
          <w:pPr>
            <w:pStyle w:val="Contents4"/>
            <w:tabs>
              <w:tab w:val="clear" w:pos="8176"/>
              <w:tab w:val="right" w:pos="9026" w:leader="dot"/>
            </w:tabs>
            <w:rPr/>
          </w:pPr>
          <w:hyperlink w:anchor="__RefHeading___Toc3416588_1051229030">
            <w:r>
              <w:rPr>
                <w:webHidden/>
                <w:rStyle w:val="IndexLink"/>
              </w:rPr>
              <w:t>3</w:t>
            </w:r>
            <w:r>
              <w:rPr>
                <w:rStyle w:val="IndexLink"/>
                <w:rtl w:val="true"/>
              </w:rPr>
              <w:t xml:space="preserve"> - </w:t>
            </w:r>
            <w:r>
              <w:rPr>
                <w:rStyle w:val="IndexLink"/>
                <w:rtl w:val="true"/>
              </w:rPr>
              <w:t xml:space="preserve">علاّمه حاج شيخ جعفر نجفى رحمه‌الله </w:t>
            </w:r>
            <w:r>
              <w:rPr>
                <w:rStyle w:val="IndexLink"/>
                <w:rtl w:val="true"/>
              </w:rPr>
              <w:t xml:space="preserve">( </w:t>
            </w:r>
            <w:r>
              <w:rPr>
                <w:rStyle w:val="IndexLink"/>
                <w:rtl w:val="true"/>
              </w:rPr>
              <w:t xml:space="preserve">معروف به </w:t>
            </w:r>
            <w:r>
              <w:rPr>
                <w:rStyle w:val="IndexLink"/>
                <w:rtl w:val="true"/>
              </w:rPr>
              <w:t xml:space="preserve">: </w:t>
            </w:r>
            <w:r>
              <w:rPr>
                <w:rStyle w:val="IndexLink"/>
                <w:rtl w:val="true"/>
              </w:rPr>
              <w:t xml:space="preserve">كاشف الغطاء </w:t>
            </w:r>
            <w:r>
              <w:rPr>
                <w:rStyle w:val="IndexLink"/>
                <w:rtl w:val="true"/>
              </w:rPr>
              <w:t>)</w:t>
              <w:tab/>
            </w:r>
            <w:r>
              <w:rPr>
                <w:rStyle w:val="IndexLink"/>
              </w:rPr>
              <w:t>24</w:t>
            </w:r>
          </w:hyperlink>
        </w:p>
        <w:p>
          <w:pPr>
            <w:pStyle w:val="Contents4"/>
            <w:tabs>
              <w:tab w:val="clear" w:pos="8176"/>
              <w:tab w:val="right" w:pos="9026" w:leader="dot"/>
            </w:tabs>
            <w:rPr/>
          </w:pPr>
          <w:hyperlink w:anchor="__RefHeading___Toc3416590_1051229030">
            <w:r>
              <w:rPr>
                <w:webHidden/>
                <w:rStyle w:val="IndexLink"/>
              </w:rPr>
              <w:t>4</w:t>
            </w:r>
            <w:r>
              <w:rPr>
                <w:rStyle w:val="IndexLink"/>
                <w:rtl w:val="true"/>
              </w:rPr>
              <w:t xml:space="preserve"> - </w:t>
            </w:r>
            <w:r>
              <w:rPr>
                <w:rStyle w:val="IndexLink"/>
                <w:rtl w:val="true"/>
              </w:rPr>
              <w:t>آخوند ملاّ على نورى مازندرانى رحمه‌الله</w:t>
            </w:r>
            <w:r>
              <w:rPr>
                <w:rStyle w:val="IndexLink"/>
                <w:rtl w:val="true"/>
              </w:rPr>
              <w:tab/>
            </w:r>
            <w:r>
              <w:rPr>
                <w:rStyle w:val="IndexLink"/>
              </w:rPr>
              <w:t>25</w:t>
            </w:r>
          </w:hyperlink>
        </w:p>
        <w:p>
          <w:pPr>
            <w:pStyle w:val="Contents4"/>
            <w:tabs>
              <w:tab w:val="clear" w:pos="8176"/>
              <w:tab w:val="right" w:pos="9026" w:leader="dot"/>
            </w:tabs>
            <w:rPr/>
          </w:pPr>
          <w:hyperlink w:anchor="__RefHeading___Toc3416592_1051229030">
            <w:r>
              <w:rPr>
                <w:webHidden/>
                <w:rStyle w:val="IndexLink"/>
              </w:rPr>
              <w:t>5</w:t>
            </w:r>
            <w:r>
              <w:rPr>
                <w:rStyle w:val="IndexLink"/>
                <w:rtl w:val="true"/>
              </w:rPr>
              <w:t xml:space="preserve"> - </w:t>
            </w:r>
            <w:r>
              <w:rPr>
                <w:rStyle w:val="IndexLink"/>
                <w:rtl w:val="true"/>
              </w:rPr>
              <w:t>علاّمه حاج سيّد على طباطبائى قدس‌سره</w:t>
            </w:r>
            <w:r>
              <w:rPr>
                <w:rStyle w:val="IndexLink"/>
                <w:rtl w:val="true"/>
              </w:rPr>
              <w:tab/>
            </w:r>
            <w:r>
              <w:rPr>
                <w:rStyle w:val="IndexLink"/>
              </w:rPr>
              <w:t>25</w:t>
            </w:r>
          </w:hyperlink>
        </w:p>
        <w:p>
          <w:pPr>
            <w:pStyle w:val="Contents4"/>
            <w:tabs>
              <w:tab w:val="clear" w:pos="8176"/>
              <w:tab w:val="right" w:pos="9026" w:leader="dot"/>
            </w:tabs>
            <w:rPr/>
          </w:pPr>
          <w:hyperlink w:anchor="__RefHeading___Toc3416594_1051229030">
            <w:r>
              <w:rPr>
                <w:webHidden/>
                <w:rStyle w:val="IndexLink"/>
              </w:rPr>
              <w:t>6</w:t>
            </w:r>
            <w:r>
              <w:rPr>
                <w:rStyle w:val="IndexLink"/>
                <w:rtl w:val="true"/>
              </w:rPr>
              <w:t xml:space="preserve"> - </w:t>
            </w:r>
            <w:r>
              <w:rPr>
                <w:rStyle w:val="IndexLink"/>
                <w:rtl w:val="true"/>
              </w:rPr>
              <w:t>آية اللّه حاج سيّد محسن اعرجى كاظمينى رحمه‌الله</w:t>
            </w:r>
            <w:r>
              <w:rPr>
                <w:rStyle w:val="IndexLink"/>
                <w:rtl w:val="true"/>
              </w:rPr>
              <w:tab/>
            </w:r>
            <w:r>
              <w:rPr>
                <w:rStyle w:val="IndexLink"/>
              </w:rPr>
              <w:t>26</w:t>
            </w:r>
          </w:hyperlink>
        </w:p>
        <w:p>
          <w:pPr>
            <w:pStyle w:val="Contents4"/>
            <w:tabs>
              <w:tab w:val="clear" w:pos="8176"/>
              <w:tab w:val="right" w:pos="9026" w:leader="dot"/>
            </w:tabs>
            <w:rPr/>
          </w:pPr>
          <w:hyperlink w:anchor="__RefHeading___Toc3416596_1051229030">
            <w:r>
              <w:rPr>
                <w:webHidden/>
                <w:rStyle w:val="IndexLink"/>
              </w:rPr>
              <w:t>7</w:t>
            </w:r>
            <w:r>
              <w:rPr>
                <w:rStyle w:val="IndexLink"/>
                <w:rtl w:val="true"/>
              </w:rPr>
              <w:t xml:space="preserve"> - </w:t>
            </w:r>
            <w:r>
              <w:rPr>
                <w:rStyle w:val="IndexLink"/>
                <w:rtl w:val="true"/>
              </w:rPr>
              <w:t>علاّمه مجاهد آقا سيّد محمّد طباطبائى قدس‌سره</w:t>
            </w:r>
            <w:r>
              <w:rPr>
                <w:rStyle w:val="IndexLink"/>
                <w:rtl w:val="true"/>
              </w:rPr>
              <w:tab/>
            </w:r>
            <w:r>
              <w:rPr>
                <w:rStyle w:val="IndexLink"/>
              </w:rPr>
              <w:t>26</w:t>
            </w:r>
          </w:hyperlink>
        </w:p>
        <w:p>
          <w:pPr>
            <w:pStyle w:val="Contents4"/>
            <w:tabs>
              <w:tab w:val="clear" w:pos="8176"/>
              <w:tab w:val="right" w:pos="9026" w:leader="dot"/>
            </w:tabs>
            <w:rPr/>
          </w:pPr>
          <w:hyperlink w:anchor="__RefHeading___Toc3416598_1051229030">
            <w:r>
              <w:rPr>
                <w:webHidden/>
                <w:rStyle w:val="IndexLink"/>
              </w:rPr>
              <w:t>8</w:t>
            </w:r>
            <w:r>
              <w:rPr>
                <w:rStyle w:val="IndexLink"/>
                <w:rtl w:val="true"/>
              </w:rPr>
              <w:t xml:space="preserve"> - </w:t>
            </w:r>
            <w:r>
              <w:rPr>
                <w:rStyle w:val="IndexLink"/>
                <w:rtl w:val="true"/>
              </w:rPr>
              <w:t xml:space="preserve">علاّمه حاج سيّد محمّد مهدى طباطبائى قدس‌سره </w:t>
            </w:r>
            <w:r>
              <w:rPr>
                <w:rStyle w:val="IndexLink"/>
                <w:rtl w:val="true"/>
              </w:rPr>
              <w:t xml:space="preserve">( </w:t>
            </w:r>
            <w:r>
              <w:rPr>
                <w:rStyle w:val="IndexLink"/>
                <w:rtl w:val="true"/>
              </w:rPr>
              <w:t xml:space="preserve">سيّد بحرالعلوم </w:t>
            </w:r>
            <w:r>
              <w:rPr>
                <w:rStyle w:val="IndexLink"/>
                <w:rtl w:val="true"/>
              </w:rPr>
              <w:t>)</w:t>
              <w:tab/>
            </w:r>
            <w:r>
              <w:rPr>
                <w:rStyle w:val="IndexLink"/>
              </w:rPr>
              <w:t>27</w:t>
            </w:r>
          </w:hyperlink>
        </w:p>
        <w:p>
          <w:pPr>
            <w:pStyle w:val="Contents4"/>
            <w:tabs>
              <w:tab w:val="clear" w:pos="8176"/>
              <w:tab w:val="right" w:pos="9026" w:leader="dot"/>
            </w:tabs>
            <w:rPr/>
          </w:pPr>
          <w:hyperlink w:anchor="__RefHeading___Toc3416600_1051229030">
            <w:r>
              <w:rPr>
                <w:webHidden/>
                <w:rStyle w:val="IndexLink"/>
              </w:rPr>
              <w:t>9</w:t>
            </w:r>
            <w:r>
              <w:rPr>
                <w:rStyle w:val="IndexLink"/>
                <w:rtl w:val="true"/>
              </w:rPr>
              <w:t xml:space="preserve"> - </w:t>
            </w:r>
            <w:r>
              <w:rPr>
                <w:rStyle w:val="IndexLink"/>
                <w:rtl w:val="true"/>
              </w:rPr>
              <w:t>مرحوم ملاّ محمّد مهدى نراقى</w:t>
            </w:r>
            <w:r>
              <w:rPr>
                <w:rStyle w:val="IndexLink"/>
                <w:rtl w:val="true"/>
              </w:rPr>
              <w:tab/>
            </w:r>
            <w:r>
              <w:rPr>
                <w:rStyle w:val="IndexLink"/>
              </w:rPr>
              <w:t>27</w:t>
            </w:r>
          </w:hyperlink>
        </w:p>
        <w:p>
          <w:pPr>
            <w:pStyle w:val="Contents3"/>
            <w:tabs>
              <w:tab w:val="clear" w:pos="8459"/>
              <w:tab w:val="right" w:pos="9026" w:leader="dot"/>
            </w:tabs>
            <w:rPr/>
          </w:pPr>
          <w:hyperlink w:anchor="__RefHeading___Toc3416602_1051229030">
            <w:r>
              <w:rPr>
                <w:webHidden/>
                <w:rStyle w:val="IndexLink"/>
                <w:rtl w:val="true"/>
              </w:rPr>
              <w:t>مشايخ اجازه</w:t>
            </w:r>
            <w:r>
              <w:rPr>
                <w:rStyle w:val="IndexLink"/>
                <w:rtl w:val="true"/>
              </w:rPr>
              <w:tab/>
            </w:r>
            <w:r>
              <w:rPr>
                <w:rStyle w:val="IndexLink"/>
              </w:rPr>
              <w:t>28</w:t>
            </w:r>
          </w:hyperlink>
        </w:p>
        <w:p>
          <w:pPr>
            <w:pStyle w:val="Contents4"/>
            <w:tabs>
              <w:tab w:val="clear" w:pos="8176"/>
              <w:tab w:val="right" w:pos="9026" w:leader="dot"/>
            </w:tabs>
            <w:rPr/>
          </w:pPr>
          <w:hyperlink w:anchor="__RefHeading___Toc3416604_105122903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416606_1051229030">
            <w:r>
              <w:rPr>
                <w:webHidden/>
                <w:rStyle w:val="IndexLink"/>
              </w:rPr>
              <w:t>1</w:t>
            </w:r>
            <w:r>
              <w:rPr>
                <w:rStyle w:val="IndexLink"/>
                <w:rtl w:val="true"/>
              </w:rPr>
              <w:t xml:space="preserve"> - </w:t>
            </w:r>
            <w:r>
              <w:rPr>
                <w:rStyle w:val="IndexLink"/>
                <w:rtl w:val="true"/>
              </w:rPr>
              <w:t>مرحوم حاج ميرزا ابوالقاسم قمّى گيلانى</w:t>
            </w:r>
            <w:r>
              <w:rPr>
                <w:rStyle w:val="IndexLink"/>
                <w:rtl w:val="true"/>
              </w:rPr>
              <w:tab/>
            </w:r>
            <w:r>
              <w:rPr>
                <w:rStyle w:val="IndexLink"/>
              </w:rPr>
              <w:t>29</w:t>
            </w:r>
          </w:hyperlink>
        </w:p>
        <w:p>
          <w:pPr>
            <w:pStyle w:val="Contents4"/>
            <w:tabs>
              <w:tab w:val="clear" w:pos="8176"/>
              <w:tab w:val="right" w:pos="9026" w:leader="dot"/>
            </w:tabs>
            <w:rPr/>
          </w:pPr>
          <w:hyperlink w:anchor="__RefHeading___Toc3416608_1051229030">
            <w:r>
              <w:rPr>
                <w:webHidden/>
                <w:rStyle w:val="IndexLink"/>
              </w:rPr>
              <w:t>2</w:t>
            </w:r>
            <w:r>
              <w:rPr>
                <w:rStyle w:val="IndexLink"/>
                <w:rtl w:val="true"/>
              </w:rPr>
              <w:t xml:space="preserve"> - </w:t>
            </w:r>
            <w:r>
              <w:rPr>
                <w:rStyle w:val="IndexLink"/>
                <w:rtl w:val="true"/>
              </w:rPr>
              <w:t>مرحوم سيّد محمّد مهدى موسوى شهرستانى</w:t>
            </w:r>
            <w:r>
              <w:rPr>
                <w:rStyle w:val="IndexLink"/>
                <w:rtl w:val="true"/>
              </w:rPr>
              <w:tab/>
            </w:r>
            <w:r>
              <w:rPr>
                <w:rStyle w:val="IndexLink"/>
              </w:rPr>
              <w:t>29</w:t>
            </w:r>
          </w:hyperlink>
        </w:p>
        <w:p>
          <w:pPr>
            <w:pStyle w:val="Contents4"/>
            <w:tabs>
              <w:tab w:val="clear" w:pos="8176"/>
              <w:tab w:val="right" w:pos="9026" w:leader="dot"/>
            </w:tabs>
            <w:rPr/>
          </w:pPr>
          <w:hyperlink w:anchor="__RefHeading___Toc3416610_1051229030">
            <w:r>
              <w:rPr>
                <w:webHidden/>
                <w:rStyle w:val="IndexLink"/>
              </w:rPr>
              <w:t>3</w:t>
            </w:r>
            <w:r>
              <w:rPr>
                <w:rStyle w:val="IndexLink"/>
                <w:rtl w:val="true"/>
              </w:rPr>
              <w:t xml:space="preserve"> - </w:t>
            </w:r>
            <w:r>
              <w:rPr>
                <w:rStyle w:val="IndexLink"/>
                <w:rtl w:val="true"/>
              </w:rPr>
              <w:t xml:space="preserve">مرحوم آية اللّه شيخ جعفر نجفى </w:t>
            </w:r>
            <w:r>
              <w:rPr>
                <w:rStyle w:val="IndexLink"/>
                <w:rtl w:val="true"/>
              </w:rPr>
              <w:t xml:space="preserve">( </w:t>
            </w:r>
            <w:r>
              <w:rPr>
                <w:rStyle w:val="IndexLink"/>
                <w:rtl w:val="true"/>
              </w:rPr>
              <w:t xml:space="preserve">كاشف الغطاء </w:t>
            </w:r>
            <w:r>
              <w:rPr>
                <w:rStyle w:val="IndexLink"/>
                <w:rtl w:val="true"/>
              </w:rPr>
              <w:t>)</w:t>
              <w:tab/>
            </w:r>
            <w:r>
              <w:rPr>
                <w:rStyle w:val="IndexLink"/>
              </w:rPr>
              <w:t>29</w:t>
            </w:r>
          </w:hyperlink>
        </w:p>
        <w:p>
          <w:pPr>
            <w:pStyle w:val="Contents4"/>
            <w:tabs>
              <w:tab w:val="clear" w:pos="8176"/>
              <w:tab w:val="right" w:pos="9026" w:leader="dot"/>
            </w:tabs>
            <w:rPr/>
          </w:pPr>
          <w:hyperlink w:anchor="__RefHeading___Toc3416612_1051229030">
            <w:r>
              <w:rPr>
                <w:webHidden/>
                <w:rStyle w:val="IndexLink"/>
              </w:rPr>
              <w:t>4</w:t>
            </w:r>
            <w:r>
              <w:rPr>
                <w:rStyle w:val="IndexLink"/>
                <w:rtl w:val="true"/>
              </w:rPr>
              <w:t xml:space="preserve"> - </w:t>
            </w:r>
            <w:r>
              <w:rPr>
                <w:rStyle w:val="IndexLink"/>
                <w:rtl w:val="true"/>
              </w:rPr>
              <w:t>مرحوم أمير سيّد على طباطبائى حائرى</w:t>
            </w:r>
            <w:r>
              <w:rPr>
                <w:rStyle w:val="IndexLink"/>
                <w:rtl w:val="true"/>
              </w:rPr>
              <w:tab/>
            </w:r>
            <w:r>
              <w:rPr>
                <w:rStyle w:val="IndexLink"/>
              </w:rPr>
              <w:t>30</w:t>
            </w:r>
          </w:hyperlink>
        </w:p>
        <w:p>
          <w:pPr>
            <w:pStyle w:val="Contents4"/>
            <w:tabs>
              <w:tab w:val="clear" w:pos="8176"/>
              <w:tab w:val="right" w:pos="9026" w:leader="dot"/>
            </w:tabs>
            <w:rPr/>
          </w:pPr>
          <w:hyperlink w:anchor="__RefHeading___Toc3416614_1051229030">
            <w:r>
              <w:rPr>
                <w:webHidden/>
                <w:rStyle w:val="IndexLink"/>
              </w:rPr>
              <w:t>5</w:t>
            </w:r>
            <w:r>
              <w:rPr>
                <w:rStyle w:val="IndexLink"/>
                <w:rtl w:val="true"/>
              </w:rPr>
              <w:t xml:space="preserve"> - </w:t>
            </w:r>
            <w:r>
              <w:rPr>
                <w:rStyle w:val="IndexLink"/>
                <w:rtl w:val="true"/>
              </w:rPr>
              <w:t>مرحوم سيّد محسن أعرجى بغدادى</w:t>
            </w:r>
            <w:r>
              <w:rPr>
                <w:rStyle w:val="IndexLink"/>
                <w:rtl w:val="true"/>
              </w:rPr>
              <w:tab/>
            </w:r>
            <w:r>
              <w:rPr>
                <w:rStyle w:val="IndexLink"/>
              </w:rPr>
              <w:t>31</w:t>
            </w:r>
          </w:hyperlink>
        </w:p>
        <w:p>
          <w:pPr>
            <w:pStyle w:val="Contents4"/>
            <w:tabs>
              <w:tab w:val="clear" w:pos="8176"/>
              <w:tab w:val="right" w:pos="9026" w:leader="dot"/>
            </w:tabs>
            <w:rPr/>
          </w:pPr>
          <w:hyperlink w:anchor="__RefHeading___Toc3416616_1051229030">
            <w:r>
              <w:rPr>
                <w:webHidden/>
                <w:rStyle w:val="IndexLink"/>
              </w:rPr>
              <w:t>6</w:t>
            </w:r>
            <w:r>
              <w:rPr>
                <w:rStyle w:val="IndexLink"/>
                <w:rtl w:val="true"/>
              </w:rPr>
              <w:t xml:space="preserve"> - </w:t>
            </w:r>
            <w:r>
              <w:rPr>
                <w:rStyle w:val="IndexLink"/>
                <w:rtl w:val="true"/>
              </w:rPr>
              <w:t>مرحوم شيخ سليمان عاملى كاظمينى</w:t>
            </w:r>
            <w:r>
              <w:rPr>
                <w:rStyle w:val="IndexLink"/>
                <w:rtl w:val="true"/>
              </w:rPr>
              <w:tab/>
            </w:r>
            <w:r>
              <w:rPr>
                <w:rStyle w:val="IndexLink"/>
              </w:rPr>
              <w:t>31</w:t>
            </w:r>
          </w:hyperlink>
        </w:p>
        <w:p>
          <w:pPr>
            <w:pStyle w:val="Contents3"/>
            <w:tabs>
              <w:tab w:val="clear" w:pos="8459"/>
              <w:tab w:val="right" w:pos="9026" w:leader="dot"/>
            </w:tabs>
            <w:rPr/>
          </w:pPr>
          <w:hyperlink w:anchor="__RefHeading___Toc3416618_1051229030">
            <w:r>
              <w:rPr>
                <w:webHidden/>
                <w:rStyle w:val="IndexLink"/>
                <w:rtl w:val="true"/>
              </w:rPr>
              <w:t>ويژگى‌هاى اخلاقى</w:t>
            </w:r>
            <w:r>
              <w:rPr>
                <w:rStyle w:val="IndexLink"/>
                <w:rtl w:val="true"/>
              </w:rPr>
              <w:tab/>
            </w:r>
            <w:r>
              <w:rPr>
                <w:rStyle w:val="IndexLink"/>
              </w:rPr>
              <w:t>31</w:t>
            </w:r>
          </w:hyperlink>
        </w:p>
        <w:p>
          <w:pPr>
            <w:pStyle w:val="Contents3"/>
            <w:tabs>
              <w:tab w:val="clear" w:pos="8459"/>
              <w:tab w:val="right" w:pos="9026" w:leader="dot"/>
            </w:tabs>
            <w:rPr/>
          </w:pPr>
          <w:hyperlink w:anchor="__RefHeading___Toc3416620_1051229030">
            <w:r>
              <w:rPr>
                <w:webHidden/>
                <w:rStyle w:val="IndexLink"/>
                <w:rtl w:val="true"/>
              </w:rPr>
              <w:t>سخاوت</w:t>
            </w:r>
            <w:r>
              <w:rPr>
                <w:rStyle w:val="IndexLink"/>
                <w:rtl w:val="true"/>
              </w:rPr>
              <w:tab/>
            </w:r>
            <w:r>
              <w:rPr>
                <w:rStyle w:val="IndexLink"/>
              </w:rPr>
              <w:t>32</w:t>
            </w:r>
          </w:hyperlink>
        </w:p>
        <w:p>
          <w:pPr>
            <w:pStyle w:val="Contents4"/>
            <w:tabs>
              <w:tab w:val="clear" w:pos="8176"/>
              <w:tab w:val="right" w:pos="9026" w:leader="dot"/>
            </w:tabs>
            <w:rPr/>
          </w:pPr>
          <w:hyperlink w:anchor="__RefHeading___Toc3416622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416624_1051229030">
            <w:r>
              <w:rPr>
                <w:webHidden/>
                <w:rStyle w:val="IndexLink"/>
              </w:rPr>
              <w:t>1</w:t>
            </w:r>
            <w:r>
              <w:rPr>
                <w:rStyle w:val="IndexLink"/>
                <w:rtl w:val="true"/>
              </w:rPr>
              <w:t xml:space="preserve"> - </w:t>
            </w:r>
            <w:r>
              <w:rPr>
                <w:rStyle w:val="IndexLink"/>
                <w:rtl w:val="true"/>
              </w:rPr>
              <w:t xml:space="preserve">مرحوم علاّمه حاج سيّد محمّد باقر خوانسارى در كتاب </w:t>
            </w:r>
            <w:r>
              <w:rPr>
                <w:rStyle w:val="IndexLink"/>
                <w:rtl w:val="true"/>
              </w:rPr>
              <w:t xml:space="preserve">« </w:t>
            </w:r>
            <w:r>
              <w:rPr>
                <w:rStyle w:val="IndexLink"/>
                <w:rtl w:val="true"/>
              </w:rPr>
              <w:t xml:space="preserve">روضات الجنّات </w:t>
            </w:r>
            <w:r>
              <w:rPr>
                <w:rStyle w:val="IndexLink"/>
                <w:rtl w:val="true"/>
              </w:rPr>
              <w:t xml:space="preserve">» </w:t>
            </w:r>
            <w:r>
              <w:rPr>
                <w:rStyle w:val="IndexLink"/>
                <w:rtl w:val="true"/>
              </w:rPr>
              <w:t xml:space="preserve">مى‌فرمايد </w:t>
            </w:r>
            <w:r>
              <w:rPr>
                <w:rStyle w:val="IndexLink"/>
                <w:rtl w:val="true"/>
              </w:rPr>
              <w:t>:</w:t>
              <w:tab/>
            </w:r>
            <w:r>
              <w:rPr>
                <w:rStyle w:val="IndexLink"/>
              </w:rPr>
              <w:t>33</w:t>
            </w:r>
          </w:hyperlink>
        </w:p>
        <w:p>
          <w:pPr>
            <w:pStyle w:val="Contents4"/>
            <w:tabs>
              <w:tab w:val="clear" w:pos="8176"/>
              <w:tab w:val="right" w:pos="9026" w:leader="dot"/>
            </w:tabs>
            <w:rPr/>
          </w:pPr>
          <w:hyperlink w:anchor="__RefHeading___Toc3416626_1051229030">
            <w:r>
              <w:rPr>
                <w:webHidden/>
                <w:rStyle w:val="IndexLink"/>
              </w:rPr>
              <w:t>2</w:t>
            </w:r>
            <w:r>
              <w:rPr>
                <w:rStyle w:val="IndexLink"/>
                <w:rtl w:val="true"/>
              </w:rPr>
              <w:t xml:space="preserve"> - </w:t>
            </w:r>
            <w:r>
              <w:rPr>
                <w:rStyle w:val="IndexLink"/>
                <w:rtl w:val="true"/>
              </w:rPr>
              <w:t xml:space="preserve">مرحوم ميرزا محمّد على مدرّس مى‌نويسد </w:t>
            </w:r>
            <w:r>
              <w:rPr>
                <w:rStyle w:val="IndexLink"/>
                <w:rtl w:val="true"/>
              </w:rPr>
              <w:t>:</w:t>
              <w:tab/>
            </w:r>
            <w:r>
              <w:rPr>
                <w:rStyle w:val="IndexLink"/>
              </w:rPr>
              <w:t>33</w:t>
            </w:r>
          </w:hyperlink>
        </w:p>
        <w:p>
          <w:pPr>
            <w:pStyle w:val="Contents3"/>
            <w:tabs>
              <w:tab w:val="clear" w:pos="8459"/>
              <w:tab w:val="right" w:pos="9026" w:leader="dot"/>
            </w:tabs>
            <w:rPr/>
          </w:pPr>
          <w:hyperlink w:anchor="__RefHeading___Toc3416628_1051229030">
            <w:r>
              <w:rPr>
                <w:webHidden/>
                <w:rStyle w:val="IndexLink"/>
                <w:rtl w:val="true"/>
              </w:rPr>
              <w:t>عبادت</w:t>
            </w:r>
            <w:r>
              <w:rPr>
                <w:rStyle w:val="IndexLink"/>
                <w:rtl w:val="true"/>
              </w:rPr>
              <w:tab/>
            </w:r>
            <w:r>
              <w:rPr>
                <w:rStyle w:val="IndexLink"/>
              </w:rPr>
              <w:t>33</w:t>
            </w:r>
          </w:hyperlink>
        </w:p>
        <w:p>
          <w:pPr>
            <w:pStyle w:val="Contents3"/>
            <w:tabs>
              <w:tab w:val="clear" w:pos="8459"/>
              <w:tab w:val="right" w:pos="9026" w:leader="dot"/>
            </w:tabs>
            <w:rPr/>
          </w:pPr>
          <w:hyperlink w:anchor="__RefHeading___Toc3416630_1051229030">
            <w:r>
              <w:rPr>
                <w:webHidden/>
                <w:rStyle w:val="IndexLink"/>
                <w:rtl w:val="true"/>
              </w:rPr>
              <w:t>شاگردان</w:t>
            </w:r>
            <w:r>
              <w:rPr>
                <w:rStyle w:val="IndexLink"/>
                <w:rtl w:val="true"/>
              </w:rPr>
              <w:tab/>
            </w:r>
            <w:r>
              <w:rPr>
                <w:rStyle w:val="IndexLink"/>
              </w:rPr>
              <w:t>34</w:t>
            </w:r>
          </w:hyperlink>
        </w:p>
        <w:p>
          <w:pPr>
            <w:pStyle w:val="Contents3"/>
            <w:tabs>
              <w:tab w:val="clear" w:pos="8459"/>
              <w:tab w:val="right" w:pos="9026" w:leader="dot"/>
            </w:tabs>
            <w:rPr/>
          </w:pPr>
          <w:hyperlink w:anchor="__RefHeading___Toc3416632_1051229030">
            <w:r>
              <w:rPr>
                <w:webHidden/>
                <w:rStyle w:val="IndexLink"/>
                <w:rtl w:val="true"/>
              </w:rPr>
              <w:t>داورى</w:t>
            </w:r>
            <w:r>
              <w:rPr>
                <w:rStyle w:val="IndexLink"/>
                <w:rtl w:val="true"/>
              </w:rPr>
              <w:tab/>
            </w:r>
            <w:r>
              <w:rPr>
                <w:rStyle w:val="IndexLink"/>
              </w:rPr>
              <w:t>35</w:t>
            </w:r>
          </w:hyperlink>
        </w:p>
        <w:p>
          <w:pPr>
            <w:pStyle w:val="Contents3"/>
            <w:tabs>
              <w:tab w:val="clear" w:pos="8459"/>
              <w:tab w:val="right" w:pos="9026" w:leader="dot"/>
            </w:tabs>
            <w:rPr/>
          </w:pPr>
          <w:hyperlink w:anchor="__RefHeading___Toc3416634_1051229030">
            <w:r>
              <w:rPr>
                <w:webHidden/>
                <w:rStyle w:val="IndexLink"/>
                <w:rtl w:val="true"/>
              </w:rPr>
              <w:t>اجراى حدود الهى</w:t>
            </w:r>
            <w:r>
              <w:rPr>
                <w:rStyle w:val="IndexLink"/>
                <w:rtl w:val="true"/>
              </w:rPr>
              <w:tab/>
            </w:r>
            <w:r>
              <w:rPr>
                <w:rStyle w:val="IndexLink"/>
              </w:rPr>
              <w:t>36</w:t>
            </w:r>
          </w:hyperlink>
        </w:p>
        <w:p>
          <w:pPr>
            <w:pStyle w:val="Contents3"/>
            <w:tabs>
              <w:tab w:val="clear" w:pos="8459"/>
              <w:tab w:val="right" w:pos="9026" w:leader="dot"/>
            </w:tabs>
            <w:rPr/>
          </w:pPr>
          <w:hyperlink w:anchor="__RefHeading___Toc3416636_1051229030">
            <w:r>
              <w:rPr>
                <w:webHidden/>
                <w:rStyle w:val="IndexLink"/>
                <w:rtl w:val="true"/>
              </w:rPr>
              <w:t>سفر به مكّه</w:t>
            </w:r>
            <w:r>
              <w:rPr>
                <w:rStyle w:val="IndexLink"/>
                <w:rtl w:val="true"/>
              </w:rPr>
              <w:tab/>
            </w:r>
            <w:r>
              <w:rPr>
                <w:rStyle w:val="IndexLink"/>
              </w:rPr>
              <w:t>37</w:t>
            </w:r>
          </w:hyperlink>
        </w:p>
        <w:p>
          <w:pPr>
            <w:pStyle w:val="Contents3"/>
            <w:tabs>
              <w:tab w:val="clear" w:pos="8459"/>
              <w:tab w:val="right" w:pos="9026" w:leader="dot"/>
            </w:tabs>
            <w:rPr/>
          </w:pPr>
          <w:hyperlink w:anchor="__RefHeading___Toc3416638_1051229030">
            <w:r>
              <w:rPr>
                <w:webHidden/>
                <w:rStyle w:val="IndexLink"/>
                <w:rtl w:val="true"/>
              </w:rPr>
              <w:t>آثار علمى</w:t>
            </w:r>
            <w:r>
              <w:rPr>
                <w:rStyle w:val="IndexLink"/>
                <w:rtl w:val="true"/>
              </w:rPr>
              <w:tab/>
            </w:r>
            <w:r>
              <w:rPr>
                <w:rStyle w:val="IndexLink"/>
              </w:rPr>
              <w:t>38</w:t>
            </w:r>
          </w:hyperlink>
        </w:p>
        <w:p>
          <w:pPr>
            <w:pStyle w:val="Contents4"/>
            <w:tabs>
              <w:tab w:val="clear" w:pos="8176"/>
              <w:tab w:val="right" w:pos="9026" w:leader="dot"/>
            </w:tabs>
            <w:rPr/>
          </w:pPr>
          <w:hyperlink w:anchor="__RefHeading___Toc3416640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416642_1051229030">
            <w:r>
              <w:rPr>
                <w:webHidden/>
                <w:rStyle w:val="IndexLink"/>
                <w:rtl w:val="true"/>
              </w:rPr>
              <w:t>فقه</w:t>
            </w:r>
            <w:r>
              <w:rPr>
                <w:rStyle w:val="IndexLink"/>
                <w:rtl w:val="true"/>
              </w:rPr>
              <w:tab/>
            </w:r>
            <w:r>
              <w:rPr>
                <w:rStyle w:val="IndexLink"/>
              </w:rPr>
              <w:t>39</w:t>
            </w:r>
          </w:hyperlink>
        </w:p>
        <w:p>
          <w:pPr>
            <w:pStyle w:val="Contents4"/>
            <w:tabs>
              <w:tab w:val="clear" w:pos="8176"/>
              <w:tab w:val="right" w:pos="9026" w:leader="dot"/>
            </w:tabs>
            <w:rPr/>
          </w:pPr>
          <w:hyperlink w:anchor="__RefHeading___Toc3416644_1051229030">
            <w:r>
              <w:rPr>
                <w:webHidden/>
                <w:rStyle w:val="IndexLink"/>
                <w:rtl w:val="true"/>
              </w:rPr>
              <w:t>أصول فقه</w:t>
            </w:r>
            <w:r>
              <w:rPr>
                <w:rStyle w:val="IndexLink"/>
                <w:rtl w:val="true"/>
              </w:rPr>
              <w:tab/>
            </w:r>
            <w:r>
              <w:rPr>
                <w:rStyle w:val="IndexLink"/>
              </w:rPr>
              <w:t>41</w:t>
            </w:r>
          </w:hyperlink>
        </w:p>
        <w:p>
          <w:pPr>
            <w:pStyle w:val="Contents4"/>
            <w:tabs>
              <w:tab w:val="clear" w:pos="8176"/>
              <w:tab w:val="right" w:pos="9026" w:leader="dot"/>
            </w:tabs>
            <w:rPr/>
          </w:pPr>
          <w:hyperlink w:anchor="__RefHeading___Toc3416646_1051229030">
            <w:r>
              <w:rPr>
                <w:webHidden/>
                <w:rStyle w:val="IndexLink"/>
                <w:rtl w:val="true"/>
              </w:rPr>
              <w:t>حديث</w:t>
            </w:r>
            <w:r>
              <w:rPr>
                <w:rStyle w:val="IndexLink"/>
                <w:rtl w:val="true"/>
              </w:rPr>
              <w:tab/>
            </w:r>
            <w:r>
              <w:rPr>
                <w:rStyle w:val="IndexLink"/>
              </w:rPr>
              <w:t>41</w:t>
            </w:r>
          </w:hyperlink>
        </w:p>
        <w:p>
          <w:pPr>
            <w:pStyle w:val="Contents4"/>
            <w:tabs>
              <w:tab w:val="clear" w:pos="8176"/>
              <w:tab w:val="right" w:pos="9026" w:leader="dot"/>
            </w:tabs>
            <w:rPr/>
          </w:pPr>
          <w:hyperlink w:anchor="__RefHeading___Toc3416648_1051229030">
            <w:r>
              <w:rPr>
                <w:webHidden/>
                <w:rStyle w:val="IndexLink"/>
                <w:rtl w:val="true"/>
              </w:rPr>
              <w:t>رجال</w:t>
            </w:r>
            <w:r>
              <w:rPr>
                <w:rStyle w:val="IndexLink"/>
                <w:rtl w:val="true"/>
              </w:rPr>
              <w:tab/>
            </w:r>
            <w:r>
              <w:rPr>
                <w:rStyle w:val="IndexLink"/>
              </w:rPr>
              <w:t>41</w:t>
            </w:r>
          </w:hyperlink>
        </w:p>
        <w:p>
          <w:pPr>
            <w:pStyle w:val="Contents4"/>
            <w:tabs>
              <w:tab w:val="clear" w:pos="8176"/>
              <w:tab w:val="right" w:pos="9026" w:leader="dot"/>
            </w:tabs>
            <w:rPr/>
          </w:pPr>
          <w:hyperlink w:anchor="__RefHeading___Toc3416650_1051229030">
            <w:r>
              <w:rPr>
                <w:webHidden/>
                <w:rStyle w:val="IndexLink"/>
                <w:rtl w:val="true"/>
              </w:rPr>
              <w:t>كلام</w:t>
            </w:r>
            <w:r>
              <w:rPr>
                <w:rStyle w:val="IndexLink"/>
                <w:rtl w:val="true"/>
              </w:rPr>
              <w:tab/>
            </w:r>
            <w:r>
              <w:rPr>
                <w:rStyle w:val="IndexLink"/>
              </w:rPr>
              <w:t>43</w:t>
            </w:r>
          </w:hyperlink>
        </w:p>
        <w:p>
          <w:pPr>
            <w:pStyle w:val="Contents4"/>
            <w:tabs>
              <w:tab w:val="clear" w:pos="8176"/>
              <w:tab w:val="right" w:pos="9026" w:leader="dot"/>
            </w:tabs>
            <w:rPr/>
          </w:pPr>
          <w:hyperlink w:anchor="__RefHeading___Toc3416652_1051229030">
            <w:r>
              <w:rPr>
                <w:webHidden/>
                <w:rStyle w:val="IndexLink"/>
                <w:rtl w:val="true"/>
              </w:rPr>
              <w:t>نحو</w:t>
            </w:r>
            <w:r>
              <w:rPr>
                <w:rStyle w:val="IndexLink"/>
                <w:rtl w:val="true"/>
              </w:rPr>
              <w:tab/>
            </w:r>
            <w:r>
              <w:rPr>
                <w:rStyle w:val="IndexLink"/>
              </w:rPr>
              <w:t>43</w:t>
            </w:r>
          </w:hyperlink>
        </w:p>
        <w:p>
          <w:pPr>
            <w:pStyle w:val="Contents3"/>
            <w:tabs>
              <w:tab w:val="clear" w:pos="8459"/>
              <w:tab w:val="right" w:pos="9026" w:leader="dot"/>
            </w:tabs>
            <w:rPr/>
          </w:pPr>
          <w:hyperlink w:anchor="__RefHeading___Toc3416654_1051229030">
            <w:r>
              <w:rPr>
                <w:webHidden/>
                <w:rStyle w:val="IndexLink"/>
                <w:rtl w:val="true"/>
              </w:rPr>
              <w:t>ساخت مسجدى بزرگ</w:t>
            </w:r>
            <w:r>
              <w:rPr>
                <w:rStyle w:val="IndexLink"/>
                <w:rtl w:val="true"/>
              </w:rPr>
              <w:tab/>
            </w:r>
            <w:r>
              <w:rPr>
                <w:rStyle w:val="IndexLink"/>
              </w:rPr>
              <w:t>43</w:t>
            </w:r>
          </w:hyperlink>
        </w:p>
        <w:p>
          <w:pPr>
            <w:pStyle w:val="Contents3"/>
            <w:tabs>
              <w:tab w:val="clear" w:pos="8459"/>
              <w:tab w:val="right" w:pos="9026" w:leader="dot"/>
            </w:tabs>
            <w:rPr/>
          </w:pPr>
          <w:hyperlink w:anchor="__RefHeading___Toc3416656_1051229030">
            <w:r>
              <w:rPr>
                <w:webHidden/>
                <w:rStyle w:val="IndexLink"/>
                <w:rtl w:val="true"/>
              </w:rPr>
              <w:t>فرزندان</w:t>
            </w:r>
            <w:r>
              <w:rPr>
                <w:rStyle w:val="IndexLink"/>
                <w:rtl w:val="true"/>
              </w:rPr>
              <w:tab/>
            </w:r>
            <w:r>
              <w:rPr>
                <w:rStyle w:val="IndexLink"/>
              </w:rPr>
              <w:t>44</w:t>
            </w:r>
          </w:hyperlink>
        </w:p>
        <w:p>
          <w:pPr>
            <w:pStyle w:val="Contents4"/>
            <w:tabs>
              <w:tab w:val="clear" w:pos="8176"/>
              <w:tab w:val="right" w:pos="9026" w:leader="dot"/>
            </w:tabs>
            <w:rPr/>
          </w:pPr>
          <w:hyperlink w:anchor="__RefHeading___Toc3416658_105122903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416660_1051229030">
            <w:r>
              <w:rPr>
                <w:webHidden/>
                <w:rStyle w:val="IndexLink"/>
              </w:rPr>
              <w:t>1</w:t>
            </w:r>
            <w:r>
              <w:rPr>
                <w:rStyle w:val="IndexLink"/>
                <w:rtl w:val="true"/>
              </w:rPr>
              <w:t xml:space="preserve"> - </w:t>
            </w:r>
            <w:r>
              <w:rPr>
                <w:rStyle w:val="IndexLink"/>
                <w:rtl w:val="true"/>
              </w:rPr>
              <w:t>مرحوم علاّمه حاج سيّد أسد اللّه</w:t>
            </w:r>
            <w:r>
              <w:rPr>
                <w:rStyle w:val="IndexLink"/>
                <w:rtl w:val="true"/>
              </w:rPr>
              <w:tab/>
            </w:r>
            <w:r>
              <w:rPr>
                <w:rStyle w:val="IndexLink"/>
              </w:rPr>
              <w:t>44</w:t>
            </w:r>
          </w:hyperlink>
        </w:p>
        <w:p>
          <w:pPr>
            <w:pStyle w:val="Contents4"/>
            <w:tabs>
              <w:tab w:val="clear" w:pos="8176"/>
              <w:tab w:val="right" w:pos="9026" w:leader="dot"/>
            </w:tabs>
            <w:rPr/>
          </w:pPr>
          <w:hyperlink w:anchor="__RefHeading___Toc3416662_1051229030">
            <w:r>
              <w:rPr>
                <w:webHidden/>
                <w:rStyle w:val="IndexLink"/>
              </w:rPr>
              <w:t>2</w:t>
            </w:r>
            <w:r>
              <w:rPr>
                <w:rStyle w:val="IndexLink"/>
                <w:rtl w:val="true"/>
              </w:rPr>
              <w:t xml:space="preserve"> - </w:t>
            </w:r>
            <w:r>
              <w:rPr>
                <w:rStyle w:val="IndexLink"/>
                <w:rtl w:val="true"/>
              </w:rPr>
              <w:t>مير محمّد مهدى</w:t>
            </w:r>
            <w:r>
              <w:rPr>
                <w:rStyle w:val="IndexLink"/>
                <w:rtl w:val="true"/>
              </w:rPr>
              <w:tab/>
            </w:r>
            <w:r>
              <w:rPr>
                <w:rStyle w:val="IndexLink"/>
              </w:rPr>
              <w:t>47</w:t>
            </w:r>
          </w:hyperlink>
        </w:p>
        <w:p>
          <w:pPr>
            <w:pStyle w:val="Contents4"/>
            <w:tabs>
              <w:tab w:val="clear" w:pos="8176"/>
              <w:tab w:val="right" w:pos="9026" w:leader="dot"/>
            </w:tabs>
            <w:rPr/>
          </w:pPr>
          <w:hyperlink w:anchor="__RefHeading___Toc3416664_1051229030">
            <w:r>
              <w:rPr>
                <w:webHidden/>
                <w:rStyle w:val="IndexLink"/>
              </w:rPr>
              <w:t>3</w:t>
            </w:r>
            <w:r>
              <w:rPr>
                <w:rStyle w:val="IndexLink"/>
                <w:rtl w:val="true"/>
              </w:rPr>
              <w:t xml:space="preserve"> - </w:t>
            </w:r>
            <w:r>
              <w:rPr>
                <w:rStyle w:val="IndexLink"/>
                <w:rtl w:val="true"/>
              </w:rPr>
              <w:t>آقا سيّد مؤمن</w:t>
            </w:r>
            <w:r>
              <w:rPr>
                <w:rStyle w:val="IndexLink"/>
                <w:rtl w:val="true"/>
              </w:rPr>
              <w:tab/>
            </w:r>
            <w:r>
              <w:rPr>
                <w:rStyle w:val="IndexLink"/>
              </w:rPr>
              <w:t>48</w:t>
            </w:r>
          </w:hyperlink>
        </w:p>
        <w:p>
          <w:pPr>
            <w:pStyle w:val="Contents4"/>
            <w:tabs>
              <w:tab w:val="clear" w:pos="8176"/>
              <w:tab w:val="right" w:pos="9026" w:leader="dot"/>
            </w:tabs>
            <w:rPr/>
          </w:pPr>
          <w:hyperlink w:anchor="__RefHeading___Toc3416666_1051229030">
            <w:r>
              <w:rPr>
                <w:webHidden/>
                <w:rStyle w:val="IndexLink"/>
              </w:rPr>
              <w:t>4</w:t>
            </w:r>
            <w:r>
              <w:rPr>
                <w:rStyle w:val="IndexLink"/>
                <w:rtl w:val="true"/>
              </w:rPr>
              <w:t xml:space="preserve"> - </w:t>
            </w:r>
            <w:r>
              <w:rPr>
                <w:rStyle w:val="IndexLink"/>
                <w:rtl w:val="true"/>
              </w:rPr>
              <w:t>حاج سيّد محمّد على</w:t>
            </w:r>
            <w:r>
              <w:rPr>
                <w:rStyle w:val="IndexLink"/>
                <w:rtl w:val="true"/>
              </w:rPr>
              <w:tab/>
            </w:r>
            <w:r>
              <w:rPr>
                <w:rStyle w:val="IndexLink"/>
              </w:rPr>
              <w:t>48</w:t>
            </w:r>
          </w:hyperlink>
        </w:p>
        <w:p>
          <w:pPr>
            <w:pStyle w:val="Contents4"/>
            <w:tabs>
              <w:tab w:val="clear" w:pos="8176"/>
              <w:tab w:val="right" w:pos="9026" w:leader="dot"/>
            </w:tabs>
            <w:rPr/>
          </w:pPr>
          <w:hyperlink w:anchor="__RefHeading___Toc3416668_1051229030">
            <w:r>
              <w:rPr>
                <w:webHidden/>
                <w:rStyle w:val="IndexLink"/>
              </w:rPr>
              <w:t>5</w:t>
            </w:r>
            <w:r>
              <w:rPr>
                <w:rStyle w:val="IndexLink"/>
                <w:rtl w:val="true"/>
              </w:rPr>
              <w:t xml:space="preserve"> - </w:t>
            </w:r>
            <w:r>
              <w:rPr>
                <w:rStyle w:val="IndexLink"/>
                <w:rtl w:val="true"/>
              </w:rPr>
              <w:t>حاج سيّد محمّد جعفر</w:t>
            </w:r>
            <w:r>
              <w:rPr>
                <w:rStyle w:val="IndexLink"/>
                <w:rtl w:val="true"/>
              </w:rPr>
              <w:tab/>
            </w:r>
            <w:r>
              <w:rPr>
                <w:rStyle w:val="IndexLink"/>
              </w:rPr>
              <w:t>50</w:t>
            </w:r>
          </w:hyperlink>
        </w:p>
        <w:p>
          <w:pPr>
            <w:pStyle w:val="Contents4"/>
            <w:tabs>
              <w:tab w:val="clear" w:pos="8176"/>
              <w:tab w:val="right" w:pos="9026" w:leader="dot"/>
            </w:tabs>
            <w:rPr/>
          </w:pPr>
          <w:hyperlink w:anchor="__RefHeading___Toc3416670_1051229030">
            <w:r>
              <w:rPr>
                <w:webHidden/>
                <w:rStyle w:val="IndexLink"/>
              </w:rPr>
              <w:t>6</w:t>
            </w:r>
            <w:r>
              <w:rPr>
                <w:rStyle w:val="IndexLink"/>
                <w:rtl w:val="true"/>
              </w:rPr>
              <w:t xml:space="preserve"> - </w:t>
            </w:r>
            <w:r>
              <w:rPr>
                <w:rStyle w:val="IndexLink"/>
                <w:rtl w:val="true"/>
              </w:rPr>
              <w:t>آقا سيّد زين العابدين</w:t>
            </w:r>
            <w:r>
              <w:rPr>
                <w:rStyle w:val="IndexLink"/>
                <w:rtl w:val="true"/>
              </w:rPr>
              <w:tab/>
            </w:r>
            <w:r>
              <w:rPr>
                <w:rStyle w:val="IndexLink"/>
              </w:rPr>
              <w:t>51</w:t>
            </w:r>
          </w:hyperlink>
        </w:p>
        <w:p>
          <w:pPr>
            <w:pStyle w:val="Contents3"/>
            <w:tabs>
              <w:tab w:val="clear" w:pos="8459"/>
              <w:tab w:val="right" w:pos="9026" w:leader="dot"/>
            </w:tabs>
            <w:rPr/>
          </w:pPr>
          <w:hyperlink w:anchor="__RefHeading___Toc3416672_1051229030">
            <w:r>
              <w:rPr>
                <w:webHidden/>
                <w:rStyle w:val="IndexLink"/>
                <w:rtl w:val="true"/>
              </w:rPr>
              <w:t>درگذشت</w:t>
            </w:r>
            <w:r>
              <w:rPr>
                <w:rStyle w:val="IndexLink"/>
                <w:rtl w:val="true"/>
              </w:rPr>
              <w:tab/>
            </w:r>
            <w:r>
              <w:rPr>
                <w:rStyle w:val="IndexLink"/>
              </w:rPr>
              <w:t>51</w:t>
            </w:r>
          </w:hyperlink>
        </w:p>
        <w:p>
          <w:pPr>
            <w:pStyle w:val="Contents2"/>
            <w:tabs>
              <w:tab w:val="clear" w:pos="8743"/>
              <w:tab w:val="right" w:pos="9026" w:leader="dot"/>
            </w:tabs>
            <w:rPr/>
          </w:pPr>
          <w:hyperlink w:anchor="__RefHeading___Toc3416674_1051229030">
            <w:r>
              <w:rPr>
                <w:webHidden/>
                <w:rStyle w:val="IndexLink"/>
                <w:rtl w:val="true"/>
              </w:rPr>
              <w:t xml:space="preserve">سؤال </w:t>
            </w:r>
            <w:r>
              <w:rPr>
                <w:rStyle w:val="IndexLink"/>
                <w:rtl w:val="true"/>
              </w:rPr>
              <w:t>:</w:t>
              <w:tab/>
            </w:r>
            <w:r>
              <w:rPr>
                <w:rStyle w:val="IndexLink"/>
              </w:rPr>
              <w:t>55</w:t>
            </w:r>
          </w:hyperlink>
        </w:p>
        <w:p>
          <w:pPr>
            <w:pStyle w:val="Contents2"/>
            <w:tabs>
              <w:tab w:val="clear" w:pos="8743"/>
              <w:tab w:val="right" w:pos="9026" w:leader="dot"/>
            </w:tabs>
            <w:rPr/>
          </w:pPr>
          <w:hyperlink w:anchor="__RefHeading___Toc3416676_1051229030">
            <w:r>
              <w:rPr>
                <w:webHidden/>
                <w:rStyle w:val="IndexLink"/>
                <w:rtl w:val="true"/>
              </w:rPr>
              <w:t xml:space="preserve">جواب </w:t>
            </w:r>
            <w:r>
              <w:rPr>
                <w:rStyle w:val="IndexLink"/>
                <w:rtl w:val="true"/>
              </w:rPr>
              <w:t>:</w:t>
              <w:tab/>
            </w:r>
            <w:r>
              <w:rPr>
                <w:rStyle w:val="IndexLink"/>
              </w:rPr>
              <w:t>55</w:t>
            </w:r>
          </w:hyperlink>
        </w:p>
        <w:p>
          <w:pPr>
            <w:pStyle w:val="Contents3"/>
            <w:tabs>
              <w:tab w:val="clear" w:pos="8459"/>
              <w:tab w:val="right" w:pos="9026" w:leader="dot"/>
            </w:tabs>
            <w:rPr/>
          </w:pPr>
          <w:hyperlink w:anchor="__RefHeading___Toc3416678_105122903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416680_1051229030">
            <w:r>
              <w:rPr>
                <w:webHidden/>
                <w:rStyle w:val="IndexLink"/>
                <w:rtl w:val="true"/>
              </w:rPr>
              <w:t>المقدّمة الاُولى</w:t>
            </w:r>
            <w:r>
              <w:rPr>
                <w:rStyle w:val="IndexLink"/>
                <w:rtl w:val="true"/>
              </w:rPr>
              <w:tab/>
            </w:r>
            <w:r>
              <w:rPr>
                <w:rStyle w:val="IndexLink"/>
              </w:rPr>
              <w:t>55</w:t>
            </w:r>
          </w:hyperlink>
        </w:p>
        <w:p>
          <w:pPr>
            <w:pStyle w:val="Contents3"/>
            <w:tabs>
              <w:tab w:val="clear" w:pos="8459"/>
              <w:tab w:val="right" w:pos="9026" w:leader="dot"/>
            </w:tabs>
            <w:rPr/>
          </w:pPr>
          <w:hyperlink w:anchor="__RefHeading___Toc3416682_1051229030">
            <w:r>
              <w:rPr>
                <w:webHidden/>
                <w:rStyle w:val="IndexLink"/>
                <w:rtl w:val="true"/>
              </w:rPr>
              <w:t>المقدّمة الثانية</w:t>
            </w:r>
            <w:r>
              <w:rPr>
                <w:rStyle w:val="IndexLink"/>
                <w:rtl w:val="true"/>
              </w:rPr>
              <w:tab/>
            </w:r>
            <w:r>
              <w:rPr>
                <w:rStyle w:val="IndexLink"/>
              </w:rPr>
              <w:t>59</w:t>
            </w:r>
          </w:hyperlink>
        </w:p>
        <w:p>
          <w:pPr>
            <w:pStyle w:val="Contents3"/>
            <w:tabs>
              <w:tab w:val="clear" w:pos="8459"/>
              <w:tab w:val="right" w:pos="9026" w:leader="dot"/>
            </w:tabs>
            <w:rPr/>
          </w:pPr>
          <w:hyperlink w:anchor="__RefHeading___Toc3416684_1051229030">
            <w:r>
              <w:rPr>
                <w:webHidden/>
                <w:rStyle w:val="IndexLink"/>
                <w:rtl w:val="true"/>
              </w:rPr>
              <w:t>المقدّمة الثالثة</w:t>
            </w:r>
            <w:r>
              <w:rPr>
                <w:rStyle w:val="IndexLink"/>
                <w:rtl w:val="true"/>
              </w:rPr>
              <w:tab/>
            </w:r>
            <w:r>
              <w:rPr>
                <w:rStyle w:val="IndexLink"/>
              </w:rPr>
              <w:t>63</w:t>
            </w:r>
          </w:hyperlink>
        </w:p>
        <w:p>
          <w:pPr>
            <w:pStyle w:val="Contents2"/>
            <w:tabs>
              <w:tab w:val="clear" w:pos="8743"/>
              <w:tab w:val="right" w:pos="9026" w:leader="dot"/>
            </w:tabs>
            <w:rPr/>
          </w:pPr>
          <w:hyperlink w:anchor="__RefHeading___Toc3416686_1051229030">
            <w:r>
              <w:rPr>
                <w:webHidden/>
                <w:rStyle w:val="IndexLink"/>
                <w:rtl w:val="true"/>
              </w:rPr>
              <w:t>التنبيه على أمور</w:t>
            </w:r>
            <w:r>
              <w:rPr>
                <w:rStyle w:val="IndexLink"/>
                <w:rtl w:val="true"/>
              </w:rPr>
              <w:tab/>
            </w:r>
            <w:r>
              <w:rPr>
                <w:rStyle w:val="IndexLink"/>
              </w:rPr>
              <w:t>73</w:t>
            </w:r>
          </w:hyperlink>
        </w:p>
        <w:p>
          <w:pPr>
            <w:pStyle w:val="Contents3"/>
            <w:tabs>
              <w:tab w:val="clear" w:pos="8459"/>
              <w:tab w:val="right" w:pos="9026" w:leader="dot"/>
            </w:tabs>
            <w:rPr/>
          </w:pPr>
          <w:hyperlink w:anchor="__RefHeading___Toc3416688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416690_1051229030">
            <w:r>
              <w:rPr>
                <w:webHidden/>
                <w:rStyle w:val="IndexLink"/>
                <w:rtl w:val="true"/>
              </w:rPr>
              <w:t>الأمر الأوّل</w:t>
            </w:r>
            <w:r>
              <w:rPr>
                <w:rStyle w:val="IndexLink"/>
                <w:rtl w:val="true"/>
              </w:rPr>
              <w:tab/>
            </w:r>
            <w:r>
              <w:rPr>
                <w:rStyle w:val="IndexLink"/>
              </w:rPr>
              <w:t>73</w:t>
            </w:r>
          </w:hyperlink>
        </w:p>
        <w:p>
          <w:pPr>
            <w:pStyle w:val="Contents3"/>
            <w:tabs>
              <w:tab w:val="clear" w:pos="8459"/>
              <w:tab w:val="right" w:pos="9026" w:leader="dot"/>
            </w:tabs>
            <w:rPr/>
          </w:pPr>
          <w:hyperlink w:anchor="__RefHeading___Toc3416692_1051229030">
            <w:r>
              <w:rPr>
                <w:webHidden/>
                <w:rStyle w:val="IndexLink"/>
                <w:rtl w:val="true"/>
              </w:rPr>
              <w:t>الأمر الثاني</w:t>
            </w:r>
            <w:r>
              <w:rPr>
                <w:rStyle w:val="IndexLink"/>
                <w:rtl w:val="true"/>
              </w:rPr>
              <w:tab/>
            </w:r>
            <w:r>
              <w:rPr>
                <w:rStyle w:val="IndexLink"/>
              </w:rPr>
              <w:t>73</w:t>
            </w:r>
          </w:hyperlink>
        </w:p>
        <w:p>
          <w:pPr>
            <w:pStyle w:val="Contents3"/>
            <w:tabs>
              <w:tab w:val="clear" w:pos="8459"/>
              <w:tab w:val="right" w:pos="9026" w:leader="dot"/>
            </w:tabs>
            <w:rPr/>
          </w:pPr>
          <w:hyperlink w:anchor="__RefHeading___Toc3416694_1051229030">
            <w:r>
              <w:rPr>
                <w:webHidden/>
                <w:rStyle w:val="IndexLink"/>
                <w:rtl w:val="true"/>
              </w:rPr>
              <w:t>الأمر الثالث</w:t>
            </w:r>
            <w:r>
              <w:rPr>
                <w:rStyle w:val="IndexLink"/>
                <w:rtl w:val="true"/>
              </w:rPr>
              <w:tab/>
            </w:r>
            <w:r>
              <w:rPr>
                <w:rStyle w:val="IndexLink"/>
              </w:rPr>
              <w:t>74</w:t>
            </w:r>
          </w:hyperlink>
        </w:p>
        <w:p>
          <w:pPr>
            <w:pStyle w:val="Contents4"/>
            <w:tabs>
              <w:tab w:val="clear" w:pos="8176"/>
              <w:tab w:val="right" w:pos="9026" w:leader="dot"/>
            </w:tabs>
            <w:rPr/>
          </w:pPr>
          <w:hyperlink w:anchor="__RefHeading___Toc3416696_105122903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416698_1051229030">
            <w:r>
              <w:rPr>
                <w:webHidden/>
                <w:rStyle w:val="IndexLink"/>
                <w:rtl w:val="true"/>
              </w:rPr>
              <w:t>الجواب عن الأوّل</w:t>
            </w:r>
            <w:r>
              <w:rPr>
                <w:rStyle w:val="IndexLink"/>
                <w:rtl w:val="true"/>
              </w:rPr>
              <w:tab/>
            </w:r>
            <w:r>
              <w:rPr>
                <w:rStyle w:val="IndexLink"/>
              </w:rPr>
              <w:t>74</w:t>
            </w:r>
          </w:hyperlink>
        </w:p>
        <w:p>
          <w:pPr>
            <w:pStyle w:val="Contents4"/>
            <w:tabs>
              <w:tab w:val="clear" w:pos="8176"/>
              <w:tab w:val="right" w:pos="9026" w:leader="dot"/>
            </w:tabs>
            <w:rPr/>
          </w:pPr>
          <w:hyperlink w:anchor="__RefHeading___Toc3416700_1051229030">
            <w:r>
              <w:rPr>
                <w:webHidden/>
                <w:rStyle w:val="IndexLink"/>
                <w:rtl w:val="true"/>
              </w:rPr>
              <w:t>الجواب عن الثاني</w:t>
            </w:r>
            <w:r>
              <w:rPr>
                <w:rStyle w:val="IndexLink"/>
                <w:rtl w:val="true"/>
              </w:rPr>
              <w:tab/>
            </w:r>
            <w:r>
              <w:rPr>
                <w:rStyle w:val="IndexLink"/>
              </w:rPr>
              <w:t>75</w:t>
            </w:r>
          </w:hyperlink>
        </w:p>
        <w:p>
          <w:pPr>
            <w:pStyle w:val="Contents5"/>
            <w:tabs>
              <w:tab w:val="clear" w:pos="7892"/>
              <w:tab w:val="right" w:pos="9026" w:leader="dot"/>
            </w:tabs>
            <w:rPr/>
          </w:pPr>
          <w:hyperlink w:anchor="__RefHeading___Toc3416702_105122903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3416704_1051229030">
            <w:r>
              <w:rPr>
                <w:webHidden/>
                <w:rStyle w:val="IndexLink"/>
                <w:rtl w:val="true"/>
              </w:rPr>
              <w:t xml:space="preserve">[ </w:t>
            </w:r>
            <w:r>
              <w:rPr>
                <w:rStyle w:val="IndexLink"/>
                <w:rtl w:val="true"/>
              </w:rPr>
              <w:t xml:space="preserve">هل النفقة حكمها حكم التزويج بالاُخت ؟ </w:t>
            </w:r>
            <w:r>
              <w:rPr>
                <w:rStyle w:val="IndexLink"/>
                <w:rtl w:val="true"/>
              </w:rPr>
              <w:t>]</w:t>
              <w:tab/>
            </w:r>
            <w:r>
              <w:rPr>
                <w:rStyle w:val="IndexLink"/>
              </w:rPr>
              <w:t>77</w:t>
            </w:r>
          </w:hyperlink>
        </w:p>
        <w:p>
          <w:pPr>
            <w:pStyle w:val="Contents4"/>
            <w:tabs>
              <w:tab w:val="clear" w:pos="8176"/>
              <w:tab w:val="right" w:pos="9026" w:leader="dot"/>
            </w:tabs>
            <w:rPr/>
          </w:pPr>
          <w:hyperlink w:anchor="__RefHeading___Toc3416706_1051229030">
            <w:r>
              <w:rPr>
                <w:webHidden/>
                <w:rStyle w:val="IndexLink"/>
                <w:rtl w:val="true"/>
              </w:rPr>
              <w:t>الجواب عن الثالث</w:t>
            </w:r>
            <w:r>
              <w:rPr>
                <w:rStyle w:val="IndexLink"/>
                <w:rtl w:val="true"/>
              </w:rPr>
              <w:tab/>
            </w:r>
            <w:r>
              <w:rPr>
                <w:rStyle w:val="IndexLink"/>
              </w:rPr>
              <w:t>78</w:t>
            </w:r>
          </w:hyperlink>
        </w:p>
        <w:p>
          <w:pPr>
            <w:pStyle w:val="Contents2"/>
            <w:tabs>
              <w:tab w:val="clear" w:pos="8743"/>
              <w:tab w:val="right" w:pos="9026" w:leader="dot"/>
            </w:tabs>
            <w:rPr/>
          </w:pPr>
          <w:hyperlink w:anchor="__RefHeading___Toc3416708_1051229030">
            <w:r>
              <w:rPr>
                <w:webHidden/>
                <w:rStyle w:val="IndexLink"/>
                <w:rtl w:val="true"/>
              </w:rPr>
              <w:t>تنبيهان</w:t>
            </w:r>
            <w:r>
              <w:rPr>
                <w:rStyle w:val="IndexLink"/>
                <w:rtl w:val="true"/>
              </w:rPr>
              <w:tab/>
            </w:r>
            <w:r>
              <w:rPr>
                <w:rStyle w:val="IndexLink"/>
              </w:rPr>
              <w:t>83</w:t>
            </w:r>
          </w:hyperlink>
        </w:p>
        <w:p>
          <w:pPr>
            <w:pStyle w:val="Contents3"/>
            <w:tabs>
              <w:tab w:val="clear" w:pos="8459"/>
              <w:tab w:val="right" w:pos="9026" w:leader="dot"/>
            </w:tabs>
            <w:rPr/>
          </w:pPr>
          <w:hyperlink w:anchor="__RefHeading___Toc3416710_1051229030">
            <w:r>
              <w:rPr>
                <w:webHidden/>
                <w:rStyle w:val="IndexLink"/>
                <w:rtl w:val="true"/>
              </w:rPr>
              <w:t>التنبيه الأوّل</w:t>
            </w:r>
            <w:r>
              <w:rPr>
                <w:rStyle w:val="IndexLink"/>
                <w:rtl w:val="true"/>
              </w:rPr>
              <w:tab/>
            </w:r>
            <w:r>
              <w:rPr>
                <w:rStyle w:val="IndexLink"/>
              </w:rPr>
              <w:t>83</w:t>
            </w:r>
          </w:hyperlink>
        </w:p>
        <w:p>
          <w:pPr>
            <w:pStyle w:val="Contents3"/>
            <w:tabs>
              <w:tab w:val="clear" w:pos="8459"/>
              <w:tab w:val="right" w:pos="9026" w:leader="dot"/>
            </w:tabs>
            <w:rPr/>
          </w:pPr>
          <w:hyperlink w:anchor="__RefHeading___Toc3416712_1051229030">
            <w:r>
              <w:rPr>
                <w:webHidden/>
                <w:rStyle w:val="IndexLink"/>
                <w:rtl w:val="true"/>
              </w:rPr>
              <w:t>التنبيه الثاني</w:t>
            </w:r>
            <w:r>
              <w:rPr>
                <w:rStyle w:val="IndexLink"/>
                <w:rtl w:val="true"/>
              </w:rPr>
              <w:tab/>
            </w:r>
            <w:r>
              <w:rPr>
                <w:rStyle w:val="IndexLink"/>
              </w:rPr>
              <w:t>85</w:t>
            </w:r>
          </w:hyperlink>
        </w:p>
        <w:p>
          <w:pPr>
            <w:pStyle w:val="Contents2"/>
            <w:tabs>
              <w:tab w:val="clear" w:pos="8743"/>
              <w:tab w:val="right" w:pos="9026" w:leader="dot"/>
            </w:tabs>
            <w:rPr/>
          </w:pPr>
          <w:hyperlink w:anchor="__RefHeading___Toc3416714_1051229030">
            <w:r>
              <w:rPr>
                <w:webHidden/>
                <w:rStyle w:val="IndexLink"/>
                <w:rtl w:val="true"/>
              </w:rPr>
              <w:t>فهرس مصادر التحقيق</w:t>
            </w:r>
            <w:r>
              <w:rPr>
                <w:rStyle w:val="IndexLink"/>
                <w:rtl w:val="true"/>
              </w:rPr>
              <w:tab/>
            </w:r>
            <w:r>
              <w:rPr>
                <w:rStyle w:val="IndexLink"/>
              </w:rPr>
              <w:t>87</w:t>
            </w:r>
          </w:hyperlink>
        </w:p>
        <w:p>
          <w:pPr>
            <w:pStyle w:val="Contents2"/>
            <w:tabs>
              <w:tab w:val="clear" w:pos="8743"/>
              <w:tab w:val="right" w:pos="9026" w:leader="dot"/>
            </w:tabs>
            <w:rPr/>
          </w:pPr>
          <w:hyperlink w:anchor="__RefHeading___Toc3416716_1051229030">
            <w:r>
              <w:rPr>
                <w:webHidden/>
                <w:rStyle w:val="IndexLink"/>
                <w:rtl w:val="true"/>
              </w:rPr>
              <w:t>فهرس المحتويات</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12_45039"/>
      <w:bookmarkStart w:id="1" w:name="pg7612_45039"/>
      <w:bookmarkEnd w:id="1"/>
    </w:p>
    <w:p>
      <w:pPr>
        <w:pStyle w:val="Heading2"/>
        <w:numPr>
          <w:ilvl w:val="1"/>
          <w:numId w:val="1"/>
        </w:numPr>
        <w:rPr/>
      </w:pPr>
      <w:bookmarkStart w:id="2" w:name="pg7612_45039"/>
      <w:bookmarkStart w:id="3" w:name="__RefHeading___Toc341654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سؤال و جواب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حقّ الرجوع</w:t>
      </w:r>
    </w:p>
    <w:p>
      <w:pPr>
        <w:pStyle w:val="BookText"/>
        <w:rPr/>
      </w:pP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محقّق و فقيه متتبّع حاج سيّد محمّد باقر بن محمّد نقى شفتى قدس‌سره</w:t>
      </w:r>
    </w:p>
    <w:p>
      <w:pPr>
        <w:pStyle w:val="BookText"/>
        <w:rPr/>
      </w:pP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شفتی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1654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12_45043"/>
      <w:bookmarkStart w:id="8" w:name="pg7612_45043"/>
      <w:bookmarkEnd w:id="8"/>
    </w:p>
    <w:p>
      <w:pPr>
        <w:pStyle w:val="Heading2"/>
        <w:numPr>
          <w:ilvl w:val="1"/>
          <w:numId w:val="1"/>
        </w:numPr>
        <w:rPr/>
      </w:pPr>
      <w:bookmarkStart w:id="9" w:name="pg7612_45043"/>
      <w:bookmarkStart w:id="10" w:name="__RefHeading___Toc3416548_1051229030"/>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بسم‌الله‌الرحمن‌الرحيم</w:t>
      </w:r>
    </w:p>
    <w:p>
      <w:pPr>
        <w:pStyle w:val="BookText"/>
        <w:rPr/>
      </w:pPr>
      <w:r>
        <w:rPr>
          <w:rFonts w:ascii="IRNazanin" w:hAnsi="IRNazanin" w:eastAsia="IRNazanin"/>
          <w:color w:val="111111"/>
          <w:sz w:val="28"/>
          <w:sz w:val="28"/>
          <w:szCs w:val="28"/>
          <w:rtl w:val="true"/>
          <w:lang w:bidi="fa-IR"/>
        </w:rPr>
        <w:t xml:space="preserve">فقيه متبحّر، عالم محقّق و متتبّع مرحوم آية اللّه العظمى حاج سيّد محمّد باقر شفتى، معروف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زعماى بزرگ و اساطين علمى شيعه است كه سال هاى سال، شهر اصفهان از بركات وجودى او بهره‌مند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زعامت دينى و اجراى حدود الهى، بذل و سخاوت حيرت آور، تأليف اثر پربار و كم نظير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كتاب و رساله فقهى، رجالى، حديثى</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تربيت شاگردان فراوان، از برجستگى‌هاى خاص او بود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اصفهانِ آن روز به وجود نورانى فرزانگانى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العظمى حاج محمّد ابراهيم كلباسى صاحب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اشارات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دهها فقيه و عالم برجسته ديگر منوّر بود، ولى بار سنگين زعامت دينى بر دوش مرحوم سيّد حجّة الاسلام قرار داشت ؛ از اين رو پرسش‌هاى فراوان فقهى، اعتقادى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علما، طلاّب و مقلّدين مرحوم سيّد در محضر او مطرح مى‌گرديد،كه وى با تبحّر و روشن بينى خاصّ خود آنها را پاسخ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آنچه اينجا به حضور اهل دانش و تحقيق، شما تشنگان چشمه علم و فقاهت تقديم مى‌گردد، رساله‌اى است ازآثار ارزشمند عالم ربّانى، فقيه نامدار اهل بيت عصمت عليهم‌السلام، حجّة الإسلام مطلق در شيعه، مرحوم آية اللّه العظمى حاج سيّد محمّد باقر موسوى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پاسخ به پرسشى فقهى نگاشته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سؤال و جواب از مجموعه ارزشمند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شده است ؛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است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رساله فقهى، و نيز پرسش‌هاى فراوانى كه از طرف اقشار مختلف مردم از مرحوم حجّة الإسلام استفتاء شده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اجتهاد و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وديعة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حيات مرحوم حجّة الإسلام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سنگى شده، ولى باقيمانده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قسمت چاپ شده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تاكنون به طبع نرسيده و همچنان مخطوط باقى مانده است </w:t>
      </w:r>
      <w:r>
        <w:rPr>
          <w:rFonts w:eastAsia="IRNazanin" w:cs="IRNazanin"/>
          <w:color w:val="111111"/>
          <w:sz w:val="28"/>
          <w:szCs w:val="28"/>
          <w:rtl w:val="true"/>
          <w:lang w:bidi="fa-IR"/>
        </w:rPr>
        <w:t xml:space="preserve">. </w:t>
      </w:r>
      <w:bookmarkStart w:id="12" w:name="pg7612_45045"/>
    </w:p>
    <w:p>
      <w:pPr>
        <w:pStyle w:val="Heading2"/>
        <w:numPr>
          <w:ilvl w:val="1"/>
          <w:numId w:val="1"/>
        </w:numPr>
        <w:rPr/>
      </w:pPr>
      <w:bookmarkStart w:id="13" w:name="__RefHeading___Toc3416550_1051229030"/>
      <w:bookmarkStart w:id="14" w:name="_Toc4"/>
      <w:bookmarkEnd w:id="12"/>
      <w:bookmarkEnd w:id="13"/>
      <w:r>
        <w:rPr>
          <w:rtl w:val="true"/>
        </w:rPr>
        <w:t>توضيحى پيرامون رساله حاضر</w:t>
      </w:r>
      <w:bookmarkEnd w:id="14"/>
    </w:p>
    <w:p>
      <w:pPr>
        <w:pStyle w:val="BookText"/>
        <w:rPr/>
      </w:pPr>
      <w:r>
        <w:rPr>
          <w:rFonts w:ascii="IRNazanin" w:hAnsi="IRNazanin" w:eastAsia="IRNazanin"/>
          <w:color w:val="111111"/>
          <w:sz w:val="28"/>
          <w:sz w:val="28"/>
          <w:szCs w:val="28"/>
          <w:rtl w:val="true"/>
          <w:lang w:bidi="fa-IR"/>
        </w:rPr>
        <w:t xml:space="preserve">اين رساله كه از آن با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صلح حقّ الرجوع في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در واقع پاسخ به پرسشى است با اين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زوجه خود را مطلّقه نموده به طلاق رجعى، بعد از آن حقّ الرجوع خود را صلح نموده به او به نفقه ايّام عدّه، بعد از آن در اثناى عدّه رجوع نموده، بعد از انقضاى عدّه، آن ضعيفه به ديگرى شوهر نموده ؛ حال، اين ضعيفه زوجه ثانى است يا اوّل ؟</w:t>
      </w:r>
    </w:p>
    <w:p>
      <w:pPr>
        <w:pStyle w:val="BookText"/>
        <w:rPr/>
      </w:pPr>
      <w:r>
        <w:rPr>
          <w:rFonts w:ascii="IRNazanin" w:hAnsi="IRNazanin" w:eastAsia="IRNazanin"/>
          <w:color w:val="111111"/>
          <w:sz w:val="28"/>
          <w:sz w:val="28"/>
          <w:szCs w:val="28"/>
          <w:rtl w:val="true"/>
          <w:lang w:bidi="fa-IR"/>
        </w:rPr>
        <w:t xml:space="preserve">حجّة الإسلام شفتى قدس‌سره در پاسخ به اين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دأب او بر آن است كه هر مسأله‌اى را با تحليل و بررسى جوانب مختلف آن پاسخ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به بيان فروعات مختلف مسأله و اقوال فقها در اين زمينه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حجّة الإسلام از پاسخِ به اين پرسش در تاريخ دوشنبه هفتم جمادي الثانية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تندران، از مزارع كرون اصفهان، فراغت يافته 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اميدوارم همان گونه كه ألطاف خداوند و روح عالى و بلند مرتبه جدّ بزرگوارم مرحوم سيّد حجّة الإسلام، تاكنون يار و ياور ما بوده و توفيق تحقيق </w:t>
      </w:r>
    </w:p>
    <w:p>
      <w:pPr>
        <w:pStyle w:val="BookText"/>
        <w:rPr/>
      </w:pPr>
      <w:r>
        <w:rPr>
          <w:rFonts w:ascii="IRNazanin" w:hAnsi="IRNazanin" w:eastAsia="IRNazanin"/>
          <w:color w:val="111111"/>
          <w:sz w:val="28"/>
          <w:sz w:val="28"/>
          <w:szCs w:val="28"/>
          <w:rtl w:val="true"/>
          <w:lang w:bidi="fa-IR"/>
        </w:rPr>
        <w:t xml:space="preserve">و تنظيم و نشر بعضى از آثار ايشان را نصيب نموده، إن شاء اللّه در آينده نه چنداندور بتوانيم بقيّه مسائل و رسائل فقهى و اصولى ايشان را با تحقيقى جامع و اسلوبى زيبا و شايسته تقديم مشتاقان علم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شرح حالِ مفصّلى از مؤلّف بزرگوار 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المفاخر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مصلح الدين مهدوى، نگاشته شده و در دو جلد به چاپ رسيده ؛ لذا ما در اينجا به شرح حال مختصرى از مؤلّف بسنده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و صلّى اللّه على محمّد وآله الطاهرين، والسلام على عباد اللّه 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و كتابخانه مسجد سيّد اصفهان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مهدى شفتى </w:t>
      </w:r>
      <w:bookmarkStart w:id="15" w:name="pg7612_45047"/>
    </w:p>
    <w:p>
      <w:pPr>
        <w:pStyle w:val="Heading2"/>
        <w:numPr>
          <w:ilvl w:val="1"/>
          <w:numId w:val="1"/>
        </w:numPr>
        <w:rPr/>
      </w:pPr>
      <w:bookmarkStart w:id="16" w:name="__RefHeading___Toc3416552_1051229030"/>
      <w:bookmarkStart w:id="17" w:name="_Toc5"/>
      <w:bookmarkEnd w:id="15"/>
      <w:bookmarkEnd w:id="16"/>
      <w:r>
        <w:rPr>
          <w:rtl w:val="true"/>
        </w:rPr>
        <w:t>زندگى نامه مؤلّف</w:t>
      </w:r>
      <w:bookmarkEnd w:id="17"/>
    </w:p>
    <w:p>
      <w:pPr>
        <w:pStyle w:val="Heading3"/>
        <w:numPr>
          <w:ilvl w:val="2"/>
          <w:numId w:val="1"/>
        </w:numPr>
        <w:rPr/>
      </w:pPr>
      <w:bookmarkStart w:id="18" w:name="__RefHeading___Toc3416554_1051229030"/>
      <w:bookmarkStart w:id="19" w:name="_Toc6"/>
      <w:bookmarkEnd w:id="18"/>
      <w:r>
        <w:rPr>
          <w:rtl w:val="true"/>
        </w:rPr>
        <w:t>نام</w:t>
      </w:r>
      <w:bookmarkEnd w:id="19"/>
    </w:p>
    <w:p>
      <w:pPr>
        <w:pStyle w:val="BookText"/>
        <w:rPr/>
      </w:pPr>
      <w:r>
        <w:rPr>
          <w:rFonts w:ascii="Amiri" w:hAnsi="Amiri" w:eastAsia="Amiri" w:cs="Amiri"/>
          <w:color w:val="111111"/>
          <w:sz w:val="28"/>
          <w:sz w:val="28"/>
          <w:szCs w:val="28"/>
          <w:rtl w:val="true"/>
          <w:lang w:bidi="ar-SA"/>
        </w:rPr>
        <w:t xml:space="preserve">عالم و فقيه كامل، محقّق، علاّمه، جامعِ معقول و منقول، مجتهدِ خبير و بصير مرحوم حجّة الإسلام حاج سيّد محمّد باقر موسوى شفتى اصفهانى، از فحول علماى شيعه و مفاخر فقها و مجتهدين اماميّه در سده سيزدهم هجرى است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416556_1051229030"/>
      <w:bookmarkStart w:id="21" w:name="_Toc7"/>
      <w:bookmarkEnd w:id="20"/>
      <w:r>
        <w:rPr>
          <w:rtl w:val="true"/>
        </w:rPr>
        <w:t>شهرت</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و لقب مرحوم حاج سيّد محمّد باقر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ايشان در بين دانشمندان شيعه نخستين كسى است كه به اين لقب مشهور و معروف شده، البته در قرن سيزدهم چند نفر از ديگر بزرگان هم به اين لقب ناميده شده‌اند، ولى هيچ كدام اهميّت و شهرت و مقام مرحوم سيّد شفتى را نداشته‌اند </w:t>
      </w:r>
      <w:r>
        <w:rPr>
          <w:rFonts w:eastAsia="IRNazanin" w:cs="IRNazanin"/>
          <w:color w:val="111111"/>
          <w:sz w:val="28"/>
          <w:szCs w:val="28"/>
          <w:rtl w:val="true"/>
          <w:lang w:bidi="fa-IR"/>
        </w:rPr>
        <w:t xml:space="preserve">. </w:t>
      </w:r>
      <w:bookmarkStart w:id="22" w:name="pg7612_45048"/>
    </w:p>
    <w:p>
      <w:pPr>
        <w:pStyle w:val="Heading3"/>
        <w:numPr>
          <w:ilvl w:val="2"/>
          <w:numId w:val="1"/>
        </w:numPr>
        <w:rPr/>
      </w:pPr>
      <w:bookmarkStart w:id="23" w:name="__RefHeading___Toc3416558_1051229030"/>
      <w:bookmarkStart w:id="24" w:name="_Toc8"/>
      <w:bookmarkEnd w:id="22"/>
      <w:bookmarkEnd w:id="23"/>
      <w:r>
        <w:rPr>
          <w:rtl w:val="true"/>
        </w:rPr>
        <w:t>از نگاه ديگران</w:t>
      </w:r>
      <w:bookmarkEnd w:id="24"/>
    </w:p>
    <w:p>
      <w:pPr>
        <w:pStyle w:val="Heading4"/>
        <w:numPr>
          <w:ilvl w:val="3"/>
          <w:numId w:val="1"/>
        </w:numPr>
        <w:rPr/>
      </w:pPr>
      <w:bookmarkStart w:id="25" w:name="__RefHeading___Toc3416560_105122903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درباره شخصيّتِ علمى و اجتماعى فقيه و مرجع بزرگ مرحوم علاّمه حاج سيّد محمّد باقر شفتى، افراد بسيارى ايراد سخن و اظهار عقيده نموده‌اند ؛ عدّه بسيارى به مدح و ستايش وى پرداخته، و بزرگى، علم، زهد، تقوا، فضائل اخلاقى، و خدمات اجتماعى وى را ستوده‌اند ؛ و عدّه اندكى نيز بر وى و برخى از كارهاى او، خرده گرفته و دهان به انتقاد و اعتراض گشوده‌اند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ستايش گرانِ سيّد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آنها به بيش از صد نفر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قالب نظم و نثر، و به دو زبان فارسى و عربى، زبان به مدح و ستايشِ وى باز نموده‌اند، كه گزارش و پرداختن به تمامى آن گفته‌ها، خود به نگارش كتابى جداگانه مى‌انجامد، ولى در اينجا براى نمونه تنها به نقل گفتار بعضى از آنها، بسنده مى‌كنيم </w:t>
      </w:r>
      <w:r>
        <w:rPr>
          <w:rFonts w:eastAsia="IRNazanin" w:cs="IRNazanin"/>
          <w:color w:val="111111"/>
          <w:sz w:val="28"/>
          <w:szCs w:val="28"/>
          <w:rtl w:val="true"/>
          <w:lang w:bidi="fa-IR"/>
        </w:rPr>
        <w:t>.</w:t>
      </w:r>
    </w:p>
    <w:p>
      <w:pPr>
        <w:pStyle w:val="Heading4"/>
        <w:numPr>
          <w:ilvl w:val="3"/>
          <w:numId w:val="1"/>
        </w:numPr>
        <w:rPr/>
      </w:pPr>
      <w:bookmarkStart w:id="27" w:name="__RefHeading___Toc3416562_1051229030"/>
      <w:bookmarkStart w:id="28" w:name="_Toc10"/>
      <w:bookmarkEnd w:id="27"/>
      <w:r>
        <w:rPr/>
        <w:t>1</w:t>
      </w:r>
      <w:r>
        <w:rPr>
          <w:rtl w:val="true"/>
        </w:rPr>
        <w:t xml:space="preserve"> - </w:t>
      </w:r>
      <w:r>
        <w:rPr>
          <w:rtl w:val="true"/>
        </w:rPr>
        <w:t>حكيم ملاّ على نورى قدس‌سره</w:t>
      </w:r>
      <w:bookmarkEnd w:id="28"/>
    </w:p>
    <w:p>
      <w:pPr>
        <w:pStyle w:val="BookText"/>
        <w:rPr/>
      </w:pPr>
      <w:r>
        <w:rPr>
          <w:rFonts w:ascii="Amiri" w:hAnsi="Amiri" w:eastAsia="Amiri" w:cs="Amiri"/>
          <w:color w:val="111111"/>
          <w:sz w:val="28"/>
          <w:sz w:val="28"/>
          <w:szCs w:val="28"/>
          <w:rtl w:val="true"/>
          <w:lang w:bidi="ar-SA"/>
        </w:rPr>
        <w:t xml:space="preserve">وى در تاييد نظر مرحوم حجّة الإسلام شفتى درباره مسأله‌اى فقهى، او را با اين اوصاف ستوده است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العهد، فقيه العصر، حجّة الطائفة المحقّة، قبلة الكرام البررة، </w:t>
      </w:r>
      <w:bookmarkStart w:id="29" w:name="pg7612_45049"/>
    </w:p>
    <w:p>
      <w:pPr>
        <w:pStyle w:val="BookText"/>
        <w:rPr/>
      </w:pPr>
      <w:bookmarkEnd w:id="29"/>
      <w:r>
        <w:rPr>
          <w:rFonts w:ascii="Amiri" w:hAnsi="Amiri" w:eastAsia="Amiri" w:cs="Amiri"/>
          <w:color w:val="111111"/>
          <w:sz w:val="28"/>
          <w:sz w:val="28"/>
          <w:szCs w:val="28"/>
          <w:rtl w:val="true"/>
          <w:lang w:bidi="ar-SA"/>
        </w:rPr>
        <w:t xml:space="preserve">الفريد الدهريّ، والوحيد العصريّ، مطاع، واجب الإتباع، معظّم، مجموعة المناقب و المفاخر،آقا سيّد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بركاتفضائله الإنسيّة و شمائله القدسيّة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3416564_1051229030"/>
      <w:bookmarkStart w:id="31" w:name="_Toc11"/>
      <w:bookmarkEnd w:id="30"/>
      <w:r>
        <w:rPr/>
        <w:t>2</w:t>
      </w:r>
      <w:r>
        <w:rPr>
          <w:rtl w:val="true"/>
        </w:rPr>
        <w:t xml:space="preserve"> - </w:t>
      </w:r>
      <w:r>
        <w:rPr>
          <w:rtl w:val="true"/>
        </w:rPr>
        <w:t>مرحوم آية اللّه حاج محمّد ابراهيم كرباسى</w:t>
      </w:r>
      <w:bookmarkEnd w:id="31"/>
    </w:p>
    <w:p>
      <w:pPr>
        <w:pStyle w:val="BookText"/>
        <w:rPr/>
      </w:pPr>
      <w:r>
        <w:rPr>
          <w:rFonts w:ascii="IRNazanin" w:hAnsi="IRNazanin" w:eastAsia="IRNazanin"/>
          <w:color w:val="111111"/>
          <w:sz w:val="28"/>
          <w:sz w:val="28"/>
          <w:szCs w:val="28"/>
          <w:rtl w:val="true"/>
          <w:lang w:bidi="fa-IR"/>
        </w:rPr>
        <w:t xml:space="preserve">ايشان از بزرگان انديشمندان و فقهاى نامى اصفهان است، كه در علم و زهد و تقوا و دورى از امور دنيوى معروف و مشهور، و داستان‌هاى احتياطِ او در امور شرعيّه، بر سرِ زبان‌ها است و در متن كتاب‌هاى بسيارى ثبت شده، تا آنجا كه مرحوم ميرزا محمّد تنكابنى در شرح زندگانى وى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كرباسى را اعتقاد آن بود كه اجتهاد در نهايت سختى است، و آنان كه مدّعى اجتهادند، اكثر مجتهد نيستند ؛ و اگر كسى ادّعاى اجتهاد و مرافعه مى‌نمود، حاجى او را تفسيق مى‌كرد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ويژگى‌ها، سخن ايشان درباره سيّد حجّة الإسلام خواندنى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رسول خدا صلى‌الله‌عليه‌و‌آله در مدينه بود و مردم اصفهان قاضى </w:t>
      </w:r>
      <w:bookmarkStart w:id="32" w:name="pg7612_45050"/>
    </w:p>
    <w:p>
      <w:pPr>
        <w:pStyle w:val="BookText"/>
        <w:rPr/>
      </w:pPr>
      <w:bookmarkEnd w:id="32"/>
      <w:r>
        <w:rPr>
          <w:rFonts w:ascii="Amiri" w:hAnsi="Amiri" w:eastAsia="Amiri" w:cs="Amiri"/>
          <w:color w:val="111111"/>
          <w:sz w:val="28"/>
          <w:sz w:val="28"/>
          <w:szCs w:val="28"/>
          <w:rtl w:val="true"/>
          <w:lang w:bidi="ar-SA"/>
        </w:rPr>
        <w:t xml:space="preserve">مى‌خواستند، آن حضرت آقا سيّد محمّد باقر را به قضاوت نصب مى‌نمود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3416566_1051229030"/>
      <w:bookmarkStart w:id="34" w:name="_Toc12"/>
      <w:bookmarkEnd w:id="33"/>
      <w:r>
        <w:rPr/>
        <w:t>3</w:t>
      </w:r>
      <w:r>
        <w:rPr>
          <w:rtl w:val="true"/>
        </w:rPr>
        <w:t xml:space="preserve"> - </w:t>
      </w:r>
      <w:r>
        <w:rPr>
          <w:rtl w:val="true"/>
        </w:rPr>
        <w:t>علاّمه حاج سيّد محمّد باقر خوانسارى قدس‌سره</w:t>
      </w:r>
      <w:bookmarkEnd w:id="34"/>
    </w:p>
    <w:p>
      <w:pPr>
        <w:pStyle w:val="BookText"/>
        <w:rPr/>
      </w:pPr>
      <w:r>
        <w:rPr>
          <w:rFonts w:ascii="IRNazanin" w:hAnsi="IRNazanin" w:eastAsia="IRNazanin"/>
          <w:color w:val="111111"/>
          <w:sz w:val="28"/>
          <w:sz w:val="28"/>
          <w:szCs w:val="28"/>
          <w:rtl w:val="true"/>
          <w:lang w:bidi="fa-IR"/>
        </w:rPr>
        <w:t xml:space="preserve">ايشان كه سال‌ها در مجلسِ درسِ حجّة الإسلام شفتى قدس‌سره شركت مى‌كرده، و با وى بسيار معاشر و صميمى بوده، در وصفِ آن بزرگوار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الإسلام دين دار به تمام معنا بود، چنانچه تمامى متديّنان و حافظان و خزينه داران دين، در برابر ديانت او تسليم بودند ؛ بلكه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همه مردم تنها جزئى از ايمان حقيقى وى به شمار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در اثبات حقايق علمى، و براهين عقلى و نقلى، كسى همتاى او نبوده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3416568_1051229030"/>
      <w:bookmarkStart w:id="36" w:name="_Toc13"/>
      <w:bookmarkEnd w:id="35"/>
      <w:r>
        <w:rPr/>
        <w:t>4</w:t>
      </w:r>
      <w:r>
        <w:rPr>
          <w:rtl w:val="true"/>
        </w:rPr>
        <w:t xml:space="preserve"> - </w:t>
      </w:r>
      <w:r>
        <w:rPr>
          <w:rtl w:val="true"/>
        </w:rPr>
        <w:t>محدّث خبير مرحوم حاج شيخ عبّاس قمّى</w:t>
      </w:r>
      <w:bookmarkEnd w:id="36"/>
    </w:p>
    <w:p>
      <w:pPr>
        <w:pStyle w:val="BookText"/>
        <w:rPr/>
      </w:pPr>
      <w:r>
        <w:rPr>
          <w:rFonts w:ascii="IRNazanin" w:hAnsi="IRNazanin" w:eastAsia="IRNazanin"/>
          <w:color w:val="111111"/>
          <w:sz w:val="28"/>
          <w:sz w:val="28"/>
          <w:szCs w:val="28"/>
          <w:rtl w:val="true"/>
          <w:lang w:bidi="fa-IR"/>
        </w:rPr>
        <w:t xml:space="preserve">ايشان مرحوم حجّة الإسلام را اين گونه توصيف مى‌كند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الإسلام اطلاق مى‌شود نزد شيعه بر سَيّدِ أجل، وحيد الأيّام، </w:t>
      </w:r>
      <w:bookmarkStart w:id="37" w:name="pg7612_45051"/>
    </w:p>
    <w:p>
      <w:pPr>
        <w:pStyle w:val="BookText"/>
        <w:rPr/>
      </w:pPr>
      <w:bookmarkEnd w:id="37"/>
      <w:r>
        <w:rPr>
          <w:rFonts w:ascii="Amiri" w:hAnsi="Amiri" w:eastAsia="Amiri" w:cs="Amiri"/>
          <w:color w:val="111111"/>
          <w:sz w:val="28"/>
          <w:sz w:val="28"/>
          <w:szCs w:val="28"/>
          <w:rtl w:val="true"/>
          <w:lang w:bidi="ar-SA"/>
        </w:rPr>
        <w:t xml:space="preserve">و مقتدى الأنام، سيّد العلماء العظام، سيّد محمّد باقر بن محمّد نقى موسوى شفتى اصفهانى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جلالت شأنش زياده از آن است كه ذكر شود ؛ در عبادات ومناجات</w:t>
      </w:r>
    </w:p>
    <w:p>
      <w:pPr>
        <w:pStyle w:val="BookText"/>
        <w:rPr/>
      </w:pPr>
      <w:r>
        <w:rPr>
          <w:rFonts w:ascii="IRNazanin" w:hAnsi="IRNazanin" w:eastAsia="IRNazanin"/>
          <w:color w:val="111111"/>
          <w:sz w:val="28"/>
          <w:sz w:val="28"/>
          <w:szCs w:val="28"/>
          <w:rtl w:val="true"/>
          <w:lang w:bidi="fa-IR"/>
        </w:rPr>
        <w:t xml:space="preserve">ونوافل و اوراد، حكايات بسيار از آن جناب نقل شده، و فوايدىكه از آن بزرگوار به فقرا و سادات و طلاّب علوم مى‌رسيده، زياده از آن است كه ذكر شود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3416570_1051229030"/>
      <w:bookmarkStart w:id="39" w:name="_Toc14"/>
      <w:bookmarkEnd w:id="38"/>
      <w:r>
        <w:rPr>
          <w:rtl w:val="true"/>
        </w:rPr>
        <w:t>نسب</w:t>
      </w:r>
      <w:bookmarkEnd w:id="39"/>
    </w:p>
    <w:p>
      <w:pPr>
        <w:pStyle w:val="BookText"/>
        <w:rPr/>
      </w:pPr>
      <w:r>
        <w:rPr>
          <w:rFonts w:ascii="IRNazanin" w:hAnsi="IRNazanin" w:eastAsia="IRNazanin"/>
          <w:color w:val="111111"/>
          <w:sz w:val="28"/>
          <w:sz w:val="28"/>
          <w:szCs w:val="28"/>
          <w:rtl w:val="true"/>
          <w:lang w:bidi="fa-IR"/>
        </w:rPr>
        <w:t xml:space="preserve">نسب شريف آن بزرگوار بنا بر آنچه خود در مقدّمه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 بيست و دو واسطه به امام هفتم حضرت موسى بن جعفر عليهماالسلام مى‌رسد، كه بدين ترتيب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باقر فرزند محمّد 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 محمّد زكى، فرزند محمّد تقى، فرزند شاه قاسم، فرزند مير اشرف، فرزند شاه قاسم، فرزند شاه هدايت، فرزند امير هاشم، فرزند سلطان سيّد على قاضى، فرزند سيّد على، فرزند محمّد، فرزند على، فرزند محمّد، فرزند موسى، فرزند جعفر، فرزند اسماعيل، فرزند احمد، فرزند محمّدِ مجدور، فرزند احمد مجدور، فرزند محمّد أعرابى، فرزند </w:t>
      </w:r>
      <w:bookmarkStart w:id="40" w:name="pg7612_45052"/>
    </w:p>
    <w:p>
      <w:pPr>
        <w:pStyle w:val="BookText"/>
        <w:rPr/>
      </w:pPr>
      <w:bookmarkEnd w:id="40"/>
      <w:r>
        <w:rPr>
          <w:rFonts w:ascii="Amiri" w:hAnsi="Amiri" w:eastAsia="Amiri" w:cs="Amiri"/>
          <w:color w:val="111111"/>
          <w:sz w:val="28"/>
          <w:sz w:val="28"/>
          <w:szCs w:val="28"/>
          <w:rtl w:val="true"/>
          <w:lang w:bidi="ar-SA"/>
        </w:rPr>
        <w:t xml:space="preserve">أبوالقاسم أعرابى، فرزند حمزه، فرزند امامِ هفتم حضرت موسى بن جعفر عليهماالسلام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3416572_1051229030"/>
      <w:bookmarkStart w:id="42" w:name="_Toc15"/>
      <w:bookmarkEnd w:id="41"/>
      <w:r>
        <w:rPr>
          <w:rtl w:val="true"/>
        </w:rPr>
        <w:t>نياكان</w:t>
      </w:r>
      <w:bookmarkEnd w:id="42"/>
    </w:p>
    <w:p>
      <w:pPr>
        <w:pStyle w:val="BookText"/>
        <w:rPr/>
      </w:pPr>
      <w:r>
        <w:rPr>
          <w:rFonts w:ascii="IRNazanin" w:hAnsi="IRNazanin" w:eastAsia="IRNazanin"/>
          <w:color w:val="111111"/>
          <w:sz w:val="28"/>
          <w:sz w:val="28"/>
          <w:szCs w:val="28"/>
          <w:rtl w:val="true"/>
          <w:lang w:bidi="fa-IR"/>
        </w:rPr>
        <w:t>نياكان حجّة الإسلام شفتى قدس‌سره بيشتر از دانشمندان محلّ خود بوده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نام يكى از آنها، نشانه مقام و موقعيّت اجتماعى اوست، كه نشان مى‌دهد در حدود قرن دهم و آغاز حكومت و سلطنت پادشاهان صفوى مى‌زيسته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مرحوم حجّة الإسلام، مرحوم حاج سيّد محمّد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يكى از روستاهاى زنجان، زندگى مى‌كرده و پيشوايى مردم آن سامان را عهده دار بوده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خصوصيّات زندگانى او هيچ گونه اطّلاعى در دست نيست، جز آن كه شايد قبل از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در شفت وفات يافته </w:t>
      </w:r>
      <w:r>
        <w:rPr>
          <w:rStyle w:val="FootnoteAnchor"/>
          <w:rtl w:val="true"/>
        </w:rPr>
        <w:footnoteReference w:id="8"/>
      </w:r>
      <w:r>
        <w:rPr>
          <w:rFonts w:ascii="IRNazanin" w:hAnsi="IRNazanin" w:eastAsia="IRNazanin"/>
          <w:color w:val="111111"/>
          <w:sz w:val="28"/>
          <w:sz w:val="28"/>
          <w:szCs w:val="28"/>
          <w:rtl w:val="true"/>
          <w:lang w:bidi="fa-IR"/>
        </w:rPr>
        <w:t xml:space="preserve">؛ و ديگر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دانشمندى جز سيّد حجّة الإسلام داشته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زكى، كه بزرگتر از حجّة الإسلام بوده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3" w:name="pg7612_45053"/>
    </w:p>
    <w:p>
      <w:pPr>
        <w:pStyle w:val="Heading3"/>
        <w:numPr>
          <w:ilvl w:val="2"/>
          <w:numId w:val="1"/>
        </w:numPr>
        <w:rPr/>
      </w:pPr>
      <w:bookmarkStart w:id="44" w:name="__RefHeading___Toc3416574_1051229030"/>
      <w:bookmarkStart w:id="45" w:name="_Toc16"/>
      <w:bookmarkEnd w:id="43"/>
      <w:bookmarkEnd w:id="44"/>
      <w:r>
        <w:rPr>
          <w:rtl w:val="true"/>
        </w:rPr>
        <w:t>تولّد</w:t>
      </w:r>
      <w:bookmarkEnd w:id="45"/>
    </w:p>
    <w:p>
      <w:pPr>
        <w:pStyle w:val="BookText"/>
        <w:rPr/>
      </w:pPr>
      <w:r>
        <w:rPr>
          <w:rFonts w:ascii="IRNazanin" w:hAnsi="IRNazanin" w:eastAsia="IRNazanin"/>
          <w:color w:val="111111"/>
          <w:sz w:val="28"/>
          <w:sz w:val="28"/>
          <w:szCs w:val="28"/>
          <w:rtl w:val="true"/>
          <w:lang w:bidi="fa-IR"/>
        </w:rPr>
        <w:t xml:space="preserve">مرحوم سيّد حجّة الاسلام، ضمنِ جواب مسأله‌اى شرعى كه از ايشان استفتاء شده،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از سوانح ايّام در سال فوت كريم خان، يا سال بعد از آن، خودم در سنّ چهارده يا كمتر، مدّتى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دستجرده از توابع طارمعليا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 به گفته تاريخ نويسان كه اتّفاق دارند بر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كريم خان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رخ داده </w:t>
      </w:r>
      <w:r>
        <w:rPr>
          <w:rStyle w:val="FootnoteAnchor"/>
          <w:rtl w:val="true"/>
        </w:rPr>
        <w:footnoteReference w:id="11"/>
      </w:r>
      <w:r>
        <w:rPr>
          <w:rFonts w:ascii="IRNazanin" w:hAnsi="IRNazanin" w:eastAsia="IRNazanin"/>
          <w:color w:val="111111"/>
          <w:sz w:val="28"/>
          <w:sz w:val="28"/>
          <w:szCs w:val="28"/>
          <w:rtl w:val="true"/>
          <w:lang w:bidi="fa-IR"/>
        </w:rPr>
        <w:t xml:space="preserve">، پس سال تولّد سيّد حجّة الإسلام، بايد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اتّفاق افتاده 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مرحوم علاّمه حاج سيّد محمّد باقر خوانسارى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سيّد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تاريخ اشاره نموده،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حجّة الإسلام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يا نزديك به آن، در سنّ شانزده يا هفده سالگى به عتبات عاليات مشرّف گرديده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46" w:name="pg7612_45054"/>
    </w:p>
    <w:p>
      <w:pPr>
        <w:pStyle w:val="Heading3"/>
        <w:numPr>
          <w:ilvl w:val="2"/>
          <w:numId w:val="1"/>
        </w:numPr>
        <w:rPr/>
      </w:pPr>
      <w:bookmarkStart w:id="47" w:name="__RefHeading___Toc3416576_1051229030"/>
      <w:bookmarkStart w:id="48" w:name="_Toc17"/>
      <w:bookmarkEnd w:id="46"/>
      <w:bookmarkEnd w:id="47"/>
      <w:r>
        <w:rPr>
          <w:rtl w:val="true"/>
        </w:rPr>
        <w:t>زادگاه</w:t>
      </w:r>
      <w:bookmarkEnd w:id="48"/>
    </w:p>
    <w:p>
      <w:pPr>
        <w:pStyle w:val="BookText"/>
        <w:rPr/>
      </w:pPr>
      <w:r>
        <w:rPr>
          <w:rFonts w:ascii="IRNazanin" w:hAnsi="IRNazanin" w:eastAsia="IRNazanin"/>
          <w:color w:val="111111"/>
          <w:sz w:val="28"/>
          <w:sz w:val="28"/>
          <w:szCs w:val="28"/>
          <w:rtl w:val="true"/>
          <w:lang w:bidi="fa-IR"/>
        </w:rPr>
        <w:t xml:space="preserve">اين فقيه و عالم فرزانه در يكى از روستاهاى طارم علياى زنجان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چَرْزَه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كه در حدود پنجاه كيلومترى شهر زنجان، و شصت كيلومترى شهرشفت واقع است، در يك خانواده متوسّطِ اصيل و روحانى چشم به جهان گشود، و تا سنّ نزديك به هفت سالگى در همين روستا اقامت گزيد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سپس به اتّفاق پدر و مادر و خانواده خويش به شفت، كه در جنوب غربى شهر رشت واقع است، مهاجرت نمود ؛ علّت اين مهاجرت معلوم نيست، ولى شايد بنا به دعوت مردم شفت از مرحوم آقا سيّد محمّد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w:t>
      </w:r>
      <w:bookmarkStart w:id="49" w:name="pg7612_45055"/>
    </w:p>
    <w:p>
      <w:pPr>
        <w:pStyle w:val="BookText"/>
        <w:rPr/>
      </w:pPr>
      <w:bookmarkEnd w:id="49"/>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سرپرستى امور دينى و امامت جماعت و پيشوايى،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حجّة الاسلام در شفت تا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اقامت نمود، و در اين مدّت توانست مقدّمات علوم حوزه از صرف و نحو، و ديگر علوم مقدّماتى را نزد پدر عالم و فاضل خويش و استادان آن سامان، به خوبى فرا گيرد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416578_1051229030"/>
      <w:bookmarkStart w:id="51" w:name="_Toc18"/>
      <w:bookmarkEnd w:id="50"/>
      <w:r>
        <w:rPr>
          <w:rtl w:val="true"/>
        </w:rPr>
        <w:t>دوران تحصيل</w:t>
      </w:r>
      <w:bookmarkEnd w:id="51"/>
    </w:p>
    <w:p>
      <w:pPr>
        <w:pStyle w:val="BookText"/>
        <w:rPr/>
      </w:pPr>
      <w:r>
        <w:rPr>
          <w:rFonts w:ascii="IRNazanin" w:hAnsi="IRNazanin" w:eastAsia="IRNazanin"/>
          <w:color w:val="111111"/>
          <w:sz w:val="28"/>
          <w:sz w:val="28"/>
          <w:szCs w:val="28"/>
          <w:rtl w:val="true"/>
          <w:lang w:bidi="fa-IR"/>
        </w:rPr>
        <w:t xml:space="preserve">سيّد حجّة الاسلام پس از فرا گرفتن مقدّمات علوم،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سنّشانزده يا هفده سالگى، جهت ادامه تحصيل و تكميل علوم خويش، رهسپار عتبات عاليات در عراق مى‌گردد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زمان توقّف ايشان در اعتاب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نجف، و كاظمين، هشت سال به طول مى‌انجامد ؛ مدّت يك سال در شهر مقدّس كربلا به درس اساتيدِ طراز اول و مجتهدين بزرگى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وحيد بهبهانى، و مرحوم حاج سيّد على طباطبائى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پس از آن رهسپار شهر مقدّس و عالم پرورِ نجف مى‌گردد، و نزد استادانى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بحرالعلوم، و مرحوم كاشف الغطاء، به كسب علم و دانش مى‌پردازد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علّت ابتلاء به بيمارى استسقاء، براى معالجه به شهر مقدّس كاظمين مهاجرت نموده، و در طول مدّت مداوا، در سنّ بيست و پنج سالگى يا كمتر، نخستين اثر تأليفى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اللاّمعة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شرحى است بسيار علمى و تحقيقى و مفصّل بر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المرضيّة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جلال الدين سيوطى، را به پايان مى‌رساند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همين شهر مقدّس از محضر پر فيض علاّمه آقا سيّد محسن أعرجى، بهره‌مند مى‌گردد و در نزد ايشان بحث قضاء و شهادات را مى‌خواند و در همين راستا، دوّمين اثرِ علمى خود را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رشته تحرير در مى‌آورد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حجّة الإسلام پس از هشت سال تحصيل در شهرهاى مقدّس عراق،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9"/>
      </w:r>
      <w:r>
        <w:rPr>
          <w:rFonts w:ascii="IRNazanin" w:hAnsi="IRNazanin" w:eastAsia="IRNazanin"/>
          <w:color w:val="111111"/>
          <w:sz w:val="28"/>
          <w:sz w:val="28"/>
          <w:szCs w:val="28"/>
          <w:rtl w:val="true"/>
          <w:lang w:bidi="fa-IR"/>
        </w:rPr>
        <w:t xml:space="preserve">به ايران باز مى‌گردد، و ابتدا مدّت شش ماه در شهر مقدّس قم توقّف كرده، و در اين مدّت كوتاه از محضر مرحوم ميرزاى قمّى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علماء و مجتهدين آن زمان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بهره‌هاى فراوان مى‌برد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سپس راهى كاشان مى‌شود، و زمانى كوتاه به درس مرحوم ملاّ مهدى نراقى قدس‌سره حاضر مى‌شود </w:t>
      </w:r>
      <w:r>
        <w:rPr>
          <w:rFonts w:eastAsia="IRNazanin" w:cs="IRNazanin"/>
          <w:color w:val="111111"/>
          <w:sz w:val="28"/>
          <w:szCs w:val="28"/>
          <w:rtl w:val="true"/>
          <w:lang w:bidi="fa-IR"/>
        </w:rPr>
        <w:t xml:space="preserve">. </w:t>
      </w:r>
      <w:bookmarkStart w:id="52" w:name="pg7612_45057"/>
    </w:p>
    <w:p>
      <w:pPr>
        <w:pStyle w:val="BookText"/>
        <w:rPr/>
      </w:pPr>
      <w:bookmarkEnd w:id="52"/>
      <w:r>
        <w:rPr>
          <w:rFonts w:ascii="IRNazanin" w:hAnsi="IRNazanin" w:eastAsia="IRNazanin"/>
          <w:color w:val="111111"/>
          <w:sz w:val="28"/>
          <w:sz w:val="28"/>
          <w:szCs w:val="28"/>
          <w:rtl w:val="true"/>
          <w:lang w:bidi="fa-IR"/>
        </w:rPr>
        <w:t xml:space="preserve">وى سرانجام پس از گذراندن مراحل دشوار تحصيلى و نيل به مقامات عالى علم و اجتهاد، با كوله بارى از دانش و معرفت و تقوا،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0"/>
      </w:r>
      <w:r>
        <w:rPr>
          <w:rFonts w:ascii="IRNazanin" w:hAnsi="IRNazanin" w:eastAsia="IRNazanin"/>
          <w:color w:val="111111"/>
          <w:sz w:val="28"/>
          <w:sz w:val="28"/>
          <w:szCs w:val="28"/>
          <w:rtl w:val="true"/>
          <w:lang w:bidi="fa-IR"/>
        </w:rPr>
        <w:t xml:space="preserve">قدم به شهر اصفهان گذاشته، و بالاخره پس از مدّتى تصميم مى‌گيرد كه در همين شهر سكونت كند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416580_1051229030"/>
      <w:bookmarkStart w:id="54" w:name="_Toc19"/>
      <w:bookmarkEnd w:id="53"/>
      <w:r>
        <w:rPr>
          <w:rtl w:val="true"/>
        </w:rPr>
        <w:t>استادان</w:t>
      </w:r>
      <w:bookmarkEnd w:id="54"/>
    </w:p>
    <w:p>
      <w:pPr>
        <w:pStyle w:val="Heading4"/>
        <w:numPr>
          <w:ilvl w:val="3"/>
          <w:numId w:val="1"/>
        </w:numPr>
        <w:rPr/>
      </w:pPr>
      <w:bookmarkStart w:id="55" w:name="__RefHeading___Toc3416582_105122903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استادان حجّة الإسلام شفتى قدس‌سره در كربلا، نجف، كاظمين، و سپس در قم و كاشان، عبارتند از </w:t>
      </w:r>
      <w:r>
        <w:rPr>
          <w:rFonts w:eastAsia="IRNazanin" w:cs="IRNazanin"/>
          <w:color w:val="111111"/>
          <w:sz w:val="28"/>
          <w:szCs w:val="28"/>
          <w:rtl w:val="true"/>
          <w:lang w:bidi="fa-IR"/>
        </w:rPr>
        <w:t>:</w:t>
      </w:r>
    </w:p>
    <w:p>
      <w:pPr>
        <w:pStyle w:val="Heading4"/>
        <w:numPr>
          <w:ilvl w:val="3"/>
          <w:numId w:val="1"/>
        </w:numPr>
        <w:rPr/>
      </w:pPr>
      <w:bookmarkStart w:id="57" w:name="__RefHeading___Toc3416584_1051229030"/>
      <w:bookmarkStart w:id="58" w:name="_Toc21"/>
      <w:bookmarkEnd w:id="57"/>
      <w:r>
        <w:rPr/>
        <w:t>1</w:t>
      </w:r>
      <w:r>
        <w:rPr>
          <w:rtl w:val="true"/>
        </w:rPr>
        <w:t xml:space="preserve"> - </w:t>
      </w:r>
      <w:r>
        <w:rPr>
          <w:rtl w:val="true"/>
        </w:rPr>
        <w:t>مرحوم حاج ميرزا ابوالقاسم گيلانى قمّى</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مدّت زمان تحصيل سيّد حجّة الإسلام نزد مرحوم ميرزاى قمّى شش ماه، و در شهر مقدّس قم بوده، ولى در همين مدّت كوتاه مرحوم حجّة الإسلام </w:t>
      </w:r>
      <w:bookmarkStart w:id="59" w:name="pg7612_45058"/>
    </w:p>
    <w:p>
      <w:pPr>
        <w:pStyle w:val="BookText"/>
        <w:rPr/>
      </w:pPr>
      <w:bookmarkEnd w:id="59"/>
      <w:r>
        <w:rPr>
          <w:rFonts w:ascii="IRNazanin" w:hAnsi="IRNazanin" w:eastAsia="IRNazanin"/>
          <w:color w:val="111111"/>
          <w:sz w:val="28"/>
          <w:sz w:val="28"/>
          <w:szCs w:val="28"/>
          <w:rtl w:val="true"/>
          <w:lang w:bidi="fa-IR"/>
        </w:rPr>
        <w:t xml:space="preserve">بهره‌هاى فراوانى از محضر ميرزاى قمّى مى‌برد، چنانچه به مرحوم علاّمه حاج سيّد محمّد باقر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اظهار داشته،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در اين مدّت كم، به اندازه تمام مدّت تحصيلم در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 كامل حاصل گشت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3416586_1051229030"/>
      <w:bookmarkStart w:id="61" w:name="_Toc22"/>
      <w:bookmarkEnd w:id="60"/>
      <w:r>
        <w:rPr/>
        <w:t>2</w:t>
      </w:r>
      <w:r>
        <w:rPr>
          <w:rtl w:val="true"/>
        </w:rPr>
        <w:t xml:space="preserve"> - </w:t>
      </w:r>
      <w:r>
        <w:rPr>
          <w:rtl w:val="true"/>
        </w:rPr>
        <w:t>علاّمه آقا محمّد باقر بهبهانى قدس‌سره</w:t>
      </w:r>
      <w:bookmarkEnd w:id="61"/>
    </w:p>
    <w:p>
      <w:pPr>
        <w:pStyle w:val="BookText"/>
        <w:rPr/>
      </w:pPr>
      <w:r>
        <w:rPr>
          <w:rFonts w:ascii="IRNazanin" w:hAnsi="IRNazanin" w:eastAsia="IRNazanin"/>
          <w:color w:val="111111"/>
          <w:sz w:val="28"/>
          <w:sz w:val="28"/>
          <w:szCs w:val="28"/>
          <w:rtl w:val="true"/>
          <w:lang w:bidi="fa-IR"/>
        </w:rPr>
        <w:t xml:space="preserve">مرحوم سيّد حجّة الإسلام در ابتداى تحصيل، نزد مرحوم وحيد بهبهانى، علم اصول فقه را فرا مى‌گيرد ؛ چنانچه خود سيّد در بعضى از اجازه نامه‌هايى كه براى شاگردانش مرقوم فرموده، به اين مطلب تصريح كرده،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تحصيل، نزد مرحوم آقا محمّد باقر بهبهانى، كتاب ارزشمندِ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الفوائدالحائريّة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3416588_1051229030"/>
      <w:bookmarkStart w:id="63" w:name="_Toc23"/>
      <w:bookmarkEnd w:id="62"/>
      <w:r>
        <w:rPr/>
        <w:t>3</w:t>
      </w:r>
      <w:r>
        <w:rPr>
          <w:rtl w:val="true"/>
        </w:rPr>
        <w:t xml:space="preserve"> - </w:t>
      </w:r>
      <w:r>
        <w:rPr>
          <w:rtl w:val="true"/>
        </w:rPr>
        <w:t xml:space="preserve">علاّمه حاج شيخ جعفر نجفى رحمه‌الله </w:t>
      </w:r>
      <w:r>
        <w:rPr>
          <w:rtl w:val="true"/>
        </w:rPr>
        <w:t xml:space="preserve">( </w:t>
      </w:r>
      <w:r>
        <w:rPr>
          <w:rtl w:val="true"/>
        </w:rPr>
        <w:t xml:space="preserve">معروف به </w:t>
      </w:r>
      <w:r>
        <w:rPr>
          <w:rtl w:val="true"/>
        </w:rPr>
        <w:t xml:space="preserve">: </w:t>
      </w:r>
      <w:r>
        <w:rPr>
          <w:rtl w:val="true"/>
        </w:rPr>
        <w:t xml:space="preserve">كاشف الغطاء </w:t>
      </w:r>
      <w:r>
        <w:rPr>
          <w:rtl w:val="true"/>
        </w:rPr>
        <w:t>)</w:t>
      </w:r>
      <w:bookmarkEnd w:id="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حجّة الإسلام از محضر مرحوم كاشف الغطاء در نجف اشرف بسيار استفاده مى‌برد، و موفّق به كسب اجازه از وى نيز مى‌گردد </w:t>
      </w:r>
      <w:r>
        <w:rPr>
          <w:rFonts w:eastAsia="IRNazanin" w:cs="IRNazanin"/>
          <w:color w:val="111111"/>
          <w:sz w:val="28"/>
          <w:szCs w:val="28"/>
          <w:rtl w:val="true"/>
          <w:lang w:bidi="fa-IR"/>
        </w:rPr>
        <w:t xml:space="preserve">. </w:t>
      </w:r>
      <w:bookmarkStart w:id="64" w:name="pg7612_45059"/>
    </w:p>
    <w:p>
      <w:pPr>
        <w:pStyle w:val="Heading4"/>
        <w:numPr>
          <w:ilvl w:val="3"/>
          <w:numId w:val="1"/>
        </w:numPr>
        <w:rPr/>
      </w:pPr>
      <w:bookmarkStart w:id="65" w:name="__RefHeading___Toc3416590_1051229030"/>
      <w:bookmarkStart w:id="66" w:name="_Toc24"/>
      <w:bookmarkEnd w:id="64"/>
      <w:bookmarkEnd w:id="65"/>
      <w:r>
        <w:rPr/>
        <w:t>4</w:t>
      </w:r>
      <w:r>
        <w:rPr>
          <w:rtl w:val="true"/>
        </w:rPr>
        <w:t xml:space="preserve"> - </w:t>
      </w:r>
      <w:r>
        <w:rPr>
          <w:rtl w:val="true"/>
        </w:rPr>
        <w:t>آخوند ملاّ على نورى مازندرانى رحمه‌الله</w:t>
      </w:r>
      <w:bookmarkEnd w:id="66"/>
    </w:p>
    <w:p>
      <w:pPr>
        <w:pStyle w:val="BookText"/>
        <w:rPr/>
      </w:pPr>
      <w:r>
        <w:rPr>
          <w:rFonts w:ascii="IRNazanin" w:hAnsi="IRNazanin" w:eastAsia="IRNazanin"/>
          <w:color w:val="111111"/>
          <w:sz w:val="28"/>
          <w:sz w:val="28"/>
          <w:szCs w:val="28"/>
          <w:rtl w:val="true"/>
          <w:lang w:bidi="fa-IR"/>
        </w:rPr>
        <w:t xml:space="preserve">وى با ميرزاى قمّى كمال صداقت و ارادت داشته، و در اصفهان به حاجى كرباسى و سيّد حجّة الإسلام ارادت مى‌ورزيده، و پس از فوت ميرزاى قمّى، از سيّد حجّة الإسلام تقليد مى‌كرده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ماه رجب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اصفهان وفات مى‌كند، و مرحوم حجّة الإسلام شفتى بر او نماز مى‌خواند و سپس بدن او به نجف اشرف منتقل، و در عتبه مقدّسه رواق مطهّر، به خاك سپرده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نگاران اشاره‌اى به شاگردى مرحوم حجّة الإسلام نزد آخوند ملاّ على نورى نكرده‌اند، تنها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و حاجى كرباسى در سوابق ايّام در خدمت آخوند درس خوانده بودند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3416592_1051229030"/>
      <w:bookmarkStart w:id="68" w:name="_Toc25"/>
      <w:bookmarkEnd w:id="67"/>
      <w:r>
        <w:rPr/>
        <w:t>5</w:t>
      </w:r>
      <w:r>
        <w:rPr>
          <w:rtl w:val="true"/>
        </w:rPr>
        <w:t xml:space="preserve"> - </w:t>
      </w:r>
      <w:r>
        <w:rPr>
          <w:rtl w:val="true"/>
        </w:rPr>
        <w:t>علاّمه حاج سيّد على طباطبائى قدس‌سره</w:t>
      </w:r>
      <w:bookmarkEnd w:id="6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حجّة الإسلام در كربلا به درس اين عالم فقيه حاضر شده و از وى بهره فراوان مى‌برد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69" w:name="pg7612_45060"/>
    </w:p>
    <w:p>
      <w:pPr>
        <w:pStyle w:val="Heading4"/>
        <w:numPr>
          <w:ilvl w:val="3"/>
          <w:numId w:val="1"/>
        </w:numPr>
        <w:rPr/>
      </w:pPr>
      <w:bookmarkStart w:id="70" w:name="__RefHeading___Toc3416594_1051229030"/>
      <w:bookmarkStart w:id="71" w:name="_Toc26"/>
      <w:bookmarkEnd w:id="69"/>
      <w:bookmarkEnd w:id="70"/>
      <w:r>
        <w:rPr/>
        <w:t>6</w:t>
      </w:r>
      <w:r>
        <w:rPr>
          <w:rtl w:val="true"/>
        </w:rPr>
        <w:t xml:space="preserve"> - </w:t>
      </w:r>
      <w:r>
        <w:rPr>
          <w:rtl w:val="true"/>
        </w:rPr>
        <w:t>آية اللّه حاج سيّد محسن اعرجى كاظمينى رحمه‌الله</w:t>
      </w:r>
      <w:bookmarkEnd w:id="71"/>
    </w:p>
    <w:p>
      <w:pPr>
        <w:pStyle w:val="BookText"/>
        <w:rPr/>
      </w:pPr>
      <w:r>
        <w:rPr>
          <w:rFonts w:ascii="IRNazanin" w:hAnsi="IRNazanin" w:eastAsia="IRNazanin"/>
          <w:color w:val="111111"/>
          <w:sz w:val="28"/>
          <w:sz w:val="28"/>
          <w:szCs w:val="28"/>
          <w:rtl w:val="true"/>
          <w:lang w:bidi="fa-IR"/>
        </w:rPr>
        <w:t xml:space="preserve">مرحوم حجّة الإسلام در شهر مقدّس كاظمين، نزد اين عالم فاضل و فقيه زاهد،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 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مى‌خواند، و كتابى هم در اين موضوع، در شهر مقدّس كاظمين مى‌نگارد، كه علاّمه حاج شيخ آقا بزرگ تهرانى قدس‌سره در كتاب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مرحوم آقا سيّد حسن صدر كاظمينى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تقريرات درس استادش مرحوم آقا سيّد محسن اعرجى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3416596_1051229030"/>
      <w:bookmarkStart w:id="73" w:name="_Toc27"/>
      <w:bookmarkEnd w:id="72"/>
      <w:r>
        <w:rPr/>
        <w:t>7</w:t>
      </w:r>
      <w:r>
        <w:rPr>
          <w:rtl w:val="true"/>
        </w:rPr>
        <w:t xml:space="preserve"> - </w:t>
      </w:r>
      <w:r>
        <w:rPr>
          <w:rtl w:val="true"/>
        </w:rPr>
        <w:t>علاّمه مجاهد آقا سيّد محمّد طباطبائى قدس‌سره</w:t>
      </w:r>
      <w:bookmarkEnd w:id="7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تراجم و رجال اشاره‌اى به شاگردى مرحوم سيّد حجّة الإسلام نزد سيّد مجاهد، و يا اجازه داشتن ايشان از وى نشده است، تنها مرحوم حاج سيّد محمّد شفيع جاپلقى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شاگردان سيّد حجّة الإسلام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البهيّة في الطرق الشفيعيّة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شرح حال حجّةالإسلام، نامِ استادان ايشان را آورده و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السيّد الأستاد آقا سيّد محمّد أيضًا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74" w:name="pg7612_45061"/>
    </w:p>
    <w:p>
      <w:pPr>
        <w:pStyle w:val="Heading4"/>
        <w:numPr>
          <w:ilvl w:val="3"/>
          <w:numId w:val="1"/>
        </w:numPr>
        <w:rPr/>
      </w:pPr>
      <w:bookmarkStart w:id="75" w:name="__RefHeading___Toc3416598_1051229030"/>
      <w:bookmarkStart w:id="76" w:name="_Toc28"/>
      <w:bookmarkEnd w:id="74"/>
      <w:bookmarkEnd w:id="75"/>
      <w:r>
        <w:rPr/>
        <w:t>8</w:t>
      </w:r>
      <w:r>
        <w:rPr>
          <w:rtl w:val="true"/>
        </w:rPr>
        <w:t xml:space="preserve"> - </w:t>
      </w:r>
      <w:r>
        <w:rPr>
          <w:rtl w:val="true"/>
        </w:rPr>
        <w:t xml:space="preserve">علاّمه حاج سيّد محمّد مهدى طباطبائى قدس‌سره </w:t>
      </w:r>
      <w:r>
        <w:rPr>
          <w:rtl w:val="true"/>
        </w:rPr>
        <w:t xml:space="preserve">( </w:t>
      </w:r>
      <w:r>
        <w:rPr>
          <w:rtl w:val="true"/>
        </w:rPr>
        <w:t xml:space="preserve">سيّد بحرالعلوم </w:t>
      </w:r>
      <w:r>
        <w:rPr>
          <w:rtl w:val="true"/>
        </w:rPr>
        <w:t>)</w:t>
      </w:r>
      <w:bookmarkEnd w:id="76"/>
    </w:p>
    <w:p>
      <w:pPr>
        <w:pStyle w:val="BookText"/>
        <w:rPr/>
      </w:pPr>
      <w:r>
        <w:rPr>
          <w:rFonts w:ascii="Amiri" w:hAnsi="Amiri" w:eastAsia="Amiri" w:cs="Amiri"/>
          <w:color w:val="111111"/>
          <w:sz w:val="28"/>
          <w:sz w:val="28"/>
          <w:szCs w:val="28"/>
          <w:rtl w:val="true"/>
          <w:lang w:bidi="ar-SA"/>
        </w:rPr>
        <w:t xml:space="preserve">مرحوم حجّة الإسلام شفتى در نجف اشرف به درس مرحوم سيّد بحرالعلوم حاضر مى‌شود، و مدّت زيادى از محضر او استفاده مى‌برد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اجازاتش به شاگردى خود نزد سيّد بحرالعلوم تصريح كرده و او را چنين ستوده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زبدة العلماء المحدّثين، و عمدة الفضلاء المتبحّرين، أعلم علماء الزمان، مربّي علماء الأعيان، سلطان العلماء العاملين، برهان أهل الحقّ واليقين، ناموس شريعة جدّه سيّد المرسلين، سيّدنا و أستادنا السيّد محمّد مهدي الطباطبائيّ النجفيّ مسكنًا و مدفنًا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3416600_1051229030"/>
      <w:bookmarkStart w:id="78" w:name="_Toc29"/>
      <w:bookmarkEnd w:id="77"/>
      <w:r>
        <w:rPr/>
        <w:t>9</w:t>
      </w:r>
      <w:r>
        <w:rPr>
          <w:rtl w:val="true"/>
        </w:rPr>
        <w:t xml:space="preserve"> - </w:t>
      </w:r>
      <w:r>
        <w:rPr>
          <w:rtl w:val="true"/>
        </w:rPr>
        <w:t>مرحوم ملاّ محمّد مهدى نراقى</w:t>
      </w:r>
      <w:bookmarkEnd w:id="78"/>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حجّة الإسلام شفتى دركاشان به درس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محمّد مهدى نراقى حاضر شد</w:t>
      </w:r>
      <w:r>
        <w:rPr>
          <w:rFonts w:eastAsia="IRNazanin" w:cs="IRNazanin"/>
          <w:color w:val="111111"/>
          <w:sz w:val="28"/>
          <w:szCs w:val="28"/>
          <w:rtl w:val="true"/>
          <w:lang w:bidi="fa-IR"/>
        </w:rPr>
        <w:t xml:space="preserve">. </w:t>
      </w:r>
      <w:bookmarkStart w:id="79" w:name="pg7612_45062"/>
    </w:p>
    <w:p>
      <w:pPr>
        <w:pStyle w:val="Heading3"/>
        <w:numPr>
          <w:ilvl w:val="2"/>
          <w:numId w:val="1"/>
        </w:numPr>
        <w:rPr/>
      </w:pPr>
      <w:bookmarkStart w:id="80" w:name="__RefHeading___Toc3416602_1051229030"/>
      <w:bookmarkStart w:id="81" w:name="_Toc30"/>
      <w:bookmarkEnd w:id="79"/>
      <w:bookmarkEnd w:id="80"/>
      <w:r>
        <w:rPr>
          <w:rtl w:val="true"/>
        </w:rPr>
        <w:t>مشايخ اجازه</w:t>
      </w:r>
      <w:bookmarkEnd w:id="81"/>
    </w:p>
    <w:p>
      <w:pPr>
        <w:pStyle w:val="Heading4"/>
        <w:numPr>
          <w:ilvl w:val="3"/>
          <w:numId w:val="1"/>
        </w:numPr>
        <w:rPr/>
      </w:pPr>
      <w:bookmarkStart w:id="82" w:name="__RefHeading___Toc3416604_1051229030"/>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مرحوم علاّمه حاج سيّد محمّد باقر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مبرّز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الإسلام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كه به كسب كمال مى‌پرداختم، انگيزه‌اى براى گرفتن اجازه از اساتيدِ خود نداشتم، و مانند بعضى كه خواهان رياست بودند، در اين انديشه شب را به روز نمى‌آوردم، با آنكه روش برخورد استادان با من به گونه‌اى بود كه انتظار داشتند از آنان كسب اجازه نمايم، و آنها نيز بى‌درنگ و به محض اظهارِ من، خواسته مرا اجابت مى‌كردند ؛ به همين مناسبت از اجازه روايتِ مروّج بهبهانى، و ساير دانشمندان زمانِ او محروم ماندم، اى كاش چنان بى‌نيازى را در خود احساس نمى‌كردم، و اين رويّه را سيره خود قرار نداده بودم، تا امروز اين گونه محروميّت نصيب من نمى‌شد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حجّة الإسلام شفتى قدس‌سره از شش تن از مجتهدان بزرگ زمانِخويش اجازه دريافت كرد، كه عبارتند از </w:t>
      </w:r>
      <w:r>
        <w:rPr>
          <w:rFonts w:eastAsia="IRNazanin" w:cs="IRNazanin"/>
          <w:color w:val="111111"/>
          <w:sz w:val="28"/>
          <w:szCs w:val="28"/>
          <w:rtl w:val="true"/>
          <w:lang w:bidi="fa-IR"/>
        </w:rPr>
        <w:t xml:space="preserve">: </w:t>
      </w:r>
      <w:bookmarkStart w:id="84" w:name="pg7612_45063"/>
    </w:p>
    <w:p>
      <w:pPr>
        <w:pStyle w:val="Heading4"/>
        <w:numPr>
          <w:ilvl w:val="3"/>
          <w:numId w:val="1"/>
        </w:numPr>
        <w:rPr/>
      </w:pPr>
      <w:bookmarkStart w:id="85" w:name="__RefHeading___Toc3416606_1051229030"/>
      <w:bookmarkStart w:id="86" w:name="_Toc32"/>
      <w:bookmarkEnd w:id="84"/>
      <w:bookmarkEnd w:id="85"/>
      <w:r>
        <w:rPr/>
        <w:t>1</w:t>
      </w:r>
      <w:r>
        <w:rPr>
          <w:rtl w:val="true"/>
        </w:rPr>
        <w:t xml:space="preserve"> - </w:t>
      </w:r>
      <w:r>
        <w:rPr>
          <w:rtl w:val="true"/>
        </w:rPr>
        <w:t>مرحوم حاج ميرزا ابوالقاسم قمّى گيلانى</w:t>
      </w:r>
      <w:bookmarkEnd w:id="86"/>
    </w:p>
    <w:p>
      <w:pPr>
        <w:pStyle w:val="BookText"/>
        <w:rPr/>
      </w:pPr>
      <w:r>
        <w:rPr>
          <w:rFonts w:ascii="IRNazanin" w:hAnsi="IRNazanin" w:eastAsia="IRNazanin"/>
          <w:color w:val="111111"/>
          <w:sz w:val="28"/>
          <w:sz w:val="28"/>
          <w:szCs w:val="28"/>
          <w:rtl w:val="true"/>
          <w:lang w:bidi="fa-IR"/>
        </w:rPr>
        <w:t xml:space="preserve">مرحوم محقّق قمّى در اجازه‌اى كه در چندين صفحه تنظيم شده، و نگارش آن شب عيد فطر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پايان يافته، علاوه بر اجازه نقل روايت، گواهى بر اجتهاد، نبوغ علمى، و زهد و تقواى حجّة الإسلام نيز داده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3416608_1051229030"/>
      <w:bookmarkStart w:id="88" w:name="_Toc33"/>
      <w:bookmarkEnd w:id="87"/>
      <w:r>
        <w:rPr/>
        <w:t>2</w:t>
      </w:r>
      <w:r>
        <w:rPr>
          <w:rtl w:val="true"/>
        </w:rPr>
        <w:t xml:space="preserve"> - </w:t>
      </w:r>
      <w:r>
        <w:rPr>
          <w:rtl w:val="true"/>
        </w:rPr>
        <w:t>مرحوم سيّد محمّد مهدى موسوى شهرستانى</w:t>
      </w:r>
      <w:bookmarkEnd w:id="88"/>
    </w:p>
    <w:p>
      <w:pPr>
        <w:pStyle w:val="BookText"/>
        <w:rPr/>
      </w:pPr>
      <w:r>
        <w:rPr>
          <w:rFonts w:ascii="Amiri" w:hAnsi="Amiri" w:eastAsia="Amiri" w:cs="Amiri"/>
          <w:color w:val="111111"/>
          <w:sz w:val="28"/>
          <w:sz w:val="28"/>
          <w:szCs w:val="28"/>
          <w:rtl w:val="true"/>
          <w:lang w:bidi="ar-SA"/>
        </w:rPr>
        <w:t xml:space="preserve">مرحوم شهرستانى در اجازه يك صفحه‌اى خود به سيّد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تاريخِ اواخر رمضان سال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را به اين اوصاف ستوده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الفاضل الجليل الكامل، مولانا الأكرم الأمجد، الولد الروحانيّ السيّد محمّد باقر بن السيّد محمّد نقي الشفتيّ الجيلانيّ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3416610_1051229030"/>
      <w:bookmarkStart w:id="90" w:name="_Toc34"/>
      <w:bookmarkEnd w:id="89"/>
      <w:r>
        <w:rPr/>
        <w:t>3</w:t>
      </w:r>
      <w:r>
        <w:rPr>
          <w:rtl w:val="true"/>
        </w:rPr>
        <w:t xml:space="preserve"> - </w:t>
      </w:r>
      <w:r>
        <w:rPr>
          <w:rtl w:val="true"/>
        </w:rPr>
        <w:t xml:space="preserve">مرحوم آية اللّه شيخ جعفر نجفى </w:t>
      </w:r>
      <w:r>
        <w:rPr>
          <w:rtl w:val="true"/>
        </w:rPr>
        <w:t xml:space="preserve">( </w:t>
      </w:r>
      <w:r>
        <w:rPr>
          <w:rtl w:val="true"/>
        </w:rPr>
        <w:t xml:space="preserve">كاشف الغطاء </w:t>
      </w:r>
      <w:r>
        <w:rPr>
          <w:rtl w:val="true"/>
        </w:rPr>
        <w:t>)</w:t>
      </w:r>
      <w:bookmarkEnd w:id="9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الإسلام شفتى قدس‌سره در اجازه‌اى كه براى سيّد قوام الدين قزوينى مرقوم </w:t>
      </w:r>
      <w:bookmarkStart w:id="91" w:name="pg7612_45064"/>
    </w:p>
    <w:p>
      <w:pPr>
        <w:pStyle w:val="BookText"/>
        <w:rPr/>
      </w:pPr>
      <w:bookmarkEnd w:id="91"/>
      <w:r>
        <w:rPr>
          <w:rFonts w:ascii="Amiri" w:hAnsi="Amiri" w:eastAsia="Amiri" w:cs="Amiri"/>
          <w:color w:val="111111"/>
          <w:sz w:val="28"/>
          <w:sz w:val="28"/>
          <w:szCs w:val="28"/>
          <w:rtl w:val="true"/>
          <w:lang w:bidi="ar-SA"/>
        </w:rPr>
        <w:t xml:space="preserve">فرموده، مرحوم نجفى را از مشايخ خود شمرده و در وصف او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الزاخر والبدر الباهر، الجامع للمحاسن والمفاخر، العالم العامل والفاضل الكامل، شيخنا المعظّم المكرم، ملاذ العرب والعجم، معدن الفضائل الجليلة، ناهج المناهج السويّة، بالغ المقاصد العليّة، مهذّب الأحكام الإلهيّة، ناشر المآثر الجعفريّة، باسط المحسّنات الدينيّة، شيخنا و عمادنا الشيخ جعفر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و أفاض على مضجعه المراحم الربّانيّة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3416612_1051229030"/>
      <w:bookmarkStart w:id="93" w:name="_Toc35"/>
      <w:bookmarkEnd w:id="92"/>
      <w:r>
        <w:rPr/>
        <w:t>4</w:t>
      </w:r>
      <w:r>
        <w:rPr>
          <w:rtl w:val="true"/>
        </w:rPr>
        <w:t xml:space="preserve"> - </w:t>
      </w:r>
      <w:r>
        <w:rPr>
          <w:rtl w:val="true"/>
        </w:rPr>
        <w:t>مرحوم أمير سيّد على طباطبائى حائرى</w:t>
      </w:r>
      <w:bookmarkEnd w:id="93"/>
    </w:p>
    <w:p>
      <w:pPr>
        <w:pStyle w:val="BookText"/>
        <w:rPr/>
      </w:pPr>
      <w:r>
        <w:rPr>
          <w:rFonts w:ascii="Amiri" w:hAnsi="Amiri" w:eastAsia="Amiri" w:cs="Amiri"/>
          <w:color w:val="111111"/>
          <w:sz w:val="28"/>
          <w:sz w:val="28"/>
          <w:szCs w:val="28"/>
          <w:rtl w:val="true"/>
          <w:lang w:bidi="ar-SA"/>
        </w:rPr>
        <w:t xml:space="preserve">ايشان از مشايخ اجازه مرحوم سيّد حجّة الإسلام بوده، و سيّد در اجازات خود، وى را با اين اوصاف ستوده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فلك الإفادة والإفاضة، بدر سماء المجد و العزّ و السعادة، محيي قواعد الشريعة الغرّاء، مقنّن قوانين الإجتهاد في الملّة البيضاء، فخر المجتهدين، ملاذ العلماء العاملين، ملجأ الفقهاء الكاملين، سيّدنا و أستاذنا العليّ العالي الأمير السيّد علي الطباطبائيّ الحائريّ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94" w:name="pg7612_45065"/>
    </w:p>
    <w:p>
      <w:pPr>
        <w:pStyle w:val="Heading4"/>
        <w:numPr>
          <w:ilvl w:val="3"/>
          <w:numId w:val="1"/>
        </w:numPr>
        <w:rPr/>
      </w:pPr>
      <w:bookmarkStart w:id="95" w:name="__RefHeading___Toc3416614_1051229030"/>
      <w:bookmarkStart w:id="96" w:name="_Toc36"/>
      <w:bookmarkEnd w:id="94"/>
      <w:bookmarkEnd w:id="95"/>
      <w:r>
        <w:rPr/>
        <w:t>5</w:t>
      </w:r>
      <w:r>
        <w:rPr>
          <w:rtl w:val="true"/>
        </w:rPr>
        <w:t xml:space="preserve"> - </w:t>
      </w:r>
      <w:r>
        <w:rPr>
          <w:rtl w:val="true"/>
        </w:rPr>
        <w:t>مرحوم سيّد محسن أعرجى بغدادى</w:t>
      </w:r>
      <w:bookmarkEnd w:id="96"/>
    </w:p>
    <w:p>
      <w:pPr>
        <w:pStyle w:val="BookText"/>
        <w:rPr/>
      </w:pPr>
      <w:r>
        <w:rPr>
          <w:rFonts w:ascii="IRNazanin" w:hAnsi="IRNazanin" w:eastAsia="IRNazanin"/>
          <w:color w:val="111111"/>
          <w:sz w:val="28"/>
          <w:sz w:val="28"/>
          <w:szCs w:val="28"/>
          <w:rtl w:val="true"/>
          <w:lang w:bidi="fa-IR"/>
        </w:rPr>
        <w:t xml:space="preserve">مرحوم حجّة الإسلام در اجازاتش، از وى چنين ياد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سيّدنا التقي النقي الوفي الورع العابد العالم الزكي، قدوة العباد والزهّاد والنسّاك، مولانا العماد السيّد الجليل السعيد النبيل سيّدنا السيّد محسن البغداديّ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3416616_1051229030"/>
      <w:bookmarkStart w:id="98" w:name="_Toc37"/>
      <w:bookmarkEnd w:id="97"/>
      <w:r>
        <w:rPr/>
        <w:t>6</w:t>
      </w:r>
      <w:r>
        <w:rPr>
          <w:rtl w:val="true"/>
        </w:rPr>
        <w:t xml:space="preserve"> - </w:t>
      </w:r>
      <w:r>
        <w:rPr>
          <w:rtl w:val="true"/>
        </w:rPr>
        <w:t>مرحوم شيخ سليمان عاملى كاظمينى</w:t>
      </w:r>
      <w:bookmarkEnd w:id="98"/>
    </w:p>
    <w:p>
      <w:pPr>
        <w:pStyle w:val="BookText"/>
        <w:rPr/>
      </w:pPr>
      <w:r>
        <w:rPr>
          <w:rFonts w:ascii="IRNazanin" w:hAnsi="IRNazanin" w:eastAsia="IRNazanin"/>
          <w:color w:val="111111"/>
          <w:sz w:val="28"/>
          <w:sz w:val="28"/>
          <w:szCs w:val="28"/>
          <w:rtl w:val="true"/>
          <w:lang w:bidi="fa-IR"/>
        </w:rPr>
        <w:t xml:space="preserve">حجّة الإسلام شفتى در اجازه‌اى كه براى سيّد قوام الدين قزوينى نوشته، او را از مشايخ خود شمرده و از وى چنين ياد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العالم العامل الكامل شيخنا المعظّم المكرّم الشيخ سليمان بن الشيخ المعتوق العاملي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3416618_1051229030"/>
      <w:bookmarkStart w:id="100" w:name="_Toc38"/>
      <w:bookmarkEnd w:id="99"/>
      <w:r>
        <w:rPr>
          <w:rtl w:val="true"/>
        </w:rPr>
        <w:t>ويژگى‌هاى اخلاقى</w:t>
      </w:r>
      <w:bookmarkEnd w:id="10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خوانسارى، از شاگردان مرحوم حجّة الإسلام، درباره خصوصيّات اخلاقى و رفتارى استاد خويش مى‌نويسد </w:t>
      </w:r>
      <w:r>
        <w:rPr>
          <w:rFonts w:eastAsia="IRNazanin" w:cs="IRNazanin"/>
          <w:color w:val="111111"/>
          <w:sz w:val="28"/>
          <w:szCs w:val="28"/>
          <w:rtl w:val="true"/>
          <w:lang w:bidi="fa-IR"/>
        </w:rPr>
        <w:t xml:space="preserve">: </w:t>
      </w:r>
      <w:bookmarkStart w:id="101" w:name="pg7612_45066"/>
    </w:p>
    <w:p>
      <w:pPr>
        <w:pStyle w:val="BookText"/>
        <w:rPr/>
      </w:pPr>
      <w:bookmarkEnd w:id="101"/>
      <w:r>
        <w:rPr>
          <w:rFonts w:ascii="IRNazanin" w:hAnsi="IRNazanin" w:eastAsia="IRNazanin"/>
          <w:color w:val="111111"/>
          <w:sz w:val="28"/>
          <w:sz w:val="28"/>
          <w:szCs w:val="28"/>
          <w:rtl w:val="true"/>
          <w:lang w:bidi="fa-IR"/>
        </w:rPr>
        <w:t xml:space="preserve">در نرمى و ملايمت آن قدر اخلاقش لطيف و ملايم بود كه من اخلاق او را هميشه به اخلاق جدّ بزرگوارش حضرت محمّد صلى‌الله‌عليه‌و‌آله تشبيه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حلم و بردبارى او را حليم‌ترين افراد در مقام فرو بردن خشم و غيظِ خود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صبر و تحمّل به گونه‌اى بود كه بيشتر از همه بر نفس خويش تسلّط داشت، و مانند كوهى مقابل اندوه‌ها و مشكلات پا بر جا بود، و هرگز تزلزل و ضعف در وجود او راه پيدا نمى‌كرد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صفاى نفس و وسعت نظر به گونه‌اى بود كه اگر بسيارى از اشخاص و يا بستگان و برادران او در مقام قطع ارتباط با او بودند، او هميشه در برقرارى روابط با آنها و احسان به آنها كوشا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توجّه و رعايت آداب عرفى و حسن معاشرت، يگانه روزگار بود، و همه در برابر بزرگوارى و خوش رفتارى او خاضع بودند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3416620_1051229030"/>
      <w:bookmarkStart w:id="103" w:name="_Toc39"/>
      <w:bookmarkEnd w:id="102"/>
      <w:r>
        <w:rPr>
          <w:rtl w:val="true"/>
        </w:rPr>
        <w:t>سخاوت</w:t>
      </w:r>
      <w:bookmarkEnd w:id="103"/>
    </w:p>
    <w:p>
      <w:pPr>
        <w:pStyle w:val="Heading4"/>
        <w:numPr>
          <w:ilvl w:val="3"/>
          <w:numId w:val="1"/>
        </w:numPr>
        <w:rPr/>
      </w:pPr>
      <w:bookmarkStart w:id="104" w:name="__RefHeading___Toc3416622_1051229030"/>
      <w:bookmarkStart w:id="105" w:name="_Toc40"/>
      <w:bookmarkEnd w:id="104"/>
      <w:r>
        <w:rPr>
          <w:rtl w:val="true"/>
        </w:rPr>
        <w:t>اشاره</w:t>
      </w:r>
      <w:bookmarkEnd w:id="10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سخاوت مرحوم حجّة الإسلام و بخشش‌هاى بسيار او، تنها به اين مختصر تمام نمى‌شود، بلكه نياز به تاليف كتابى جداگانه دارد، ولى براى نمونه در </w:t>
      </w:r>
      <w:bookmarkStart w:id="106" w:name="pg7612_45067"/>
    </w:p>
    <w:p>
      <w:pPr>
        <w:pStyle w:val="BookText"/>
        <w:rPr/>
      </w:pPr>
      <w:bookmarkEnd w:id="106"/>
      <w:r>
        <w:rPr>
          <w:rFonts w:ascii="IRNazanin" w:hAnsi="IRNazanin" w:eastAsia="IRNazanin"/>
          <w:color w:val="111111"/>
          <w:sz w:val="28"/>
          <w:sz w:val="28"/>
          <w:szCs w:val="28"/>
          <w:rtl w:val="true"/>
          <w:lang w:bidi="fa-IR"/>
        </w:rPr>
        <w:t xml:space="preserve">اينجا به سخن چند تن از بزرگان درباره كرم و بخشش سيّد حجّة الإسلام، و نيزنمونه‌اى از بخشش‌هاى وى اشاره مى‌كنيم </w:t>
      </w:r>
      <w:r>
        <w:rPr>
          <w:rFonts w:eastAsia="IRNazanin" w:cs="IRNazanin"/>
          <w:color w:val="111111"/>
          <w:sz w:val="28"/>
          <w:szCs w:val="28"/>
          <w:rtl w:val="true"/>
          <w:lang w:bidi="fa-IR"/>
        </w:rPr>
        <w:t>.</w:t>
      </w:r>
    </w:p>
    <w:p>
      <w:pPr>
        <w:pStyle w:val="Heading4"/>
        <w:numPr>
          <w:ilvl w:val="3"/>
          <w:numId w:val="1"/>
        </w:numPr>
        <w:rPr/>
      </w:pPr>
      <w:bookmarkStart w:id="107" w:name="__RefHeading___Toc3416624_1051229030"/>
      <w:bookmarkStart w:id="108" w:name="_Toc41"/>
      <w:bookmarkEnd w:id="107"/>
      <w:r>
        <w:rPr/>
        <w:t>1</w:t>
      </w:r>
      <w:r>
        <w:rPr>
          <w:rtl w:val="true"/>
        </w:rPr>
        <w:t xml:space="preserve"> - </w:t>
      </w:r>
      <w:r>
        <w:rPr>
          <w:rtl w:val="true"/>
        </w:rPr>
        <w:t xml:space="preserve">مرحوم علاّمه حاج سيّد محمّد باقر خوانسارى در كتاب </w:t>
      </w:r>
      <w:r>
        <w:rPr>
          <w:rtl w:val="true"/>
        </w:rPr>
        <w:t xml:space="preserve">« </w:t>
      </w:r>
      <w:r>
        <w:rPr>
          <w:rtl w:val="true"/>
        </w:rPr>
        <w:t xml:space="preserve">روضات الجنّات </w:t>
      </w:r>
      <w:r>
        <w:rPr>
          <w:rtl w:val="true"/>
        </w:rPr>
        <w:t xml:space="preserve">» </w:t>
      </w:r>
      <w:r>
        <w:rPr>
          <w:rtl w:val="true"/>
        </w:rPr>
        <w:t xml:space="preserve">مى‌فرمايد </w:t>
      </w:r>
      <w:r>
        <w:rPr>
          <w:rtl w:val="true"/>
        </w:rPr>
        <w:t>:</w:t>
      </w:r>
      <w:bookmarkEnd w:id="108"/>
    </w:p>
    <w:p>
      <w:pPr>
        <w:pStyle w:val="BookText"/>
        <w:rPr/>
      </w:pPr>
      <w:r>
        <w:rPr>
          <w:rFonts w:ascii="IRNazanin" w:hAnsi="IRNazanin" w:eastAsia="IRNazanin"/>
          <w:color w:val="111111"/>
          <w:sz w:val="28"/>
          <w:sz w:val="28"/>
          <w:szCs w:val="28"/>
          <w:rtl w:val="true"/>
          <w:lang w:bidi="fa-IR"/>
        </w:rPr>
        <w:t xml:space="preserve">حجّة الإسلام در جود و بخشش به پايه‌اى بود 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در گرو احسانِ او بوده، و او از علم و مال و مقام نسبت به هيچ يك از نيازمندان دريغ نمى‌داشت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3416626_1051229030"/>
      <w:bookmarkStart w:id="110" w:name="_Toc42"/>
      <w:bookmarkEnd w:id="109"/>
      <w:r>
        <w:rPr/>
        <w:t>2</w:t>
      </w:r>
      <w:r>
        <w:rPr>
          <w:rtl w:val="true"/>
        </w:rPr>
        <w:t xml:space="preserve"> - </w:t>
      </w:r>
      <w:r>
        <w:rPr>
          <w:rtl w:val="true"/>
        </w:rPr>
        <w:t xml:space="preserve">مرحوم ميرزا محمّد على مدرّس مى‌نويسد </w:t>
      </w:r>
      <w:r>
        <w:rPr>
          <w:rtl w:val="true"/>
        </w:rPr>
        <w:t>:</w:t>
      </w:r>
      <w:bookmarkEnd w:id="110"/>
    </w:p>
    <w:p>
      <w:pPr>
        <w:pStyle w:val="BookText"/>
        <w:rPr/>
      </w:pPr>
      <w:r>
        <w:rPr>
          <w:rFonts w:ascii="IRNazanin" w:hAnsi="IRNazanin" w:eastAsia="IRNazanin"/>
          <w:color w:val="111111"/>
          <w:sz w:val="28"/>
          <w:sz w:val="28"/>
          <w:szCs w:val="28"/>
          <w:rtl w:val="true"/>
          <w:lang w:bidi="fa-IR"/>
        </w:rPr>
        <w:t xml:space="preserve">فوائدى كه از وى به سادات و فقرا و طلاّب علوم دينيّه عائد مى‌گرديد، خارج از حدِّ احصا مى‌باشد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3416628_1051229030"/>
      <w:bookmarkStart w:id="112" w:name="_Toc43"/>
      <w:bookmarkEnd w:id="111"/>
      <w:r>
        <w:rPr>
          <w:rtl w:val="true"/>
        </w:rPr>
        <w:t>عبادت</w:t>
      </w:r>
      <w:bookmarkEnd w:id="11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حجّة الإسلام حاج سيّد محمّد باقر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بود كه از نصف شب تا به صبح به گريه و زارى و تضرّع اشتغال داشته و در صحن كتابخانه‌اش مانند ديوانگان مى‌گرديد و دعا مى‌خواند، و تا صبح بر سر و سينه‌اش مى‌زد </w:t>
      </w:r>
      <w:r>
        <w:rPr>
          <w:rFonts w:eastAsia="IRNazanin" w:cs="IRNazanin"/>
          <w:color w:val="111111"/>
          <w:sz w:val="28"/>
          <w:szCs w:val="28"/>
          <w:rtl w:val="true"/>
          <w:lang w:bidi="fa-IR"/>
        </w:rPr>
        <w:t xml:space="preserve">. </w:t>
      </w:r>
      <w:bookmarkStart w:id="113" w:name="pg7612_45068"/>
    </w:p>
    <w:p>
      <w:pPr>
        <w:pStyle w:val="BookText"/>
        <w:rPr/>
      </w:pPr>
      <w:bookmarkEnd w:id="113"/>
      <w:r>
        <w:rPr>
          <w:rFonts w:ascii="IRNazanin" w:hAnsi="IRNazanin" w:eastAsia="IRNazanin"/>
          <w:color w:val="111111"/>
          <w:sz w:val="28"/>
          <w:sz w:val="28"/>
          <w:szCs w:val="28"/>
          <w:rtl w:val="true"/>
          <w:lang w:bidi="fa-IR"/>
        </w:rPr>
        <w:t xml:space="preserve">وى در اواخر زندگانى آن قدر گريسته بود و ناله و بى‌قرارى كرده بود كه او را باد فتق عارض شده بود، و اطبّا هر چه معالجه كردند، مفيد واقع نشد، تا اينكهاو را از گريه منع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تو حرام است، پس هر زمان كه به مسجد مى‌رفت، ذاكرين تا او نشسته بود بر بالاى منبر نمى‌رفتند، مگر زمانى كه از مسجد بيرون مى‌آمد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آية اللّه سيّد حسن صدر كاظمى از پدر خود نقل مى‌كند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گوشه‌هاى چشم حجّة الإسلام از اثر كثرت گريه كردن در مقام تهجّد مجروح شده بود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3416630_1051229030"/>
      <w:bookmarkStart w:id="115" w:name="_Toc44"/>
      <w:bookmarkEnd w:id="114"/>
      <w:r>
        <w:rPr>
          <w:rtl w:val="true"/>
        </w:rPr>
        <w:t>شاگردان</w:t>
      </w:r>
      <w:bookmarkEnd w:id="115"/>
    </w:p>
    <w:p>
      <w:pPr>
        <w:pStyle w:val="BookText"/>
        <w:rPr/>
      </w:pPr>
      <w:r>
        <w:rPr>
          <w:rFonts w:ascii="IRNazanin" w:hAnsi="IRNazanin" w:eastAsia="IRNazanin"/>
          <w:color w:val="111111"/>
          <w:sz w:val="28"/>
          <w:sz w:val="28"/>
          <w:szCs w:val="28"/>
          <w:rtl w:val="true"/>
          <w:lang w:bidi="fa-IR"/>
        </w:rPr>
        <w:t xml:space="preserve">از ثمرات مجلس درس حجّة الإسلام شفتى، مى‌توان به تربيت و تعليم شاگردانى اشاره كرد كه هر يك مرجعِ عصر خويش گرديدند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نامدار مرحوم سيّد مصلح الدين مهدوى، در كتاب ارزشمندِ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شرح زندگانى سيّد حجّة الإسلام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شرح زندگانى يكصد و چهل وهشت نفر از شاگردان سيّد حجّة الإسلام را آورده است</w:t>
      </w:r>
      <w:r>
        <w:rPr>
          <w:rFonts w:eastAsia="IRNazanin" w:cs="IRNazanin"/>
          <w:color w:val="111111"/>
          <w:sz w:val="28"/>
          <w:szCs w:val="28"/>
          <w:rtl w:val="true"/>
          <w:lang w:bidi="fa-IR"/>
        </w:rPr>
        <w:t xml:space="preserve">. </w:t>
      </w:r>
      <w:bookmarkStart w:id="116" w:name="pg7612_45069"/>
    </w:p>
    <w:p>
      <w:pPr>
        <w:pStyle w:val="Heading3"/>
        <w:numPr>
          <w:ilvl w:val="2"/>
          <w:numId w:val="1"/>
        </w:numPr>
        <w:rPr/>
      </w:pPr>
      <w:bookmarkStart w:id="117" w:name="__RefHeading___Toc3416632_1051229030"/>
      <w:bookmarkStart w:id="118" w:name="_Toc45"/>
      <w:bookmarkEnd w:id="116"/>
      <w:bookmarkEnd w:id="117"/>
      <w:r>
        <w:rPr>
          <w:rtl w:val="true"/>
        </w:rPr>
        <w:t>داورى</w:t>
      </w:r>
      <w:bookmarkEnd w:id="118"/>
    </w:p>
    <w:p>
      <w:pPr>
        <w:pStyle w:val="BookText"/>
        <w:rPr/>
      </w:pPr>
      <w:r>
        <w:rPr>
          <w:rFonts w:ascii="IRNazanin" w:hAnsi="IRNazanin" w:eastAsia="IRNazanin"/>
          <w:color w:val="111111"/>
          <w:sz w:val="28"/>
          <w:sz w:val="28"/>
          <w:szCs w:val="28"/>
          <w:rtl w:val="true"/>
          <w:lang w:bidi="fa-IR"/>
        </w:rPr>
        <w:t xml:space="preserve">سيّد حجّة الاسلام، چنان چه معاصر او مرحوم وفا زوّاره‌اى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مآثر الباقريّة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تشريف فرماى مَدْرَسِ مقدّس مى‌شوند ، روز دوشنبه را به مرافعه ، و روز چهارشنبه را به شنيدن اشعار شعرا اختصاص مى‌دادند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الإسلام شفتى قدس‌سره در امور قضايى، از فراست عجيبى برخوردار بود ؛ به گونه‌اى كه حيله‌ها، تزويرها، و سند سازى‌هاى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زمان‌ها متداول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وى كارگر نمى‌افتاد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محمّد تنكابنى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مرحوم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قضاوت وى گويد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ايشان در نهايتِ اتقان و استوارى بود، و در حكم دادن بسيار دقّت مى‌فرمود، و مرافعات را طول مى‌داد، و گاهى اتّفاق مى‌افتاد كه يك مرافعه و نزاع ميانِ دو نفر را مدّت يك سال، يا كمتر و يا بيشتر، به تأخير مى‌انداخت، و تا يقين به حقيقتِ موضوعى حاصل نمى‌كرد، حكم صادر نمى‌فرمود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w:t>
      </w:r>
      <w:bookmarkStart w:id="119" w:name="pg7612_45070"/>
    </w:p>
    <w:p>
      <w:pPr>
        <w:pStyle w:val="BookText"/>
        <w:rPr/>
      </w:pPr>
      <w:bookmarkEnd w:id="119"/>
      <w:r>
        <w:rPr>
          <w:rFonts w:ascii="IRNazanin" w:hAnsi="IRNazanin" w:eastAsia="IRNazanin"/>
          <w:color w:val="111111"/>
          <w:sz w:val="28"/>
          <w:sz w:val="28"/>
          <w:szCs w:val="28"/>
          <w:rtl w:val="true"/>
          <w:lang w:bidi="fa-IR"/>
        </w:rPr>
        <w:t xml:space="preserve">امرِ قضاوت فراست و زيركى عجيب داشت ؛ چنانكه فقها در كتابِ قضاوت، فراست را يكى از صفاتِ قاضى شمرده‌اند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416634_1051229030"/>
      <w:bookmarkStart w:id="121" w:name="_Toc46"/>
      <w:bookmarkEnd w:id="120"/>
      <w:r>
        <w:rPr>
          <w:rtl w:val="true"/>
        </w:rPr>
        <w:t>اجراى حدود الهى</w:t>
      </w:r>
      <w:bookmarkEnd w:id="121"/>
    </w:p>
    <w:p>
      <w:pPr>
        <w:pStyle w:val="BookText"/>
        <w:rPr/>
      </w:pPr>
      <w:r>
        <w:rPr>
          <w:rFonts w:ascii="Amiri" w:hAnsi="Amiri" w:eastAsia="Amiri" w:cs="Amiri"/>
          <w:color w:val="111111"/>
          <w:sz w:val="28"/>
          <w:sz w:val="28"/>
          <w:szCs w:val="28"/>
          <w:rtl w:val="true"/>
          <w:lang w:bidi="ar-SA"/>
        </w:rPr>
        <w:t xml:space="preserve">مير سيّد على 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درباره اجراى حدود توسط مرحوم حجّة الإسلام شفتى،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مسأله اجراى حدود او بوده است، كه مهمترين عبادات خود آن را مى‌دانسته، حتّى وقتى جهت استسقاء جمعيّت از شهر به منزل او رفته بودند، كه به اتّفاق بروند در مسجد مصلاّى تخت فولاد، سيّد مردم را به بهانه‌اى متفرّق مى‌كند و يك نفر سارق كه در آن وقت محكوم به بريده شدن دست بوده است، حاضر مى‌سازد و با قلم و مركّب حدّ بريدن را روى دستِ سارق معيّن كرده، به مباشر اين قبيل امورخود حكم مى‌كند تا مى‌بُرَد ؛ اتّفاقًا در آن نزديكى هم باران مى‌آيد و موافق مى‌شود با عقيده 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حدود باعث نزول رحمت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لازم به ذكر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اجراى حدّ شرعى به دست خودِ مرحوم </w:t>
      </w:r>
      <w:bookmarkStart w:id="122" w:name="pg7612_45071"/>
    </w:p>
    <w:p>
      <w:pPr>
        <w:pStyle w:val="BookText"/>
        <w:rPr/>
      </w:pPr>
      <w:bookmarkEnd w:id="122"/>
      <w:r>
        <w:rPr>
          <w:rFonts w:ascii="IRNazanin" w:hAnsi="IRNazanin" w:eastAsia="IRNazanin"/>
          <w:color w:val="111111"/>
          <w:sz w:val="28"/>
          <w:sz w:val="28"/>
          <w:szCs w:val="28"/>
          <w:rtl w:val="true"/>
          <w:lang w:bidi="fa-IR"/>
        </w:rPr>
        <w:t xml:space="preserve">حجّة الإسلام، تنها يك يا دو مرتبه گزارش شده، و بقيّه موارد را مباشرين و عاملانِ سيّد به عهده مى‌گرفتند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حكايت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حجّة الإسلام پس از اجراى حدّ، به پيروى ازجدّ بزرگوارِ خود مولى الموحّدين حضرت أميرالمؤمنين على عليه‌السلام، بر جنازه و پيكرِ كشته شدگان، نماز مى‌خواند، و در حالِ نماز به راز و نياز با معبودِ خويش پرداخته، از براى آنها طلبِ عفو و بخشش مى‌نمود، و گاه هم در بينِ نماز از شدّت گريه غش مى‌كرد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3416636_1051229030"/>
      <w:bookmarkStart w:id="124" w:name="_Toc47"/>
      <w:bookmarkEnd w:id="123"/>
      <w:r>
        <w:rPr>
          <w:rtl w:val="true"/>
        </w:rPr>
        <w:t>سفر به مكّه</w:t>
      </w:r>
      <w:bookmarkEnd w:id="124"/>
    </w:p>
    <w:p>
      <w:pPr>
        <w:pStyle w:val="BookText"/>
        <w:rPr/>
      </w:pPr>
      <w:r>
        <w:rPr>
          <w:rFonts w:ascii="Amiri" w:hAnsi="Amiri" w:eastAsia="Amiri" w:cs="Amiri"/>
          <w:color w:val="111111"/>
          <w:sz w:val="28"/>
          <w:sz w:val="28"/>
          <w:szCs w:val="28"/>
          <w:rtl w:val="true"/>
          <w:lang w:bidi="ar-SA"/>
        </w:rPr>
        <w:t xml:space="preserve">بنا به فرموده خودِ حجّة الإسلام قدس‌سره در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ايشان در سال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از راه دريا مشرّف به مكّه معظّمه شده </w:t>
      </w:r>
      <w:r>
        <w:rPr>
          <w:rStyle w:val="FootnoteAnchor"/>
          <w:rtl w:val="true"/>
        </w:rPr>
        <w:footnoteReference w:id="47"/>
      </w:r>
      <w:r>
        <w:rPr>
          <w:rFonts w:ascii="IRNazanin" w:hAnsi="IRNazanin" w:eastAsia="IRNazanin"/>
          <w:color w:val="111111"/>
          <w:sz w:val="28"/>
          <w:sz w:val="28"/>
          <w:szCs w:val="28"/>
          <w:rtl w:val="true"/>
          <w:lang w:bidi="fa-IR"/>
        </w:rPr>
        <w:t xml:space="preserve">، و پس از زيارتِ حرمين شريفين، به زيارت اعتاب مقدّسه ائمّه عليهم‌السلام در عراق مشرّف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علماء و شعراى گيلان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زيارت حجّ ايشان معروف است كه دو هزار شيعه در ركابش به </w:t>
      </w:r>
      <w:bookmarkStart w:id="125" w:name="pg7612_45072"/>
    </w:p>
    <w:p>
      <w:pPr>
        <w:pStyle w:val="BookText"/>
        <w:rPr/>
      </w:pPr>
      <w:bookmarkEnd w:id="125"/>
      <w:r>
        <w:rPr>
          <w:rFonts w:ascii="Amiri" w:hAnsi="Amiri" w:eastAsia="Amiri" w:cs="Amiri"/>
          <w:color w:val="111111"/>
          <w:sz w:val="28"/>
          <w:sz w:val="28"/>
          <w:szCs w:val="28"/>
          <w:rtl w:val="true"/>
          <w:lang w:bidi="ar-SA"/>
        </w:rPr>
        <w:t xml:space="preserve">حجّ مشرّف شدند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سيّد حجّة الاسلام در اين سفرِ روحانى، خدمات شايسته‌اى انجام مى‌دهد، كه عبارتند 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حدود طواف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حدود عرفات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ستاندن زمين‌هاى فدك و واگذارى آن به سادات مدينه</w:t>
      </w:r>
    </w:p>
    <w:p>
      <w:pPr>
        <w:pStyle w:val="Heading3"/>
        <w:numPr>
          <w:ilvl w:val="2"/>
          <w:numId w:val="1"/>
        </w:numPr>
        <w:rPr/>
      </w:pPr>
      <w:bookmarkStart w:id="126" w:name="__RefHeading___Toc3416638_1051229030"/>
      <w:bookmarkStart w:id="127" w:name="_Toc48"/>
      <w:bookmarkEnd w:id="126"/>
      <w:r>
        <w:rPr>
          <w:rtl w:val="true"/>
        </w:rPr>
        <w:t>آثار علمى</w:t>
      </w:r>
      <w:bookmarkEnd w:id="127"/>
    </w:p>
    <w:p>
      <w:pPr>
        <w:pStyle w:val="Heading4"/>
        <w:numPr>
          <w:ilvl w:val="3"/>
          <w:numId w:val="1"/>
        </w:numPr>
        <w:rPr/>
      </w:pPr>
      <w:bookmarkStart w:id="128" w:name="__RefHeading___Toc3416640_1051229030"/>
      <w:bookmarkStart w:id="129" w:name="_Toc49"/>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مرحوم حجّة الإسلام شفتى قدس‌سره آثار ارزشمندِ قلمى بسيارى از خود به يادگار گذاشت، كه به بيش از هفتاد عنوان كتاب و رساله در موضوعات مختلف مى‌رسد، كه تاكنون مورد استفاده و بهره بردارى دانشمندان علوم دينى بوده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تأليفات حجّة الإسلام شفتى قدس‌سره عبارتند از </w:t>
      </w:r>
      <w:r>
        <w:rPr>
          <w:rFonts w:eastAsia="Amiri" w:cs="Amiri" w:ascii="Amiri" w:hAnsi="Amiri"/>
          <w:color w:val="111111"/>
          <w:sz w:val="28"/>
          <w:szCs w:val="28"/>
          <w:rtl w:val="true"/>
          <w:lang w:bidi="ar-SA"/>
        </w:rPr>
        <w:t xml:space="preserve">: </w:t>
      </w:r>
      <w:bookmarkStart w:id="130" w:name="pg7612_45073"/>
    </w:p>
    <w:p>
      <w:pPr>
        <w:pStyle w:val="Heading4"/>
        <w:numPr>
          <w:ilvl w:val="3"/>
          <w:numId w:val="1"/>
        </w:numPr>
        <w:rPr/>
      </w:pPr>
      <w:bookmarkStart w:id="131" w:name="__RefHeading___Toc3416642_1051229030"/>
      <w:bookmarkStart w:id="132" w:name="_Toc50"/>
      <w:bookmarkEnd w:id="130"/>
      <w:bookmarkEnd w:id="131"/>
      <w:r>
        <w:rPr>
          <w:rtl w:val="true"/>
        </w:rPr>
        <w:t>فقه</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الأَنْوَار في شَرحِ شَرَائِع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المُلْتَقط مِن آثَارِ الأئمَّةِ الأَطهَار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 في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 جواب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في زمن الغيبة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نماز شب و فضيلت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و شهادات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اشتراط القبض في الوقف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اراضى خراجيه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غُساله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القِدْرية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تقليد از مجتهد ميّت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بر رساله تعيين سلام سوّم در نافله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مقبوليّت قولِ زن در عدم وجود مانع براى ازدواج</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شك و سهو در نماز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جواز هبه ولى مدّت را در ازدواج موقّت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جوابِ بعضى از مسائل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كيفيّت زيارت عاشورا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حرمت محارمِ موطوء بر واطى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حكم عقد بر خواهر زوجه مطلّقه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ثبوت زنا و لواط به اقرار نزد حاكم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ولايت حاكم بر بالغه غير رشيده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نمازِ استيجارى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تعيين آية الكرسى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طهارت عرق جُنب از حرام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حكم نماز در پوست دبّاغى شده مرده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نمازِ جمعه </w:t>
      </w:r>
      <w:bookmarkStart w:id="133" w:name="pg7612_45075"/>
    </w:p>
    <w:p>
      <w:pPr>
        <w:pStyle w:val="Heading4"/>
        <w:numPr>
          <w:ilvl w:val="3"/>
          <w:numId w:val="1"/>
        </w:numPr>
        <w:rPr/>
      </w:pPr>
      <w:bookmarkStart w:id="134" w:name="__RefHeading___Toc3416644_1051229030"/>
      <w:bookmarkStart w:id="135" w:name="_Toc51"/>
      <w:bookmarkEnd w:id="133"/>
      <w:bookmarkEnd w:id="134"/>
      <w:r>
        <w:rPr>
          <w:rtl w:val="true"/>
        </w:rPr>
        <w:t>أصول فقه</w:t>
      </w:r>
      <w:bookmarkEnd w:id="13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البارقة لمعرفة أحوال المجاز والحقيقة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اصول معالم الدين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تهذيب الوصول</w:t>
      </w:r>
    </w:p>
    <w:p>
      <w:pPr>
        <w:pStyle w:val="Heading4"/>
        <w:numPr>
          <w:ilvl w:val="3"/>
          <w:numId w:val="1"/>
        </w:numPr>
        <w:rPr/>
      </w:pPr>
      <w:bookmarkStart w:id="136" w:name="__RefHeading___Toc3416646_1051229030"/>
      <w:bookmarkStart w:id="137" w:name="_Toc52"/>
      <w:bookmarkEnd w:id="136"/>
      <w:r>
        <w:rPr>
          <w:rtl w:val="true"/>
        </w:rPr>
        <w:t>حديث</w:t>
      </w:r>
      <w:bookmarkEnd w:id="137"/>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فروع كافى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وافى</w:t>
      </w:r>
    </w:p>
    <w:p>
      <w:pPr>
        <w:pStyle w:val="Heading4"/>
        <w:numPr>
          <w:ilvl w:val="3"/>
          <w:numId w:val="1"/>
        </w:numPr>
        <w:rPr/>
      </w:pPr>
      <w:bookmarkStart w:id="138" w:name="__RefHeading___Toc3416648_1051229030"/>
      <w:bookmarkStart w:id="139" w:name="_Toc53"/>
      <w:bookmarkEnd w:id="138"/>
      <w:r>
        <w:rPr>
          <w:rtl w:val="true"/>
        </w:rPr>
        <w:t>رجال</w:t>
      </w:r>
      <w:bookmarkEnd w:id="139"/>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أبان بن عثمان، و اصحاب اجماع</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إبراهيم بن هاشم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أبو بصير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تحقيق و بررسى احوال أحمد بن محمّد بن خالد برقى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أحمد بن محمّد بن عيسى قمّى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إسحاق بن عمّار ساباطى</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حسين بن خالد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حماد بن عيسى جهنى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سهل بن زياد آدمى رازى</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بيانِ حكمِ رواياتِ شهاب بن عبد ربّه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بررسى احوال عبدالحميد بن سالم عطار، و فرزندش محمّد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عمر بن يزيد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إسماعيل</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بررسى احوال محمّد بن أحمد، كه از عمركى روايت مى‌كند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خالد برقى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سنان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الفضيل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عيسى يقطينى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بررسى احوال اشخاص ملقّب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جيلويه </w:t>
      </w:r>
      <w:bookmarkStart w:id="140" w:name="pg7612_45077"/>
    </w:p>
    <w:p>
      <w:pPr>
        <w:pStyle w:val="BookText"/>
        <w:rPr/>
      </w:pPr>
      <w:bookmarkEnd w:id="140"/>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اتّحاد معاوية بن شريح، با معاوية بن ميسره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بيان مقصود 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اسانيد كافى</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كتاب فهرست</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رجال شيخ طوسى</w:t>
      </w:r>
    </w:p>
    <w:p>
      <w:pPr>
        <w:pStyle w:val="Heading4"/>
        <w:numPr>
          <w:ilvl w:val="3"/>
          <w:numId w:val="1"/>
        </w:numPr>
        <w:rPr/>
      </w:pPr>
      <w:bookmarkStart w:id="141" w:name="__RefHeading___Toc3416650_1051229030"/>
      <w:bookmarkStart w:id="142" w:name="_Toc54"/>
      <w:bookmarkEnd w:id="141"/>
      <w:r>
        <w:rPr>
          <w:rtl w:val="true"/>
        </w:rPr>
        <w:t>كلام</w:t>
      </w:r>
      <w:bookmarkEnd w:id="142"/>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دين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و جواب درباره شيخيّه</w:t>
      </w:r>
    </w:p>
    <w:p>
      <w:pPr>
        <w:pStyle w:val="Heading4"/>
        <w:numPr>
          <w:ilvl w:val="3"/>
          <w:numId w:val="1"/>
        </w:numPr>
        <w:rPr/>
      </w:pPr>
      <w:bookmarkStart w:id="143" w:name="__RefHeading___Toc3416652_1051229030"/>
      <w:bookmarkStart w:id="144" w:name="_Toc55"/>
      <w:bookmarkEnd w:id="143"/>
      <w:r>
        <w:rPr>
          <w:rtl w:val="true"/>
        </w:rPr>
        <w:t>نحو</w:t>
      </w:r>
      <w:bookmarkEnd w:id="144"/>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 اللاّمعة للبهجة المرضيّة</w:t>
      </w:r>
    </w:p>
    <w:p>
      <w:pPr>
        <w:pStyle w:val="Heading3"/>
        <w:numPr>
          <w:ilvl w:val="2"/>
          <w:numId w:val="1"/>
        </w:numPr>
        <w:rPr/>
      </w:pPr>
      <w:bookmarkStart w:id="145" w:name="__RefHeading___Toc3416654_1051229030"/>
      <w:bookmarkStart w:id="146" w:name="_Toc56"/>
      <w:bookmarkEnd w:id="145"/>
      <w:r>
        <w:rPr>
          <w:rtl w:val="true"/>
        </w:rPr>
        <w:t>ساخت مسجدى بزرگ</w:t>
      </w:r>
      <w:bookmarkEnd w:id="14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آثار خير و خدمات مرحوم حجّة الإسلام شفتى، بناى تاريخى و بسيار بزرگ و زيباى مسجد سيّد اصفهان مى‌باشد، كه نويسندگان به مناسبت از عظمت و شكوهِ آن ياد نموده‌اند </w:t>
      </w:r>
      <w:r>
        <w:rPr>
          <w:rFonts w:eastAsia="IRNazanin" w:cs="IRNazanin"/>
          <w:color w:val="111111"/>
          <w:sz w:val="28"/>
          <w:szCs w:val="28"/>
          <w:rtl w:val="true"/>
          <w:lang w:bidi="fa-IR"/>
        </w:rPr>
        <w:t xml:space="preserve">. </w:t>
      </w:r>
      <w:bookmarkStart w:id="147" w:name="pg7612_45078"/>
    </w:p>
    <w:p>
      <w:pPr>
        <w:pStyle w:val="BookText"/>
        <w:rPr/>
      </w:pPr>
      <w:bookmarkEnd w:id="147"/>
      <w:r>
        <w:rPr>
          <w:rFonts w:ascii="Amiri" w:hAnsi="Amiri" w:eastAsia="Amiri" w:cs="Amiri"/>
          <w:color w:val="111111"/>
          <w:sz w:val="28"/>
          <w:sz w:val="28"/>
          <w:szCs w:val="28"/>
          <w:rtl w:val="true"/>
          <w:lang w:bidi="ar-SA"/>
        </w:rPr>
        <w:t xml:space="preserve">مرحوم ميرزا حسن خان جابرى انصارى، درباره مسجد سيّد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بناى جامع بيدآباد، بر علوّ همّتش فرياد مى‌زند، زيرا مساجدبزرگ را شاهان متعدّد ساخته‌اند، و اين مسجد را آن پادشاهِ علماء به تنهايى كفالت فرمود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3416656_1051229030"/>
      <w:bookmarkStart w:id="149" w:name="_Toc57"/>
      <w:bookmarkEnd w:id="148"/>
      <w:r>
        <w:rPr>
          <w:rtl w:val="true"/>
        </w:rPr>
        <w:t>فرزندان</w:t>
      </w:r>
      <w:bookmarkEnd w:id="149"/>
    </w:p>
    <w:p>
      <w:pPr>
        <w:pStyle w:val="Heading4"/>
        <w:numPr>
          <w:ilvl w:val="3"/>
          <w:numId w:val="1"/>
        </w:numPr>
        <w:rPr/>
      </w:pPr>
      <w:bookmarkStart w:id="150" w:name="__RefHeading___Toc3416658_1051229030"/>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مرحوم حجّة الإسلام شفتى داراى هشت پسر و چند دختر بوده، كه دو تن از فرزندان او به نام‌هاى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هاشم و آقا سيّد ابوالقاسم، در ايّام حياتِ وى از</w:t>
      </w:r>
    </w:p>
    <w:p>
      <w:pPr>
        <w:pStyle w:val="BookText"/>
        <w:rPr/>
      </w:pPr>
      <w:r>
        <w:rPr>
          <w:rFonts w:ascii="Amiri" w:hAnsi="Amiri" w:eastAsia="Amiri" w:cs="Amiri"/>
          <w:color w:val="111111"/>
          <w:sz w:val="28"/>
          <w:sz w:val="28"/>
          <w:szCs w:val="28"/>
          <w:rtl w:val="true"/>
          <w:lang w:bidi="ar-SA"/>
        </w:rPr>
        <w:t xml:space="preserve">دنيا رخت بر مى‌بندند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 فرزند ديگر سيّد عبارتند از </w:t>
      </w:r>
      <w:r>
        <w:rPr>
          <w:rFonts w:eastAsia="IRNazanin" w:cs="IRNazanin"/>
          <w:color w:val="111111"/>
          <w:sz w:val="28"/>
          <w:szCs w:val="28"/>
          <w:rtl w:val="true"/>
          <w:lang w:bidi="fa-IR"/>
        </w:rPr>
        <w:t>:</w:t>
      </w:r>
    </w:p>
    <w:p>
      <w:pPr>
        <w:pStyle w:val="Heading4"/>
        <w:numPr>
          <w:ilvl w:val="3"/>
          <w:numId w:val="1"/>
        </w:numPr>
        <w:rPr/>
      </w:pPr>
      <w:bookmarkStart w:id="152" w:name="__RefHeading___Toc3416660_1051229030"/>
      <w:bookmarkStart w:id="153" w:name="_Toc59"/>
      <w:bookmarkEnd w:id="152"/>
      <w:r>
        <w:rPr/>
        <w:t>1</w:t>
      </w:r>
      <w:r>
        <w:rPr>
          <w:rtl w:val="true"/>
        </w:rPr>
        <w:t xml:space="preserve"> - </w:t>
      </w:r>
      <w:r>
        <w:rPr>
          <w:rtl w:val="true"/>
        </w:rPr>
        <w:t>مرحوم علاّمه حاج سيّد أسد اللّه</w:t>
      </w:r>
      <w:bookmarkEnd w:id="1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زندگانى اين عالم فقيه و محقّق عالى قدر، در اينجا و به چند كلمه خلاصه نمى‌شود، بلكه شايسته است در اين زمينه كتابى جداگانه نگاشته شود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ولى شمّه‌اى از زندگى نامه او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ششم از هشت فرزندِحجّة الإسلام، و اعلم اولاد ايشان بوده، ولادتش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سال‌ها در نجف اشرف از محضر مرحوم حاج شيخ محمّد حسن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جواهر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و موفّق به كسب اجازه از وى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الإسلام اين بزرگوار را بسيار دوست مى‌داشته و مردم را به متابعت و تجليل او امر مى‌فرموده ، و او را از جهت قوّت نظر و قدرت استنباط بر فخرالمحقّقين فرزند علاّمه حلّى، ترجيح مى‌داده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مرحوم حاج سيّد اسد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وتصنيفات بسيارى به جا مانده، كه در اينجا به نام تعدادى از آنها اشاره مى‌كنيم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كتابى در امامت </w:t>
      </w:r>
      <w:r>
        <w:rPr>
          <w:rStyle w:val="FootnoteAnchor"/>
          <w:rtl w:val="true"/>
        </w:rPr>
        <w:footnoteReference w:id="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كتابى درباره امام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تقليد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تقليد ميّت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بر نخبه مرحوم حاج محمّد ابراهيم كرباسى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رجاليّه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فقهيّه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شرائع الإسلام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احكام خمر و عصير </w:t>
      </w:r>
      <w:r>
        <w:rPr>
          <w:rStyle w:val="FootnoteAnchor"/>
          <w:rtl w:val="true"/>
        </w:rPr>
        <w:footnoteReference w:id="5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استصحاب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الصحاح </w:t>
      </w:r>
      <w:r>
        <w:rPr>
          <w:rStyle w:val="FootnoteAnchor"/>
          <w:rtl w:val="true"/>
        </w:rPr>
        <w:footnoteReference w:id="55"/>
      </w:r>
      <w:bookmarkStart w:id="154" w:name="pg7612_45081"/>
    </w:p>
    <w:p>
      <w:pPr>
        <w:pStyle w:val="BookText"/>
        <w:rPr/>
      </w:pPr>
      <w:bookmarkEnd w:id="154"/>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حواشى بر تحفة الأبرار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حاج سيّد اسداللّه سرانجام در شبِ يك شنبه، آخرِ ماه جمادي الثانية 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وفات يافته ؛ بدن آن بزرگوار را پس از انتقال به نجف اشرف، در اتاقِ سمت راستِ وارده شونده به صحن مطهّر حضرت أميرالمؤمنين علىّ عليه‌السلام از درب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مقابل قبر مرحوم علاّمه حاج شيخ مرتضى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مى‌سپارند </w:t>
      </w:r>
      <w:r>
        <w:rPr>
          <w:rFonts w:eastAsia="IRNazanin" w:cs="IRNazanin"/>
          <w:color w:val="111111"/>
          <w:sz w:val="28"/>
          <w:szCs w:val="28"/>
          <w:rtl w:val="true"/>
          <w:lang w:bidi="fa-IR"/>
        </w:rPr>
        <w:t>.</w:t>
      </w:r>
    </w:p>
    <w:p>
      <w:pPr>
        <w:pStyle w:val="Heading4"/>
        <w:numPr>
          <w:ilvl w:val="3"/>
          <w:numId w:val="1"/>
        </w:numPr>
        <w:rPr/>
      </w:pPr>
      <w:bookmarkStart w:id="155" w:name="__RefHeading___Toc3416662_1051229030"/>
      <w:bookmarkStart w:id="156" w:name="_Toc60"/>
      <w:bookmarkEnd w:id="155"/>
      <w:r>
        <w:rPr/>
        <w:t>2</w:t>
      </w:r>
      <w:r>
        <w:rPr>
          <w:rtl w:val="true"/>
        </w:rPr>
        <w:t xml:space="preserve"> - </w:t>
      </w:r>
      <w:r>
        <w:rPr>
          <w:rtl w:val="true"/>
        </w:rPr>
        <w:t>مير محمّد مهدى</w:t>
      </w:r>
      <w:bookmarkEnd w:id="156"/>
    </w:p>
    <w:p>
      <w:pPr>
        <w:pStyle w:val="BookText"/>
        <w:rPr/>
      </w:pPr>
      <w:r>
        <w:rPr>
          <w:rFonts w:ascii="Amiri" w:hAnsi="Amiri" w:eastAsia="Amiri" w:cs="Amiri"/>
          <w:color w:val="111111"/>
          <w:sz w:val="28"/>
          <w:sz w:val="28"/>
          <w:szCs w:val="28"/>
          <w:rtl w:val="true"/>
          <w:lang w:bidi="ar-SA"/>
        </w:rPr>
        <w:t xml:space="preserve">در تذكرة القبور مى‌نويسد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ارسى رو به مسجد كه قدرى بلند بسته است، قبر مير محمّد مهدى پسر بزرگ مرحوم حجّة الإسلام ، كه از اهل علم و فضل بوده ، مى‌باشد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57" w:name="pg7612_45082"/>
    </w:p>
    <w:p>
      <w:pPr>
        <w:pStyle w:val="Heading4"/>
        <w:numPr>
          <w:ilvl w:val="3"/>
          <w:numId w:val="1"/>
        </w:numPr>
        <w:rPr/>
      </w:pPr>
      <w:bookmarkStart w:id="158" w:name="__RefHeading___Toc3416664_1051229030"/>
      <w:bookmarkStart w:id="159" w:name="_Toc61"/>
      <w:bookmarkEnd w:id="157"/>
      <w:bookmarkEnd w:id="158"/>
      <w:r>
        <w:rPr/>
        <w:t>3</w:t>
      </w:r>
      <w:r>
        <w:rPr>
          <w:rtl w:val="true"/>
        </w:rPr>
        <w:t xml:space="preserve"> - </w:t>
      </w:r>
      <w:r>
        <w:rPr>
          <w:rtl w:val="true"/>
        </w:rPr>
        <w:t>آقا سيّد مؤمن</w:t>
      </w:r>
      <w:bookmarkEnd w:id="159"/>
    </w:p>
    <w:p>
      <w:pPr>
        <w:pStyle w:val="BookText"/>
        <w:rPr/>
      </w:pPr>
      <w:r>
        <w:rPr>
          <w:rFonts w:ascii="IRNazanin" w:hAnsi="IRNazanin" w:eastAsia="IRNazanin"/>
          <w:color w:val="111111"/>
          <w:sz w:val="28"/>
          <w:sz w:val="28"/>
          <w:szCs w:val="28"/>
          <w:rtl w:val="true"/>
          <w:lang w:bidi="fa-IR"/>
        </w:rPr>
        <w:t xml:space="preserve">در تذكرة القبور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علم و فضل بوده و بعد از مرحوم حاج سيّد اسداللّه مرجع رياست بيدآباد و امام مسجد و پناه خلق به او مى‌رسد ؛ او تدريس هم داشته، و بعد از مرحوم حاج سيّد اسداللّه اعلم و افقه از ديگر فرزندان سيّد حجّة الإسلام بوده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شاگردان مرحوم علاّمه حاج شيخ مرتضى انصارى قدس‌سره بوده و از تأليفاتش كتابى است در فقه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آن را عالمانه و با استدلال و بسيار مبسوط نوشته و در آن تنها به احكام نماز پرداخته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سرانجام در دوّم ماه رمضان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يافت ؛ قبرِ وى طرف پائين پاى پدرش مرحوم حجّة الإسلام است، قدرى رو به جلو، و سنگ نشانى كمى بالاتر قرار گرفته است </w:t>
      </w:r>
      <w:r>
        <w:rPr>
          <w:rFonts w:eastAsia="IRNazanin" w:cs="IRNazanin"/>
          <w:color w:val="111111"/>
          <w:sz w:val="28"/>
          <w:szCs w:val="28"/>
          <w:rtl w:val="true"/>
          <w:lang w:bidi="fa-IR"/>
        </w:rPr>
        <w:t>.</w:t>
      </w:r>
    </w:p>
    <w:p>
      <w:pPr>
        <w:pStyle w:val="Heading4"/>
        <w:numPr>
          <w:ilvl w:val="3"/>
          <w:numId w:val="1"/>
        </w:numPr>
        <w:rPr/>
      </w:pPr>
      <w:bookmarkStart w:id="160" w:name="__RefHeading___Toc3416666_1051229030"/>
      <w:bookmarkStart w:id="161" w:name="_Toc62"/>
      <w:bookmarkEnd w:id="160"/>
      <w:r>
        <w:rPr/>
        <w:t>4</w:t>
      </w:r>
      <w:r>
        <w:rPr>
          <w:rtl w:val="true"/>
        </w:rPr>
        <w:t xml:space="preserve"> - </w:t>
      </w:r>
      <w:r>
        <w:rPr>
          <w:rtl w:val="true"/>
        </w:rPr>
        <w:t>حاج سيّد محمّد على</w:t>
      </w:r>
      <w:bookmarkEnd w:id="1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وى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بوده، چنانچه فرزندش مرحوم سيّد محمّد مهدى در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شرح حال او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شعبانِ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يافت در حالى كه پنجاه و پنج سال داشت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را در كنارِ برادرش مرحوم مير محمّد مهدى، در مقبره مرحوم حجّة الاسلام به خاك مى‌سپارند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تذكرة القبور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اهل علم و فضل بوده و صبح در مسجد سيّد به اقامه جماعت مى‌پرداخته، و نقل عبادت و تقوى از او مى‌شود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كتابخانه آيت اللّه مرعشى نجفى در قم، مجموعه‌اى به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مى‌باشد، كه شامل چهار رساله از تأليفات مرحوم حاج سيّد محمّد على بدينشرح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إتلاف العبد مال المولى و جنايته عليه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المكان المغصوب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rtl w:val="true"/>
          <w:lang w:bidi="ar-SA"/>
        </w:rPr>
        <w:t xml:space="preserve">) </w:t>
      </w:r>
      <w:r>
        <w:rPr>
          <w:rStyle w:val="FootnoteAnchor"/>
          <w:rtl w:val="true"/>
        </w:rPr>
        <w:footnoteReference w:id="63"/>
      </w:r>
      <w:bookmarkStart w:id="162" w:name="pg7612_45084"/>
    </w:p>
    <w:p>
      <w:pPr>
        <w:pStyle w:val="BookText"/>
        <w:rPr/>
      </w:pPr>
      <w:bookmarkEnd w:id="16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در آغاز اين مجموعه اجازه نامه مرحوم آية اللّه حاج شيخ محمّد حسن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حاج سيّد محمّد على، آمده است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3416668_1051229030"/>
      <w:bookmarkStart w:id="164" w:name="_Toc63"/>
      <w:bookmarkEnd w:id="163"/>
      <w:r>
        <w:rPr/>
        <w:t>5</w:t>
      </w:r>
      <w:r>
        <w:rPr>
          <w:rtl w:val="true"/>
        </w:rPr>
        <w:t xml:space="preserve"> - </w:t>
      </w:r>
      <w:r>
        <w:rPr>
          <w:rtl w:val="true"/>
        </w:rPr>
        <w:t>حاج سيّد محمّد جعفر</w:t>
      </w:r>
      <w:bookmarkEnd w:id="164"/>
    </w:p>
    <w:p>
      <w:pPr>
        <w:pStyle w:val="BookText"/>
        <w:rPr/>
      </w:pPr>
      <w:r>
        <w:rPr>
          <w:rFonts w:ascii="IRNazanin" w:hAnsi="IRNazanin" w:eastAsia="IRNazanin"/>
          <w:color w:val="111111"/>
          <w:sz w:val="28"/>
          <w:sz w:val="28"/>
          <w:szCs w:val="28"/>
          <w:rtl w:val="true"/>
          <w:lang w:bidi="fa-IR"/>
        </w:rPr>
        <w:t xml:space="preserve">وى از رؤساى انديشمند در محلّه بيدآباد اصفهان بوده، كه پس از فوتِ برادرِ عالمِ خود مرحوم آقا سيّد مؤمن، رياست و عنوان كلّى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مسجد سيّد تعميرات اساسى انجام داده و قسمت عمده كاشيكارى مسجد در زمان توليت ايشان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الفكر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رساله‌ها از تأليفات وى شمردهشده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امر و نهى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اصالة البراءة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والتراجيح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القطع والظنّ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روز عاشوراء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در مسافرت عتبات، در كربلا وفات </w:t>
      </w:r>
      <w:bookmarkStart w:id="165" w:name="pg7612_45085"/>
    </w:p>
    <w:p>
      <w:pPr>
        <w:pStyle w:val="BookText"/>
        <w:rPr/>
      </w:pPr>
      <w:bookmarkEnd w:id="165"/>
      <w:r>
        <w:rPr>
          <w:rFonts w:ascii="IRNazanin" w:hAnsi="IRNazanin" w:eastAsia="IRNazanin"/>
          <w:color w:val="111111"/>
          <w:sz w:val="28"/>
          <w:sz w:val="28"/>
          <w:szCs w:val="28"/>
          <w:rtl w:val="true"/>
          <w:lang w:bidi="fa-IR"/>
        </w:rPr>
        <w:t xml:space="preserve">يافته، در نجف اشرف در كنار برادرِ خود مرحوم علاّمه حاج سيّد اسد اللّه، مدفون گرديد </w:t>
      </w:r>
      <w:r>
        <w:rPr>
          <w:rFonts w:eastAsia="IRNazanin" w:cs="IRNazanin"/>
          <w:color w:val="111111"/>
          <w:sz w:val="28"/>
          <w:szCs w:val="28"/>
          <w:rtl w:val="true"/>
          <w:lang w:bidi="fa-IR"/>
        </w:rPr>
        <w:t>.</w:t>
      </w:r>
    </w:p>
    <w:p>
      <w:pPr>
        <w:pStyle w:val="Heading4"/>
        <w:numPr>
          <w:ilvl w:val="3"/>
          <w:numId w:val="1"/>
        </w:numPr>
        <w:rPr/>
      </w:pPr>
      <w:bookmarkStart w:id="166" w:name="__RefHeading___Toc3416670_1051229030"/>
      <w:bookmarkStart w:id="167" w:name="_Toc64"/>
      <w:bookmarkEnd w:id="166"/>
      <w:r>
        <w:rPr/>
        <w:t>6</w:t>
      </w:r>
      <w:r>
        <w:rPr>
          <w:rtl w:val="true"/>
        </w:rPr>
        <w:t xml:space="preserve"> - </w:t>
      </w:r>
      <w:r>
        <w:rPr>
          <w:rtl w:val="true"/>
        </w:rPr>
        <w:t>آقا سيّد زين العابدين</w:t>
      </w:r>
      <w:bookmarkEnd w:id="167"/>
    </w:p>
    <w:p>
      <w:pPr>
        <w:pStyle w:val="BookText"/>
        <w:rPr/>
      </w:pPr>
      <w:r>
        <w:rPr>
          <w:rFonts w:ascii="IRNazanin" w:hAnsi="IRNazanin" w:eastAsia="IRNazanin"/>
          <w:color w:val="111111"/>
          <w:sz w:val="28"/>
          <w:sz w:val="28"/>
          <w:szCs w:val="28"/>
          <w:rtl w:val="true"/>
          <w:lang w:bidi="fa-IR"/>
        </w:rPr>
        <w:t xml:space="preserve">عالم و فاضل بوده، و در شورش مردم اصفهان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كه مردمِ بى‌پناه به او پناه بردند، از دستگاه حكومت ظلم‌ها كشيده و ستم‌ها 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تهرانى رحمه‌الله درباره او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اهل فضل و علم و كمال و شهرت و وجاهت و اعتبار بوده و قبل از برادرش حاج سيّد اسداللّه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 يافته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وى جلو قبر سيّد حجّة الاسلام، رو به دم ارسى قرار دارد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416672_1051229030"/>
      <w:bookmarkStart w:id="169" w:name="_Toc65"/>
      <w:bookmarkEnd w:id="168"/>
      <w:r>
        <w:rPr>
          <w:rtl w:val="true"/>
        </w:rPr>
        <w:t>درگذشت</w:t>
      </w:r>
      <w:bookmarkEnd w:id="1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حجّة الاسلام پس از هشتاد و اندى سال عمر پر ثمر و پر خير و بركت، در بعد از ظهر روز يكشنبه، دوّم ماه ربيع الثاني </w:t>
      </w:r>
      <w:r>
        <w:rPr>
          <w:rStyle w:val="FootnoteAnchor"/>
          <w:rtl w:val="true"/>
        </w:rPr>
        <w:footnoteReference w:id="69"/>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p>
    <w:p>
      <w:pPr>
        <w:pStyle w:val="BookText"/>
        <w:rPr/>
      </w:pPr>
      <w:r>
        <w:rPr>
          <w:rFonts w:ascii="Amiri" w:hAnsi="Amiri" w:eastAsia="Amiri" w:cs="Amiri"/>
          <w:color w:val="111111"/>
          <w:sz w:val="28"/>
          <w:sz w:val="28"/>
          <w:szCs w:val="28"/>
          <w:rtl w:val="true"/>
          <w:lang w:bidi="ar-SA"/>
        </w:rPr>
        <w:t xml:space="preserve">مصادف با دوم فروردين ماه سال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بر اثر بيمارى استسقاء، در اصفهان ديده از جهان فرو بست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ملاّ على اكبر خوانسارى، سيّد حجّة الإسلام را غسل داده و از آن پس دست‌هاى مبارك آن جناب را بوسيده و كفن نمود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عالم و بزرگوارش مرحوم حاج سيّد اسداللّه، بر بدنِ پدر نماز گزارده، و سپس بدن آن بزرگوار را در روز چهارشنبه در مقبره‌اى كه خود قبلاً در كنار مسجد خويش مهيّا ساخته بود، به خاك سپردند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و جواب فقهى</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حقّ الرجوع</w:t>
      </w:r>
    </w:p>
    <w:p>
      <w:pPr>
        <w:pStyle w:val="BookText"/>
        <w:rPr/>
      </w:pP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محقّق و فقيه متتبّع</w:t>
      </w:r>
    </w:p>
    <w:p>
      <w:pPr>
        <w:pStyle w:val="BookText"/>
        <w:rPr/>
      </w:pPr>
      <w:r>
        <w:rPr>
          <w:rFonts w:ascii="Amiri" w:hAnsi="Amiri" w:eastAsia="Amiri" w:cs="Amiri"/>
          <w:color w:val="111111"/>
          <w:sz w:val="28"/>
          <w:sz w:val="28"/>
          <w:szCs w:val="28"/>
          <w:rtl w:val="true"/>
          <w:lang w:bidi="ar-SA"/>
        </w:rPr>
        <w:t>حاج سيّد محمّد باقر بن محمّد نقى شفتى قدس‌سره</w:t>
      </w:r>
    </w:p>
    <w:p>
      <w:pPr>
        <w:pStyle w:val="BookText"/>
        <w:rPr/>
      </w:pP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مهدى شفتى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7612_45089"/>
      <w:bookmarkStart w:id="171" w:name="pg7612_45089"/>
      <w:bookmarkEnd w:id="171"/>
    </w:p>
    <w:p>
      <w:pPr>
        <w:pStyle w:val="Heading2"/>
        <w:numPr>
          <w:ilvl w:val="1"/>
          <w:numId w:val="1"/>
        </w:numPr>
        <w:rPr/>
      </w:pPr>
      <w:bookmarkStart w:id="172" w:name="pg7612_45089"/>
      <w:bookmarkStart w:id="173" w:name="__RefHeading___Toc3416674_1051229030"/>
      <w:bookmarkStart w:id="174" w:name="_Toc66"/>
      <w:bookmarkEnd w:id="172"/>
      <w:bookmarkEnd w:id="173"/>
      <w:r>
        <w:rPr>
          <w:rtl w:val="true"/>
        </w:rPr>
        <w:t xml:space="preserve">سؤال </w:t>
      </w:r>
      <w:r>
        <w:rPr>
          <w:rtl w:val="true"/>
        </w:rPr>
        <w:t>:</w:t>
      </w:r>
      <w:bookmarkEnd w:id="174"/>
    </w:p>
    <w:p>
      <w:pPr>
        <w:pStyle w:val="BookText"/>
        <w:rPr/>
      </w:pPr>
      <w:r>
        <w:rPr>
          <w:rFonts w:ascii="IRNazanin" w:hAnsi="IRNazanin" w:eastAsia="IRNazanin"/>
          <w:color w:val="111111"/>
          <w:sz w:val="28"/>
          <w:sz w:val="28"/>
          <w:szCs w:val="28"/>
          <w:rtl w:val="true"/>
          <w:lang w:bidi="fa-IR"/>
        </w:rPr>
        <w:t>شخصى زوجه خود را مطلّقه نموده به طلاق رجعى، بعد از آن حقّ الرجوع خود را صلح نموده به او به نفقه ايّام عدّه، بعد از آن در اثناى عدّه رجوع نموده، بعد از انقضاى عدّه، آن ضعيفه به ديگرى شوهر نموده ؛ حال، اين ضعيفه زوجه زوج ثانى است، يا اوّل ؟</w:t>
      </w:r>
    </w:p>
    <w:p>
      <w:pPr>
        <w:pStyle w:val="Heading2"/>
        <w:numPr>
          <w:ilvl w:val="1"/>
          <w:numId w:val="1"/>
        </w:numPr>
        <w:rPr/>
      </w:pPr>
      <w:bookmarkStart w:id="175" w:name="__RefHeading___Toc3416676_1051229030"/>
      <w:bookmarkStart w:id="176" w:name="_Toc67"/>
      <w:bookmarkEnd w:id="175"/>
      <w:r>
        <w:rPr>
          <w:rtl w:val="true"/>
        </w:rPr>
        <w:t xml:space="preserve">جواب </w:t>
      </w:r>
      <w:r>
        <w:rPr>
          <w:rtl w:val="true"/>
        </w:rPr>
        <w:t>:</w:t>
      </w:r>
      <w:bookmarkEnd w:id="176"/>
    </w:p>
    <w:p>
      <w:pPr>
        <w:pStyle w:val="Heading3"/>
        <w:numPr>
          <w:ilvl w:val="2"/>
          <w:numId w:val="1"/>
        </w:numPr>
        <w:rPr/>
      </w:pPr>
      <w:bookmarkStart w:id="177" w:name="__RefHeading___Toc3416678_1051229030"/>
      <w:bookmarkStart w:id="178" w:name="_Toc68"/>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 xml:space="preserve">تنقيح الحال في جواب هذا السؤال يستدعي رسم مقدّمات </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3416680_1051229030"/>
      <w:bookmarkStart w:id="180" w:name="_Toc69"/>
      <w:bookmarkEnd w:id="179"/>
      <w:r>
        <w:rPr>
          <w:rtl w:val="true"/>
        </w:rPr>
        <w:t>المقدّمة الاُولى</w:t>
      </w:r>
      <w:bookmarkEnd w:id="1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الحال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جائز بين المسلمين إلاّ صلحاً أحلّ حراماً، أو حرّم حلالاً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على هذا النحو غير مرويّ من طرقنا و إنّما هو من طرق العامّة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طرق العامّة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إلاّ صلحاً أحلّ حراماً أو حرّم حلالاً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أنّ الحديث المذكور مع هذا الذيل غير مرويّ من طرقنا ؛ و أمّا بدونه فمرويّ عن أئمّتنا، ففي الكافي والتهذيب في الصحيح عن حفص ابن البختري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الناس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أعرض عليه‌السلام عن الذيل المذكور، و لعلّ وجهه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صلحٍ يوجب تحليل الحرام و تحريم الحلال، لوضوح أنّه يوجب انتقال المصالح عنه من المصالح إلى المصالح له ؛ و انتقال المصالح به من المصالح له إلى المصالح و تصرّف المصالح في المصالح عنه كان قبل الصلح حلالاً و حرم بعدها، كما كان تصرّف المصالح له فيه حراماً قبله، بخلافه بعده ؛ و كلّ ذلك إنّما هو للصلح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الحال في المصالح به، لكن بعكس ما ذكر، فقد أحلّ الصلح ما كان حراماً، كما أنّه حرّم ما كان حلالاً، فعلى هذا يلزم من مشروعيّة الصلح انتفاؤها، </w:t>
      </w:r>
    </w:p>
    <w:p>
      <w:pPr>
        <w:pStyle w:val="BookText"/>
        <w:rPr/>
      </w:pPr>
      <w:r>
        <w:rPr>
          <w:rFonts w:ascii="Amiri" w:hAnsi="Amiri" w:eastAsia="Amiri" w:cs="Amiri"/>
          <w:color w:val="111111"/>
          <w:sz w:val="28"/>
          <w:sz w:val="28"/>
          <w:szCs w:val="28"/>
          <w:rtl w:val="true"/>
          <w:lang w:bidi="ar-SA"/>
        </w:rPr>
        <w:t xml:space="preserve">ولعلّه الوجه في إعراضه عليه‌السلام عن الذيل المذكور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الظاهر من الأصحاب أنّهم تلقّوه بالقبول، و أورده شيخنا الصدوق فيالفقيه في باب الصلح،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 اليمين على المدّعى عليه، و الصلح جائز بين المسلمين إلاّ صلحاً أحلّ حراماً، أو حرّم حلالاً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يقال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التنبيه على التعميم في متعلّق الصلح بأن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صلحٍ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العمل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الصلح الّذي أوقعه</w:t>
      </w:r>
    </w:p>
    <w:p>
      <w:pPr>
        <w:pStyle w:val="BookText"/>
        <w:rPr/>
      </w:pPr>
      <w:r>
        <w:rPr>
          <w:rFonts w:ascii="Amiri" w:hAnsi="Amiri" w:eastAsia="Amiri" w:cs="Amiri"/>
          <w:color w:val="111111"/>
          <w:sz w:val="28"/>
          <w:sz w:val="28"/>
          <w:szCs w:val="28"/>
          <w:rtl w:val="true"/>
          <w:lang w:bidi="ar-SA"/>
        </w:rPr>
        <w:t xml:space="preserve">المصالح في مقام تحليل ما دلّ الدليل على تحريمه على سبيل الدوام، كالصلح من الزوج مثلاً عن الاستمتاع بالزوجة لغيره، فإنّ الدليل قائمٌ على حرمة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وكالصلح عن مالٍ مع مالكه فيما إذا كان مقداره مجهولاً للمالك بحيث لو علم به لم يرض بالصلح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الصلح الّذي أوقعه المصالح في مقام تحريم ما دلّ الدليل على عدم إمكان تحريمه، كالصلح لزوجته على أن لا يستمتع منها، فإنّه مسلّط على الاستمتاع منها بالجماع والملامسة والقبلة و الملاعبة و غيرها ؛ و يصالح معها على أن لا ينتفع منها بمعنى أن يحرم عليه الانتفاع منها، و مقتضى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حرّم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الحكم بعدم إمكانه و عدم جوازها مع أنّه ثابت في الشريعة كالصلح عن حقّ القسم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الصلح هناك إنّما هو لإسقاط الوجوب، لا لإسقاط الجواز و إثباتالتحريم ؛ و لهذا يجوز له الإقدام بمقتضى القسم مع تحقّق المصالحة في إسقاطه كما لا يخفى </w:t>
      </w:r>
      <w:r>
        <w:rPr>
          <w:rFonts w:eastAsia="Amiri" w:cs="Amiri" w:ascii="Amiri" w:hAnsi="Amiri"/>
          <w:color w:val="111111"/>
          <w:sz w:val="28"/>
          <w:szCs w:val="28"/>
          <w:rtl w:val="true"/>
          <w:lang w:bidi="ar-SA"/>
        </w:rPr>
        <w:t xml:space="preserve">. </w:t>
      </w:r>
      <w:bookmarkStart w:id="181" w:name="pg7612_45093"/>
    </w:p>
    <w:p>
      <w:pPr>
        <w:pStyle w:val="Heading3"/>
        <w:numPr>
          <w:ilvl w:val="2"/>
          <w:numId w:val="1"/>
        </w:numPr>
        <w:rPr/>
      </w:pPr>
      <w:bookmarkStart w:id="182" w:name="__RefHeading___Toc3416682_1051229030"/>
      <w:bookmarkStart w:id="183" w:name="_Toc70"/>
      <w:bookmarkEnd w:id="181"/>
      <w:bookmarkEnd w:id="182"/>
      <w:r>
        <w:rPr>
          <w:rtl w:val="true"/>
        </w:rPr>
        <w:t>المقدّمة الثانية</w:t>
      </w:r>
      <w:bookmarkEnd w:id="183"/>
    </w:p>
    <w:p>
      <w:pPr>
        <w:pStyle w:val="BookText"/>
        <w:rPr/>
      </w:pP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الحقّ الّذي للزوج على المرأة من التسلّط على الانتفاع ببضعها والمضاجعة معها و قبلتها و لمسها و الملاعبة معها و غيرها، هل يمكن إسقاطها بصلحٍ و غيره، أم لا ؟</w:t>
      </w:r>
    </w:p>
    <w:p>
      <w:pPr>
        <w:pStyle w:val="BookText"/>
        <w:rPr/>
      </w:pPr>
      <w:r>
        <w:rPr>
          <w:rFonts w:ascii="Amiri" w:hAnsi="Amiri" w:eastAsia="Amiri" w:cs="Amiri"/>
          <w:color w:val="111111"/>
          <w:sz w:val="28"/>
          <w:sz w:val="28"/>
          <w:szCs w:val="28"/>
          <w:rtl w:val="true"/>
          <w:lang w:bidi="ar-SA"/>
        </w:rPr>
        <w:t xml:space="preserve">فيه تفصيلٌ بين الزوجة الدائمة والمتمتّع بها، ففي الاُولى لا يمكن ذلك، بمعنى أنّ الزوجة يكون باقية على وصف الزوجيّة الدائمة، و مع ذلك لا يمكن للزوج إسقاط الاُمور المذكورة له عليها حتّى يحرم عليه قبلتها و ملامستها والنظر إليها وهكذا ؛ و أمّا في الثانية فيمكن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الإمكان في الأوّل، فلوضوح أنّ وصف الزوجيّة ملزومٌ للاُمور المذكورة، و تخلّف الملزوم عن اللازم من الاُمور المستحيلة، فلا يمكن للزوج إسقاط الاُمور المذكورة عن زوجتها بمعنى أن يكون وصف الزوجيّة باقٍ و يحرم عليه الاُمور المذكورة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الجواز في الثانية، فلأنّه مدلولٌ عليه بجملةٍ من النصوص المعتبرة، </w:t>
      </w:r>
    </w:p>
    <w:p>
      <w:pPr>
        <w:pStyle w:val="BookText"/>
        <w:rPr/>
      </w:pPr>
      <w:r>
        <w:rPr>
          <w:rFonts w:ascii="Amiri" w:hAnsi="Amiri" w:eastAsia="Amiri" w:cs="Amiri"/>
          <w:color w:val="111111"/>
          <w:sz w:val="28"/>
          <w:sz w:val="28"/>
          <w:szCs w:val="28"/>
          <w:rtl w:val="true"/>
          <w:lang w:bidi="ar-SA"/>
        </w:rPr>
        <w:t xml:space="preserve">كالصحيح المرويّ في الفقيه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رجلٍتمتّع بامرأة ثمّ وهب لها أيّامها قبل أن يفضي إليها، أو وهب لها أيّامها بعد أن يفضى </w:t>
      </w:r>
      <w:r>
        <w:rPr>
          <w:rStyle w:val="FootnoteAnchor"/>
          <w:rtl w:val="true"/>
        </w:rPr>
        <w:footnoteReference w:id="74"/>
      </w:r>
      <w:r>
        <w:rPr>
          <w:rFonts w:ascii="Amiri" w:hAnsi="Amiri" w:eastAsia="Amiri" w:cs="Amiri"/>
          <w:color w:val="111111"/>
          <w:sz w:val="28"/>
          <w:sz w:val="28"/>
          <w:szCs w:val="28"/>
          <w:rtl w:val="true"/>
          <w:lang w:bidi="ar-SA"/>
        </w:rPr>
        <w:t xml:space="preserve">إليها، هل له أن يرجع فيما وهب لها من ذلك ؟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الكافي بأسانيد متعدّدة،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يتزوّج المرأة متعة، فيتزوّجها على شهرٍ، ثمّ إنّها تقع في قلبه، فيحبّ أن يكون شرطه أكثر من شهر، فهل يجوز أن يزيدها في أجرها و يزداد في الأيّام قبل أن تنقضى أيّامه الّتي شرط عليها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يجوز شرطان في شرطٍ،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عليها بما بقي من الأيّام ثمّ يستأنف شرطاً جديداً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 التصدّق فيه على الهبة، و لا معنى لهبة الأيّام الباقية، بل المراد هبة ما استحقّه منها بالعقد من منفعة البضع و الملاعبة و غيرهما في بقيّة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المطلب هو ما أطبقت عليه كلمات الأصحاب ؛ قال في التهذيب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أراد الرجل أن يزيد في المدّة قبل انقضاء الأجل فليس له ذلك إلاّ أن يهب لها ما بقي له من الأيّام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استدلّ عليه بالحديث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انقضى أجل المتعة جاز له أن يعقد عليها عقداً مستأنفاً في الحال، فإن أراد أن يزيدها في الأجل قبل انقضاء أجلها، لم يكن له ذلك، فإن أراده فليهب لها ما بقي عليها من الأيّام، ثمّ ليعقد عليها على ما شاء من الأيّام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دائرة الصلح أوسع من دائرة الهبة، فإذا أمكن إسقاط التسلّط الّذي للزوج على الزوجة المتمتّع بها و سلب الاستحقاق فيها بالهبة، فجوازه بالصلح بطريقٍ أولى كما لا يخفى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المقامين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بين المتعاقدين أوجب العلاقة بينهما في كلٍّ من الدوام و الانقطاع المقتضية لتسلّطه على الانتفاع ببضعها و قبلتها و ملامستها و غيرها ؛ و قد نطقت الشريعة بانحصار المزيل لتلك العلاقة في الدوام في الطلاق، بخلافه في الانقطاع، بل اقتضت بأنّ المزيل لها فيه غيره </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7612_45097"/>
      <w:bookmarkStart w:id="185" w:name="pg7612_45097"/>
      <w:bookmarkEnd w:id="185"/>
    </w:p>
    <w:p>
      <w:pPr>
        <w:pStyle w:val="Heading3"/>
        <w:numPr>
          <w:ilvl w:val="2"/>
          <w:numId w:val="1"/>
        </w:numPr>
        <w:rPr/>
      </w:pPr>
      <w:bookmarkStart w:id="186" w:name="pg7612_45097"/>
      <w:bookmarkStart w:id="187" w:name="__RefHeading___Toc3416684_1051229030"/>
      <w:bookmarkStart w:id="188" w:name="_Toc71"/>
      <w:bookmarkEnd w:id="186"/>
      <w:bookmarkEnd w:id="187"/>
      <w:r>
        <w:rPr>
          <w:rtl w:val="true"/>
        </w:rPr>
        <w:t>المقدّمة الثالثة</w:t>
      </w:r>
      <w:bookmarkEnd w:id="188"/>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الطلاق من الأسباب الشرعيّة لإزالة الزوجيّة الّتي أوجبها العقد، فالطلاق المستجمع للشرائط أوجب خروج الزوجة عن الزوجيّة، فلا تكون الزوجة المطلّقة بعد الطلاق زوجة حقيقةً ؛ و جواز الرجوع في بعض المواضع إلى أجلٍ لا يوجب بقاء الزوجيّة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صيغة الطلاق بين كون المطلّقة غير مدخولٍ بها و يائسة و غيرهما، فكما أنّها في الأوّلين يوجب خروج الزوجة، فليكن الأمر في المدخول بها الّتي لم يكن يائسة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ما في الباب أنّ الشرع أباح للزوج و سلّطه على الرجوع في العدّة في بعض المواضع، و ذلك لا يوجب كون الزوجة المطلّقة قبل الرجوع زوجة حقيقةً، و هو ظاهر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بُعُولَتُهُنَّ أحَقُّ بِرَدِّهِنَّ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لوضوح أنّ المراد الردّ إلى الزوجيّة ؛ و ظاهرٌ أنّ الردّ إلى الشيء لا يكون إلاّ معالخروج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المرويّ في الكافي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إذا أراد أن يطلّق الرجل امرأته يدعها إن كان قد دخل بها حتّى تحيض، ثمّ تطهّر، فإذا طهرت طلّقها واحدة بشهادة شاهدين، ثمّ يتركها حتّى تعتدّ ثلاثة قروء، فإذا مضت ثلاثة قروء فقد بانت منه بواحدةٍ، و كان زوجها خاطباً من الخُطّاب، إن شاءت تزوّجته، و إن شاءت لم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تزوّجها بمهرٍ جديد كانت عنده على اثنتين باقيتين و قد مضت الواحدة، فإن هو طلّقها واحدةً اُخرى على طهرٍ من غير جماعٍ بشهادة شاهدين، ثمّ تركها حتّى تمضى أقراؤها، فإذا مضت أقراؤها من قبل أن يراجعها فقد بانت منه باثنتين، و ملكت أمرها و حلّت للأزواج، و كان زوجها خاطباً من الخُطّابٍ، إن شاءت تزوّجته، و إن شاءت لم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هو تزوّجها تزويجاً جديداً بمهرٍ جديد كانت معه بواحدةٍ باقية و قد مضت اثنتان، فإن أراد أن يطلّقها طلاقاً لا تحلّ له حتّى تنكح زوجاً غيره تركها إذا حاضت و طهرت أشهد على طلاقها تطليقةً واحدة، ثمّ لا تحلّ له حتّى تنكح زوجاً 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إذا كانت امرأة مطلّقة من زوجها كانت خارجة من ملكه حتّى يراجعها، فإذا راجعها صارت في ملكه ما لم يطلّق التطليقة الثالثة،</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خارجة من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خروج الزوجة بمحض الطلاق عن الزوجيّة، فهو قرينة على أنّ تعليق البينونة بمضيّ ثلاثة قروء باعتبار جواز رجوع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الصحيح المرويّ في التهذيب عن بريد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المفقود كيف يصنع بامرأته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للمولى أنفق عليها، فإن فعل فلا سبيل أن تتزوّج ما أنفق عليها، فإن أبى أن ينفق عليها اُجبر الوليّ على أن يطلّق تطليقه في استقبال العدّة و هي طاهرة، فيصير طلاق الوليّ طلاق الزوج، فإن جاء زوجها قبل أن تنقضي عدّتها من يومٍ طلّقها الوليّ فبدا له أن يراجعها فهي امرأته، و هي عنده على تطليقتين ؛ و إن انقضت العدّة قبل أن يجئأو يراجع، فقد حلّت للأزواج و لا سبيل للأوّل عليها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فبدا له أن يراجعها فهي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يرد أن يراجعها ليست هي امرأته و لو مع بقاء العدّة، فلا يكون ذلك إلاّ باعتبار الخروج عن الزوجيّة بالطلاق ؛ و هي المطلوب، فإذا كان الحال في طلاق الوليّ كذلك فما ظنّك بطلاق نفسه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الزوجة المطلّقة بمحض الطلاق خرجت عن الزوجيّة، و لهذا </w:t>
      </w:r>
    </w:p>
    <w:p>
      <w:pPr>
        <w:pStyle w:val="BookText"/>
        <w:rPr/>
      </w:pPr>
      <w:r>
        <w:rPr>
          <w:rFonts w:ascii="Amiri" w:hAnsi="Amiri" w:eastAsia="Amiri" w:cs="Amiri"/>
          <w:color w:val="111111"/>
          <w:sz w:val="28"/>
          <w:sz w:val="28"/>
          <w:szCs w:val="28"/>
          <w:rtl w:val="true"/>
          <w:lang w:bidi="ar-SA"/>
        </w:rPr>
        <w:t xml:space="preserve">لم يجز للزوج مواقعتها مع عدم قصد الرجوع، سواء نوى عدم الرجوع، أم لا،ولم يبق لها حقّ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دلّ الشرع على تسلّطه على إرجاعها إلى زوجيّته في عدّةٍ معيّنة،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 له من الحقوق، كحقّ الخيار في مدّة الخيار و غيره، و حقّ الرجوع على المرأة المتمتّع بها في المدّة المعيّنة كخمسين سنة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على المرأة المتمتّع بها أقوى من الّذي للزوج على الزوجة المطلّقة في أيّام العدّة، فكما يجوز إسقاطها بالصلح فليكن الأمر فيما نحن فيه أيضاً كذلك، لعموم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جائز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التمسّك في المقام بنصوصٍ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في النكاح و ما يجوز و 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عليه‌السلام عن النهارية، يشترط عليها عند عقدة النكاح أن يأتيها متى شاء كلّ شهرٍ، أو كلّ جمعةٍ يوماً، و من النفقة كذا و 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الشرط بشيء، و من تزوّج بامرأة فلها ما للمرأة من النفقة والقسمة، و لكنّه إذا تزوّج امرأة فخافت منه نشوزاً، أو خافت أن يتزوّج عليها، أو يطلّقها فصالحته من حقّها على شيء من نفقتها، أو قسمتها، فإنّ ذلك جائز لا بأس به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مرويّ في التهذيب أيضاً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فى سنده مَن يُتأمّل فيه إلاّ موسى بن بكر، و هو ابن بكر الواسطي،و حديثه عندي مقبولة ؛ لرواية ابن أبي عمير و صفوان بن يحيى عنه ؛ و قد قال شيخ الطائفة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لا يرويان إلاّ عن ثقةٍ </w:t>
      </w:r>
      <w:r>
        <w:rPr>
          <w:rStyle w:val="FootnoteAnchor"/>
          <w:rtl w:val="true"/>
        </w:rPr>
        <w:footnoteReference w:id="84"/>
      </w:r>
      <w:r>
        <w:rPr>
          <w:rFonts w:ascii="Amiri" w:hAnsi="Amiri" w:eastAsia="Amiri" w:cs="Amiri"/>
          <w:color w:val="111111"/>
          <w:sz w:val="28"/>
          <w:sz w:val="28"/>
          <w:szCs w:val="28"/>
          <w:rtl w:val="true"/>
          <w:lang w:bidi="ar-SA"/>
        </w:rPr>
        <w:t xml:space="preserve">؛ و لأنّ للصدوق طريقاً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رواه الكشّي عن موسى بن بكر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 عليك أن نبعثك في بعض حوائجنا،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عبدك، فمرني بِمَ شئت، فوجّهني في بعض حوائجه إلى الشام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خفاء في دلالته على المدح ؛ و السند و إن كان منتهيًا إليه، لكنّه غير منافٍ لاستفادة المدح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في تفسير النهارية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يخاف من امرأته، فيتزوّج امرأة اُخرى سرّاً عنها، و يشترط على الثانية أن لا يجيئها إلاّ في النهار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فصالحت </w:t>
      </w:r>
      <w:r>
        <w:rPr>
          <w:rStyle w:val="FootnoteAnchor"/>
          <w:rtl w:val="true"/>
        </w:rPr>
        <w:footnoteReference w:id="87"/>
      </w:r>
      <w:r>
        <w:rPr>
          <w:rFonts w:ascii="Amiri" w:hAnsi="Amiri" w:eastAsia="Amiri" w:cs="Amiri"/>
          <w:color w:val="111111"/>
          <w:sz w:val="28"/>
          <w:sz w:val="28"/>
          <w:szCs w:val="28"/>
          <w:rtl w:val="true"/>
          <w:lang w:bidi="ar-SA"/>
        </w:rPr>
        <w:t xml:space="preserve">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المصالحة الزوج عند مصالحة الزوج بعض الحقّ الّذي له عليها بالحقّ الّذي لها عليه، فإنّ المفاعلة من الطرفين، فيكون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النشوز من الكافي في الصحيح عن الحلبي،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امراة خافَتْ مِنْ بَعْلِهانُشُوزاً أو إعْراضاً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المرأة تكون عند الرجل فيكرهها،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أطلّقك،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إنّي أكره أن يشمت بي ولكن انظر في ليلتي فاصنع بها ما شئت، و ما كان سوى ذلك من شيء فهو لك، و دعني على حالتي، وهو قوله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عَلَيْهِما أنْ يَصْلَحا بَيْنَهُما 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هذا الصلح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المرويّ في الباب،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امرأة خافَت مِن بَعْلِها نُشُوزاً أو إعراضاً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فهمّ بطلاقها،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أمسكني و أدع لك بعض ما عليك، و أحلّلك من يومي و ليلتي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 له ذلك و لا جناح عليهما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في الفقيه باسناده إلى المفضّل بن صالح، عن زيد الشحّام، عن أبي عبداللّه عليه‌السلام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المرويّ في الباب أيضاً عن أبي بصير،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امرأة خافَت مِنْ بَعْلِها نُشُوزاً أو إعراضاً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تكون عنده المرأة لا تعجبه، فيريد طلاقها، فتقول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أمسكني ولا تطلقني و أدع لك ما على ظهرك، و أعطيك من مالي، و اُحلّلك من يوميوليلتي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طاب ذلك له كلّه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المذكورة لمّا كانت منساقة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جُناحَ عَلَيْها أن يُصْلِحا بَيْنَهُما 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مقتضاها أنّه لو قالت المرأة لزوجها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صالحتك عمّا عليك من حقوقي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مصالحة صحيحة يترتّب عليها سقوط حقوقها عنه مطلقاً و لو كان الوقاع بعد أربعة أشهرٍ،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يجوز ذلك في حقّ الزوجة ينبغي أن يجوز في حقّ الزوج أيضاً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عمّا عليك من حقوقي، فإذا جاز ذلك قبل الطلاق يجوز بعده في العدّة الرجعيّة، لكون المقتضي مشتركاً بينهما، كما أنّه إذا جاز ذلك في الحقوق الواجبة ينبغي جوازه في الحقوق الجائزة، بل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المقام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الثابت إمّا واجب، أو جائز ؛ والصلح في الأوّل يوجب سقوط الوجوب، و لا يلزم منه سقوط الجواز إلاّ باعتبار أنّ نسخ الوجوب لا يوجب نسخ الجواز، بل باعتبار قيام مقتضى الجواز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الحال في ذلك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نبّهنا فيما سلف أنّ الزوجيّة لمّا كانت مستلزمة لجواز النظر إلى الزوجة والملاعبة معها و الملامسة و غيرها فلا يمكن انفكاكها مع بقاء الزوجيّة ؛ والساقط بالصلح هناك إنّما هو الوجوب، وأمّا </w:t>
      </w:r>
    </w:p>
    <w:p>
      <w:pPr>
        <w:pStyle w:val="BookText"/>
        <w:rPr/>
      </w:pPr>
      <w:r>
        <w:rPr>
          <w:rFonts w:ascii="Amiri" w:hAnsi="Amiri" w:eastAsia="Amiri" w:cs="Amiri"/>
          <w:color w:val="111111"/>
          <w:sz w:val="28"/>
          <w:sz w:val="28"/>
          <w:szCs w:val="28"/>
          <w:rtl w:val="true"/>
          <w:lang w:bidi="ar-SA"/>
        </w:rPr>
        <w:t xml:space="preserve">الثابت في العدّة الرجعيّة إنّما هو إمكان إرجاع المطلّقة إلى ما كانت عليه من وصف الزوجيّة و جوازه، و حيث قد سقط بالصلح فلا يبقى له شيء بعد، فلا ينبغيالتأمّل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بيّناه اتّضح أنّ ما ذكره شيخنا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روحه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في مورد الصلح أن يكون مالاً، فيصحّ عن القصاص، أمّا عن الحدّ و التعزير و القسمة بين الزوجات، فلا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فغير مقرونٍ بالصواب بالإضافة إلى الصلح عن القسم، لما عرفت من كونه مدلولاً عليه بجملةٍ من النصوص المعتبرة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ما رواه شيخ الطائفة في التهذيب باسناده عن محمّد بن أحمد بن يحيى، عن محمّد بن أحمد العلوي، عن العمركي، عن عليّ بن جعفر، عن أخيه موسى بن جعفر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له امرأتان، 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ليلتي ويومي لك يوماً أو شهراً أو ما كان، أيجوز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طابت نفسها و اشترى ذلك منها، فلا بأس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إرادة الظاهر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اشترى ذلك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خفاء فيه ؛ فالظاهر أنّ المراد منه أنّه يرضيها بعوضٍ، فيشمل ما لو كان بعنوان المصالحة، </w:t>
      </w:r>
    </w:p>
    <w:p>
      <w:pPr>
        <w:pStyle w:val="BookText"/>
        <w:rPr/>
      </w:pPr>
      <w:r>
        <w:rPr>
          <w:rFonts w:ascii="IRNazanin" w:hAnsi="IRNazanin" w:eastAsia="IRNazanin"/>
          <w:color w:val="111111"/>
          <w:sz w:val="28"/>
          <w:sz w:val="28"/>
          <w:szCs w:val="28"/>
          <w:rtl w:val="true"/>
          <w:lang w:bidi="fa-IR"/>
        </w:rPr>
        <w:t xml:space="preserve">فمقتضاه جواز الصلح عن القسم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عقد الصلح أوسع العقود دائرةً، فجواز الغير يستدعي جوازهبطريقٍ أولى، و لا عكس، فالمراد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خصوص الصلح، أو غيره ؛ و على التقديرين يثبت المرام، فلا ينبغي فيه الارتياب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7612_45107"/>
      <w:bookmarkStart w:id="190" w:name="pg7612_45107"/>
      <w:bookmarkEnd w:id="190"/>
    </w:p>
    <w:p>
      <w:pPr>
        <w:pStyle w:val="Heading2"/>
        <w:numPr>
          <w:ilvl w:val="1"/>
          <w:numId w:val="1"/>
        </w:numPr>
        <w:rPr/>
      </w:pPr>
      <w:bookmarkStart w:id="191" w:name="pg7612_45107"/>
      <w:bookmarkStart w:id="192" w:name="__RefHeading___Toc3416686_1051229030"/>
      <w:bookmarkStart w:id="193" w:name="_Toc72"/>
      <w:bookmarkEnd w:id="191"/>
      <w:bookmarkEnd w:id="192"/>
      <w:r>
        <w:rPr>
          <w:rtl w:val="true"/>
        </w:rPr>
        <w:t>التنبيه على أمور</w:t>
      </w:r>
      <w:bookmarkEnd w:id="193"/>
    </w:p>
    <w:p>
      <w:pPr>
        <w:pStyle w:val="Heading3"/>
        <w:numPr>
          <w:ilvl w:val="2"/>
          <w:numId w:val="1"/>
        </w:numPr>
        <w:rPr/>
      </w:pPr>
      <w:bookmarkStart w:id="194" w:name="__RefHeading___Toc3416688_1051229030"/>
      <w:bookmarkStart w:id="195" w:name="_Toc73"/>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بقي الكلام هنا في اُمورٍ ينبغي التنبيه عليها</w:t>
      </w:r>
    </w:p>
    <w:p>
      <w:pPr>
        <w:pStyle w:val="Heading3"/>
        <w:numPr>
          <w:ilvl w:val="2"/>
          <w:numId w:val="1"/>
        </w:numPr>
        <w:rPr/>
      </w:pPr>
      <w:bookmarkStart w:id="196" w:name="__RefHeading___Toc3416690_1051229030"/>
      <w:bookmarkStart w:id="197" w:name="_Toc74"/>
      <w:bookmarkEnd w:id="196"/>
      <w:r>
        <w:rPr>
          <w:rtl w:val="true"/>
        </w:rPr>
        <w:t>الأمر الأوّل</w:t>
      </w:r>
      <w:bookmarkEnd w:id="19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في المسألة أنّه صالح حقّ الرجوع عليها بما عليه من النفقة في أيّام العدّة لها، و المفروض أنّها ذات حملٍ، فاللازم الجهل في النفقة، لعدم</w:t>
      </w:r>
    </w:p>
    <w:p>
      <w:pPr>
        <w:pStyle w:val="BookText"/>
        <w:rPr/>
      </w:pPr>
      <w:r>
        <w:rPr>
          <w:rFonts w:ascii="Amiri" w:hAnsi="Amiri" w:eastAsia="Amiri" w:cs="Amiri"/>
          <w:color w:val="111111"/>
          <w:sz w:val="28"/>
          <w:sz w:val="28"/>
          <w:szCs w:val="28"/>
          <w:rtl w:val="true"/>
          <w:lang w:bidi="ar-SA"/>
        </w:rPr>
        <w:t xml:space="preserve">معلوميّة زمان الوضع، فيمكن الوضع بستّة أشهرٍ فصاعداً إلى السنة، مضافاً إلى احتمال السقط في كلّ حينٍ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416692_1051229030"/>
      <w:bookmarkStart w:id="199" w:name="_Toc75"/>
      <w:bookmarkEnd w:id="198"/>
      <w:r>
        <w:rPr>
          <w:rtl w:val="true"/>
        </w:rPr>
        <w:t>الأمر الثاني</w:t>
      </w:r>
      <w:bookmarkEnd w:id="1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الاُمور المسلّمة أنّه لا يجوز للزوج العقد على اُخت المطلّقة في أيّام العدّة الرجعيّة، فهل الأمر كذلك بعد إسقاط حقّ الرجوع أيضاً، أم لا ؟ </w:t>
      </w:r>
      <w:bookmarkStart w:id="200" w:name="pg7612_45108"/>
    </w:p>
    <w:p>
      <w:pPr>
        <w:pStyle w:val="Heading3"/>
        <w:numPr>
          <w:ilvl w:val="2"/>
          <w:numId w:val="1"/>
        </w:numPr>
        <w:rPr/>
      </w:pPr>
      <w:bookmarkStart w:id="201" w:name="__RefHeading___Toc3416694_1051229030"/>
      <w:bookmarkStart w:id="202" w:name="_Toc76"/>
      <w:bookmarkEnd w:id="200"/>
      <w:bookmarkEnd w:id="201"/>
      <w:r>
        <w:rPr>
          <w:rtl w:val="true"/>
        </w:rPr>
        <w:t>الأمر الثالث</w:t>
      </w:r>
      <w:bookmarkEnd w:id="202"/>
    </w:p>
    <w:p>
      <w:pPr>
        <w:pStyle w:val="Heading4"/>
        <w:numPr>
          <w:ilvl w:val="3"/>
          <w:numId w:val="1"/>
        </w:numPr>
        <w:rPr/>
      </w:pPr>
      <w:bookmarkStart w:id="203" w:name="__RefHeading___Toc3416696_1051229030"/>
      <w:bookmarkStart w:id="204" w:name="_Toc77"/>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التوارث بينهما فيما إذا اتّفق الموت في أيّام العدّة ثابت و لو مع عدم إمكان الرجوع، أو مختصّ بما أمكن ؟</w:t>
      </w:r>
    </w:p>
    <w:p>
      <w:pPr>
        <w:pStyle w:val="Heading4"/>
        <w:numPr>
          <w:ilvl w:val="3"/>
          <w:numId w:val="1"/>
        </w:numPr>
        <w:rPr/>
      </w:pPr>
      <w:bookmarkStart w:id="205" w:name="__RefHeading___Toc3416698_1051229030"/>
      <w:bookmarkStart w:id="206" w:name="_Toc78"/>
      <w:bookmarkEnd w:id="205"/>
      <w:r>
        <w:rPr>
          <w:rtl w:val="true"/>
        </w:rPr>
        <w:t>الجواب عن الأوّل</w:t>
      </w:r>
      <w:bookmarkEnd w:id="20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فيمكن الجواب عنه بالنقض والحلّ ؛ أمّا الأوّل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النصوص المذكورة على جواز الصلح بنفقة الزوجة صريحاً، أو عموماً إلى ممات الزوجة ؛ و معلومٌ أنّ زمان الممات غير معلومٍ، فيحتمل ساعة كما يحتمل سنة و سنتين، و اللازم منه الجهل في قدر النفقة، و الجهل فيه أكثر من الجهل في النفقة في زمان العدّة، فما هو الجواب عن ذلك فهو الجواب عن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واضح بين الإلزام بالمجهول و إسقاط المجهول، والجهل على فرض الحذر به في الصلح إنّما يؤاخذ به في الأوّل دون الثاني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الحال في إبراز المرام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صالح أحدٌ ذاتَ حملٍ عن شيء بنفقتها في أيّام حملها يمكن المناقشة حينئذٍ في صحّة المصالحة، للجهل في المصالح به ؛ إذ اللازم حينئذٍ في ذمّة المصالح هو الشيء المجهول، فيلزم الغرر، فتفسد المصالحة </w:t>
      </w:r>
      <w:r>
        <w:rPr>
          <w:rFonts w:eastAsia="Amiri" w:cs="Amiri" w:ascii="Amiri" w:hAnsi="Amiri"/>
          <w:color w:val="111111"/>
          <w:sz w:val="28"/>
          <w:szCs w:val="28"/>
          <w:rtl w:val="true"/>
          <w:lang w:bidi="ar-SA"/>
        </w:rPr>
        <w:t xml:space="preserve">. </w:t>
      </w:r>
      <w:bookmarkStart w:id="207" w:name="pg7612_45109"/>
    </w:p>
    <w:p>
      <w:pPr>
        <w:pStyle w:val="BookText"/>
        <w:rPr/>
      </w:pPr>
      <w:bookmarkEnd w:id="207"/>
      <w:r>
        <w:rPr>
          <w:rFonts w:ascii="Amiri" w:hAnsi="Amiri" w:eastAsia="Amiri" w:cs="Amiri"/>
          <w:color w:val="111111"/>
          <w:sz w:val="28"/>
          <w:sz w:val="28"/>
          <w:szCs w:val="28"/>
          <w:rtl w:val="true"/>
          <w:lang w:bidi="ar-SA"/>
        </w:rPr>
        <w:t xml:space="preserve">و أمّا إذا صالح الزوج مع زوجتها عن الحقّ الثابت له عليها بترك نفقتها، أو إسقاط نفقتها اللازمة عليه، فلا وجه للقدح في المصالحة بالجهل في النفقة، لانتفاءالمفسدة فيه حينئذٍ أصلاً، كما لا يخفى وجهه للمتأمّل </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3416700_1051229030"/>
      <w:bookmarkStart w:id="209" w:name="_Toc79"/>
      <w:bookmarkEnd w:id="208"/>
      <w:r>
        <w:rPr>
          <w:rtl w:val="true"/>
        </w:rPr>
        <w:t>الجواب عن الثاني</w:t>
      </w:r>
      <w:bookmarkEnd w:id="209"/>
    </w:p>
    <w:p>
      <w:pPr>
        <w:pStyle w:val="Heading5"/>
        <w:numPr>
          <w:ilvl w:val="4"/>
          <w:numId w:val="1"/>
        </w:numPr>
        <w:rPr/>
      </w:pPr>
      <w:bookmarkStart w:id="210" w:name="__RefHeading___Toc3416702_1051229030"/>
      <w:bookmarkStart w:id="211" w:name="_Toc80"/>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 xml:space="preserve">و أمّا الثاني، فتحقيق الحال في ذلك يستدعي إيراد ما حضرني من النصّ في المسألة، ثمّ الإشارة إلى تحقيق الحال في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ثقة الإسلام في الكافي في الصحيح عن الحلبي، عن أبي عبداللّه عليه‌السلام في رجلٍ طلّق امرأته، أو اختلعت، أو بانت، أ له أن يتزوّج باُختها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برأ</w:t>
      </w:r>
    </w:p>
    <w:p>
      <w:pPr>
        <w:pStyle w:val="BookText"/>
        <w:rPr/>
      </w:pPr>
      <w:r>
        <w:rPr>
          <w:rFonts w:ascii="Amiri" w:hAnsi="Amiri" w:eastAsia="Amiri" w:cs="Amiri"/>
          <w:color w:val="111111"/>
          <w:sz w:val="28"/>
          <w:sz w:val="28"/>
          <w:szCs w:val="28"/>
          <w:rtl w:val="true"/>
          <w:lang w:bidi="ar-SA"/>
        </w:rPr>
        <w:t xml:space="preserve">عصمتها و لم يكن له عليها رجعة، فله أن يخطب اُختها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عن محمّد بن إسماعيل بن بزيع، عن محمّد بن الفضيل،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اختلعت منه امرأته، أيحلّ له أن يخطب اُختها قبل أن ينقضي عدّتها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برأت عصمتها و لم يكن له رجعة فقد حلّ له أن يخطب اُختها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خطبة اُخت المطلّقة فيهما معلّق ببرائة عصمة الزوجة و عدم </w:t>
      </w:r>
    </w:p>
    <w:p>
      <w:pPr>
        <w:pStyle w:val="BookText"/>
        <w:rPr/>
      </w:pPr>
      <w:r>
        <w:rPr>
          <w:rFonts w:ascii="Amiri" w:hAnsi="Amiri" w:eastAsia="Amiri" w:cs="Amiri"/>
          <w:color w:val="111111"/>
          <w:sz w:val="28"/>
          <w:sz w:val="28"/>
          <w:szCs w:val="28"/>
          <w:rtl w:val="true"/>
          <w:lang w:bidi="ar-SA"/>
        </w:rPr>
        <w:t xml:space="preserve">تمكّن الزوج من الرجعة ؛ و هو أعمّ من أن يكون عدم تمكّنه من الرجعة بالأصالة، أو باعتبار العارض ؛ و المفروض فيما نحن فيه أنّه غير متمكّن من الرجعة، لإسقاط حقّه بالمصالحة، فينبغي أن يحكم بجواز تزويج الاُخت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بمنع العموم بحيث يطمئنّ النفس لشموله لما نحن فيه، إذ المنفيّ بلم ظاهرٌ في إفادة النفي في الماضي، 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خطبة اُخت المطلّقة معلّق في الصحيحين </w:t>
      </w:r>
      <w:r>
        <w:rPr>
          <w:rStyle w:val="FootnoteAnchor"/>
          <w:rtl w:val="true"/>
        </w:rPr>
        <w:footnoteReference w:id="96"/>
      </w:r>
      <w:r>
        <w:rPr>
          <w:rFonts w:ascii="Amiri" w:hAnsi="Amiri" w:eastAsia="Amiri" w:cs="Amiri"/>
          <w:color w:val="111111"/>
          <w:sz w:val="28"/>
          <w:sz w:val="28"/>
          <w:szCs w:val="28"/>
          <w:rtl w:val="true"/>
          <w:lang w:bidi="ar-SA"/>
        </w:rPr>
        <w:t xml:space="preserve">بأن لا يكون له عليها رجعة أصلاً ؛ و هو منتفٍ فيما نحن فيه، للقطع بثبوت حقّ الرجوع له عليها قبل المصالحة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تعليق الحكم على الشرط انتفاؤه عند انتفائه، و مقتضاه الحكم بعدم جواز التزويج و لو بعد المصالحة،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الإغماض عن دعوى الظهور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الاحتمال يكفي في المقام، للقطع بعدم الجواز قبل المصالحة، لكن شكّ في بقائه بعده، فمقتضى الاستصحاب هو الحكم بالبقاء، كما لا يخفى على اُولى النهى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جواز العقد على اُخت المطلّقة في العدّة إمّا عدم إمكان الرجوع حين العقد، أو في الجملة ؛ و على الأوّل ينبغي الحكم بالجواز، بخلافه على الثاني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قد عرفت أنّ مقتضى الصحيحين المذكورين هو الثاني، تبيّن لك أنّ المختار هو الثاني </w:t>
      </w:r>
      <w:r>
        <w:rPr>
          <w:rFonts w:eastAsia="Amiri" w:cs="Amiri" w:ascii="Amiri" w:hAnsi="Amiri"/>
          <w:color w:val="111111"/>
          <w:sz w:val="28"/>
          <w:szCs w:val="28"/>
          <w:rtl w:val="true"/>
          <w:lang w:bidi="ar-SA"/>
        </w:rPr>
        <w:t xml:space="preserve">. </w:t>
      </w:r>
      <w:bookmarkStart w:id="212" w:name="pg7612_45111"/>
    </w:p>
    <w:p>
      <w:pPr>
        <w:pStyle w:val="Heading5"/>
        <w:numPr>
          <w:ilvl w:val="4"/>
          <w:numId w:val="1"/>
        </w:numPr>
        <w:rPr/>
      </w:pPr>
      <w:bookmarkStart w:id="213" w:name="__RefHeading___Toc3416704_1051229030"/>
      <w:bookmarkStart w:id="214" w:name="_Toc81"/>
      <w:bookmarkEnd w:id="212"/>
      <w:bookmarkEnd w:id="213"/>
      <w:r>
        <w:rPr>
          <w:rtl w:val="true"/>
        </w:rPr>
        <w:t xml:space="preserve">[ </w:t>
      </w:r>
      <w:r>
        <w:rPr>
          <w:rtl w:val="true"/>
        </w:rPr>
        <w:t xml:space="preserve">هل النفقة حكمها حكم التزويج بالاُخت ؟ </w:t>
      </w:r>
      <w:r>
        <w:rPr>
          <w:rtl w:val="true"/>
        </w:rPr>
        <w:t>]</w:t>
      </w:r>
      <w:bookmarkEnd w:id="214"/>
    </w:p>
    <w:p>
      <w:pPr>
        <w:pStyle w:val="BookText"/>
        <w:rPr/>
      </w:pPr>
      <w:r>
        <w:rPr>
          <w:rFonts w:ascii="Amiri" w:hAnsi="Amiri" w:eastAsia="Amiri" w:cs="Amiri"/>
          <w:color w:val="111111"/>
          <w:sz w:val="28"/>
          <w:sz w:val="28"/>
          <w:szCs w:val="28"/>
          <w:rtl w:val="true"/>
          <w:lang w:bidi="ar-SA"/>
        </w:rPr>
        <w:t xml:space="preserve">و هل النفقة حكمها حكم التزويج بالاُخت، بمعنى أنّه كما لم يختلف حال التزويج بالاُخت في أيّام العدّة قبل المصالحة و بعدها، فالتحريم ثابت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لم يختلف الحال في النفقة في أيّام العدّة لو لم تسقطها</w:t>
      </w:r>
    </w:p>
    <w:p>
      <w:pPr>
        <w:pStyle w:val="BookText"/>
        <w:rPr/>
      </w:pPr>
      <w:r>
        <w:rPr>
          <w:rFonts w:ascii="Amiri" w:hAnsi="Amiri" w:eastAsia="Amiri" w:cs="Amiri"/>
          <w:color w:val="111111"/>
          <w:sz w:val="28"/>
          <w:sz w:val="28"/>
          <w:szCs w:val="28"/>
          <w:rtl w:val="true"/>
          <w:lang w:bidi="ar-SA"/>
        </w:rPr>
        <w:t xml:space="preserve">احتمالان، وجه الوجوب هو الاستصحاب، بناءً على أنّ الإنفاق كان ثابتاً في حقّه و واجباً عليه قبل إسقاط حقّ الرجوع، و مقتضى </w:t>
      </w:r>
      <w:r>
        <w:rPr>
          <w:rStyle w:val="FootnoteAnchor"/>
          <w:rtl w:val="true"/>
        </w:rPr>
        <w:footnoteReference w:id="97"/>
      </w:r>
      <w:r>
        <w:rPr>
          <w:rFonts w:ascii="IRNazanin" w:hAnsi="IRNazanin" w:eastAsia="IRNazanin"/>
          <w:color w:val="111111"/>
          <w:sz w:val="28"/>
          <w:sz w:val="28"/>
          <w:szCs w:val="28"/>
          <w:rtl w:val="true"/>
          <w:lang w:bidi="fa-IR"/>
        </w:rPr>
        <w:t xml:space="preserve">الاستصحاب بقائه على حاله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الظاهر ممّا رواه شيخنا الصدوق في الفقيه باسناده عن موسى بن بكر، عن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ثلاثاً ليس لها نفقة على زوجها و لا سكنى، إنّما ذلك للّتي لزوجها عليها رجعة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ناءً على أنّ المستفاد منه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النفقة على الزوج </w:t>
      </w:r>
      <w:bookmarkStart w:id="215" w:name="pg7612_45112"/>
    </w:p>
    <w:p>
      <w:pPr>
        <w:pStyle w:val="BookText"/>
        <w:rPr/>
      </w:pPr>
      <w:bookmarkEnd w:id="215"/>
      <w:r>
        <w:rPr>
          <w:rFonts w:ascii="Amiri" w:hAnsi="Amiri" w:eastAsia="Amiri" w:cs="Amiri"/>
          <w:color w:val="111111"/>
          <w:sz w:val="28"/>
          <w:sz w:val="28"/>
          <w:szCs w:val="28"/>
          <w:rtl w:val="true"/>
          <w:lang w:bidi="ar-SA"/>
        </w:rPr>
        <w:t xml:space="preserve">للزوجة الّتي له عليها رجعة ؛ و عدميّ،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وجوبها للّتي انتفى له عليها رجعة، و هو أعمّ من أن يكون انتفاء الرجعة فيه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كالمطلّقة بالطلاق البائن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بالعرض كما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الثاني أقوى، و به يقيّد الإطلاق في صحيحة زرارة المرويّة في الكافيعن مولانا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نفقتها و السكنى ما دامت في عدّتها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3416706_1051229030"/>
      <w:bookmarkStart w:id="217" w:name="_Toc82"/>
      <w:bookmarkEnd w:id="216"/>
      <w:r>
        <w:rPr>
          <w:rtl w:val="true"/>
        </w:rPr>
        <w:t>الجواب عن الثالث</w:t>
      </w:r>
      <w:bookmarkEnd w:id="217"/>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التوارث بينهما فيما إذا اتّفق الممات في أثناء العدّة ولو مع إسقاط حقّ الرجوع بالمصالحة،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w:t>
      </w:r>
      <w:r>
        <w:rPr>
          <w:rStyle w:val="FootnoteAnchor"/>
          <w:rtl w:val="true"/>
        </w:rPr>
        <w:footnoteReference w:id="100"/>
      </w:r>
      <w:r>
        <w:rPr>
          <w:rFonts w:ascii="Amiri" w:hAnsi="Amiri" w:eastAsia="Amiri" w:cs="Amiri"/>
          <w:color w:val="111111"/>
          <w:sz w:val="28"/>
          <w:sz w:val="28"/>
          <w:szCs w:val="28"/>
          <w:rtl w:val="true"/>
          <w:lang w:bidi="ar-SA"/>
        </w:rPr>
        <w:t xml:space="preserve">مع بقاء حقّ الرجوع فيما إذا كان الموت في أثناء العدّة ممّا لا ريب فيه، و لا شكّ يعتريه، كعدمه فيما إذا كان بعد انقضائها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الكلام فيما إذا اتّفق الموت بعد إسقاطه في أثناء العدّة، والّذي يمكن أن يتمسّك به في إثباته هو الاستصحاب، لكن فيه تأمّل لا يخفى للمتأمّل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الاستدلال لإثبات المرام بصحيحة زرارة، لقوله عليه‌السلام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هما يتوارثان حتّى تنقضي العدّة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بناءً على أنّ إطلاقه يقتضي التوارث بينهما ولو </w:t>
      </w:r>
    </w:p>
    <w:p>
      <w:pPr>
        <w:pStyle w:val="BookText"/>
        <w:rPr/>
      </w:pPr>
      <w:r>
        <w:rPr>
          <w:rFonts w:ascii="Amiri" w:hAnsi="Amiri" w:eastAsia="Amiri" w:cs="Amiri"/>
          <w:color w:val="111111"/>
          <w:sz w:val="28"/>
          <w:sz w:val="28"/>
          <w:szCs w:val="28"/>
          <w:rtl w:val="true"/>
          <w:lang w:bidi="ar-SA"/>
        </w:rPr>
        <w:t xml:space="preserve">لم يكن له عليها رجعة مطلقاً، خرج ما دلّ الدليل على خروجه، و هو غير الطلاق الرجعيّ، فبقي الغير مندرجاً تحت العموم، فينبغي المصير إلى 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ثبوت التوارث بينهما فيما إذا كان الطلاق رجعيّاً فيما إذا مات </w:t>
      </w:r>
      <w:r>
        <w:rPr>
          <w:rStyle w:val="FootnoteAnchor"/>
          <w:rtl w:val="true"/>
        </w:rPr>
        <w:footnoteReference w:id="102"/>
      </w:r>
      <w:r>
        <w:rPr>
          <w:rFonts w:ascii="Amiri" w:hAnsi="Amiri" w:eastAsia="Amiri" w:cs="Amiri"/>
          <w:color w:val="111111"/>
          <w:sz w:val="28"/>
          <w:sz w:val="28"/>
          <w:szCs w:val="28"/>
          <w:rtl w:val="true"/>
          <w:lang w:bidi="ar-SA"/>
        </w:rPr>
        <w:t xml:space="preserve">أحدهما من غير رجوع الزوج إلى زوجته فيما إذا ساغ له الرجوع عليها، فليكنالأمر كذلك فيما إذا كان الموت مع إسقاط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هما يتوارثان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إنّما يستقيم في المقام إذا أمكن التمسّك بالإطلاق ؛ و هو غير معلوم، بل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الأمر في ذلك يستدعي إيراد ما تقدّم عليه و ما يعارضه، ثمّ التنبيه على ما يلزم منهما،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الحديث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عليه نفقتها والسكنى ما دامت في عدّتها، و هما يتوارثان حتّى تنقضي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مرويّ في الفقيه أيضاً، لكن مرسلاً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الأئمّة عليهم‌السلام أنّ طلاق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المطلّق للسنّة نفقة المرأة و السكنى ما دامت في عدّتها، و هما يتوارثان حتّى تنقضي العدّة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الإطلاق فيما ذكر و إن كان ما تقدّم، لكنّ التعويل على المطلقات </w:t>
      </w:r>
    </w:p>
    <w:p>
      <w:pPr>
        <w:pStyle w:val="BookText"/>
        <w:rPr/>
      </w:pPr>
      <w:r>
        <w:rPr>
          <w:rFonts w:ascii="Amiri" w:hAnsi="Amiri" w:eastAsia="Amiri" w:cs="Amiri"/>
          <w:color w:val="111111"/>
          <w:sz w:val="28"/>
          <w:sz w:val="28"/>
          <w:szCs w:val="28"/>
          <w:rtl w:val="true"/>
          <w:lang w:bidi="ar-SA"/>
        </w:rPr>
        <w:t>مشروطٌ بانتفاء المقيّد، و المقيّد فيما نحن فيه موجود، و هو ما نبّهنا عليه ممّا رواه</w:t>
      </w:r>
    </w:p>
    <w:p>
      <w:pPr>
        <w:pStyle w:val="BookText"/>
        <w:rPr/>
      </w:pPr>
      <w:r>
        <w:rPr>
          <w:rFonts w:ascii="Amiri" w:hAnsi="Amiri" w:eastAsia="Amiri" w:cs="Amiri"/>
          <w:color w:val="111111"/>
          <w:sz w:val="28"/>
          <w:sz w:val="28"/>
          <w:szCs w:val="28"/>
          <w:rtl w:val="true"/>
          <w:lang w:bidi="ar-SA"/>
        </w:rPr>
        <w:t xml:space="preserve">شيخنا الصدوق باسناده إلى موسى بن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موسى بن بكر عن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ثلاثاً ليس لها نفقة على زوجها و لا سكنى، إنّما ذلك للّتي لزوجها عليها رجعة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طريقه إليه و إن لم يذكره في المشيخة، لكن جهل الطريق غير مضرٍّ، لما قرّرفي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الحديث مرويّ في الكافي أيضاً ؛ والسند فيه إلى موسى بن بكر صحيح، و الكلام في موسى بن بكر قد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نبّهنا فيما سلف أنّ مقتضى الحصر فيه أنّه لا يجب الإنفاق على المطلق إلاّ بالإضافة إلى المطلّقة الّتي له عليها رجعة ؛ و اللازم منه تقييد المرجع في نفقتها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عليه نفقتها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كالمرأة فيما ذكره شيخنا الصدوق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المطلق للسنّة نفقة المرأة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يكون الكلام بمنزلة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المطلق نفقة المطلّقة الّتي له عليها رجعة، فحينئذٍ يكون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هما يتوارثان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 والمطلّقة الّتي له عليها رجعة يتوارثان، فلا يمكن التمسّك به في ثبوت التوارث فيما لم تكن له عليها رجعة و لو باعتبار المصالحة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الاستناد بما ذكر من التأييد ففي غير محلّه، لكونه إيلاء إلى القياس، والقياس عند القائلين به مشروط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بالنسبة إلى المقيس عليه، والآخر بالإضافة إلى المقيس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الشرط في المقيس عليه فهو أن لا توجد فيه خصوصيّة تقتضي ثبوت الحكم فيه، فلو وجدت الخصوصيّة فيه وانتفت في طرف المقيس اختلّ به أمر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المقيس فهو أن لا يكون فيه مانع من ثبوت الحكم فيه، فلو وجد فيهالمانع لم يكن في طرف المقيس عليه ما اختصّ بالمنع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بانتفاء الشرط في محلّ الكلام في كلا الطرفين ؛ و أمّا في طرف المقيس عليه فلوضوح أنّ إمكان الرجوع فيه إلى الممات خصوصيّةٌ يناسب ثبوت التوارث، و هو منتفٍ في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طرف المقيس، فلأنّ المفروض انتفاء حقّ الرجوع فيه و عدم إمكانه، فيمكن أن يكون هذا مانعاً عن التوارث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التمسّك لإثبات التوارث هنا بالاستصحاب، لكن لا بالتقرير السالف، بل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التوارث بينهما قبل الطلاق ثابت بالكتاب والسنّة والإجماع، قال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الرُّبُعُ مِمّا تَرَكْنَ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لَهُنَّ الرُّبُعُ مِمّا تَرَكْتُمْ إنْ لَمْ </w:t>
      </w:r>
    </w:p>
    <w:p>
      <w:pPr>
        <w:pStyle w:val="BookText"/>
        <w:rPr/>
      </w:pPr>
      <w:r>
        <w:rPr>
          <w:rFonts w:ascii="Amiri" w:hAnsi="Amiri" w:eastAsia="Amiri" w:cs="Amiri"/>
          <w:color w:val="111111"/>
          <w:sz w:val="28"/>
          <w:sz w:val="28"/>
          <w:szCs w:val="28"/>
          <w:rtl w:val="true"/>
          <w:lang w:bidi="ar-SA"/>
        </w:rPr>
        <w:t xml:space="preserve">يَكُنْ لَكُمْ وَلَدٌ فَإنْ كانَ لَكُمْ وَلَدٌ فَلَهُنَّ الُّثمُنُ مِمّا تَرَكْتُمْ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الاستصحاب الحكم بثبوت الحكم المدلول عليه بالآية الشريفة إلى أن دلّ الدليل على إطلاقه ؛ والقدر الثابت في غير الطلاق الرجعيّ مطلقاً، و فيه بعد انقضاء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فيما إذا كان الممات في أثنائها، فلا ينبغي الحكم بالثبوت عملاً بالاستصحاب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يقتضيه النظر في بادئ الأمر، لكنّ الجزم في أمثال المقام طيّ الأمربالمصالحة، فإنّها أسلم و أنجى </w:t>
      </w:r>
      <w:r>
        <w:rPr>
          <w:rStyle w:val="FootnoteAnchor"/>
          <w:rtl w:val="true"/>
        </w:rPr>
        <w:footnoteReference w:id="106"/>
      </w:r>
      <w:r>
        <w:rPr>
          <w:rFonts w:ascii="Amiri" w:hAnsi="Amiri" w:eastAsia="Amiri" w:cs="Amiri"/>
          <w:color w:val="111111"/>
          <w:sz w:val="28"/>
          <w:sz w:val="28"/>
          <w:szCs w:val="28"/>
          <w:rtl w:val="true"/>
          <w:lang w:bidi="ar-SA"/>
        </w:rPr>
        <w:t xml:space="preserve">من المؤاخذة في مقام المؤاخذة </w:t>
      </w:r>
      <w:r>
        <w:rPr>
          <w:rFonts w:eastAsia="Amiri" w:cs="Amiri" w:ascii="Amiri" w:hAnsi="Amiri"/>
          <w:color w:val="111111"/>
          <w:sz w:val="28"/>
          <w:szCs w:val="28"/>
          <w:rtl w:val="true"/>
          <w:lang w:bidi="ar-SA"/>
        </w:rPr>
        <w:t xml:space="preserve">. </w:t>
      </w:r>
      <w:bookmarkStart w:id="218" w:name="pg7612_45117"/>
    </w:p>
    <w:p>
      <w:pPr>
        <w:pStyle w:val="Heading2"/>
        <w:numPr>
          <w:ilvl w:val="1"/>
          <w:numId w:val="1"/>
        </w:numPr>
        <w:rPr/>
      </w:pPr>
      <w:bookmarkStart w:id="219" w:name="__RefHeading___Toc3416708_1051229030"/>
      <w:bookmarkStart w:id="220" w:name="_Toc83"/>
      <w:bookmarkEnd w:id="218"/>
      <w:bookmarkEnd w:id="219"/>
      <w:r>
        <w:rPr>
          <w:rtl w:val="true"/>
        </w:rPr>
        <w:t>تنبيهان</w:t>
      </w:r>
      <w:bookmarkEnd w:id="220"/>
    </w:p>
    <w:p>
      <w:pPr>
        <w:pStyle w:val="Heading3"/>
        <w:numPr>
          <w:ilvl w:val="2"/>
          <w:numId w:val="1"/>
        </w:numPr>
        <w:rPr/>
      </w:pPr>
      <w:bookmarkStart w:id="221" w:name="__RefHeading___Toc3416710_1051229030"/>
      <w:bookmarkStart w:id="222" w:name="_Toc84"/>
      <w:bookmarkEnd w:id="221"/>
      <w:r>
        <w:rPr>
          <w:rtl w:val="true"/>
        </w:rPr>
        <w:t>التنبيه الأوّل</w:t>
      </w:r>
      <w:bookmarkEnd w:id="22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ذكرنا فيما سلف من عدم جواز العقد على اُخت المطلّقة إنّما هو مع حياتها ؛ و أمّا إذا اتّفق لها الموت في أثناء العدّة، فالظاهر عدم وجوب</w:t>
      </w:r>
    </w:p>
    <w:p>
      <w:pPr>
        <w:pStyle w:val="BookText"/>
        <w:rPr/>
      </w:pPr>
      <w:r>
        <w:rPr>
          <w:rFonts w:ascii="Amiri" w:hAnsi="Amiri" w:eastAsia="Amiri" w:cs="Amiri"/>
          <w:color w:val="111111"/>
          <w:sz w:val="28"/>
          <w:sz w:val="28"/>
          <w:szCs w:val="28"/>
          <w:rtl w:val="true"/>
          <w:lang w:bidi="ar-SA"/>
        </w:rPr>
        <w:t xml:space="preserve">التأمّل إلى انقضائها، فيجوز له العقد و لو في أثنائها، كما إذا ماتت من غير طلاقٍ، فإنّه يجوز له العقد على اُختها و لو قبل انقضاء زمانٍ يعادل زمان العدّة ؛ كما إذا ماتت إحدى الأربع من الزوجات يسوغ للرجل التزويج باُخرى من غير لزوم ترقّب فصلٍ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الموثّق المرويّ في التهذيب 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عليه‌السلام عن الرجل يكون له أربع نسوة، فيموت إحديهنّ، فهل يحلّ له أن يتزوّج اُخرى مكانها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تأتي عليها أربعة أشهرٍ و عشراً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بدّ من صرفه عن ظاهره، لوضوح أنّ المدّة المذكورة إنّما هي العدّة للمرأةالمتوفّى عنها زوجها، لا للرجل المتوفّى عنه الزوجة ؛ و لذا حمله شيخ الطائفة على الاستحباب، قال بعد أن أورده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محمول على ضربٍ من الاستحباب، لأنّه إذا ماتت المرأة جاز للرجل أن ينكح امرأة اُخرى مكانها في الحال </w:t>
      </w:r>
      <w:r>
        <w:rPr>
          <w:rStyle w:val="FootnoteAnchor"/>
          <w:rtl w:val="true"/>
        </w:rPr>
        <w:footnoteReference w:id="108"/>
      </w:r>
      <w:r>
        <w:rPr>
          <w:rFonts w:ascii="Amiri" w:hAnsi="Amiri" w:eastAsia="Amiri" w:cs="Amiri"/>
          <w:color w:val="111111"/>
          <w:sz w:val="28"/>
          <w:sz w:val="28"/>
          <w:szCs w:val="28"/>
          <w:rtl w:val="true"/>
          <w:lang w:bidi="ar-SA"/>
        </w:rPr>
        <w:t xml:space="preserve">، انتهى كلامه رفع في الجنّة مقامه </w:t>
      </w:r>
      <w:r>
        <w:rPr>
          <w:rFonts w:eastAsia="Amiri" w:cs="Amiri" w:ascii="Amiri" w:hAnsi="Amiri"/>
          <w:color w:val="111111"/>
          <w:sz w:val="28"/>
          <w:szCs w:val="28"/>
          <w:rtl w:val="true"/>
          <w:lang w:bidi="ar-SA"/>
        </w:rPr>
        <w:t xml:space="preserve">. </w:t>
      </w:r>
      <w:bookmarkStart w:id="223" w:name="pg7612_45119"/>
    </w:p>
    <w:p>
      <w:pPr>
        <w:pStyle w:val="Heading3"/>
        <w:numPr>
          <w:ilvl w:val="2"/>
          <w:numId w:val="1"/>
        </w:numPr>
        <w:rPr/>
      </w:pPr>
      <w:bookmarkStart w:id="224" w:name="__RefHeading___Toc3416712_1051229030"/>
      <w:bookmarkStart w:id="225" w:name="_Toc85"/>
      <w:bookmarkEnd w:id="223"/>
      <w:bookmarkEnd w:id="224"/>
      <w:r>
        <w:rPr>
          <w:rtl w:val="true"/>
        </w:rPr>
        <w:t>التنبيه الثاني</w:t>
      </w:r>
      <w:bookmarkEnd w:id="225"/>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عدم جواز الرجوع للزوج على الزوجة بعد المصالحة إنّما هو مع بقاء المصالحة و انتفاء الفسخ ؛ و أمّا عند تحقّقه برضى منهما، فلا ينبغي التأمّل في الجواز و لا في غيره ممّا ذكر من الإنفاق و التوارث إلاّ بعد انقضاء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الحمد والشكر والمنّة، و صلواته على أكمل مَن ختمت به النبوّة، وأفضل مَن تمّت به الولاية، و آله أصحاب العصمة و الجلالة والطهارة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ممّا جرى به القلم في مزرعة تندران من مزارع كرون من محالّ اصبهان في ضحوة اليوم الثاني من الاُسبوع الثاني، السابع من أسبوع الأيّام، العاشر من العشر الأوّل من الشهر السادس من السنة الخامسة من العشر الرابع من المائة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من الألف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هجرة أكمل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آله آلافالسلام والثناء والتحيّة </w:t>
      </w:r>
      <w:r>
        <w:rPr>
          <w:rFonts w:eastAsia="Amiri" w:cs="Amiri" w:ascii="Amiri" w:hAnsi="Amiri"/>
          <w:color w:val="111111"/>
          <w:sz w:val="28"/>
          <w:szCs w:val="28"/>
          <w:rtl w:val="true"/>
          <w:lang w:bidi="ar-SA"/>
        </w:rPr>
        <w:t xml:space="preserve">. </w:t>
      </w:r>
      <w:bookmarkStart w:id="226" w:name="pg7612_45121"/>
    </w:p>
    <w:p>
      <w:pPr>
        <w:pStyle w:val="Heading2"/>
        <w:numPr>
          <w:ilvl w:val="1"/>
          <w:numId w:val="1"/>
        </w:numPr>
        <w:rPr/>
      </w:pPr>
      <w:bookmarkStart w:id="227" w:name="__RefHeading___Toc3416714_1051229030"/>
      <w:bookmarkStart w:id="228" w:name="_Toc86"/>
      <w:bookmarkEnd w:id="226"/>
      <w:bookmarkEnd w:id="227"/>
      <w:r>
        <w:rPr>
          <w:rtl w:val="true"/>
        </w:rPr>
        <w:t>فهرس مصادر التحقيق</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آل البيت عليهم‌السلام،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مجمع الذخائر الإسلامية ، قم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للسيّد مصلح الدّين المهدوي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مسجد السيّد، اصفهان،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للحاج السيّد محمّد باقر حجّة الإسلام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مسجد السيّد باصفهان، مطبعة سيّد الشهداء،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القبور، للشيخ عبدالكريم الجزي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المرعشي،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مآثر الباقريّة، ميرزا محمّد على زوّاره‌اى </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حسين مسجدى، سازمان تفريحى فرهنگى شهردارى،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للسيّد حسن الصدر الكاظميني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على محفوظ وعبدالكريم و عدنان الدبّاغ، دار المؤرخ العربي،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الفقه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بن محمّد نقي الشفتي المشهور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نشر مكتبة مسجد السيّد بإصفهان،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لميرزا محمّد علي المدرّس، خيام، تهران، الطبعة الثانية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في أحوال العلماء والسادات، للسيّد محمّد باقر الموسوي الچهارسوقي، مؤسّسة اسماعيليان،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البهيّة في الطرق الشفيعيّة، للسيّد محمّد شفيع بن علي أكبر الجاپلقي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 الحجري،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رضا الأنصاري،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نشر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الكرام البررة، للشيخ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للحاجّ السيّد محمّد باقر الشفتي، المعروف بحجّة الإسلام على 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الأفست، مكتبة مسجد السيّد، نشاط، اصفهان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الرجال، للشيخ محمّد حرز الدين،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ملاذ الأخيار في فهم تهذيب الأخبار، للعلاّمة الشيخ محمّد باقر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مكتبة آية اللّه المرعشيّ،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الأندلس، بيروت </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7612_45127"/>
      <w:bookmarkStart w:id="230" w:name="pg7612_45127"/>
      <w:bookmarkEnd w:id="230"/>
    </w:p>
    <w:p>
      <w:pPr>
        <w:pStyle w:val="Heading2"/>
        <w:numPr>
          <w:ilvl w:val="1"/>
          <w:numId w:val="1"/>
        </w:numPr>
        <w:rPr/>
      </w:pPr>
      <w:bookmarkStart w:id="231" w:name="pg7612_45127"/>
      <w:bookmarkStart w:id="232" w:name="__RefHeading___Toc3416716_1051229030"/>
      <w:bookmarkStart w:id="233" w:name="_Toc87"/>
      <w:bookmarkEnd w:id="231"/>
      <w:bookmarkEnd w:id="232"/>
      <w:r>
        <w:rPr>
          <w:rtl w:val="true"/>
        </w:rPr>
        <w:t>فهرس المحتويات</w:t>
      </w:r>
      <w:bookmarkEnd w:id="233"/>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توضيحى پيرامون رساله حاضر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زندگى نامه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از نگاه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نياكان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دوران 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استادان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مشايخ اجازه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ويژگى‌هاى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اجراى حدود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سفر به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آثار علمى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ساخت مسجدى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سؤال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الجواب عن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الجواب عن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هل النفقة حكمها حكم التزويج بالاُخت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عن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كاريزيه، تأليف حجّة الإسلام شفتى مخطوط</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نخست نسخه‌اى خطّى از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شيخ حرّ عاملى قدس‌سره، كه در كتابخانه جامع گوهرشاد نگهدارى مى‌شود، يادداشتى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زكى بن محمّد نقى موسوى، به چشم مى‌خورد به اين مضمون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در اصل از آن وى بوده و به برادرش سيّد محمّد باقر حجّة الاسلام رشتى، هديه كرده است، با مهر بيضى شكل با سجع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عبده محمّد زكي الموسويّ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مهر بيضى شكل ديگرى نيز به چشم مى‌خورد با سجع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عبده محمّد باقر بن محمّد نقي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مهر مرحوم حجّة الإسلام شفتى است فهرست نسخه‌هاى خطّى كتابخانه جامع گوهرشاد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كتابخانه حضرت آية اللّه حاج سيّد محمّد على روضاتى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تعالى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الصفاى ناصرى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سوم و 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مرآة البلدان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قريه‌اى است قديم النسق از قراى طارم واقع در ميان كوه،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خانوار سكنه دارد، كه به زبان فرس قديم تكلّم مى‌كنند، هوايش معتدل، زراعتش از آب رودخانه مشروب مى‌شود، و گردنه‌اى ناهموار و صعب العبور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فرهنگ جغرافيايى ايران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دهى است جزء دهستان طارم بالا بخش سيردان شهرستان زنجان كه در چهل و دو هزار گزى شمال باختر سيردان و ده هزار گزى راه مال رو عمومى واقع است، كوهستانى و سردسير است 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سكنه دارد، آبش از چشمه، محصولش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غلات، فندق، گردو، عسل ؛ شغل اهالى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زراعت، مكارى، بافتن گليم، جاجيم، شال ؛ و راهش مال رو و صعب العبور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علماء زنجان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نوشته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حجّة الإسلام اصلاً از قريه چرزه از قراى طارم كه در هفت فرسنگى طرف شمال زنجان و هم از مضافات آن است، بوده و چون در اوائل امر خود براى تحصيل به شفت رفته و اندكى توقّف نموده، بدان منسوب شده،، چنان كه حاج شيخ جواد طارمى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اثنى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تصريح نموده و ثقات اثبات نيز مرا چنين خبر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بنى اعمام وى هم از سادات حسينيه اينك در اين قريه موجوداند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پايانى جزء اول نسخه خطّى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بنا به گفته خود مرحوم حجّة الإسلام است كه در حاشيه بعضى از اجازاتش مى‌نويسد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مجاورة العتبات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وانتقلنا منها إلى ديار العجم في خمس و مائتين بعد الألف من الهجرة المباركة 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بنا به گفته خود مرحوم حجّة الإسلام است كه در حاشيه بعضى از اجازاتش مى‌نويسد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مير عبدالباقي في أوايل ورودي في اصبهان في سنة سبع و مائتين بعد الألف من الهجرة 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فرموده صاحب روضات قدس‌سره، سيّد حجّة الإسلام در حدود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تصميم مى‌گيرد اصفهان را وطن خويش قرار دهد و در آنجا سكونت اختيار كند ؛ عبارت ايشان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عزم على التوطن باصبهان في حدود ستّ أو سبع عشرة بعد مائتين و ألف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تكمله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كاملِ اصل اين اجازه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صفحه‌اى، در ضميمه مجلّد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كتابخانه‌هاى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چاپ اصفهان،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مختصر به خطّ شريف مرحوم شهرستانى، در آخر نسخه‌اى خطّى از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فهرست نسخه‌هاى خطّى مركز احياء 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تكمله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مآثر الباقريّة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ايشان در كتاب مناسك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چنين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تقريبًا دو ساعت به غروب مانده روز هفتم شهر ذي الحجّة الحرام سنه هزار و دويست و سى و يك وارد مكّه معظّمه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 و شعراى گيلان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اين كتاب‌ها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الاحباب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ماضى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الفوايد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 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ارزشمند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جلد، با تحقيق حجّة الإسلام والمسلمين حاج سيّد مهدى رجائى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ارزشمند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في الإمام الثاني عشر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جلد، با تحقيق صاحب اين قلم، به سال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جلد، با تحقيق صاحب اين قلم، به سال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قدس‌سره مطالب آن را از اين كتاب‌ها انتخاب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الطرائف، تأليف سيّد بن طاوس ؛ شرح نهج البلاغه، تأليف ابن أبي الحديد معتزلى ؛ الصواعق المحرقة، تأليف ابن حجر هيتمى ؛ و صحيحين،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و صحيح بخارى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ارزشمند در يك جلد، به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كرمانشاه است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آية اللّه مرعشى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آية اللّه مرعشى نجفى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ديگرى از شرح مزجى وى بر شرائع الإسلام، در كتابخانه مسجد اعظم قم نگهدارى مى‌شود فهرست نسخه‌هاى خطّى كتابخانه مسجد 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خطّ مؤلّف قدس‌سره است و شرح مزجى مفصّلى بر فصل سوم كتاب الصلاة لمعه مى‌باشد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كه در چند صفحه مى‌باشد، به خطّ صاحب جواهر نيست، ولى مهر شريف وى در پايان اجازه به چشم مى‌خورد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نوشته‌ها ربيع الأوّل ثبت شده، و اين اشتباه ناشى از نوشته مرحوم علاّمه خوانسارى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حجّة الإسلام يقينًا در دوم ماه ربيع الأوّل نبوده، زيرا اجازه‌اى كه مرحوم حجّة الإسلام براى شخصى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برگ نخست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به تاريخ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فهرست نسخ خطّى كتابخانه مجلس شوراى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النيشابوري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أفضى إليها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بعض الفضلاء في ملاذ الأخيار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فصالحته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النشوز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الصحيحتين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فمقتضى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التوارث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مات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أنجز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13892</Words>
  <Characters>51373</Characters>
  <CharactersWithSpaces>64704</CharactersWithSpaces>
  <Paragraphs>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2026-08-27T10:50:00Z</dcterms:created>
  <dc:creator>ghaemiyeh.com</dc:creator>
  <dc:description/>
  <dc:language>en-US</dc:language>
  <cp:lastModifiedBy/>
  <dcterms:modified xsi:type="dcterms:W3CDTF">2026-08-27T14:20:30Z</dcterms:modified>
  <cp:revision>1</cp:revision>
  <dc:subject/>
  <dc:title>سوال و جواب درباره صلح حق الرجوع</dc:title>
</cp:coreProperties>
</file>

<file path=docProps/custom.xml><?xml version="1.0" encoding="utf-8"?>
<Properties xmlns="http://schemas.openxmlformats.org/officeDocument/2006/custom-properties" xmlns:vt="http://schemas.openxmlformats.org/officeDocument/2006/docPropsVTypes"/>
</file>