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حکم الصلاة فی جلد المیتة المدبوغ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0453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90455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90457_1051229030">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1190459_1051229030">
            <w:r>
              <w:rPr>
                <w:webHidden/>
                <w:rStyle w:val="IndexLink"/>
              </w:rPr>
              <w:t>1</w:t>
            </w:r>
            <w:r>
              <w:rPr>
                <w:rStyle w:val="IndexLink"/>
                <w:rtl w:val="true"/>
              </w:rPr>
              <w:t xml:space="preserve"> - </w:t>
            </w:r>
            <w:r>
              <w:rPr>
                <w:rStyle w:val="IndexLink"/>
                <w:rtl w:val="true"/>
              </w:rPr>
              <w:t>لمحةٌ من حياة المؤلّف قدس‌سره</w:t>
            </w:r>
            <w:r>
              <w:rPr>
                <w:rStyle w:val="IndexLink"/>
                <w:rtl w:val="true"/>
              </w:rPr>
              <w:tab/>
            </w:r>
            <w:r>
              <w:rPr>
                <w:rStyle w:val="IndexLink"/>
              </w:rPr>
              <w:t>11</w:t>
            </w:r>
          </w:hyperlink>
        </w:p>
        <w:p>
          <w:pPr>
            <w:pStyle w:val="Contents4"/>
            <w:tabs>
              <w:tab w:val="clear" w:pos="8176"/>
              <w:tab w:val="right" w:pos="9026" w:leader="dot"/>
            </w:tabs>
            <w:rPr/>
          </w:pPr>
          <w:hyperlink w:anchor="__RefHeading___Toc1190461_1051229030">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190463_1051229030">
            <w:r>
              <w:rPr>
                <w:webHidden/>
                <w:rStyle w:val="IndexLink"/>
                <w:rtl w:val="true"/>
              </w:rPr>
              <w:t>اسمه و نسبه</w:t>
            </w:r>
            <w:r>
              <w:rPr>
                <w:rStyle w:val="IndexLink"/>
                <w:rtl w:val="true"/>
              </w:rPr>
              <w:tab/>
            </w:r>
            <w:r>
              <w:rPr>
                <w:rStyle w:val="IndexLink"/>
              </w:rPr>
              <w:t>11</w:t>
            </w:r>
          </w:hyperlink>
        </w:p>
        <w:p>
          <w:pPr>
            <w:pStyle w:val="Contents4"/>
            <w:tabs>
              <w:tab w:val="clear" w:pos="8176"/>
              <w:tab w:val="right" w:pos="9026" w:leader="dot"/>
            </w:tabs>
            <w:rPr/>
          </w:pPr>
          <w:hyperlink w:anchor="__RefHeading___Toc1190465_1051229030">
            <w:r>
              <w:rPr>
                <w:webHidden/>
                <w:rStyle w:val="IndexLink"/>
                <w:rtl w:val="true"/>
              </w:rPr>
              <w:t>ولادته و نشأته</w:t>
            </w:r>
            <w:r>
              <w:rPr>
                <w:rStyle w:val="IndexLink"/>
                <w:rtl w:val="true"/>
              </w:rPr>
              <w:tab/>
            </w:r>
            <w:r>
              <w:rPr>
                <w:rStyle w:val="IndexLink"/>
              </w:rPr>
              <w:t>12</w:t>
            </w:r>
          </w:hyperlink>
        </w:p>
        <w:p>
          <w:pPr>
            <w:pStyle w:val="Contents4"/>
            <w:tabs>
              <w:tab w:val="clear" w:pos="8176"/>
              <w:tab w:val="right" w:pos="9026" w:leader="dot"/>
            </w:tabs>
            <w:rPr/>
          </w:pPr>
          <w:hyperlink w:anchor="__RefHeading___Toc1190467_1051229030">
            <w:r>
              <w:rPr>
                <w:webHidden/>
                <w:rStyle w:val="IndexLink"/>
                <w:rtl w:val="true"/>
              </w:rPr>
              <w:t>إطراء العلماء له</w:t>
            </w:r>
            <w:r>
              <w:rPr>
                <w:rStyle w:val="IndexLink"/>
                <w:rtl w:val="true"/>
              </w:rPr>
              <w:tab/>
            </w:r>
            <w:r>
              <w:rPr>
                <w:rStyle w:val="IndexLink"/>
              </w:rPr>
              <w:t>17</w:t>
            </w:r>
          </w:hyperlink>
        </w:p>
        <w:p>
          <w:pPr>
            <w:pStyle w:val="Contents5"/>
            <w:tabs>
              <w:tab w:val="clear" w:pos="7892"/>
              <w:tab w:val="right" w:pos="9026" w:leader="dot"/>
            </w:tabs>
            <w:rPr/>
          </w:pPr>
          <w:hyperlink w:anchor="__RefHeading___Toc1190469_1051229030">
            <w:r>
              <w:rPr>
                <w:webHidden/>
                <w:rStyle w:val="IndexLink"/>
              </w:rPr>
              <w:t>1</w:t>
            </w:r>
            <w:r>
              <w:rPr>
                <w:rStyle w:val="IndexLink"/>
                <w:rtl w:val="true"/>
              </w:rPr>
              <w:t xml:space="preserve"> - </w:t>
            </w:r>
            <w:r>
              <w:rPr>
                <w:rStyle w:val="IndexLink"/>
                <w:rtl w:val="true"/>
              </w:rPr>
              <w:t>الفقيه المحقّق ميرزا أبوالقاسم القمّي قدس‌سره</w:t>
            </w:r>
            <w:r>
              <w:rPr>
                <w:rStyle w:val="IndexLink"/>
                <w:rtl w:val="true"/>
              </w:rPr>
              <w:tab/>
            </w:r>
            <w:r>
              <w:rPr>
                <w:rStyle w:val="IndexLink"/>
              </w:rPr>
              <w:t>17</w:t>
            </w:r>
          </w:hyperlink>
        </w:p>
        <w:p>
          <w:pPr>
            <w:pStyle w:val="Contents5"/>
            <w:tabs>
              <w:tab w:val="clear" w:pos="7892"/>
              <w:tab w:val="right" w:pos="9026" w:leader="dot"/>
            </w:tabs>
            <w:rPr/>
          </w:pPr>
          <w:hyperlink w:anchor="__RefHeading___Toc1190471_1051229030">
            <w:r>
              <w:rPr>
                <w:webHidden/>
                <w:rStyle w:val="IndexLink"/>
              </w:rPr>
              <w:t>2</w:t>
            </w:r>
            <w:r>
              <w:rPr>
                <w:rStyle w:val="IndexLink"/>
                <w:rtl w:val="true"/>
              </w:rPr>
              <w:t xml:space="preserve"> - </w:t>
            </w:r>
            <w:r>
              <w:rPr>
                <w:rStyle w:val="IndexLink"/>
                <w:rtl w:val="true"/>
              </w:rPr>
              <w:t>الحكيم المولى علي النوري قدس‌سره</w:t>
            </w:r>
            <w:r>
              <w:rPr>
                <w:rStyle w:val="IndexLink"/>
                <w:rtl w:val="true"/>
              </w:rPr>
              <w:tab/>
            </w:r>
            <w:r>
              <w:rPr>
                <w:rStyle w:val="IndexLink"/>
              </w:rPr>
              <w:t>17</w:t>
            </w:r>
          </w:hyperlink>
        </w:p>
        <w:p>
          <w:pPr>
            <w:pStyle w:val="Contents5"/>
            <w:tabs>
              <w:tab w:val="clear" w:pos="7892"/>
              <w:tab w:val="right" w:pos="9026" w:leader="dot"/>
            </w:tabs>
            <w:rPr/>
          </w:pPr>
          <w:hyperlink w:anchor="__RefHeading___Toc1190473_1051229030">
            <w:r>
              <w:rPr>
                <w:webHidden/>
                <w:rStyle w:val="IndexLink"/>
              </w:rPr>
              <w:t>3</w:t>
            </w:r>
            <w:r>
              <w:rPr>
                <w:rStyle w:val="IndexLink"/>
                <w:rtl w:val="true"/>
              </w:rPr>
              <w:t xml:space="preserve"> - </w:t>
            </w:r>
            <w:r>
              <w:rPr>
                <w:rStyle w:val="IndexLink"/>
                <w:rtl w:val="true"/>
              </w:rPr>
              <w:t>العلاّمة الفقيه الحاج محمّد إبراهيم الكرباسي قدس‌سره</w:t>
            </w:r>
            <w:r>
              <w:rPr>
                <w:rStyle w:val="IndexLink"/>
                <w:rtl w:val="true"/>
              </w:rPr>
              <w:tab/>
            </w:r>
            <w:r>
              <w:rPr>
                <w:rStyle w:val="IndexLink"/>
              </w:rPr>
              <w:t>18</w:t>
            </w:r>
          </w:hyperlink>
        </w:p>
        <w:p>
          <w:pPr>
            <w:pStyle w:val="Contents5"/>
            <w:tabs>
              <w:tab w:val="clear" w:pos="7892"/>
              <w:tab w:val="right" w:pos="9026" w:leader="dot"/>
            </w:tabs>
            <w:rPr/>
          </w:pPr>
          <w:hyperlink w:anchor="__RefHeading___Toc1190475_1051229030">
            <w:r>
              <w:rPr>
                <w:webHidden/>
                <w:rStyle w:val="IndexLink"/>
              </w:rPr>
              <w:t>4</w:t>
            </w:r>
            <w:r>
              <w:rPr>
                <w:rStyle w:val="IndexLink"/>
                <w:rtl w:val="true"/>
              </w:rPr>
              <w:t xml:space="preserve"> - </w:t>
            </w:r>
            <w:r>
              <w:rPr>
                <w:rStyle w:val="IndexLink"/>
                <w:rtl w:val="true"/>
              </w:rPr>
              <w:t>العلاّمة السيّد محمّد شفيع الجابلقي قدس‌سره</w:t>
            </w:r>
            <w:r>
              <w:rPr>
                <w:rStyle w:val="IndexLink"/>
                <w:rtl w:val="true"/>
              </w:rPr>
              <w:tab/>
            </w:r>
            <w:r>
              <w:rPr>
                <w:rStyle w:val="IndexLink"/>
              </w:rPr>
              <w:t>18</w:t>
            </w:r>
          </w:hyperlink>
        </w:p>
        <w:p>
          <w:pPr>
            <w:pStyle w:val="Contents5"/>
            <w:tabs>
              <w:tab w:val="clear" w:pos="7892"/>
              <w:tab w:val="right" w:pos="9026" w:leader="dot"/>
            </w:tabs>
            <w:rPr/>
          </w:pPr>
          <w:hyperlink w:anchor="__RefHeading___Toc1190477_1051229030">
            <w:r>
              <w:rPr>
                <w:webHidden/>
                <w:rStyle w:val="IndexLink"/>
              </w:rPr>
              <w:t>5</w:t>
            </w:r>
            <w:r>
              <w:rPr>
                <w:rStyle w:val="IndexLink"/>
                <w:rtl w:val="true"/>
              </w:rPr>
              <w:t xml:space="preserve"> - </w:t>
            </w:r>
            <w:r>
              <w:rPr>
                <w:rStyle w:val="IndexLink"/>
                <w:rtl w:val="true"/>
              </w:rPr>
              <w:t>ولده العلاّمة المحقّق السيّد أسد اللّه الشفتي قدس‌سره</w:t>
            </w:r>
            <w:r>
              <w:rPr>
                <w:rStyle w:val="IndexLink"/>
                <w:rtl w:val="true"/>
              </w:rPr>
              <w:tab/>
            </w:r>
            <w:r>
              <w:rPr>
                <w:rStyle w:val="IndexLink"/>
              </w:rPr>
              <w:t>19</w:t>
            </w:r>
          </w:hyperlink>
        </w:p>
        <w:p>
          <w:pPr>
            <w:pStyle w:val="Contents4"/>
            <w:tabs>
              <w:tab w:val="clear" w:pos="8176"/>
              <w:tab w:val="right" w:pos="9026" w:leader="dot"/>
            </w:tabs>
            <w:rPr/>
          </w:pPr>
          <w:hyperlink w:anchor="__RefHeading___Toc1190479_1051229030">
            <w:r>
              <w:rPr>
                <w:webHidden/>
                <w:rStyle w:val="IndexLink"/>
                <w:rtl w:val="true"/>
              </w:rPr>
              <w:t>زهده و عبادته</w:t>
            </w:r>
            <w:r>
              <w:rPr>
                <w:rStyle w:val="IndexLink"/>
                <w:rtl w:val="true"/>
              </w:rPr>
              <w:tab/>
            </w:r>
            <w:r>
              <w:rPr>
                <w:rStyle w:val="IndexLink"/>
              </w:rPr>
              <w:t>19</w:t>
            </w:r>
          </w:hyperlink>
        </w:p>
        <w:p>
          <w:pPr>
            <w:pStyle w:val="Contents4"/>
            <w:tabs>
              <w:tab w:val="clear" w:pos="8176"/>
              <w:tab w:val="right" w:pos="9026" w:leader="dot"/>
            </w:tabs>
            <w:rPr/>
          </w:pPr>
          <w:hyperlink w:anchor="__RefHeading___Toc1190481_1051229030">
            <w:r>
              <w:rPr>
                <w:webHidden/>
                <w:rStyle w:val="IndexLink"/>
                <w:rtl w:val="true"/>
              </w:rPr>
              <w:t>إقامته الحدود الشرعيّة</w:t>
            </w:r>
            <w:r>
              <w:rPr>
                <w:rStyle w:val="IndexLink"/>
                <w:rtl w:val="true"/>
              </w:rPr>
              <w:tab/>
            </w:r>
            <w:r>
              <w:rPr>
                <w:rStyle w:val="IndexLink"/>
              </w:rPr>
              <w:t>20</w:t>
            </w:r>
          </w:hyperlink>
        </w:p>
        <w:p>
          <w:pPr>
            <w:pStyle w:val="Contents4"/>
            <w:tabs>
              <w:tab w:val="clear" w:pos="8176"/>
              <w:tab w:val="right" w:pos="9026" w:leader="dot"/>
            </w:tabs>
            <w:rPr/>
          </w:pPr>
          <w:hyperlink w:anchor="__RefHeading___Toc1190483_1051229030">
            <w:r>
              <w:rPr>
                <w:webHidden/>
                <w:rStyle w:val="IndexLink"/>
                <w:rtl w:val="true"/>
              </w:rPr>
              <w:t>مشايخ روايته</w:t>
            </w:r>
            <w:r>
              <w:rPr>
                <w:rStyle w:val="IndexLink"/>
                <w:rtl w:val="true"/>
              </w:rPr>
              <w:tab/>
            </w:r>
            <w:r>
              <w:rPr>
                <w:rStyle w:val="IndexLink"/>
              </w:rPr>
              <w:t>20</w:t>
            </w:r>
          </w:hyperlink>
        </w:p>
        <w:p>
          <w:pPr>
            <w:pStyle w:val="Contents4"/>
            <w:tabs>
              <w:tab w:val="clear" w:pos="8176"/>
              <w:tab w:val="right" w:pos="9026" w:leader="dot"/>
            </w:tabs>
            <w:rPr/>
          </w:pPr>
          <w:hyperlink w:anchor="__RefHeading___Toc1190485_1051229030">
            <w:r>
              <w:rPr>
                <w:webHidden/>
                <w:rStyle w:val="IndexLink"/>
                <w:rtl w:val="true"/>
              </w:rPr>
              <w:t>تلامذته</w:t>
            </w:r>
            <w:r>
              <w:rPr>
                <w:rStyle w:val="IndexLink"/>
                <w:rtl w:val="true"/>
              </w:rPr>
              <w:tab/>
            </w:r>
            <w:r>
              <w:rPr>
                <w:rStyle w:val="IndexLink"/>
              </w:rPr>
              <w:t>21</w:t>
            </w:r>
          </w:hyperlink>
        </w:p>
        <w:p>
          <w:pPr>
            <w:pStyle w:val="Contents4"/>
            <w:tabs>
              <w:tab w:val="clear" w:pos="8176"/>
              <w:tab w:val="right" w:pos="9026" w:leader="dot"/>
            </w:tabs>
            <w:rPr/>
          </w:pPr>
          <w:hyperlink w:anchor="__RefHeading___Toc1190487_1051229030">
            <w:r>
              <w:rPr>
                <w:webHidden/>
                <w:rStyle w:val="IndexLink"/>
                <w:rtl w:val="true"/>
              </w:rPr>
              <w:t>أولاده</w:t>
            </w:r>
            <w:r>
              <w:rPr>
                <w:rStyle w:val="IndexLink"/>
                <w:rtl w:val="true"/>
              </w:rPr>
              <w:tab/>
            </w:r>
            <w:r>
              <w:rPr>
                <w:rStyle w:val="IndexLink"/>
              </w:rPr>
              <w:t>22</w:t>
            </w:r>
          </w:hyperlink>
        </w:p>
        <w:p>
          <w:pPr>
            <w:pStyle w:val="Contents4"/>
            <w:tabs>
              <w:tab w:val="clear" w:pos="8176"/>
              <w:tab w:val="right" w:pos="9026" w:leader="dot"/>
            </w:tabs>
            <w:rPr/>
          </w:pPr>
          <w:hyperlink w:anchor="__RefHeading___Toc1190489_1051229030">
            <w:r>
              <w:rPr>
                <w:webHidden/>
                <w:rStyle w:val="IndexLink"/>
                <w:rtl w:val="true"/>
              </w:rPr>
              <w:t>تآليفه القيّمة</w:t>
            </w:r>
            <w:r>
              <w:rPr>
                <w:rStyle w:val="IndexLink"/>
                <w:rtl w:val="true"/>
              </w:rPr>
              <w:tab/>
            </w:r>
            <w:r>
              <w:rPr>
                <w:rStyle w:val="IndexLink"/>
              </w:rPr>
              <w:t>24</w:t>
            </w:r>
          </w:hyperlink>
        </w:p>
        <w:p>
          <w:pPr>
            <w:pStyle w:val="Contents5"/>
            <w:tabs>
              <w:tab w:val="clear" w:pos="7892"/>
              <w:tab w:val="right" w:pos="9026" w:leader="dot"/>
            </w:tabs>
            <w:rPr/>
          </w:pPr>
          <w:hyperlink w:anchor="__RefHeading___Toc1190491_105122903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190493_1051229030">
            <w:r>
              <w:rPr>
                <w:webHidden/>
                <w:rStyle w:val="IndexLink"/>
                <w:rtl w:val="true"/>
              </w:rPr>
              <w:t>الكتب والرسائل الفقهيّة</w:t>
            </w:r>
            <w:r>
              <w:rPr>
                <w:rStyle w:val="IndexLink"/>
                <w:rtl w:val="true"/>
              </w:rPr>
              <w:tab/>
            </w:r>
            <w:r>
              <w:rPr>
                <w:rStyle w:val="IndexLink"/>
              </w:rPr>
              <w:t>25</w:t>
            </w:r>
          </w:hyperlink>
        </w:p>
        <w:p>
          <w:pPr>
            <w:pStyle w:val="Contents5"/>
            <w:tabs>
              <w:tab w:val="clear" w:pos="7892"/>
              <w:tab w:val="right" w:pos="9026" w:leader="dot"/>
            </w:tabs>
            <w:rPr/>
          </w:pPr>
          <w:hyperlink w:anchor="__RefHeading___Toc1190495_1051229030">
            <w:r>
              <w:rPr>
                <w:webHidden/>
                <w:rStyle w:val="IndexLink"/>
                <w:rtl w:val="true"/>
              </w:rPr>
              <w:t>الكتب والرسائل الحديثيّة</w:t>
            </w:r>
            <w:r>
              <w:rPr>
                <w:rStyle w:val="IndexLink"/>
                <w:rtl w:val="true"/>
              </w:rPr>
              <w:tab/>
            </w:r>
            <w:r>
              <w:rPr>
                <w:rStyle w:val="IndexLink"/>
              </w:rPr>
              <w:t>41</w:t>
            </w:r>
          </w:hyperlink>
        </w:p>
        <w:p>
          <w:pPr>
            <w:pStyle w:val="Contents5"/>
            <w:tabs>
              <w:tab w:val="clear" w:pos="7892"/>
              <w:tab w:val="right" w:pos="9026" w:leader="dot"/>
            </w:tabs>
            <w:rPr/>
          </w:pPr>
          <w:hyperlink w:anchor="__RefHeading___Toc1190497_1051229030">
            <w:r>
              <w:rPr>
                <w:webHidden/>
                <w:rStyle w:val="IndexLink"/>
                <w:rtl w:val="true"/>
              </w:rPr>
              <w:t>الكتب والرسائل الأصوليّة</w:t>
            </w:r>
            <w:r>
              <w:rPr>
                <w:rStyle w:val="IndexLink"/>
                <w:rtl w:val="true"/>
              </w:rPr>
              <w:tab/>
            </w:r>
            <w:r>
              <w:rPr>
                <w:rStyle w:val="IndexLink"/>
              </w:rPr>
              <w:t>42</w:t>
            </w:r>
          </w:hyperlink>
        </w:p>
        <w:p>
          <w:pPr>
            <w:pStyle w:val="Contents5"/>
            <w:tabs>
              <w:tab w:val="clear" w:pos="7892"/>
              <w:tab w:val="right" w:pos="9026" w:leader="dot"/>
            </w:tabs>
            <w:rPr/>
          </w:pPr>
          <w:hyperlink w:anchor="__RefHeading___Toc1190499_1051229030">
            <w:r>
              <w:rPr>
                <w:webHidden/>
                <w:rStyle w:val="IndexLink"/>
                <w:rtl w:val="true"/>
              </w:rPr>
              <w:t>الكتب والرسائل الرجاليّة</w:t>
            </w:r>
            <w:r>
              <w:rPr>
                <w:rStyle w:val="IndexLink"/>
                <w:rtl w:val="true"/>
              </w:rPr>
              <w:tab/>
            </w:r>
            <w:r>
              <w:rPr>
                <w:rStyle w:val="IndexLink"/>
              </w:rPr>
              <w:t>44</w:t>
            </w:r>
          </w:hyperlink>
        </w:p>
        <w:p>
          <w:pPr>
            <w:pStyle w:val="Contents5"/>
            <w:tabs>
              <w:tab w:val="clear" w:pos="7892"/>
              <w:tab w:val="right" w:pos="9026" w:leader="dot"/>
            </w:tabs>
            <w:rPr/>
          </w:pPr>
          <w:hyperlink w:anchor="__RefHeading___Toc1190501_1051229030">
            <w:r>
              <w:rPr>
                <w:webHidden/>
                <w:rStyle w:val="IndexLink"/>
                <w:rtl w:val="true"/>
              </w:rPr>
              <w:t>الكتب والرسائل المتفرّقة</w:t>
            </w:r>
            <w:r>
              <w:rPr>
                <w:rStyle w:val="IndexLink"/>
                <w:rtl w:val="true"/>
              </w:rPr>
              <w:tab/>
            </w:r>
            <w:r>
              <w:rPr>
                <w:rStyle w:val="IndexLink"/>
              </w:rPr>
              <w:t>46</w:t>
            </w:r>
          </w:hyperlink>
        </w:p>
        <w:p>
          <w:pPr>
            <w:pStyle w:val="Contents4"/>
            <w:tabs>
              <w:tab w:val="clear" w:pos="8176"/>
              <w:tab w:val="right" w:pos="9026" w:leader="dot"/>
            </w:tabs>
            <w:rPr/>
          </w:pPr>
          <w:hyperlink w:anchor="__RefHeading___Toc1190503_1051229030">
            <w:r>
              <w:rPr>
                <w:webHidden/>
                <w:rStyle w:val="IndexLink"/>
                <w:rtl w:val="true"/>
              </w:rPr>
              <w:t>وفاته و مرقده</w:t>
            </w:r>
            <w:r>
              <w:rPr>
                <w:rStyle w:val="IndexLink"/>
                <w:rtl w:val="true"/>
              </w:rPr>
              <w:tab/>
            </w:r>
            <w:r>
              <w:rPr>
                <w:rStyle w:val="IndexLink"/>
              </w:rPr>
              <w:t>48</w:t>
            </w:r>
          </w:hyperlink>
        </w:p>
        <w:p>
          <w:pPr>
            <w:pStyle w:val="Contents3"/>
            <w:tabs>
              <w:tab w:val="clear" w:pos="8459"/>
              <w:tab w:val="right" w:pos="9026" w:leader="dot"/>
            </w:tabs>
            <w:rPr/>
          </w:pPr>
          <w:hyperlink w:anchor="__RefHeading___Toc1190505_1051229030">
            <w:r>
              <w:rPr>
                <w:webHidden/>
                <w:rStyle w:val="IndexLink"/>
              </w:rPr>
              <w:t>2</w:t>
            </w:r>
            <w:r>
              <w:rPr>
                <w:rStyle w:val="IndexLink"/>
                <w:rtl w:val="true"/>
              </w:rPr>
              <w:t xml:space="preserve"> - </w:t>
            </w:r>
            <w:r>
              <w:rPr>
                <w:rStyle w:val="IndexLink"/>
                <w:rtl w:val="true"/>
              </w:rPr>
              <w:t>بين يدي الكتاب</w:t>
            </w:r>
            <w:r>
              <w:rPr>
                <w:rStyle w:val="IndexLink"/>
                <w:rtl w:val="true"/>
              </w:rPr>
              <w:tab/>
            </w:r>
            <w:r>
              <w:rPr>
                <w:rStyle w:val="IndexLink"/>
              </w:rPr>
              <w:t>51</w:t>
            </w:r>
          </w:hyperlink>
        </w:p>
        <w:p>
          <w:pPr>
            <w:pStyle w:val="Contents3"/>
            <w:tabs>
              <w:tab w:val="clear" w:pos="8459"/>
              <w:tab w:val="right" w:pos="9026" w:leader="dot"/>
            </w:tabs>
            <w:rPr/>
          </w:pPr>
          <w:hyperlink w:anchor="__RefHeading___Toc1190507_1051229030">
            <w:r>
              <w:rPr>
                <w:webHidden/>
                <w:rStyle w:val="IndexLink"/>
              </w:rPr>
              <w:t>3</w:t>
            </w:r>
            <w:r>
              <w:rPr>
                <w:rStyle w:val="IndexLink"/>
                <w:rtl w:val="true"/>
              </w:rPr>
              <w:t xml:space="preserve"> - </w:t>
            </w:r>
            <w:r>
              <w:rPr>
                <w:rStyle w:val="IndexLink"/>
                <w:rtl w:val="true"/>
              </w:rPr>
              <w:t>منهجنا في التحقيق</w:t>
            </w:r>
            <w:r>
              <w:rPr>
                <w:rStyle w:val="IndexLink"/>
                <w:rtl w:val="true"/>
              </w:rPr>
              <w:tab/>
            </w:r>
            <w:r>
              <w:rPr>
                <w:rStyle w:val="IndexLink"/>
              </w:rPr>
              <w:t>53</w:t>
            </w:r>
          </w:hyperlink>
        </w:p>
        <w:p>
          <w:pPr>
            <w:pStyle w:val="Contents2"/>
            <w:tabs>
              <w:tab w:val="clear" w:pos="8743"/>
              <w:tab w:val="right" w:pos="9026" w:leader="dot"/>
            </w:tabs>
            <w:rPr/>
          </w:pPr>
          <w:hyperlink w:anchor="__RefHeading___Toc1190509_1051229030">
            <w:r>
              <w:rPr>
                <w:webHidden/>
                <w:rStyle w:val="IndexLink"/>
                <w:rtl w:val="true"/>
              </w:rPr>
              <w:t>رسالة في حكم الصلاة في جلد الميتة المدبوغ</w:t>
            </w:r>
            <w:r>
              <w:rPr>
                <w:rStyle w:val="IndexLink"/>
                <w:rtl w:val="true"/>
              </w:rPr>
              <w:tab/>
            </w:r>
            <w:r>
              <w:rPr>
                <w:rStyle w:val="IndexLink"/>
              </w:rPr>
              <w:t>55</w:t>
            </w:r>
          </w:hyperlink>
        </w:p>
        <w:p>
          <w:pPr>
            <w:pStyle w:val="Contents3"/>
            <w:tabs>
              <w:tab w:val="clear" w:pos="8459"/>
              <w:tab w:val="right" w:pos="9026" w:leader="dot"/>
            </w:tabs>
            <w:rPr/>
          </w:pPr>
          <w:hyperlink w:anchor="__RefHeading___Toc1190511_105122903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190513_1051229030">
            <w:r>
              <w:rPr>
                <w:webHidden/>
                <w:rStyle w:val="IndexLink"/>
                <w:rtl w:val="true"/>
              </w:rPr>
              <w:t>لاتجوز الصلاة في جلد الميتة ولو كانت ممّا يؤكل لحمه و دبغ سبعین مرّة</w:t>
            </w:r>
            <w:r>
              <w:rPr>
                <w:rStyle w:val="IndexLink"/>
                <w:rtl w:val="true"/>
              </w:rPr>
              <w:tab/>
            </w:r>
            <w:r>
              <w:rPr>
                <w:rStyle w:val="IndexLink"/>
              </w:rPr>
              <w:t>57</w:t>
            </w:r>
          </w:hyperlink>
        </w:p>
        <w:p>
          <w:pPr>
            <w:pStyle w:val="Contents4"/>
            <w:tabs>
              <w:tab w:val="clear" w:pos="8176"/>
              <w:tab w:val="right" w:pos="9026" w:leader="dot"/>
            </w:tabs>
            <w:rPr/>
          </w:pPr>
          <w:hyperlink w:anchor="__RefHeading___Toc1190515_105122903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90517_1051229030">
            <w:r>
              <w:rPr>
                <w:webHidden/>
                <w:rStyle w:val="IndexLink"/>
                <w:rtl w:val="true"/>
              </w:rPr>
              <w:t>المستند في المسألة</w:t>
            </w:r>
            <w:r>
              <w:rPr>
                <w:rStyle w:val="IndexLink"/>
                <w:rtl w:val="true"/>
              </w:rPr>
              <w:tab/>
            </w:r>
            <w:r>
              <w:rPr>
                <w:rStyle w:val="IndexLink"/>
              </w:rPr>
              <w:t>60</w:t>
            </w:r>
          </w:hyperlink>
        </w:p>
        <w:p>
          <w:pPr>
            <w:pStyle w:val="Contents3"/>
            <w:tabs>
              <w:tab w:val="clear" w:pos="8459"/>
              <w:tab w:val="right" w:pos="9026" w:leader="dot"/>
            </w:tabs>
            <w:rPr/>
          </w:pPr>
          <w:hyperlink w:anchor="__RefHeading___Toc1190519_1051229030">
            <w:r>
              <w:rPr>
                <w:webHidden/>
                <w:rStyle w:val="IndexLink"/>
                <w:rtl w:val="true"/>
              </w:rPr>
              <w:t>الكلام هنا في أمور مهمّة</w:t>
            </w:r>
            <w:r>
              <w:rPr>
                <w:rStyle w:val="IndexLink"/>
                <w:rtl w:val="true"/>
              </w:rPr>
              <w:tab/>
            </w:r>
            <w:r>
              <w:rPr>
                <w:rStyle w:val="IndexLink"/>
              </w:rPr>
              <w:t>66</w:t>
            </w:r>
          </w:hyperlink>
        </w:p>
        <w:p>
          <w:pPr>
            <w:pStyle w:val="Contents4"/>
            <w:tabs>
              <w:tab w:val="clear" w:pos="8176"/>
              <w:tab w:val="right" w:pos="9026" w:leader="dot"/>
            </w:tabs>
            <w:rPr/>
          </w:pPr>
          <w:hyperlink w:anchor="__RefHeading___Toc1190521_105122903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90523_1051229030">
            <w:r>
              <w:rPr>
                <w:webHidden/>
                <w:rStyle w:val="IndexLink"/>
                <w:rtl w:val="true"/>
              </w:rPr>
              <w:t>الأمر الأوّل</w:t>
            </w:r>
            <w:r>
              <w:rPr>
                <w:rStyle w:val="IndexLink"/>
                <w:rtl w:val="true"/>
              </w:rPr>
              <w:t xml:space="preserve">: </w:t>
            </w:r>
            <w:r>
              <w:rPr>
                <w:rStyle w:val="IndexLink"/>
                <w:rtl w:val="true"/>
              </w:rPr>
              <w:t>جواز الصلاة في الجلود مشروطًا بالعلم بكونها من المذكّى المأكول اللحم</w:t>
            </w:r>
            <w:r>
              <w:rPr>
                <w:rStyle w:val="IndexLink"/>
                <w:rtl w:val="true"/>
              </w:rPr>
              <w:tab/>
            </w:r>
            <w:r>
              <w:rPr>
                <w:rStyle w:val="IndexLink"/>
              </w:rPr>
              <w:t>66</w:t>
            </w:r>
          </w:hyperlink>
        </w:p>
        <w:p>
          <w:pPr>
            <w:pStyle w:val="Contents5"/>
            <w:tabs>
              <w:tab w:val="clear" w:pos="7892"/>
              <w:tab w:val="right" w:pos="9026" w:leader="dot"/>
            </w:tabs>
            <w:rPr/>
          </w:pPr>
          <w:hyperlink w:anchor="__RefHeading___Toc1190525_105122903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90527_1051229030">
            <w:r>
              <w:rPr>
                <w:webHidden/>
                <w:rStyle w:val="IndexLink"/>
                <w:rtl w:val="true"/>
              </w:rPr>
              <w:t>مختار المؤلّف قدس‌سره و دليله</w:t>
            </w:r>
            <w:r>
              <w:rPr>
                <w:rStyle w:val="IndexLink"/>
                <w:rtl w:val="true"/>
              </w:rPr>
              <w:tab/>
            </w:r>
            <w:r>
              <w:rPr>
                <w:rStyle w:val="IndexLink"/>
              </w:rPr>
              <w:t>72</w:t>
            </w:r>
          </w:hyperlink>
        </w:p>
        <w:p>
          <w:pPr>
            <w:pStyle w:val="Contents5"/>
            <w:tabs>
              <w:tab w:val="clear" w:pos="7892"/>
              <w:tab w:val="right" w:pos="9026" w:leader="dot"/>
            </w:tabs>
            <w:rPr/>
          </w:pPr>
          <w:hyperlink w:anchor="__RefHeading___Toc1190529_1051229030">
            <w:r>
              <w:rPr>
                <w:webHidden/>
                <w:rStyle w:val="IndexLink"/>
                <w:rtl w:val="true"/>
              </w:rPr>
              <w:t>المستند للقول الثاني</w:t>
            </w:r>
            <w:r>
              <w:rPr>
                <w:rStyle w:val="IndexLink"/>
                <w:rtl w:val="true"/>
              </w:rPr>
              <w:tab/>
            </w:r>
            <w:r>
              <w:rPr>
                <w:rStyle w:val="IndexLink"/>
              </w:rPr>
              <w:t>73</w:t>
            </w:r>
          </w:hyperlink>
        </w:p>
        <w:p>
          <w:pPr>
            <w:pStyle w:val="Contents5"/>
            <w:tabs>
              <w:tab w:val="clear" w:pos="7892"/>
              <w:tab w:val="right" w:pos="9026" w:leader="dot"/>
            </w:tabs>
            <w:rPr/>
          </w:pPr>
          <w:hyperlink w:anchor="__RefHeading___Toc1190531_1051229030">
            <w:r>
              <w:rPr>
                <w:webHidden/>
                <w:rStyle w:val="IndexLink"/>
                <w:rtl w:val="true"/>
              </w:rPr>
              <w:t>الجواب عن المستند للقول الثاني</w:t>
            </w:r>
            <w:r>
              <w:rPr>
                <w:rStyle w:val="IndexLink"/>
                <w:rtl w:val="true"/>
              </w:rPr>
              <w:tab/>
            </w:r>
            <w:r>
              <w:rPr>
                <w:rStyle w:val="IndexLink"/>
              </w:rPr>
              <w:t>75</w:t>
            </w:r>
          </w:hyperlink>
        </w:p>
        <w:p>
          <w:pPr>
            <w:pStyle w:val="Contents3"/>
            <w:tabs>
              <w:tab w:val="clear" w:pos="8459"/>
              <w:tab w:val="right" w:pos="9026" w:leader="dot"/>
            </w:tabs>
            <w:rPr/>
          </w:pPr>
          <w:hyperlink w:anchor="__RefHeading___Toc1190533_1051229030">
            <w:r>
              <w:rPr>
                <w:webHidden/>
                <w:rStyle w:val="IndexLink"/>
                <w:rtl w:val="true"/>
              </w:rPr>
              <w:t>الاحتمالات المتصوّرة في المقام</w:t>
            </w:r>
            <w:r>
              <w:rPr>
                <w:rStyle w:val="IndexLink"/>
                <w:rtl w:val="true"/>
              </w:rPr>
              <w:tab/>
            </w:r>
            <w:r>
              <w:rPr>
                <w:rStyle w:val="IndexLink"/>
              </w:rPr>
              <w:t>78</w:t>
            </w:r>
          </w:hyperlink>
        </w:p>
        <w:p>
          <w:pPr>
            <w:pStyle w:val="Contents4"/>
            <w:tabs>
              <w:tab w:val="clear" w:pos="8176"/>
              <w:tab w:val="right" w:pos="9026" w:leader="dot"/>
            </w:tabs>
            <w:rPr/>
          </w:pPr>
          <w:hyperlink w:anchor="__RefHeading___Toc1190535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90537_1051229030">
            <w:r>
              <w:rPr>
                <w:webHidden/>
                <w:rStyle w:val="IndexLink"/>
                <w:rtl w:val="true"/>
              </w:rPr>
              <w:t>القسم الأوّل</w:t>
            </w:r>
            <w:r>
              <w:rPr>
                <w:rStyle w:val="IndexLink"/>
                <w:rtl w:val="true"/>
              </w:rPr>
              <w:t>:</w:t>
              <w:tab/>
            </w:r>
            <w:r>
              <w:rPr>
                <w:rStyle w:val="IndexLink"/>
              </w:rPr>
              <w:t>79</w:t>
            </w:r>
          </w:hyperlink>
        </w:p>
        <w:p>
          <w:pPr>
            <w:pStyle w:val="Contents4"/>
            <w:tabs>
              <w:tab w:val="clear" w:pos="8176"/>
              <w:tab w:val="right" w:pos="9026" w:leader="dot"/>
            </w:tabs>
            <w:rPr/>
          </w:pPr>
          <w:hyperlink w:anchor="__RefHeading___Toc1190539_1051229030">
            <w:r>
              <w:rPr>
                <w:webHidden/>
                <w:rStyle w:val="IndexLink"/>
                <w:rtl w:val="true"/>
              </w:rPr>
              <w:t>القسم الثاني</w:t>
            </w:r>
            <w:r>
              <w:rPr>
                <w:rStyle w:val="IndexLink"/>
                <w:rtl w:val="true"/>
              </w:rPr>
              <w:t>:</w:t>
              <w:tab/>
            </w:r>
            <w:r>
              <w:rPr>
                <w:rStyle w:val="IndexLink"/>
              </w:rPr>
              <w:t>80</w:t>
            </w:r>
          </w:hyperlink>
        </w:p>
        <w:p>
          <w:pPr>
            <w:pStyle w:val="Contents4"/>
            <w:tabs>
              <w:tab w:val="clear" w:pos="8176"/>
              <w:tab w:val="right" w:pos="9026" w:leader="dot"/>
            </w:tabs>
            <w:rPr/>
          </w:pPr>
          <w:hyperlink w:anchor="__RefHeading___Toc1190541_1051229030">
            <w:r>
              <w:rPr>
                <w:webHidden/>
                <w:rStyle w:val="IndexLink"/>
                <w:rtl w:val="true"/>
              </w:rPr>
              <w:t>القسم الثالث</w:t>
            </w:r>
            <w:r>
              <w:rPr>
                <w:rStyle w:val="IndexLink"/>
                <w:rtl w:val="true"/>
              </w:rPr>
              <w:t>:</w:t>
              <w:tab/>
            </w:r>
            <w:r>
              <w:rPr>
                <w:rStyle w:val="IndexLink"/>
              </w:rPr>
              <w:t>82</w:t>
            </w:r>
          </w:hyperlink>
        </w:p>
        <w:p>
          <w:pPr>
            <w:pStyle w:val="Contents5"/>
            <w:tabs>
              <w:tab w:val="clear" w:pos="7892"/>
              <w:tab w:val="right" w:pos="9026" w:leader="dot"/>
            </w:tabs>
            <w:rPr/>
          </w:pPr>
          <w:hyperlink w:anchor="__RefHeading___Toc1190543_105122903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90545_1051229030">
            <w:r>
              <w:rPr>
                <w:webHidden/>
                <w:rStyle w:val="IndexLink"/>
                <w:rtl w:val="true"/>
              </w:rPr>
              <w:t>المستند في عدم الجواز</w:t>
            </w:r>
            <w:r>
              <w:rPr>
                <w:rStyle w:val="IndexLink"/>
                <w:rtl w:val="true"/>
              </w:rPr>
              <w:tab/>
            </w:r>
            <w:r>
              <w:rPr>
                <w:rStyle w:val="IndexLink"/>
              </w:rPr>
              <w:t>84</w:t>
            </w:r>
          </w:hyperlink>
        </w:p>
        <w:p>
          <w:pPr>
            <w:pStyle w:val="Contents4"/>
            <w:tabs>
              <w:tab w:val="clear" w:pos="8176"/>
              <w:tab w:val="right" w:pos="9026" w:leader="dot"/>
            </w:tabs>
            <w:rPr/>
          </w:pPr>
          <w:hyperlink w:anchor="__RefHeading___Toc1190547_1051229030">
            <w:r>
              <w:rPr>
                <w:webHidden/>
                <w:rStyle w:val="IndexLink"/>
                <w:rtl w:val="true"/>
              </w:rPr>
              <w:t>القسم الرابع</w:t>
            </w:r>
            <w:r>
              <w:rPr>
                <w:rStyle w:val="IndexLink"/>
                <w:rtl w:val="true"/>
              </w:rPr>
              <w:t>:</w:t>
              <w:tab/>
            </w:r>
            <w:r>
              <w:rPr>
                <w:rStyle w:val="IndexLink"/>
              </w:rPr>
              <w:t>86</w:t>
            </w:r>
          </w:hyperlink>
        </w:p>
        <w:p>
          <w:pPr>
            <w:pStyle w:val="Contents4"/>
            <w:tabs>
              <w:tab w:val="clear" w:pos="8176"/>
              <w:tab w:val="right" w:pos="9026" w:leader="dot"/>
            </w:tabs>
            <w:rPr/>
          </w:pPr>
          <w:hyperlink w:anchor="__RefHeading___Toc1190549_1051229030">
            <w:r>
              <w:rPr>
                <w:webHidden/>
                <w:rStyle w:val="IndexLink"/>
                <w:rtl w:val="true"/>
              </w:rPr>
              <w:t>القسم الخامس</w:t>
            </w:r>
            <w:r>
              <w:rPr>
                <w:rStyle w:val="IndexLink"/>
                <w:rtl w:val="true"/>
              </w:rPr>
              <w:t>:</w:t>
              <w:tab/>
            </w:r>
            <w:r>
              <w:rPr>
                <w:rStyle w:val="IndexLink"/>
              </w:rPr>
              <w:t>89</w:t>
            </w:r>
          </w:hyperlink>
        </w:p>
        <w:p>
          <w:pPr>
            <w:pStyle w:val="Contents4"/>
            <w:tabs>
              <w:tab w:val="clear" w:pos="8176"/>
              <w:tab w:val="right" w:pos="9026" w:leader="dot"/>
            </w:tabs>
            <w:rPr/>
          </w:pPr>
          <w:hyperlink w:anchor="__RefHeading___Toc1190551_1051229030">
            <w:r>
              <w:rPr>
                <w:webHidden/>
                <w:rStyle w:val="IndexLink"/>
                <w:rtl w:val="true"/>
              </w:rPr>
              <w:t>القسم السادس</w:t>
            </w:r>
            <w:r>
              <w:rPr>
                <w:rStyle w:val="IndexLink"/>
                <w:rtl w:val="true"/>
              </w:rPr>
              <w:t>:</w:t>
              <w:tab/>
            </w:r>
            <w:r>
              <w:rPr>
                <w:rStyle w:val="IndexLink"/>
              </w:rPr>
              <w:t>95</w:t>
            </w:r>
          </w:hyperlink>
        </w:p>
        <w:p>
          <w:pPr>
            <w:pStyle w:val="Contents5"/>
            <w:tabs>
              <w:tab w:val="clear" w:pos="7892"/>
              <w:tab w:val="right" w:pos="9026" w:leader="dot"/>
            </w:tabs>
            <w:rPr/>
          </w:pPr>
          <w:hyperlink w:anchor="__RefHeading___Toc1190553_105122903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90555_1051229030">
            <w:r>
              <w:rPr>
                <w:webHidden/>
                <w:rStyle w:val="IndexLink"/>
                <w:rtl w:val="true"/>
              </w:rPr>
              <w:t>المستند في الجواز</w:t>
            </w:r>
            <w:r>
              <w:rPr>
                <w:rStyle w:val="IndexLink"/>
                <w:rtl w:val="true"/>
              </w:rPr>
              <w:tab/>
            </w:r>
            <w:r>
              <w:rPr>
                <w:rStyle w:val="IndexLink"/>
              </w:rPr>
              <w:t>96</w:t>
            </w:r>
          </w:hyperlink>
        </w:p>
        <w:p>
          <w:pPr>
            <w:pStyle w:val="Contents4"/>
            <w:tabs>
              <w:tab w:val="clear" w:pos="8176"/>
              <w:tab w:val="right" w:pos="9026" w:leader="dot"/>
            </w:tabs>
            <w:rPr/>
          </w:pPr>
          <w:hyperlink w:anchor="__RefHeading___Toc1190557_1051229030">
            <w:r>
              <w:rPr>
                <w:webHidden/>
                <w:rStyle w:val="IndexLink"/>
                <w:rtl w:val="true"/>
              </w:rPr>
              <w:t>القسم السابع</w:t>
            </w:r>
            <w:r>
              <w:rPr>
                <w:rStyle w:val="IndexLink"/>
                <w:rtl w:val="true"/>
              </w:rPr>
              <w:t>:</w:t>
              <w:tab/>
            </w:r>
            <w:r>
              <w:rPr>
                <w:rStyle w:val="IndexLink"/>
              </w:rPr>
              <w:t>99</w:t>
            </w:r>
          </w:hyperlink>
        </w:p>
        <w:p>
          <w:pPr>
            <w:pStyle w:val="Contents5"/>
            <w:tabs>
              <w:tab w:val="clear" w:pos="7892"/>
              <w:tab w:val="right" w:pos="9026" w:leader="dot"/>
            </w:tabs>
            <w:rPr/>
          </w:pPr>
          <w:hyperlink w:anchor="__RefHeading___Toc1190559_105122903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90561_1051229030">
            <w:r>
              <w:rPr>
                <w:webHidden/>
                <w:rStyle w:val="IndexLink"/>
                <w:rtl w:val="true"/>
              </w:rPr>
              <w:t>مختار المؤلّف قدس‌سره</w:t>
            </w:r>
            <w:r>
              <w:rPr>
                <w:rStyle w:val="IndexLink"/>
                <w:rtl w:val="true"/>
              </w:rPr>
              <w:tab/>
            </w:r>
            <w:r>
              <w:rPr>
                <w:rStyle w:val="IndexLink"/>
              </w:rPr>
              <w:t>100</w:t>
            </w:r>
          </w:hyperlink>
        </w:p>
        <w:p>
          <w:pPr>
            <w:pStyle w:val="Contents4"/>
            <w:tabs>
              <w:tab w:val="clear" w:pos="8176"/>
              <w:tab w:val="right" w:pos="9026" w:leader="dot"/>
            </w:tabs>
            <w:rPr/>
          </w:pPr>
          <w:hyperlink w:anchor="__RefHeading___Toc1190563_1051229030">
            <w:r>
              <w:rPr>
                <w:webHidden/>
                <w:rStyle w:val="IndexLink"/>
                <w:rtl w:val="true"/>
              </w:rPr>
              <w:t>القسم الثامن</w:t>
            </w:r>
            <w:r>
              <w:rPr>
                <w:rStyle w:val="IndexLink"/>
                <w:rtl w:val="true"/>
              </w:rPr>
              <w:t>:</w:t>
              <w:tab/>
            </w:r>
            <w:r>
              <w:rPr>
                <w:rStyle w:val="IndexLink"/>
              </w:rPr>
              <w:t>100</w:t>
            </w:r>
          </w:hyperlink>
        </w:p>
        <w:p>
          <w:pPr>
            <w:pStyle w:val="Contents4"/>
            <w:tabs>
              <w:tab w:val="clear" w:pos="8176"/>
              <w:tab w:val="right" w:pos="9026" w:leader="dot"/>
            </w:tabs>
            <w:rPr/>
          </w:pPr>
          <w:hyperlink w:anchor="__RefHeading___Toc1190565_1051229030">
            <w:r>
              <w:rPr>
                <w:webHidden/>
                <w:rStyle w:val="IndexLink"/>
                <w:rtl w:val="true"/>
              </w:rPr>
              <w:t>القسم التاسع</w:t>
            </w:r>
            <w:r>
              <w:rPr>
                <w:rStyle w:val="IndexLink"/>
                <w:rtl w:val="true"/>
              </w:rPr>
              <w:t>:</w:t>
              <w:tab/>
            </w:r>
            <w:r>
              <w:rPr>
                <w:rStyle w:val="IndexLink"/>
              </w:rPr>
              <w:t>100</w:t>
            </w:r>
          </w:hyperlink>
        </w:p>
        <w:p>
          <w:pPr>
            <w:pStyle w:val="Contents5"/>
            <w:tabs>
              <w:tab w:val="clear" w:pos="7892"/>
              <w:tab w:val="right" w:pos="9026" w:leader="dot"/>
            </w:tabs>
            <w:rPr/>
          </w:pPr>
          <w:hyperlink w:anchor="__RefHeading___Toc1190567_105122903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90569_1051229030">
            <w:r>
              <w:rPr>
                <w:webHidden/>
                <w:rStyle w:val="IndexLink"/>
                <w:rtl w:val="true"/>
              </w:rPr>
              <w:t>المستند في عدم الجواز</w:t>
            </w:r>
            <w:r>
              <w:rPr>
                <w:rStyle w:val="IndexLink"/>
                <w:rtl w:val="true"/>
              </w:rPr>
              <w:tab/>
            </w:r>
            <w:r>
              <w:rPr>
                <w:rStyle w:val="IndexLink"/>
              </w:rPr>
              <w:t>101</w:t>
            </w:r>
          </w:hyperlink>
        </w:p>
        <w:p>
          <w:pPr>
            <w:pStyle w:val="Contents5"/>
            <w:tabs>
              <w:tab w:val="clear" w:pos="7892"/>
              <w:tab w:val="right" w:pos="9026" w:leader="dot"/>
            </w:tabs>
            <w:rPr/>
          </w:pPr>
          <w:hyperlink w:anchor="__RefHeading___Toc1190571_1051229030">
            <w:r>
              <w:rPr>
                <w:webHidden/>
                <w:rStyle w:val="IndexLink"/>
                <w:rtl w:val="true"/>
              </w:rPr>
              <w:t>الجواب عن مستند الجواز</w:t>
            </w:r>
            <w:r>
              <w:rPr>
                <w:rStyle w:val="IndexLink"/>
                <w:rtl w:val="true"/>
              </w:rPr>
              <w:tab/>
            </w:r>
            <w:r>
              <w:rPr>
                <w:rStyle w:val="IndexLink"/>
              </w:rPr>
              <w:t>105</w:t>
            </w:r>
          </w:hyperlink>
        </w:p>
        <w:p>
          <w:pPr>
            <w:pStyle w:val="Contents5"/>
            <w:tabs>
              <w:tab w:val="clear" w:pos="7892"/>
              <w:tab w:val="right" w:pos="9026" w:leader="dot"/>
            </w:tabs>
            <w:rPr/>
          </w:pPr>
          <w:hyperlink w:anchor="__RefHeading___Toc1190573_1051229030">
            <w:r>
              <w:rPr>
                <w:webHidden/>
                <w:rStyle w:val="IndexLink"/>
                <w:rtl w:val="true"/>
              </w:rPr>
              <w:t>إطلاق كلمات جماعة من فحول الأصحاب يستدعي الجواز</w:t>
            </w:r>
            <w:r>
              <w:rPr>
                <w:rStyle w:val="IndexLink"/>
                <w:rtl w:val="true"/>
              </w:rPr>
              <w:tab/>
            </w:r>
            <w:r>
              <w:rPr>
                <w:rStyle w:val="IndexLink"/>
              </w:rPr>
              <w:t>106</w:t>
            </w:r>
          </w:hyperlink>
        </w:p>
        <w:p>
          <w:pPr>
            <w:pStyle w:val="Contents4"/>
            <w:tabs>
              <w:tab w:val="clear" w:pos="8176"/>
              <w:tab w:val="right" w:pos="9026" w:leader="dot"/>
            </w:tabs>
            <w:rPr/>
          </w:pPr>
          <w:hyperlink w:anchor="__RefHeading___Toc1190575_1051229030">
            <w:r>
              <w:rPr>
                <w:webHidden/>
                <w:rStyle w:val="IndexLink"/>
                <w:rtl w:val="true"/>
              </w:rPr>
              <w:t>القسم العاشر</w:t>
            </w:r>
            <w:r>
              <w:rPr>
                <w:rStyle w:val="IndexLink"/>
                <w:rtl w:val="true"/>
              </w:rPr>
              <w:t>:</w:t>
              <w:tab/>
            </w:r>
            <w:r>
              <w:rPr>
                <w:rStyle w:val="IndexLink"/>
              </w:rPr>
              <w:t>111</w:t>
            </w:r>
          </w:hyperlink>
        </w:p>
        <w:p>
          <w:pPr>
            <w:pStyle w:val="Contents4"/>
            <w:tabs>
              <w:tab w:val="clear" w:pos="8176"/>
              <w:tab w:val="right" w:pos="9026" w:leader="dot"/>
            </w:tabs>
            <w:rPr/>
          </w:pPr>
          <w:hyperlink w:anchor="__RefHeading___Toc1190577_1051229030">
            <w:r>
              <w:rPr>
                <w:webHidden/>
                <w:rStyle w:val="IndexLink"/>
                <w:rtl w:val="true"/>
              </w:rPr>
              <w:t>القسم الحادي عشر</w:t>
            </w:r>
            <w:r>
              <w:rPr>
                <w:rStyle w:val="IndexLink"/>
                <w:rtl w:val="true"/>
              </w:rPr>
              <w:t>:</w:t>
              <w:tab/>
            </w:r>
            <w:r>
              <w:rPr>
                <w:rStyle w:val="IndexLink"/>
              </w:rPr>
              <w:t>113</w:t>
            </w:r>
          </w:hyperlink>
        </w:p>
        <w:p>
          <w:pPr>
            <w:pStyle w:val="Contents5"/>
            <w:tabs>
              <w:tab w:val="clear" w:pos="7892"/>
              <w:tab w:val="right" w:pos="9026" w:leader="dot"/>
            </w:tabs>
            <w:rPr/>
          </w:pPr>
          <w:hyperlink w:anchor="__RefHeading___Toc1190579_105122903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90581_1051229030">
            <w:r>
              <w:rPr>
                <w:webHidden/>
                <w:rStyle w:val="IndexLink"/>
                <w:rtl w:val="true"/>
              </w:rPr>
              <w:t>المستند في عدم الجواز</w:t>
            </w:r>
            <w:r>
              <w:rPr>
                <w:rStyle w:val="IndexLink"/>
                <w:rtl w:val="true"/>
              </w:rPr>
              <w:tab/>
            </w:r>
            <w:r>
              <w:rPr>
                <w:rStyle w:val="IndexLink"/>
              </w:rPr>
              <w:t>116</w:t>
            </w:r>
          </w:hyperlink>
        </w:p>
        <w:p>
          <w:pPr>
            <w:pStyle w:val="Contents5"/>
            <w:tabs>
              <w:tab w:val="clear" w:pos="7892"/>
              <w:tab w:val="right" w:pos="9026" w:leader="dot"/>
            </w:tabs>
            <w:rPr/>
          </w:pPr>
          <w:hyperlink w:anchor="__RefHeading___Toc1190583_1051229030">
            <w:r>
              <w:rPr>
                <w:webHidden/>
                <w:rStyle w:val="IndexLink"/>
                <w:rtl w:val="true"/>
              </w:rPr>
              <w:t>المستند للقول بالجواز</w:t>
            </w:r>
            <w:r>
              <w:rPr>
                <w:rStyle w:val="IndexLink"/>
                <w:rtl w:val="true"/>
              </w:rPr>
              <w:tab/>
            </w:r>
            <w:r>
              <w:rPr>
                <w:rStyle w:val="IndexLink"/>
              </w:rPr>
              <w:t>117</w:t>
            </w:r>
          </w:hyperlink>
        </w:p>
        <w:p>
          <w:pPr>
            <w:pStyle w:val="Contents5"/>
            <w:tabs>
              <w:tab w:val="clear" w:pos="7892"/>
              <w:tab w:val="right" w:pos="9026" w:leader="dot"/>
            </w:tabs>
            <w:rPr/>
          </w:pPr>
          <w:hyperlink w:anchor="__RefHeading___Toc1190585_1051229030">
            <w:r>
              <w:rPr>
                <w:webHidden/>
                <w:rStyle w:val="IndexLink"/>
                <w:rtl w:val="true"/>
              </w:rPr>
              <w:t>مختار المؤلّف قدس‌سره و دليله</w:t>
            </w:r>
            <w:r>
              <w:rPr>
                <w:rStyle w:val="IndexLink"/>
                <w:rtl w:val="true"/>
              </w:rPr>
              <w:tab/>
            </w:r>
            <w:r>
              <w:rPr>
                <w:rStyle w:val="IndexLink"/>
              </w:rPr>
              <w:t>118</w:t>
            </w:r>
          </w:hyperlink>
        </w:p>
        <w:p>
          <w:pPr>
            <w:pStyle w:val="Contents4"/>
            <w:tabs>
              <w:tab w:val="clear" w:pos="8176"/>
              <w:tab w:val="right" w:pos="9026" w:leader="dot"/>
            </w:tabs>
            <w:rPr/>
          </w:pPr>
          <w:hyperlink w:anchor="__RefHeading___Toc1190587_1051229030">
            <w:r>
              <w:rPr>
                <w:webHidden/>
                <w:rStyle w:val="IndexLink"/>
                <w:rtl w:val="true"/>
              </w:rPr>
              <w:t>القسم الثاني عشر</w:t>
            </w:r>
            <w:r>
              <w:rPr>
                <w:rStyle w:val="IndexLink"/>
                <w:rtl w:val="true"/>
              </w:rPr>
              <w:t>:</w:t>
              <w:tab/>
            </w:r>
            <w:r>
              <w:rPr>
                <w:rStyle w:val="IndexLink"/>
              </w:rPr>
              <w:t>121</w:t>
            </w:r>
          </w:hyperlink>
        </w:p>
        <w:p>
          <w:pPr>
            <w:pStyle w:val="Contents4"/>
            <w:tabs>
              <w:tab w:val="clear" w:pos="8176"/>
              <w:tab w:val="right" w:pos="9026" w:leader="dot"/>
            </w:tabs>
            <w:rPr/>
          </w:pPr>
          <w:hyperlink w:anchor="__RefHeading___Toc1190589_1051229030">
            <w:r>
              <w:rPr>
                <w:webHidden/>
                <w:rStyle w:val="IndexLink"/>
                <w:rtl w:val="true"/>
              </w:rPr>
              <w:t>القسم الثالث عشر</w:t>
            </w:r>
            <w:r>
              <w:rPr>
                <w:rStyle w:val="IndexLink"/>
                <w:rtl w:val="true"/>
              </w:rPr>
              <w:t>:</w:t>
              <w:tab/>
            </w:r>
            <w:r>
              <w:rPr>
                <w:rStyle w:val="IndexLink"/>
              </w:rPr>
              <w:t>124</w:t>
            </w:r>
          </w:hyperlink>
        </w:p>
        <w:p>
          <w:pPr>
            <w:pStyle w:val="Contents5"/>
            <w:tabs>
              <w:tab w:val="clear" w:pos="7892"/>
              <w:tab w:val="right" w:pos="9026" w:leader="dot"/>
            </w:tabs>
            <w:rPr/>
          </w:pPr>
          <w:hyperlink w:anchor="__RefHeading___Toc1190591_105122903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190593_1051229030">
            <w:r>
              <w:rPr>
                <w:webHidden/>
                <w:rStyle w:val="IndexLink"/>
                <w:rtl w:val="true"/>
              </w:rPr>
              <w:t>المستند في الجواز مع الجواب عنه</w:t>
            </w:r>
            <w:r>
              <w:rPr>
                <w:rStyle w:val="IndexLink"/>
                <w:rtl w:val="true"/>
              </w:rPr>
              <w:tab/>
            </w:r>
            <w:r>
              <w:rPr>
                <w:rStyle w:val="IndexLink"/>
              </w:rPr>
              <w:t>125</w:t>
            </w:r>
          </w:hyperlink>
        </w:p>
        <w:p>
          <w:pPr>
            <w:pStyle w:val="Contents5"/>
            <w:tabs>
              <w:tab w:val="clear" w:pos="7892"/>
              <w:tab w:val="right" w:pos="9026" w:leader="dot"/>
            </w:tabs>
            <w:rPr/>
          </w:pPr>
          <w:hyperlink w:anchor="__RefHeading___Toc1190595_1051229030">
            <w:r>
              <w:rPr>
                <w:webHidden/>
                <w:rStyle w:val="IndexLink"/>
                <w:rtl w:val="true"/>
              </w:rPr>
              <w:t xml:space="preserve">البحث عن قاعدة </w:t>
            </w:r>
            <w:r>
              <w:rPr>
                <w:rStyle w:val="IndexLink"/>
                <w:rtl w:val="true"/>
              </w:rPr>
              <w:t xml:space="preserve">: </w:t>
            </w:r>
            <w:r>
              <w:rPr>
                <w:rStyle w:val="IndexLink"/>
                <w:rtl w:val="true"/>
              </w:rPr>
              <w:t>انّ الأصل في فعل المسلم الحمل على الصحّة</w:t>
            </w:r>
            <w:r>
              <w:rPr>
                <w:rStyle w:val="IndexLink"/>
                <w:rtl w:val="true"/>
              </w:rPr>
              <w:tab/>
            </w:r>
            <w:r>
              <w:rPr>
                <w:rStyle w:val="IndexLink"/>
              </w:rPr>
              <w:t>126</w:t>
            </w:r>
          </w:hyperlink>
        </w:p>
        <w:p>
          <w:pPr>
            <w:pStyle w:val="Contents6"/>
            <w:tabs>
              <w:tab w:val="clear" w:pos="7609"/>
              <w:tab w:val="right" w:pos="9026" w:leader="dot"/>
            </w:tabs>
            <w:rPr/>
          </w:pPr>
          <w:hyperlink w:anchor="__RefHeading___Toc1190597_105122903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190599_1051229030">
            <w:r>
              <w:rPr>
                <w:webHidden/>
                <w:rStyle w:val="IndexLink"/>
                <w:rtl w:val="true"/>
              </w:rPr>
              <w:t>مختار المؤلّف قدس‌سره</w:t>
            </w:r>
            <w:r>
              <w:rPr>
                <w:rStyle w:val="IndexLink"/>
                <w:rtl w:val="true"/>
              </w:rPr>
              <w:tab/>
            </w:r>
            <w:r>
              <w:rPr>
                <w:rStyle w:val="IndexLink"/>
              </w:rPr>
              <w:t>127</w:t>
            </w:r>
          </w:hyperlink>
        </w:p>
        <w:p>
          <w:pPr>
            <w:pStyle w:val="Contents4"/>
            <w:tabs>
              <w:tab w:val="clear" w:pos="8176"/>
              <w:tab w:val="right" w:pos="9026" w:leader="dot"/>
            </w:tabs>
            <w:rPr/>
          </w:pPr>
          <w:hyperlink w:anchor="__RefHeading___Toc1190601_1051229030">
            <w:r>
              <w:rPr>
                <w:webHidden/>
                <w:rStyle w:val="IndexLink"/>
                <w:rtl w:val="true"/>
              </w:rPr>
              <w:t>القسم الرابع عشر</w:t>
            </w:r>
            <w:r>
              <w:rPr>
                <w:rStyle w:val="IndexLink"/>
                <w:rtl w:val="true"/>
              </w:rPr>
              <w:t>:</w:t>
              <w:tab/>
            </w:r>
            <w:r>
              <w:rPr>
                <w:rStyle w:val="IndexLink"/>
              </w:rPr>
              <w:t>128</w:t>
            </w:r>
          </w:hyperlink>
        </w:p>
        <w:p>
          <w:pPr>
            <w:pStyle w:val="Contents4"/>
            <w:tabs>
              <w:tab w:val="clear" w:pos="8176"/>
              <w:tab w:val="right" w:pos="9026" w:leader="dot"/>
            </w:tabs>
            <w:rPr/>
          </w:pPr>
          <w:hyperlink w:anchor="__RefHeading___Toc1190603_1051229030">
            <w:r>
              <w:rPr>
                <w:webHidden/>
                <w:rStyle w:val="IndexLink"/>
                <w:rtl w:val="true"/>
              </w:rPr>
              <w:t>القسم الخامس عشر</w:t>
            </w:r>
            <w:r>
              <w:rPr>
                <w:rStyle w:val="IndexLink"/>
                <w:rtl w:val="true"/>
              </w:rPr>
              <w:t>:</w:t>
              <w:tab/>
            </w:r>
            <w:r>
              <w:rPr>
                <w:rStyle w:val="IndexLink"/>
              </w:rPr>
              <w:t>128</w:t>
            </w:r>
          </w:hyperlink>
        </w:p>
        <w:p>
          <w:pPr>
            <w:pStyle w:val="Contents4"/>
            <w:tabs>
              <w:tab w:val="clear" w:pos="8176"/>
              <w:tab w:val="right" w:pos="9026" w:leader="dot"/>
            </w:tabs>
            <w:rPr/>
          </w:pPr>
          <w:hyperlink w:anchor="__RefHeading___Toc1190605_1051229030">
            <w:r>
              <w:rPr>
                <w:webHidden/>
                <w:rStyle w:val="IndexLink"/>
                <w:rtl w:val="true"/>
              </w:rPr>
              <w:t>القسم السادس عشر</w:t>
            </w:r>
            <w:r>
              <w:rPr>
                <w:rStyle w:val="IndexLink"/>
                <w:rtl w:val="true"/>
              </w:rPr>
              <w:t>:</w:t>
              <w:tab/>
            </w:r>
            <w:r>
              <w:rPr>
                <w:rStyle w:val="IndexLink"/>
              </w:rPr>
              <w:t>130</w:t>
            </w:r>
          </w:hyperlink>
        </w:p>
        <w:p>
          <w:pPr>
            <w:pStyle w:val="Contents5"/>
            <w:tabs>
              <w:tab w:val="clear" w:pos="7892"/>
              <w:tab w:val="right" w:pos="9026" w:leader="dot"/>
            </w:tabs>
            <w:rPr/>
          </w:pPr>
          <w:hyperlink w:anchor="__RefHeading___Toc1190607_105122903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90609_1051229030">
            <w:r>
              <w:rPr>
                <w:webHidden/>
                <w:rStyle w:val="IndexLink"/>
                <w:rtl w:val="true"/>
              </w:rPr>
              <w:t>المستند في عدم الجواز مع الجواب عنه</w:t>
            </w:r>
            <w:r>
              <w:rPr>
                <w:rStyle w:val="IndexLink"/>
                <w:rtl w:val="true"/>
              </w:rPr>
              <w:tab/>
            </w:r>
            <w:r>
              <w:rPr>
                <w:rStyle w:val="IndexLink"/>
              </w:rPr>
              <w:t>132</w:t>
            </w:r>
          </w:hyperlink>
        </w:p>
        <w:p>
          <w:pPr>
            <w:pStyle w:val="Contents5"/>
            <w:tabs>
              <w:tab w:val="clear" w:pos="7892"/>
              <w:tab w:val="right" w:pos="9026" w:leader="dot"/>
            </w:tabs>
            <w:rPr/>
          </w:pPr>
          <w:hyperlink w:anchor="__RefHeading___Toc1190611_1051229030">
            <w:r>
              <w:rPr>
                <w:webHidden/>
                <w:rStyle w:val="IndexLink"/>
                <w:rtl w:val="true"/>
              </w:rPr>
              <w:t>مختار المؤلّف قدس‌سره و دليله</w:t>
            </w:r>
            <w:r>
              <w:rPr>
                <w:rStyle w:val="IndexLink"/>
                <w:rtl w:val="true"/>
              </w:rPr>
              <w:tab/>
            </w:r>
            <w:r>
              <w:rPr>
                <w:rStyle w:val="IndexLink"/>
              </w:rPr>
              <w:t>134</w:t>
            </w:r>
          </w:hyperlink>
        </w:p>
        <w:p>
          <w:pPr>
            <w:pStyle w:val="Contents4"/>
            <w:tabs>
              <w:tab w:val="clear" w:pos="8176"/>
              <w:tab w:val="right" w:pos="9026" w:leader="dot"/>
            </w:tabs>
            <w:rPr/>
          </w:pPr>
          <w:hyperlink w:anchor="__RefHeading___Toc1190613_1051229030">
            <w:r>
              <w:rPr>
                <w:webHidden/>
                <w:rStyle w:val="IndexLink"/>
                <w:rtl w:val="true"/>
              </w:rPr>
              <w:t>القسم السابع عشر</w:t>
            </w:r>
            <w:r>
              <w:rPr>
                <w:rStyle w:val="IndexLink"/>
                <w:rtl w:val="true"/>
              </w:rPr>
              <w:t>:</w:t>
              <w:tab/>
            </w:r>
            <w:r>
              <w:rPr>
                <w:rStyle w:val="IndexLink"/>
              </w:rPr>
              <w:t>134</w:t>
            </w:r>
          </w:hyperlink>
        </w:p>
        <w:p>
          <w:pPr>
            <w:pStyle w:val="Contents5"/>
            <w:tabs>
              <w:tab w:val="clear" w:pos="7892"/>
              <w:tab w:val="right" w:pos="9026" w:leader="dot"/>
            </w:tabs>
            <w:rPr/>
          </w:pPr>
          <w:hyperlink w:anchor="__RefHeading___Toc1190615_105122903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90617_1051229030">
            <w:r>
              <w:rPr>
                <w:webHidden/>
                <w:rStyle w:val="IndexLink"/>
                <w:rtl w:val="true"/>
              </w:rPr>
              <w:t>المستند في المنع مع الجواب عنه</w:t>
            </w:r>
            <w:r>
              <w:rPr>
                <w:rStyle w:val="IndexLink"/>
                <w:rtl w:val="true"/>
              </w:rPr>
              <w:tab/>
            </w:r>
            <w:r>
              <w:rPr>
                <w:rStyle w:val="IndexLink"/>
              </w:rPr>
              <w:t>135</w:t>
            </w:r>
          </w:hyperlink>
        </w:p>
        <w:p>
          <w:pPr>
            <w:pStyle w:val="Contents5"/>
            <w:tabs>
              <w:tab w:val="clear" w:pos="7892"/>
              <w:tab w:val="right" w:pos="9026" w:leader="dot"/>
            </w:tabs>
            <w:rPr/>
          </w:pPr>
          <w:hyperlink w:anchor="__RefHeading___Toc1190619_1051229030">
            <w:r>
              <w:rPr>
                <w:webHidden/>
                <w:rStyle w:val="IndexLink"/>
                <w:rtl w:val="true"/>
              </w:rPr>
              <w:t>مختار المؤلّف قدس‌سره</w:t>
            </w:r>
            <w:r>
              <w:rPr>
                <w:rStyle w:val="IndexLink"/>
                <w:rtl w:val="true"/>
              </w:rPr>
              <w:tab/>
            </w:r>
            <w:r>
              <w:rPr>
                <w:rStyle w:val="IndexLink"/>
              </w:rPr>
              <w:t>137</w:t>
            </w:r>
          </w:hyperlink>
        </w:p>
        <w:p>
          <w:pPr>
            <w:pStyle w:val="Contents4"/>
            <w:tabs>
              <w:tab w:val="clear" w:pos="8176"/>
              <w:tab w:val="right" w:pos="9026" w:leader="dot"/>
            </w:tabs>
            <w:rPr/>
          </w:pPr>
          <w:hyperlink w:anchor="__RefHeading___Toc1190621_1051229030">
            <w:r>
              <w:rPr>
                <w:webHidden/>
                <w:rStyle w:val="IndexLink"/>
                <w:rtl w:val="true"/>
              </w:rPr>
              <w:t>القسم الثامن عشر</w:t>
            </w:r>
            <w:r>
              <w:rPr>
                <w:rStyle w:val="IndexLink"/>
                <w:rtl w:val="true"/>
              </w:rPr>
              <w:t>:</w:t>
              <w:tab/>
            </w:r>
            <w:r>
              <w:rPr>
                <w:rStyle w:val="IndexLink"/>
              </w:rPr>
              <w:t>138</w:t>
            </w:r>
          </w:hyperlink>
        </w:p>
        <w:p>
          <w:pPr>
            <w:pStyle w:val="Contents5"/>
            <w:tabs>
              <w:tab w:val="clear" w:pos="7892"/>
              <w:tab w:val="right" w:pos="9026" w:leader="dot"/>
            </w:tabs>
            <w:rPr/>
          </w:pPr>
          <w:hyperlink w:anchor="__RefHeading___Toc1190623_105122903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90625_1051229030">
            <w:r>
              <w:rPr>
                <w:webHidden/>
                <w:rStyle w:val="IndexLink"/>
                <w:rtl w:val="true"/>
              </w:rPr>
              <w:t>مختار المؤلّف قدس‌سره و دليله</w:t>
            </w:r>
            <w:r>
              <w:rPr>
                <w:rStyle w:val="IndexLink"/>
                <w:rtl w:val="true"/>
              </w:rPr>
              <w:tab/>
            </w:r>
            <w:r>
              <w:rPr>
                <w:rStyle w:val="IndexLink"/>
              </w:rPr>
              <w:t>139</w:t>
            </w:r>
          </w:hyperlink>
        </w:p>
        <w:p>
          <w:pPr>
            <w:pStyle w:val="Contents5"/>
            <w:tabs>
              <w:tab w:val="clear" w:pos="7892"/>
              <w:tab w:val="right" w:pos="9026" w:leader="dot"/>
            </w:tabs>
            <w:rPr/>
          </w:pPr>
          <w:hyperlink w:anchor="__RefHeading___Toc1190627_1051229030">
            <w:r>
              <w:rPr>
                <w:webHidden/>
                <w:rStyle w:val="IndexLink"/>
                <w:rtl w:val="true"/>
              </w:rPr>
              <w:t>المستند للجواز مع الجواب عنه</w:t>
            </w:r>
            <w:r>
              <w:rPr>
                <w:rStyle w:val="IndexLink"/>
                <w:rtl w:val="true"/>
              </w:rPr>
              <w:tab/>
            </w:r>
            <w:r>
              <w:rPr>
                <w:rStyle w:val="IndexLink"/>
              </w:rPr>
              <w:t>139</w:t>
            </w:r>
          </w:hyperlink>
        </w:p>
        <w:p>
          <w:pPr>
            <w:pStyle w:val="Contents4"/>
            <w:tabs>
              <w:tab w:val="clear" w:pos="8176"/>
              <w:tab w:val="right" w:pos="9026" w:leader="dot"/>
            </w:tabs>
            <w:rPr/>
          </w:pPr>
          <w:hyperlink w:anchor="__RefHeading___Toc1190629_1051229030">
            <w:r>
              <w:rPr>
                <w:webHidden/>
                <w:rStyle w:val="IndexLink"/>
                <w:rtl w:val="true"/>
              </w:rPr>
              <w:t>القسم التاسع عشر</w:t>
            </w:r>
            <w:r>
              <w:rPr>
                <w:rStyle w:val="IndexLink"/>
                <w:rtl w:val="true"/>
              </w:rPr>
              <w:t>:</w:t>
              <w:tab/>
            </w:r>
            <w:r>
              <w:rPr>
                <w:rStyle w:val="IndexLink"/>
              </w:rPr>
              <w:t>140</w:t>
            </w:r>
          </w:hyperlink>
        </w:p>
        <w:p>
          <w:pPr>
            <w:pStyle w:val="Contents4"/>
            <w:tabs>
              <w:tab w:val="clear" w:pos="8176"/>
              <w:tab w:val="right" w:pos="9026" w:leader="dot"/>
            </w:tabs>
            <w:rPr/>
          </w:pPr>
          <w:hyperlink w:anchor="__RefHeading___Toc1190631_1051229030">
            <w:r>
              <w:rPr>
                <w:webHidden/>
                <w:rStyle w:val="IndexLink"/>
                <w:rtl w:val="true"/>
              </w:rPr>
              <w:t>القسم العشرون</w:t>
            </w:r>
            <w:r>
              <w:rPr>
                <w:rStyle w:val="IndexLink"/>
                <w:rtl w:val="true"/>
              </w:rPr>
              <w:t>:</w:t>
              <w:tab/>
            </w:r>
            <w:r>
              <w:rPr>
                <w:rStyle w:val="IndexLink"/>
              </w:rPr>
              <w:t>140</w:t>
            </w:r>
          </w:hyperlink>
        </w:p>
        <w:p>
          <w:pPr>
            <w:pStyle w:val="Contents4"/>
            <w:tabs>
              <w:tab w:val="clear" w:pos="8176"/>
              <w:tab w:val="right" w:pos="9026" w:leader="dot"/>
            </w:tabs>
            <w:rPr/>
          </w:pPr>
          <w:hyperlink w:anchor="__RefHeading___Toc1190633_1051229030">
            <w:r>
              <w:rPr>
                <w:webHidden/>
                <w:rStyle w:val="IndexLink"/>
                <w:rtl w:val="true"/>
              </w:rPr>
              <w:t>القسم الحادي والعشرون</w:t>
            </w:r>
            <w:r>
              <w:rPr>
                <w:rStyle w:val="IndexLink"/>
                <w:rtl w:val="true"/>
              </w:rPr>
              <w:t>:</w:t>
              <w:tab/>
            </w:r>
            <w:r>
              <w:rPr>
                <w:rStyle w:val="IndexLink"/>
              </w:rPr>
              <w:t>141</w:t>
            </w:r>
          </w:hyperlink>
        </w:p>
        <w:p>
          <w:pPr>
            <w:pStyle w:val="Contents5"/>
            <w:tabs>
              <w:tab w:val="clear" w:pos="7892"/>
              <w:tab w:val="right" w:pos="9026" w:leader="dot"/>
            </w:tabs>
            <w:rPr/>
          </w:pPr>
          <w:hyperlink w:anchor="__RefHeading___Toc1190635_105122903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90637_1051229030">
            <w:r>
              <w:rPr>
                <w:webHidden/>
                <w:rStyle w:val="IndexLink"/>
                <w:rtl w:val="true"/>
              </w:rPr>
              <w:t>الظاهر من بعض الكتب جواز الاستعمال</w:t>
            </w:r>
            <w:r>
              <w:rPr>
                <w:rStyle w:val="IndexLink"/>
                <w:rtl w:val="true"/>
              </w:rPr>
              <w:tab/>
            </w:r>
            <w:r>
              <w:rPr>
                <w:rStyle w:val="IndexLink"/>
              </w:rPr>
              <w:t>141</w:t>
            </w:r>
          </w:hyperlink>
        </w:p>
        <w:p>
          <w:pPr>
            <w:pStyle w:val="Contents5"/>
            <w:tabs>
              <w:tab w:val="clear" w:pos="7892"/>
              <w:tab w:val="right" w:pos="9026" w:leader="dot"/>
            </w:tabs>
            <w:rPr/>
          </w:pPr>
          <w:hyperlink w:anchor="__RefHeading___Toc1190639_1051229030">
            <w:r>
              <w:rPr>
                <w:webHidden/>
                <w:rStyle w:val="IndexLink"/>
                <w:rtl w:val="true"/>
              </w:rPr>
              <w:t>الظاهر من المبسوط والنهاية عدم الجواز</w:t>
            </w:r>
            <w:r>
              <w:rPr>
                <w:rStyle w:val="IndexLink"/>
                <w:rtl w:val="true"/>
              </w:rPr>
              <w:tab/>
            </w:r>
            <w:r>
              <w:rPr>
                <w:rStyle w:val="IndexLink"/>
              </w:rPr>
              <w:t>143</w:t>
            </w:r>
          </w:hyperlink>
        </w:p>
        <w:p>
          <w:pPr>
            <w:pStyle w:val="Contents5"/>
            <w:tabs>
              <w:tab w:val="clear" w:pos="7892"/>
              <w:tab w:val="right" w:pos="9026" w:leader="dot"/>
            </w:tabs>
            <w:rPr/>
          </w:pPr>
          <w:hyperlink w:anchor="__RefHeading___Toc1190641_1051229030">
            <w:r>
              <w:rPr>
                <w:webHidden/>
                <w:rStyle w:val="IndexLink"/>
                <w:rtl w:val="true"/>
              </w:rPr>
              <w:t>مختار المؤلّف قدس‌سره و دليله</w:t>
            </w:r>
            <w:r>
              <w:rPr>
                <w:rStyle w:val="IndexLink"/>
                <w:rtl w:val="true"/>
              </w:rPr>
              <w:tab/>
            </w:r>
            <w:r>
              <w:rPr>
                <w:rStyle w:val="IndexLink"/>
              </w:rPr>
              <w:t>143</w:t>
            </w:r>
          </w:hyperlink>
        </w:p>
        <w:p>
          <w:pPr>
            <w:pStyle w:val="Contents4"/>
            <w:tabs>
              <w:tab w:val="clear" w:pos="8176"/>
              <w:tab w:val="right" w:pos="9026" w:leader="dot"/>
            </w:tabs>
            <w:rPr/>
          </w:pPr>
          <w:hyperlink w:anchor="__RefHeading___Toc1190643_1051229030">
            <w:r>
              <w:rPr>
                <w:webHidden/>
                <w:rStyle w:val="IndexLink"/>
                <w:rtl w:val="true"/>
              </w:rPr>
              <w:t>القسم الثاني والعشرون</w:t>
            </w:r>
            <w:r>
              <w:rPr>
                <w:rStyle w:val="IndexLink"/>
                <w:rtl w:val="true"/>
              </w:rPr>
              <w:t>:</w:t>
              <w:tab/>
            </w:r>
            <w:r>
              <w:rPr>
                <w:rStyle w:val="IndexLink"/>
              </w:rPr>
              <w:t>145</w:t>
            </w:r>
          </w:hyperlink>
        </w:p>
        <w:p>
          <w:pPr>
            <w:pStyle w:val="Contents5"/>
            <w:tabs>
              <w:tab w:val="clear" w:pos="7892"/>
              <w:tab w:val="right" w:pos="9026" w:leader="dot"/>
            </w:tabs>
            <w:rPr/>
          </w:pPr>
          <w:hyperlink w:anchor="__RefHeading___Toc1190645_105122903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90647_1051229030">
            <w:r>
              <w:rPr>
                <w:webHidden/>
                <w:rStyle w:val="IndexLink"/>
                <w:rtl w:val="true"/>
              </w:rPr>
              <w:t>المستند في المنع مع الجواب عنه</w:t>
            </w:r>
            <w:r>
              <w:rPr>
                <w:rStyle w:val="IndexLink"/>
                <w:rtl w:val="true"/>
              </w:rPr>
              <w:tab/>
            </w:r>
            <w:r>
              <w:rPr>
                <w:rStyle w:val="IndexLink"/>
              </w:rPr>
              <w:t>146</w:t>
            </w:r>
          </w:hyperlink>
        </w:p>
        <w:p>
          <w:pPr>
            <w:pStyle w:val="Contents4"/>
            <w:tabs>
              <w:tab w:val="clear" w:pos="8176"/>
              <w:tab w:val="right" w:pos="9026" w:leader="dot"/>
            </w:tabs>
            <w:rPr/>
          </w:pPr>
          <w:hyperlink w:anchor="__RefHeading___Toc1190649_1051229030">
            <w:r>
              <w:rPr>
                <w:webHidden/>
                <w:rStyle w:val="IndexLink"/>
                <w:rtl w:val="true"/>
              </w:rPr>
              <w:t>القسم الثالث والعشرون</w:t>
            </w:r>
            <w:r>
              <w:rPr>
                <w:rStyle w:val="IndexLink"/>
                <w:rtl w:val="true"/>
              </w:rPr>
              <w:t>:</w:t>
              <w:tab/>
            </w:r>
            <w:r>
              <w:rPr>
                <w:rStyle w:val="IndexLink"/>
              </w:rPr>
              <w:t>148</w:t>
            </w:r>
          </w:hyperlink>
        </w:p>
        <w:p>
          <w:pPr>
            <w:pStyle w:val="Contents5"/>
            <w:tabs>
              <w:tab w:val="clear" w:pos="7892"/>
              <w:tab w:val="right" w:pos="9026" w:leader="dot"/>
            </w:tabs>
            <w:rPr/>
          </w:pPr>
          <w:hyperlink w:anchor="__RefHeading___Toc1190651_105122903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90653_1051229030">
            <w:r>
              <w:rPr>
                <w:webHidden/>
                <w:rStyle w:val="IndexLink"/>
                <w:rtl w:val="true"/>
              </w:rPr>
              <w:t>المستند للجواز</w:t>
            </w:r>
            <w:r>
              <w:rPr>
                <w:rStyle w:val="IndexLink"/>
                <w:rtl w:val="true"/>
              </w:rPr>
              <w:tab/>
            </w:r>
            <w:r>
              <w:rPr>
                <w:rStyle w:val="IndexLink"/>
              </w:rPr>
              <w:t>149</w:t>
            </w:r>
          </w:hyperlink>
        </w:p>
        <w:p>
          <w:pPr>
            <w:pStyle w:val="Contents5"/>
            <w:tabs>
              <w:tab w:val="clear" w:pos="7892"/>
              <w:tab w:val="right" w:pos="9026" w:leader="dot"/>
            </w:tabs>
            <w:rPr/>
          </w:pPr>
          <w:hyperlink w:anchor="__RefHeading___Toc1190655_1051229030">
            <w:r>
              <w:rPr>
                <w:webHidden/>
                <w:rStyle w:val="IndexLink"/>
                <w:rtl w:val="true"/>
              </w:rPr>
              <w:t>المستند في عدم الجواز مع الجواب عنه</w:t>
            </w:r>
            <w:r>
              <w:rPr>
                <w:rStyle w:val="IndexLink"/>
                <w:rtl w:val="true"/>
              </w:rPr>
              <w:tab/>
            </w:r>
            <w:r>
              <w:rPr>
                <w:rStyle w:val="IndexLink"/>
              </w:rPr>
              <w:t>151</w:t>
            </w:r>
          </w:hyperlink>
        </w:p>
        <w:p>
          <w:pPr>
            <w:pStyle w:val="Contents5"/>
            <w:tabs>
              <w:tab w:val="clear" w:pos="7892"/>
              <w:tab w:val="right" w:pos="9026" w:leader="dot"/>
            </w:tabs>
            <w:rPr/>
          </w:pPr>
          <w:hyperlink w:anchor="__RefHeading___Toc1190657_1051229030">
            <w:r>
              <w:rPr>
                <w:webHidden/>
                <w:rStyle w:val="IndexLink"/>
                <w:rtl w:val="true"/>
              </w:rPr>
              <w:t>مختار المؤلّف قدس‌سره و دليله</w:t>
            </w:r>
            <w:r>
              <w:rPr>
                <w:rStyle w:val="IndexLink"/>
                <w:rtl w:val="true"/>
              </w:rPr>
              <w:tab/>
            </w:r>
            <w:r>
              <w:rPr>
                <w:rStyle w:val="IndexLink"/>
              </w:rPr>
              <w:t>152</w:t>
            </w:r>
          </w:hyperlink>
        </w:p>
        <w:p>
          <w:pPr>
            <w:pStyle w:val="Contents4"/>
            <w:tabs>
              <w:tab w:val="clear" w:pos="8176"/>
              <w:tab w:val="right" w:pos="9026" w:leader="dot"/>
            </w:tabs>
            <w:rPr/>
          </w:pPr>
          <w:hyperlink w:anchor="__RefHeading___Toc1190659_1051229030">
            <w:r>
              <w:rPr>
                <w:webHidden/>
                <w:rStyle w:val="IndexLink"/>
                <w:rtl w:val="true"/>
              </w:rPr>
              <w:t>القسم الرابع والعشرون</w:t>
            </w:r>
            <w:r>
              <w:rPr>
                <w:rStyle w:val="IndexLink"/>
                <w:rtl w:val="true"/>
              </w:rPr>
              <w:t>:</w:t>
              <w:tab/>
            </w:r>
            <w:r>
              <w:rPr>
                <w:rStyle w:val="IndexLink"/>
              </w:rPr>
              <w:t>152</w:t>
            </w:r>
          </w:hyperlink>
        </w:p>
        <w:p>
          <w:pPr>
            <w:pStyle w:val="Contents5"/>
            <w:tabs>
              <w:tab w:val="clear" w:pos="7892"/>
              <w:tab w:val="right" w:pos="9026" w:leader="dot"/>
            </w:tabs>
            <w:rPr/>
          </w:pPr>
          <w:hyperlink w:anchor="__RefHeading___Toc1190661_105122903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90663_1051229030">
            <w:r>
              <w:rPr>
                <w:webHidden/>
                <w:rStyle w:val="IndexLink"/>
                <w:rtl w:val="true"/>
              </w:rPr>
              <w:t>المستند في الجواز</w:t>
            </w:r>
            <w:r>
              <w:rPr>
                <w:rStyle w:val="IndexLink"/>
                <w:rtl w:val="true"/>
              </w:rPr>
              <w:tab/>
            </w:r>
            <w:r>
              <w:rPr>
                <w:rStyle w:val="IndexLink"/>
              </w:rPr>
              <w:t>153</w:t>
            </w:r>
          </w:hyperlink>
        </w:p>
        <w:p>
          <w:pPr>
            <w:pStyle w:val="Contents5"/>
            <w:tabs>
              <w:tab w:val="clear" w:pos="7892"/>
              <w:tab w:val="right" w:pos="9026" w:leader="dot"/>
            </w:tabs>
            <w:rPr/>
          </w:pPr>
          <w:hyperlink w:anchor="__RefHeading___Toc1190665_1051229030">
            <w:r>
              <w:rPr>
                <w:webHidden/>
                <w:rStyle w:val="IndexLink"/>
                <w:rtl w:val="true"/>
              </w:rPr>
              <w:t>المستند في المنع مع الجواب عنه</w:t>
            </w:r>
            <w:r>
              <w:rPr>
                <w:rStyle w:val="IndexLink"/>
                <w:rtl w:val="true"/>
              </w:rPr>
              <w:tab/>
            </w:r>
            <w:r>
              <w:rPr>
                <w:rStyle w:val="IndexLink"/>
              </w:rPr>
              <w:t>153</w:t>
            </w:r>
          </w:hyperlink>
        </w:p>
        <w:p>
          <w:pPr>
            <w:pStyle w:val="Contents5"/>
            <w:tabs>
              <w:tab w:val="clear" w:pos="7892"/>
              <w:tab w:val="right" w:pos="9026" w:leader="dot"/>
            </w:tabs>
            <w:rPr/>
          </w:pPr>
          <w:hyperlink w:anchor="__RefHeading___Toc1190667_1051229030">
            <w:r>
              <w:rPr>
                <w:webHidden/>
                <w:rStyle w:val="IndexLink"/>
                <w:rtl w:val="true"/>
              </w:rPr>
              <w:t>مختار المؤلّف قدس‌سره و دليله</w:t>
            </w:r>
            <w:r>
              <w:rPr>
                <w:rStyle w:val="IndexLink"/>
                <w:rtl w:val="true"/>
              </w:rPr>
              <w:tab/>
            </w:r>
            <w:r>
              <w:rPr>
                <w:rStyle w:val="IndexLink"/>
              </w:rPr>
              <w:t>156</w:t>
            </w:r>
          </w:hyperlink>
        </w:p>
        <w:p>
          <w:pPr>
            <w:pStyle w:val="Contents4"/>
            <w:tabs>
              <w:tab w:val="clear" w:pos="8176"/>
              <w:tab w:val="right" w:pos="9026" w:leader="dot"/>
            </w:tabs>
            <w:rPr/>
          </w:pPr>
          <w:hyperlink w:anchor="__RefHeading___Toc1190669_1051229030">
            <w:r>
              <w:rPr>
                <w:webHidden/>
                <w:rStyle w:val="IndexLink"/>
                <w:rtl w:val="true"/>
              </w:rPr>
              <w:t>القسم الخامس والعشرون</w:t>
            </w:r>
            <w:r>
              <w:rPr>
                <w:rStyle w:val="IndexLink"/>
                <w:rtl w:val="true"/>
              </w:rPr>
              <w:t>:</w:t>
              <w:tab/>
            </w:r>
            <w:r>
              <w:rPr>
                <w:rStyle w:val="IndexLink"/>
              </w:rPr>
              <w:t>157</w:t>
            </w:r>
          </w:hyperlink>
        </w:p>
        <w:p>
          <w:pPr>
            <w:pStyle w:val="Contents5"/>
            <w:tabs>
              <w:tab w:val="clear" w:pos="7892"/>
              <w:tab w:val="right" w:pos="9026" w:leader="dot"/>
            </w:tabs>
            <w:rPr/>
          </w:pPr>
          <w:hyperlink w:anchor="__RefHeading___Toc1190671_105122903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90673_1051229030">
            <w:r>
              <w:rPr>
                <w:webHidden/>
                <w:rStyle w:val="IndexLink"/>
                <w:rtl w:val="true"/>
              </w:rPr>
              <w:t>المستند في قبول الإخبار</w:t>
            </w:r>
            <w:r>
              <w:rPr>
                <w:rStyle w:val="IndexLink"/>
                <w:rtl w:val="true"/>
              </w:rPr>
              <w:tab/>
            </w:r>
            <w:r>
              <w:rPr>
                <w:rStyle w:val="IndexLink"/>
              </w:rPr>
              <w:t>158</w:t>
            </w:r>
          </w:hyperlink>
        </w:p>
        <w:p>
          <w:pPr>
            <w:pStyle w:val="Contents5"/>
            <w:tabs>
              <w:tab w:val="clear" w:pos="7892"/>
              <w:tab w:val="right" w:pos="9026" w:leader="dot"/>
            </w:tabs>
            <w:rPr/>
          </w:pPr>
          <w:hyperlink w:anchor="__RefHeading___Toc1190675_1051229030">
            <w:r>
              <w:rPr>
                <w:webHidden/>
                <w:rStyle w:val="IndexLink"/>
                <w:rtl w:val="true"/>
              </w:rPr>
              <w:t>مختار المؤلّف قدس‌سره و دليله</w:t>
            </w:r>
            <w:r>
              <w:rPr>
                <w:rStyle w:val="IndexLink"/>
                <w:rtl w:val="true"/>
              </w:rPr>
              <w:tab/>
            </w:r>
            <w:r>
              <w:rPr>
                <w:rStyle w:val="IndexLink"/>
              </w:rPr>
              <w:t>159</w:t>
            </w:r>
          </w:hyperlink>
        </w:p>
        <w:p>
          <w:pPr>
            <w:pStyle w:val="Contents4"/>
            <w:tabs>
              <w:tab w:val="clear" w:pos="8176"/>
              <w:tab w:val="right" w:pos="9026" w:leader="dot"/>
            </w:tabs>
            <w:rPr/>
          </w:pPr>
          <w:hyperlink w:anchor="__RefHeading___Toc1190677_1051229030">
            <w:r>
              <w:rPr>
                <w:webHidden/>
                <w:rStyle w:val="IndexLink"/>
                <w:rtl w:val="true"/>
              </w:rPr>
              <w:t xml:space="preserve">القسم السادس والعشرون </w:t>
            </w:r>
            <w:r>
              <w:rPr>
                <w:rStyle w:val="IndexLink"/>
                <w:rtl w:val="true"/>
              </w:rPr>
              <w:t>:</w:t>
              <w:tab/>
            </w:r>
            <w:r>
              <w:rPr>
                <w:rStyle w:val="IndexLink"/>
              </w:rPr>
              <w:t>160</w:t>
            </w:r>
          </w:hyperlink>
        </w:p>
        <w:p>
          <w:pPr>
            <w:pStyle w:val="Contents4"/>
            <w:tabs>
              <w:tab w:val="clear" w:pos="8176"/>
              <w:tab w:val="right" w:pos="9026" w:leader="dot"/>
            </w:tabs>
            <w:rPr/>
          </w:pPr>
          <w:hyperlink w:anchor="__RefHeading___Toc1190679_1051229030">
            <w:r>
              <w:rPr>
                <w:webHidden/>
                <w:rStyle w:val="IndexLink"/>
                <w:rtl w:val="true"/>
              </w:rPr>
              <w:t xml:space="preserve">القسم السابع والعشرون </w:t>
            </w:r>
            <w:r>
              <w:rPr>
                <w:rStyle w:val="IndexLink"/>
                <w:rtl w:val="true"/>
              </w:rPr>
              <w:t>:</w:t>
              <w:tab/>
            </w:r>
            <w:r>
              <w:rPr>
                <w:rStyle w:val="IndexLink"/>
              </w:rPr>
              <w:t>161</w:t>
            </w:r>
          </w:hyperlink>
        </w:p>
        <w:p>
          <w:pPr>
            <w:pStyle w:val="Contents5"/>
            <w:tabs>
              <w:tab w:val="clear" w:pos="7892"/>
              <w:tab w:val="right" w:pos="9026" w:leader="dot"/>
            </w:tabs>
            <w:rPr/>
          </w:pPr>
          <w:hyperlink w:anchor="__RefHeading___Toc1190681_105122903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190683_1051229030">
            <w:r>
              <w:rPr>
                <w:webHidden/>
                <w:rStyle w:val="IndexLink"/>
                <w:rtl w:val="true"/>
              </w:rPr>
              <w:t>الظاهر من شيخ الطائفة عدم الجواز</w:t>
            </w:r>
            <w:r>
              <w:rPr>
                <w:rStyle w:val="IndexLink"/>
                <w:rtl w:val="true"/>
              </w:rPr>
              <w:tab/>
            </w:r>
            <w:r>
              <w:rPr>
                <w:rStyle w:val="IndexLink"/>
              </w:rPr>
              <w:t>162</w:t>
            </w:r>
          </w:hyperlink>
        </w:p>
        <w:p>
          <w:pPr>
            <w:pStyle w:val="Contents5"/>
            <w:tabs>
              <w:tab w:val="clear" w:pos="7892"/>
              <w:tab w:val="right" w:pos="9026" w:leader="dot"/>
            </w:tabs>
            <w:rPr/>
          </w:pPr>
          <w:hyperlink w:anchor="__RefHeading___Toc1190685_1051229030">
            <w:r>
              <w:rPr>
                <w:webHidden/>
                <w:rStyle w:val="IndexLink"/>
                <w:rtl w:val="true"/>
              </w:rPr>
              <w:t>مختار المؤلّف قدس‌سره و دليله</w:t>
            </w:r>
            <w:r>
              <w:rPr>
                <w:rStyle w:val="IndexLink"/>
                <w:rtl w:val="true"/>
              </w:rPr>
              <w:tab/>
            </w:r>
            <w:r>
              <w:rPr>
                <w:rStyle w:val="IndexLink"/>
              </w:rPr>
              <w:t>162</w:t>
            </w:r>
          </w:hyperlink>
        </w:p>
        <w:p>
          <w:pPr>
            <w:pStyle w:val="Contents4"/>
            <w:tabs>
              <w:tab w:val="clear" w:pos="8176"/>
              <w:tab w:val="right" w:pos="9026" w:leader="dot"/>
            </w:tabs>
            <w:rPr/>
          </w:pPr>
          <w:hyperlink w:anchor="__RefHeading___Toc1190687_1051229030">
            <w:r>
              <w:rPr>
                <w:webHidden/>
                <w:rStyle w:val="IndexLink"/>
                <w:rtl w:val="true"/>
              </w:rPr>
              <w:t xml:space="preserve">القسم الثامن والعشرون </w:t>
            </w:r>
            <w:r>
              <w:rPr>
                <w:rStyle w:val="IndexLink"/>
                <w:rtl w:val="true"/>
              </w:rPr>
              <w:t>:</w:t>
              <w:tab/>
            </w:r>
            <w:r>
              <w:rPr>
                <w:rStyle w:val="IndexLink"/>
              </w:rPr>
              <w:t>163</w:t>
            </w:r>
          </w:hyperlink>
        </w:p>
        <w:p>
          <w:pPr>
            <w:pStyle w:val="Contents5"/>
            <w:tabs>
              <w:tab w:val="clear" w:pos="7892"/>
              <w:tab w:val="right" w:pos="9026" w:leader="dot"/>
            </w:tabs>
            <w:rPr/>
          </w:pPr>
          <w:hyperlink w:anchor="__RefHeading___Toc1190689_105122903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90691_1051229030">
            <w:r>
              <w:rPr>
                <w:webHidden/>
                <w:rStyle w:val="IndexLink"/>
                <w:rtl w:val="true"/>
              </w:rPr>
              <w:t>مختار المؤلّف قدس‌سره و دليله</w:t>
            </w:r>
            <w:r>
              <w:rPr>
                <w:rStyle w:val="IndexLink"/>
                <w:rtl w:val="true"/>
              </w:rPr>
              <w:tab/>
            </w:r>
            <w:r>
              <w:rPr>
                <w:rStyle w:val="IndexLink"/>
              </w:rPr>
              <w:t>172</w:t>
            </w:r>
          </w:hyperlink>
        </w:p>
        <w:p>
          <w:pPr>
            <w:pStyle w:val="Contents4"/>
            <w:tabs>
              <w:tab w:val="clear" w:pos="8176"/>
              <w:tab w:val="right" w:pos="9026" w:leader="dot"/>
            </w:tabs>
            <w:rPr/>
          </w:pPr>
          <w:hyperlink w:anchor="__RefHeading___Toc1190693_1051229030">
            <w:r>
              <w:rPr>
                <w:webHidden/>
                <w:rStyle w:val="IndexLink"/>
                <w:rtl w:val="true"/>
              </w:rPr>
              <w:t xml:space="preserve">القسم التاسع والعشرون </w:t>
            </w:r>
            <w:r>
              <w:rPr>
                <w:rStyle w:val="IndexLink"/>
                <w:rtl w:val="true"/>
              </w:rPr>
              <w:t>:</w:t>
              <w:tab/>
            </w:r>
            <w:r>
              <w:rPr>
                <w:rStyle w:val="IndexLink"/>
              </w:rPr>
              <w:t>172</w:t>
            </w:r>
          </w:hyperlink>
        </w:p>
        <w:p>
          <w:pPr>
            <w:pStyle w:val="Contents4"/>
            <w:tabs>
              <w:tab w:val="clear" w:pos="8176"/>
              <w:tab w:val="right" w:pos="9026" w:leader="dot"/>
            </w:tabs>
            <w:rPr/>
          </w:pPr>
          <w:hyperlink w:anchor="__RefHeading___Toc1190695_1051229030">
            <w:r>
              <w:rPr>
                <w:webHidden/>
                <w:rStyle w:val="IndexLink"/>
                <w:rtl w:val="true"/>
              </w:rPr>
              <w:t xml:space="preserve">القسم الثلاثون </w:t>
            </w:r>
            <w:r>
              <w:rPr>
                <w:rStyle w:val="IndexLink"/>
                <w:rtl w:val="true"/>
              </w:rPr>
              <w:t>:</w:t>
              <w:tab/>
            </w:r>
            <w:r>
              <w:rPr>
                <w:rStyle w:val="IndexLink"/>
              </w:rPr>
              <w:t>174</w:t>
            </w:r>
          </w:hyperlink>
        </w:p>
        <w:p>
          <w:pPr>
            <w:pStyle w:val="Contents4"/>
            <w:tabs>
              <w:tab w:val="clear" w:pos="8176"/>
              <w:tab w:val="right" w:pos="9026" w:leader="dot"/>
            </w:tabs>
            <w:rPr/>
          </w:pPr>
          <w:hyperlink w:anchor="__RefHeading___Toc1190697_1051229030">
            <w:r>
              <w:rPr>
                <w:webHidden/>
                <w:rStyle w:val="IndexLink"/>
                <w:rtl w:val="true"/>
              </w:rPr>
              <w:t xml:space="preserve">القسم الحادي والثلاثون </w:t>
            </w:r>
            <w:r>
              <w:rPr>
                <w:rStyle w:val="IndexLink"/>
                <w:rtl w:val="true"/>
              </w:rPr>
              <w:t>:</w:t>
              <w:tab/>
            </w:r>
            <w:r>
              <w:rPr>
                <w:rStyle w:val="IndexLink"/>
              </w:rPr>
              <w:t>174</w:t>
            </w:r>
          </w:hyperlink>
        </w:p>
        <w:p>
          <w:pPr>
            <w:pStyle w:val="Contents5"/>
            <w:tabs>
              <w:tab w:val="clear" w:pos="7892"/>
              <w:tab w:val="right" w:pos="9026" w:leader="dot"/>
            </w:tabs>
            <w:rPr/>
          </w:pPr>
          <w:hyperlink w:anchor="__RefHeading___Toc1190699_1051229030">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190701_1051229030">
            <w:r>
              <w:rPr>
                <w:webHidden/>
                <w:rStyle w:val="IndexLink"/>
                <w:rtl w:val="true"/>
              </w:rPr>
              <w:t>المستند في الجواز</w:t>
            </w:r>
            <w:r>
              <w:rPr>
                <w:rStyle w:val="IndexLink"/>
                <w:rtl w:val="true"/>
              </w:rPr>
              <w:tab/>
            </w:r>
            <w:r>
              <w:rPr>
                <w:rStyle w:val="IndexLink"/>
              </w:rPr>
              <w:t>175</w:t>
            </w:r>
          </w:hyperlink>
        </w:p>
        <w:p>
          <w:pPr>
            <w:pStyle w:val="Contents4"/>
            <w:tabs>
              <w:tab w:val="clear" w:pos="8176"/>
              <w:tab w:val="right" w:pos="9026" w:leader="dot"/>
            </w:tabs>
            <w:rPr/>
          </w:pPr>
          <w:hyperlink w:anchor="__RefHeading___Toc1190703_1051229030">
            <w:r>
              <w:rPr>
                <w:webHidden/>
                <w:rStyle w:val="IndexLink"/>
                <w:rtl w:val="true"/>
              </w:rPr>
              <w:t xml:space="preserve">القسم الثاني والثلاثون </w:t>
            </w:r>
            <w:r>
              <w:rPr>
                <w:rStyle w:val="IndexLink"/>
                <w:rtl w:val="true"/>
              </w:rPr>
              <w:t>:</w:t>
              <w:tab/>
            </w:r>
            <w:r>
              <w:rPr>
                <w:rStyle w:val="IndexLink"/>
              </w:rPr>
              <w:t>178</w:t>
            </w:r>
          </w:hyperlink>
        </w:p>
        <w:p>
          <w:pPr>
            <w:pStyle w:val="Contents4"/>
            <w:tabs>
              <w:tab w:val="clear" w:pos="8176"/>
              <w:tab w:val="right" w:pos="9026" w:leader="dot"/>
            </w:tabs>
            <w:rPr/>
          </w:pPr>
          <w:hyperlink w:anchor="__RefHeading___Toc1190705_1051229030">
            <w:r>
              <w:rPr>
                <w:webHidden/>
                <w:rStyle w:val="IndexLink"/>
                <w:rtl w:val="true"/>
              </w:rPr>
              <w:t xml:space="preserve">القسم الثالث والثلاثون </w:t>
            </w:r>
            <w:r>
              <w:rPr>
                <w:rStyle w:val="IndexLink"/>
                <w:rtl w:val="true"/>
              </w:rPr>
              <w:t>:</w:t>
              <w:tab/>
            </w:r>
            <w:r>
              <w:rPr>
                <w:rStyle w:val="IndexLink"/>
              </w:rPr>
              <w:t>179</w:t>
            </w:r>
          </w:hyperlink>
        </w:p>
        <w:p>
          <w:pPr>
            <w:pStyle w:val="Contents4"/>
            <w:tabs>
              <w:tab w:val="clear" w:pos="8176"/>
              <w:tab w:val="right" w:pos="9026" w:leader="dot"/>
            </w:tabs>
            <w:rPr/>
          </w:pPr>
          <w:hyperlink w:anchor="__RefHeading___Toc1190707_1051229030">
            <w:r>
              <w:rPr>
                <w:webHidden/>
                <w:rStyle w:val="IndexLink"/>
                <w:rtl w:val="true"/>
              </w:rPr>
              <w:t xml:space="preserve">القسم الرابع والثلاثون </w:t>
            </w:r>
            <w:r>
              <w:rPr>
                <w:rStyle w:val="IndexLink"/>
                <w:rtl w:val="true"/>
              </w:rPr>
              <w:t>:</w:t>
              <w:tab/>
            </w:r>
            <w:r>
              <w:rPr>
                <w:rStyle w:val="IndexLink"/>
              </w:rPr>
              <w:t>184</w:t>
            </w:r>
          </w:hyperlink>
        </w:p>
        <w:p>
          <w:pPr>
            <w:pStyle w:val="Contents4"/>
            <w:tabs>
              <w:tab w:val="clear" w:pos="8176"/>
              <w:tab w:val="right" w:pos="9026" w:leader="dot"/>
            </w:tabs>
            <w:rPr/>
          </w:pPr>
          <w:hyperlink w:anchor="__RefHeading___Toc1190709_1051229030">
            <w:r>
              <w:rPr>
                <w:webHidden/>
                <w:rStyle w:val="IndexLink"/>
                <w:rtl w:val="true"/>
              </w:rPr>
              <w:t xml:space="preserve">القسم الخامس والثلاثون </w:t>
            </w:r>
            <w:r>
              <w:rPr>
                <w:rStyle w:val="IndexLink"/>
                <w:rtl w:val="true"/>
              </w:rPr>
              <w:t>:</w:t>
              <w:tab/>
            </w:r>
            <w:r>
              <w:rPr>
                <w:rStyle w:val="IndexLink"/>
              </w:rPr>
              <w:t>185</w:t>
            </w:r>
          </w:hyperlink>
        </w:p>
        <w:p>
          <w:pPr>
            <w:pStyle w:val="Contents4"/>
            <w:tabs>
              <w:tab w:val="clear" w:pos="8176"/>
              <w:tab w:val="right" w:pos="9026" w:leader="dot"/>
            </w:tabs>
            <w:rPr/>
          </w:pPr>
          <w:hyperlink w:anchor="__RefHeading___Toc1190711_1051229030">
            <w:r>
              <w:rPr>
                <w:webHidden/>
                <w:rStyle w:val="IndexLink"/>
                <w:rtl w:val="true"/>
              </w:rPr>
              <w:t xml:space="preserve">القسم السادس والثلاثون </w:t>
            </w:r>
            <w:r>
              <w:rPr>
                <w:rStyle w:val="IndexLink"/>
                <w:rtl w:val="true"/>
              </w:rPr>
              <w:t>:</w:t>
              <w:tab/>
            </w:r>
            <w:r>
              <w:rPr>
                <w:rStyle w:val="IndexLink"/>
              </w:rPr>
              <w:t>185</w:t>
            </w:r>
          </w:hyperlink>
        </w:p>
        <w:p>
          <w:pPr>
            <w:pStyle w:val="Contents4"/>
            <w:tabs>
              <w:tab w:val="clear" w:pos="8176"/>
              <w:tab w:val="right" w:pos="9026" w:leader="dot"/>
            </w:tabs>
            <w:rPr/>
          </w:pPr>
          <w:hyperlink w:anchor="__RefHeading___Toc1190713_1051229030">
            <w:r>
              <w:rPr>
                <w:webHidden/>
                <w:rStyle w:val="IndexLink"/>
                <w:rtl w:val="true"/>
              </w:rPr>
              <w:t xml:space="preserve">القسم السابع والثلاثون </w:t>
            </w:r>
            <w:r>
              <w:rPr>
                <w:rStyle w:val="IndexLink"/>
                <w:rtl w:val="true"/>
              </w:rPr>
              <w:t>:</w:t>
              <w:tab/>
            </w:r>
            <w:r>
              <w:rPr>
                <w:rStyle w:val="IndexLink"/>
              </w:rPr>
              <w:t>185</w:t>
            </w:r>
          </w:hyperlink>
        </w:p>
        <w:p>
          <w:pPr>
            <w:pStyle w:val="Contents4"/>
            <w:tabs>
              <w:tab w:val="clear" w:pos="8176"/>
              <w:tab w:val="right" w:pos="9026" w:leader="dot"/>
            </w:tabs>
            <w:rPr/>
          </w:pPr>
          <w:hyperlink w:anchor="__RefHeading___Toc1190715_1051229030">
            <w:r>
              <w:rPr>
                <w:webHidden/>
                <w:rStyle w:val="IndexLink"/>
                <w:rtl w:val="true"/>
              </w:rPr>
              <w:t xml:space="preserve">القسم الثامن والثلاثون </w:t>
            </w:r>
            <w:r>
              <w:rPr>
                <w:rStyle w:val="IndexLink"/>
                <w:rtl w:val="true"/>
              </w:rPr>
              <w:t>:</w:t>
              <w:tab/>
            </w:r>
            <w:r>
              <w:rPr>
                <w:rStyle w:val="IndexLink"/>
              </w:rPr>
              <w:t>186</w:t>
            </w:r>
          </w:hyperlink>
        </w:p>
        <w:p>
          <w:pPr>
            <w:pStyle w:val="Contents4"/>
            <w:tabs>
              <w:tab w:val="clear" w:pos="8176"/>
              <w:tab w:val="right" w:pos="9026" w:leader="dot"/>
            </w:tabs>
            <w:rPr/>
          </w:pPr>
          <w:hyperlink w:anchor="__RefHeading___Toc1190717_1051229030">
            <w:r>
              <w:rPr>
                <w:webHidden/>
                <w:rStyle w:val="IndexLink"/>
                <w:rtl w:val="true"/>
              </w:rPr>
              <w:t xml:space="preserve">القسم التاسع والثلاثون </w:t>
            </w:r>
            <w:r>
              <w:rPr>
                <w:rStyle w:val="IndexLink"/>
                <w:rtl w:val="true"/>
              </w:rPr>
              <w:t>:</w:t>
              <w:tab/>
            </w:r>
            <w:r>
              <w:rPr>
                <w:rStyle w:val="IndexLink"/>
              </w:rPr>
              <w:t>186</w:t>
            </w:r>
          </w:hyperlink>
        </w:p>
        <w:p>
          <w:pPr>
            <w:pStyle w:val="Contents4"/>
            <w:tabs>
              <w:tab w:val="clear" w:pos="8176"/>
              <w:tab w:val="right" w:pos="9026" w:leader="dot"/>
            </w:tabs>
            <w:rPr/>
          </w:pPr>
          <w:hyperlink w:anchor="__RefHeading___Toc1190719_1051229030">
            <w:r>
              <w:rPr>
                <w:webHidden/>
                <w:rStyle w:val="IndexLink"/>
                <w:rtl w:val="true"/>
              </w:rPr>
              <w:t xml:space="preserve">القسم الأربعون </w:t>
            </w:r>
            <w:r>
              <w:rPr>
                <w:rStyle w:val="IndexLink"/>
                <w:rtl w:val="true"/>
              </w:rPr>
              <w:t>:</w:t>
              <w:tab/>
            </w:r>
            <w:r>
              <w:rPr>
                <w:rStyle w:val="IndexLink"/>
              </w:rPr>
              <w:t>186</w:t>
            </w:r>
          </w:hyperlink>
        </w:p>
        <w:p>
          <w:pPr>
            <w:pStyle w:val="Contents4"/>
            <w:tabs>
              <w:tab w:val="clear" w:pos="8176"/>
              <w:tab w:val="right" w:pos="9026" w:leader="dot"/>
            </w:tabs>
            <w:rPr/>
          </w:pPr>
          <w:hyperlink w:anchor="__RefHeading___Toc1190721_1051229030">
            <w:r>
              <w:rPr>
                <w:webHidden/>
                <w:rStyle w:val="IndexLink"/>
                <w:rtl w:val="true"/>
              </w:rPr>
              <w:t xml:space="preserve">القسم الحادي والأربعون </w:t>
            </w:r>
            <w:r>
              <w:rPr>
                <w:rStyle w:val="IndexLink"/>
                <w:rtl w:val="true"/>
              </w:rPr>
              <w:t>:</w:t>
              <w:tab/>
            </w:r>
            <w:r>
              <w:rPr>
                <w:rStyle w:val="IndexLink"/>
              </w:rPr>
              <w:t>186</w:t>
            </w:r>
          </w:hyperlink>
        </w:p>
        <w:p>
          <w:pPr>
            <w:pStyle w:val="Contents4"/>
            <w:tabs>
              <w:tab w:val="clear" w:pos="8176"/>
              <w:tab w:val="right" w:pos="9026" w:leader="dot"/>
            </w:tabs>
            <w:rPr/>
          </w:pPr>
          <w:hyperlink w:anchor="__RefHeading___Toc1190723_1051229030">
            <w:r>
              <w:rPr>
                <w:webHidden/>
                <w:rStyle w:val="IndexLink"/>
                <w:rtl w:val="true"/>
              </w:rPr>
              <w:t xml:space="preserve">القسم الثاني والأربعون </w:t>
            </w:r>
            <w:r>
              <w:rPr>
                <w:rStyle w:val="IndexLink"/>
                <w:rtl w:val="true"/>
              </w:rPr>
              <w:t>:</w:t>
              <w:tab/>
            </w:r>
            <w:r>
              <w:rPr>
                <w:rStyle w:val="IndexLink"/>
              </w:rPr>
              <w:t>188</w:t>
            </w:r>
          </w:hyperlink>
        </w:p>
        <w:p>
          <w:pPr>
            <w:pStyle w:val="Contents4"/>
            <w:tabs>
              <w:tab w:val="clear" w:pos="8176"/>
              <w:tab w:val="right" w:pos="9026" w:leader="dot"/>
            </w:tabs>
            <w:rPr/>
          </w:pPr>
          <w:hyperlink w:anchor="__RefHeading___Toc1190725_1051229030">
            <w:r>
              <w:rPr>
                <w:webHidden/>
                <w:rStyle w:val="IndexLink"/>
                <w:rtl w:val="true"/>
              </w:rPr>
              <w:t xml:space="preserve">القسم الثالث والأربعون </w:t>
            </w:r>
            <w:r>
              <w:rPr>
                <w:rStyle w:val="IndexLink"/>
                <w:rtl w:val="true"/>
              </w:rPr>
              <w:t>:</w:t>
              <w:tab/>
            </w:r>
            <w:r>
              <w:rPr>
                <w:rStyle w:val="IndexLink"/>
              </w:rPr>
              <w:t>189</w:t>
            </w:r>
          </w:hyperlink>
        </w:p>
        <w:p>
          <w:pPr>
            <w:pStyle w:val="Contents4"/>
            <w:tabs>
              <w:tab w:val="clear" w:pos="8176"/>
              <w:tab w:val="right" w:pos="9026" w:leader="dot"/>
            </w:tabs>
            <w:rPr/>
          </w:pPr>
          <w:hyperlink w:anchor="__RefHeading___Toc1190727_1051229030">
            <w:r>
              <w:rPr>
                <w:webHidden/>
                <w:rStyle w:val="IndexLink"/>
                <w:rtl w:val="true"/>
              </w:rPr>
              <w:t xml:space="preserve">القسم الرابع والأربعون </w:t>
            </w:r>
            <w:r>
              <w:rPr>
                <w:rStyle w:val="IndexLink"/>
                <w:rtl w:val="true"/>
              </w:rPr>
              <w:t>:</w:t>
              <w:tab/>
            </w:r>
            <w:r>
              <w:rPr>
                <w:rStyle w:val="IndexLink"/>
              </w:rPr>
              <w:t>190</w:t>
            </w:r>
          </w:hyperlink>
        </w:p>
        <w:p>
          <w:pPr>
            <w:pStyle w:val="Contents4"/>
            <w:tabs>
              <w:tab w:val="clear" w:pos="8176"/>
              <w:tab w:val="right" w:pos="9026" w:leader="dot"/>
            </w:tabs>
            <w:rPr/>
          </w:pPr>
          <w:hyperlink w:anchor="__RefHeading___Toc1190729_1051229030">
            <w:r>
              <w:rPr>
                <w:webHidden/>
                <w:rStyle w:val="IndexLink"/>
                <w:rtl w:val="true"/>
              </w:rPr>
              <w:t xml:space="preserve">القسم الخامس والأربعون </w:t>
            </w:r>
            <w:r>
              <w:rPr>
                <w:rStyle w:val="IndexLink"/>
                <w:rtl w:val="true"/>
              </w:rPr>
              <w:t>:</w:t>
              <w:tab/>
            </w:r>
            <w:r>
              <w:rPr>
                <w:rStyle w:val="IndexLink"/>
              </w:rPr>
              <w:t>190</w:t>
            </w:r>
          </w:hyperlink>
        </w:p>
        <w:p>
          <w:pPr>
            <w:pStyle w:val="Contents4"/>
            <w:tabs>
              <w:tab w:val="clear" w:pos="8176"/>
              <w:tab w:val="right" w:pos="9026" w:leader="dot"/>
            </w:tabs>
            <w:rPr/>
          </w:pPr>
          <w:hyperlink w:anchor="__RefHeading___Toc1190731_1051229030">
            <w:r>
              <w:rPr>
                <w:webHidden/>
                <w:rStyle w:val="IndexLink"/>
                <w:rtl w:val="true"/>
              </w:rPr>
              <w:t xml:space="preserve">القسم السادس والأربعون </w:t>
            </w:r>
            <w:r>
              <w:rPr>
                <w:rStyle w:val="IndexLink"/>
                <w:rtl w:val="true"/>
              </w:rPr>
              <w:t>:</w:t>
              <w:tab/>
            </w:r>
            <w:r>
              <w:rPr>
                <w:rStyle w:val="IndexLink"/>
              </w:rPr>
              <w:t>190</w:t>
            </w:r>
          </w:hyperlink>
        </w:p>
        <w:p>
          <w:pPr>
            <w:pStyle w:val="Contents4"/>
            <w:tabs>
              <w:tab w:val="clear" w:pos="8176"/>
              <w:tab w:val="right" w:pos="9026" w:leader="dot"/>
            </w:tabs>
            <w:rPr/>
          </w:pPr>
          <w:hyperlink w:anchor="__RefHeading___Toc1190733_1051229030">
            <w:r>
              <w:rPr>
                <w:webHidden/>
                <w:rStyle w:val="IndexLink"/>
                <w:rtl w:val="true"/>
              </w:rPr>
              <w:t xml:space="preserve">القسم السابع والأربعون </w:t>
            </w:r>
            <w:r>
              <w:rPr>
                <w:rStyle w:val="IndexLink"/>
                <w:rtl w:val="true"/>
              </w:rPr>
              <w:t>:</w:t>
              <w:tab/>
            </w:r>
            <w:r>
              <w:rPr>
                <w:rStyle w:val="IndexLink"/>
              </w:rPr>
              <w:t>191</w:t>
            </w:r>
          </w:hyperlink>
        </w:p>
        <w:p>
          <w:pPr>
            <w:pStyle w:val="Contents5"/>
            <w:tabs>
              <w:tab w:val="clear" w:pos="7892"/>
              <w:tab w:val="right" w:pos="9026" w:leader="dot"/>
            </w:tabs>
            <w:rPr/>
          </w:pPr>
          <w:hyperlink w:anchor="__RefHeading___Toc1190735_105122903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90737_1051229030">
            <w:r>
              <w:rPr>
                <w:webHidden/>
                <w:rStyle w:val="IndexLink"/>
                <w:rtl w:val="true"/>
              </w:rPr>
              <w:t>المستند في المنع مع الجواب عنه</w:t>
            </w:r>
            <w:r>
              <w:rPr>
                <w:rStyle w:val="IndexLink"/>
                <w:rtl w:val="true"/>
              </w:rPr>
              <w:tab/>
            </w:r>
            <w:r>
              <w:rPr>
                <w:rStyle w:val="IndexLink"/>
              </w:rPr>
              <w:t>192</w:t>
            </w:r>
          </w:hyperlink>
        </w:p>
        <w:p>
          <w:pPr>
            <w:pStyle w:val="Contents5"/>
            <w:tabs>
              <w:tab w:val="clear" w:pos="7892"/>
              <w:tab w:val="right" w:pos="9026" w:leader="dot"/>
            </w:tabs>
            <w:rPr/>
          </w:pPr>
          <w:hyperlink w:anchor="__RefHeading___Toc1190739_1051229030">
            <w:r>
              <w:rPr>
                <w:webHidden/>
                <w:rStyle w:val="IndexLink"/>
                <w:rtl w:val="true"/>
              </w:rPr>
              <w:t>مختار المؤلّف قدس‌سره و دليله</w:t>
            </w:r>
            <w:r>
              <w:rPr>
                <w:rStyle w:val="IndexLink"/>
                <w:rtl w:val="true"/>
              </w:rPr>
              <w:tab/>
            </w:r>
            <w:r>
              <w:rPr>
                <w:rStyle w:val="IndexLink"/>
              </w:rPr>
              <w:t>192</w:t>
            </w:r>
          </w:hyperlink>
        </w:p>
        <w:p>
          <w:pPr>
            <w:pStyle w:val="Contents4"/>
            <w:tabs>
              <w:tab w:val="clear" w:pos="8176"/>
              <w:tab w:val="right" w:pos="9026" w:leader="dot"/>
            </w:tabs>
            <w:rPr/>
          </w:pPr>
          <w:hyperlink w:anchor="__RefHeading___Toc1190741_1051229030">
            <w:r>
              <w:rPr>
                <w:webHidden/>
                <w:rStyle w:val="IndexLink"/>
                <w:rtl w:val="true"/>
              </w:rPr>
              <w:t xml:space="preserve">القسم الثامن والأربعون </w:t>
            </w:r>
            <w:r>
              <w:rPr>
                <w:rStyle w:val="IndexLink"/>
                <w:rtl w:val="true"/>
              </w:rPr>
              <w:t>:</w:t>
              <w:tab/>
            </w:r>
            <w:r>
              <w:rPr>
                <w:rStyle w:val="IndexLink"/>
              </w:rPr>
              <w:t>192</w:t>
            </w:r>
          </w:hyperlink>
        </w:p>
        <w:p>
          <w:pPr>
            <w:pStyle w:val="Contents5"/>
            <w:tabs>
              <w:tab w:val="clear" w:pos="7892"/>
              <w:tab w:val="right" w:pos="9026" w:leader="dot"/>
            </w:tabs>
            <w:rPr/>
          </w:pPr>
          <w:hyperlink w:anchor="__RefHeading___Toc1190743_105122903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90745_1051229030">
            <w:r>
              <w:rPr>
                <w:webHidden/>
                <w:rStyle w:val="IndexLink"/>
                <w:rtl w:val="true"/>
              </w:rPr>
              <w:t>المستند في الجواز</w:t>
            </w:r>
            <w:r>
              <w:rPr>
                <w:rStyle w:val="IndexLink"/>
                <w:rtl w:val="true"/>
              </w:rPr>
              <w:tab/>
            </w:r>
            <w:r>
              <w:rPr>
                <w:rStyle w:val="IndexLink"/>
              </w:rPr>
              <w:t>193</w:t>
            </w:r>
          </w:hyperlink>
        </w:p>
        <w:p>
          <w:pPr>
            <w:pStyle w:val="Contents5"/>
            <w:tabs>
              <w:tab w:val="clear" w:pos="7892"/>
              <w:tab w:val="right" w:pos="9026" w:leader="dot"/>
            </w:tabs>
            <w:rPr/>
          </w:pPr>
          <w:hyperlink w:anchor="__RefHeading___Toc1190747_1051229030">
            <w:r>
              <w:rPr>
                <w:webHidden/>
                <w:rStyle w:val="IndexLink"/>
                <w:rtl w:val="true"/>
              </w:rPr>
              <w:t>المستند في عدم الجواز مع الجواب عنه</w:t>
            </w:r>
            <w:r>
              <w:rPr>
                <w:rStyle w:val="IndexLink"/>
                <w:rtl w:val="true"/>
              </w:rPr>
              <w:tab/>
            </w:r>
            <w:r>
              <w:rPr>
                <w:rStyle w:val="IndexLink"/>
              </w:rPr>
              <w:t>193</w:t>
            </w:r>
          </w:hyperlink>
        </w:p>
        <w:p>
          <w:pPr>
            <w:pStyle w:val="Contents5"/>
            <w:tabs>
              <w:tab w:val="clear" w:pos="7892"/>
              <w:tab w:val="right" w:pos="9026" w:leader="dot"/>
            </w:tabs>
            <w:rPr/>
          </w:pPr>
          <w:hyperlink w:anchor="__RefHeading___Toc1190749_1051229030">
            <w:r>
              <w:rPr>
                <w:webHidden/>
                <w:rStyle w:val="IndexLink"/>
                <w:rtl w:val="true"/>
              </w:rPr>
              <w:t>مختار المؤلّف قدس‌سره و دليله</w:t>
            </w:r>
            <w:r>
              <w:rPr>
                <w:rStyle w:val="IndexLink"/>
                <w:rtl w:val="true"/>
              </w:rPr>
              <w:tab/>
            </w:r>
            <w:r>
              <w:rPr>
                <w:rStyle w:val="IndexLink"/>
              </w:rPr>
              <w:t>194</w:t>
            </w:r>
          </w:hyperlink>
        </w:p>
        <w:p>
          <w:pPr>
            <w:pStyle w:val="Contents4"/>
            <w:tabs>
              <w:tab w:val="clear" w:pos="8176"/>
              <w:tab w:val="right" w:pos="9026" w:leader="dot"/>
            </w:tabs>
            <w:rPr/>
          </w:pPr>
          <w:hyperlink w:anchor="__RefHeading___Toc1190751_1051229030">
            <w:r>
              <w:rPr>
                <w:webHidden/>
                <w:rStyle w:val="IndexLink"/>
                <w:rtl w:val="true"/>
              </w:rPr>
              <w:t xml:space="preserve">القسم التاسع والأربعون </w:t>
            </w:r>
            <w:r>
              <w:rPr>
                <w:rStyle w:val="IndexLink"/>
                <w:rtl w:val="true"/>
              </w:rPr>
              <w:t>:</w:t>
              <w:tab/>
            </w:r>
            <w:r>
              <w:rPr>
                <w:rStyle w:val="IndexLink"/>
              </w:rPr>
              <w:t>195</w:t>
            </w:r>
          </w:hyperlink>
        </w:p>
        <w:p>
          <w:pPr>
            <w:pStyle w:val="Contents4"/>
            <w:tabs>
              <w:tab w:val="clear" w:pos="8176"/>
              <w:tab w:val="right" w:pos="9026" w:leader="dot"/>
            </w:tabs>
            <w:rPr/>
          </w:pPr>
          <w:hyperlink w:anchor="__RefHeading___Toc1190753_1051229030">
            <w:r>
              <w:rPr>
                <w:webHidden/>
                <w:rStyle w:val="IndexLink"/>
                <w:rtl w:val="true"/>
              </w:rPr>
              <w:t xml:space="preserve">القسم الخمسون </w:t>
            </w:r>
            <w:r>
              <w:rPr>
                <w:rStyle w:val="IndexLink"/>
                <w:rtl w:val="true"/>
              </w:rPr>
              <w:t>:</w:t>
              <w:tab/>
            </w:r>
            <w:r>
              <w:rPr>
                <w:rStyle w:val="IndexLink"/>
              </w:rPr>
              <w:t>195</w:t>
            </w:r>
          </w:hyperlink>
        </w:p>
        <w:p>
          <w:pPr>
            <w:pStyle w:val="Contents5"/>
            <w:tabs>
              <w:tab w:val="clear" w:pos="7892"/>
              <w:tab w:val="right" w:pos="9026" w:leader="dot"/>
            </w:tabs>
            <w:rPr/>
          </w:pPr>
          <w:hyperlink w:anchor="__RefHeading___Toc1190755_105122903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90757_1051229030">
            <w:r>
              <w:rPr>
                <w:webHidden/>
                <w:rStyle w:val="IndexLink"/>
                <w:rtl w:val="true"/>
              </w:rPr>
              <w:t>الكلام فيما إذا كان الجلد في يد المسلم المستحلّ مع جميع الاحتمالات المذكورة</w:t>
            </w:r>
            <w:r>
              <w:rPr>
                <w:rStyle w:val="IndexLink"/>
                <w:rtl w:val="true"/>
              </w:rPr>
              <w:tab/>
            </w:r>
            <w:r>
              <w:rPr>
                <w:rStyle w:val="IndexLink"/>
              </w:rPr>
              <w:t>195</w:t>
            </w:r>
          </w:hyperlink>
        </w:p>
        <w:p>
          <w:pPr>
            <w:pStyle w:val="Contents6"/>
            <w:tabs>
              <w:tab w:val="clear" w:pos="7609"/>
              <w:tab w:val="right" w:pos="9026" w:leader="dot"/>
            </w:tabs>
            <w:rPr/>
          </w:pPr>
          <w:hyperlink w:anchor="__RefHeading___Toc1190759_105122903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190761_1051229030">
            <w:r>
              <w:rPr>
                <w:webHidden/>
                <w:rStyle w:val="IndexLink"/>
                <w:rtl w:val="true"/>
              </w:rPr>
              <w:t>مستند المانعين</w:t>
            </w:r>
            <w:r>
              <w:rPr>
                <w:rStyle w:val="IndexLink"/>
                <w:rtl w:val="true"/>
              </w:rPr>
              <w:tab/>
            </w:r>
            <w:r>
              <w:rPr>
                <w:rStyle w:val="IndexLink"/>
              </w:rPr>
              <w:t>203</w:t>
            </w:r>
          </w:hyperlink>
        </w:p>
        <w:p>
          <w:pPr>
            <w:pStyle w:val="Contents6"/>
            <w:tabs>
              <w:tab w:val="clear" w:pos="7609"/>
              <w:tab w:val="right" w:pos="9026" w:leader="dot"/>
            </w:tabs>
            <w:rPr/>
          </w:pPr>
          <w:hyperlink w:anchor="__RefHeading___Toc1190763_1051229030">
            <w:r>
              <w:rPr>
                <w:webHidden/>
                <w:rStyle w:val="IndexLink"/>
                <w:rtl w:val="true"/>
              </w:rPr>
              <w:t>الجواب عن مستند المانعين</w:t>
            </w:r>
            <w:r>
              <w:rPr>
                <w:rStyle w:val="IndexLink"/>
                <w:rtl w:val="true"/>
              </w:rPr>
              <w:tab/>
            </w:r>
            <w:r>
              <w:rPr>
                <w:rStyle w:val="IndexLink"/>
              </w:rPr>
              <w:t>204</w:t>
            </w:r>
          </w:hyperlink>
        </w:p>
        <w:p>
          <w:pPr>
            <w:pStyle w:val="Contents6"/>
            <w:tabs>
              <w:tab w:val="clear" w:pos="7609"/>
              <w:tab w:val="right" w:pos="9026" w:leader="dot"/>
            </w:tabs>
            <w:rPr/>
          </w:pPr>
          <w:hyperlink w:anchor="__RefHeading___Toc1190765_1051229030">
            <w:r>
              <w:rPr>
                <w:webHidden/>
                <w:rStyle w:val="IndexLink"/>
                <w:rtl w:val="true"/>
              </w:rPr>
              <w:t>مختار المؤلّف قدس‌سره و دليله</w:t>
            </w:r>
            <w:r>
              <w:rPr>
                <w:rStyle w:val="IndexLink"/>
                <w:rtl w:val="true"/>
              </w:rPr>
              <w:tab/>
            </w:r>
            <w:r>
              <w:rPr>
                <w:rStyle w:val="IndexLink"/>
              </w:rPr>
              <w:t>206</w:t>
            </w:r>
          </w:hyperlink>
        </w:p>
        <w:p>
          <w:pPr>
            <w:pStyle w:val="Contents4"/>
            <w:tabs>
              <w:tab w:val="clear" w:pos="8176"/>
              <w:tab w:val="right" w:pos="9026" w:leader="dot"/>
            </w:tabs>
            <w:rPr/>
          </w:pPr>
          <w:hyperlink w:anchor="__RefHeading___Toc1190767_1051229030">
            <w:r>
              <w:rPr>
                <w:webHidden/>
                <w:rStyle w:val="IndexLink"/>
                <w:rtl w:val="true"/>
              </w:rPr>
              <w:t xml:space="preserve">القسم الحادي والخمسون </w:t>
            </w:r>
            <w:r>
              <w:rPr>
                <w:rStyle w:val="IndexLink"/>
                <w:rtl w:val="true"/>
              </w:rPr>
              <w:t>:</w:t>
              <w:tab/>
            </w:r>
            <w:r>
              <w:rPr>
                <w:rStyle w:val="IndexLink"/>
              </w:rPr>
              <w:t>208</w:t>
            </w:r>
          </w:hyperlink>
        </w:p>
        <w:p>
          <w:pPr>
            <w:pStyle w:val="Contents5"/>
            <w:tabs>
              <w:tab w:val="clear" w:pos="7892"/>
              <w:tab w:val="right" w:pos="9026" w:leader="dot"/>
            </w:tabs>
            <w:rPr/>
          </w:pPr>
          <w:hyperlink w:anchor="__RefHeading___Toc1190769_105122903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90771_1051229030">
            <w:r>
              <w:rPr>
                <w:webHidden/>
                <w:rStyle w:val="IndexLink"/>
                <w:rtl w:val="true"/>
              </w:rPr>
              <w:t>مستند المانعين</w:t>
            </w:r>
            <w:r>
              <w:rPr>
                <w:rStyle w:val="IndexLink"/>
                <w:rtl w:val="true"/>
              </w:rPr>
              <w:tab/>
            </w:r>
            <w:r>
              <w:rPr>
                <w:rStyle w:val="IndexLink"/>
              </w:rPr>
              <w:t>210</w:t>
            </w:r>
          </w:hyperlink>
        </w:p>
        <w:p>
          <w:pPr>
            <w:pStyle w:val="Contents5"/>
            <w:tabs>
              <w:tab w:val="clear" w:pos="7892"/>
              <w:tab w:val="right" w:pos="9026" w:leader="dot"/>
            </w:tabs>
            <w:rPr/>
          </w:pPr>
          <w:hyperlink w:anchor="__RefHeading___Toc1190773_1051229030">
            <w:r>
              <w:rPr>
                <w:webHidden/>
                <w:rStyle w:val="IndexLink"/>
                <w:rtl w:val="true"/>
              </w:rPr>
              <w:t>مستند المجوّزين</w:t>
            </w:r>
            <w:r>
              <w:rPr>
                <w:rStyle w:val="IndexLink"/>
                <w:rtl w:val="true"/>
              </w:rPr>
              <w:tab/>
            </w:r>
            <w:r>
              <w:rPr>
                <w:rStyle w:val="IndexLink"/>
              </w:rPr>
              <w:t>211</w:t>
            </w:r>
          </w:hyperlink>
        </w:p>
        <w:p>
          <w:pPr>
            <w:pStyle w:val="Contents5"/>
            <w:tabs>
              <w:tab w:val="clear" w:pos="7892"/>
              <w:tab w:val="right" w:pos="9026" w:leader="dot"/>
            </w:tabs>
            <w:rPr/>
          </w:pPr>
          <w:hyperlink w:anchor="__RefHeading___Toc1190775_1051229030">
            <w:r>
              <w:rPr>
                <w:webHidden/>
                <w:rStyle w:val="IndexLink"/>
                <w:rtl w:val="true"/>
              </w:rPr>
              <w:t>وجه دلالة الحديث</w:t>
            </w:r>
            <w:r>
              <w:rPr>
                <w:rStyle w:val="IndexLink"/>
                <w:rtl w:val="true"/>
              </w:rPr>
              <w:tab/>
            </w:r>
            <w:r>
              <w:rPr>
                <w:rStyle w:val="IndexLink"/>
              </w:rPr>
              <w:t>214</w:t>
            </w:r>
          </w:hyperlink>
        </w:p>
        <w:p>
          <w:pPr>
            <w:pStyle w:val="Contents5"/>
            <w:tabs>
              <w:tab w:val="clear" w:pos="7892"/>
              <w:tab w:val="right" w:pos="9026" w:leader="dot"/>
            </w:tabs>
            <w:rPr/>
          </w:pPr>
          <w:hyperlink w:anchor="__RefHeading___Toc1190777_1051229030">
            <w:r>
              <w:rPr>
                <w:webHidden/>
                <w:rStyle w:val="IndexLink"/>
                <w:rtl w:val="true"/>
              </w:rPr>
              <w:t>المتحصّل ممّا ذكر</w:t>
            </w:r>
            <w:r>
              <w:rPr>
                <w:rStyle w:val="IndexLink"/>
                <w:rtl w:val="true"/>
              </w:rPr>
              <w:tab/>
            </w:r>
            <w:r>
              <w:rPr>
                <w:rStyle w:val="IndexLink"/>
              </w:rPr>
              <w:t>217</w:t>
            </w:r>
          </w:hyperlink>
        </w:p>
        <w:p>
          <w:pPr>
            <w:pStyle w:val="Contents5"/>
            <w:tabs>
              <w:tab w:val="clear" w:pos="7892"/>
              <w:tab w:val="right" w:pos="9026" w:leader="dot"/>
            </w:tabs>
            <w:rPr/>
          </w:pPr>
          <w:hyperlink w:anchor="__RefHeading___Toc1190779_1051229030">
            <w:r>
              <w:rPr>
                <w:webHidden/>
                <w:rStyle w:val="IndexLink"/>
                <w:rtl w:val="true"/>
              </w:rPr>
              <w:t>الجواب عن مستند المنع</w:t>
            </w:r>
            <w:r>
              <w:rPr>
                <w:rStyle w:val="IndexLink"/>
                <w:rtl w:val="true"/>
              </w:rPr>
              <w:tab/>
            </w:r>
            <w:r>
              <w:rPr>
                <w:rStyle w:val="IndexLink"/>
              </w:rPr>
              <w:t>218</w:t>
            </w:r>
          </w:hyperlink>
        </w:p>
        <w:p>
          <w:pPr>
            <w:pStyle w:val="Contents4"/>
            <w:tabs>
              <w:tab w:val="clear" w:pos="8176"/>
              <w:tab w:val="right" w:pos="9026" w:leader="dot"/>
            </w:tabs>
            <w:rPr/>
          </w:pPr>
          <w:hyperlink w:anchor="__RefHeading___Toc1190781_1051229030">
            <w:r>
              <w:rPr>
                <w:webHidden/>
                <w:rStyle w:val="IndexLink"/>
                <w:rtl w:val="true"/>
              </w:rPr>
              <w:t xml:space="preserve">القسم الثاني والخمسون </w:t>
            </w:r>
            <w:r>
              <w:rPr>
                <w:rStyle w:val="IndexLink"/>
                <w:rtl w:val="true"/>
              </w:rPr>
              <w:t>:</w:t>
              <w:tab/>
            </w:r>
            <w:r>
              <w:rPr>
                <w:rStyle w:val="IndexLink"/>
              </w:rPr>
              <w:t>219</w:t>
            </w:r>
          </w:hyperlink>
        </w:p>
        <w:p>
          <w:pPr>
            <w:pStyle w:val="Contents5"/>
            <w:tabs>
              <w:tab w:val="clear" w:pos="7892"/>
              <w:tab w:val="right" w:pos="9026" w:leader="dot"/>
            </w:tabs>
            <w:rPr/>
          </w:pPr>
          <w:hyperlink w:anchor="__RefHeading___Toc1190783_105122903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90785_1051229030">
            <w:r>
              <w:rPr>
                <w:webHidden/>
                <w:rStyle w:val="IndexLink"/>
                <w:rtl w:val="true"/>
              </w:rPr>
              <w:t>مختار المؤلّف قدس‌سره و دليله</w:t>
            </w:r>
            <w:r>
              <w:rPr>
                <w:rStyle w:val="IndexLink"/>
                <w:rtl w:val="true"/>
              </w:rPr>
              <w:tab/>
            </w:r>
            <w:r>
              <w:rPr>
                <w:rStyle w:val="IndexLink"/>
              </w:rPr>
              <w:t>220</w:t>
            </w:r>
          </w:hyperlink>
        </w:p>
        <w:p>
          <w:pPr>
            <w:pStyle w:val="Contents4"/>
            <w:tabs>
              <w:tab w:val="clear" w:pos="8176"/>
              <w:tab w:val="right" w:pos="9026" w:leader="dot"/>
            </w:tabs>
            <w:rPr/>
          </w:pPr>
          <w:hyperlink w:anchor="__RefHeading___Toc1190787_1051229030">
            <w:r>
              <w:rPr>
                <w:webHidden/>
                <w:rStyle w:val="IndexLink"/>
                <w:rtl w:val="true"/>
              </w:rPr>
              <w:t xml:space="preserve">القسم الثالث والخمسون </w:t>
            </w:r>
            <w:r>
              <w:rPr>
                <w:rStyle w:val="IndexLink"/>
                <w:rtl w:val="true"/>
              </w:rPr>
              <w:t>:</w:t>
              <w:tab/>
            </w:r>
            <w:r>
              <w:rPr>
                <w:rStyle w:val="IndexLink"/>
              </w:rPr>
              <w:t>224</w:t>
            </w:r>
          </w:hyperlink>
        </w:p>
        <w:p>
          <w:pPr>
            <w:pStyle w:val="Contents5"/>
            <w:tabs>
              <w:tab w:val="clear" w:pos="7892"/>
              <w:tab w:val="right" w:pos="9026" w:leader="dot"/>
            </w:tabs>
            <w:rPr/>
          </w:pPr>
          <w:hyperlink w:anchor="__RefHeading___Toc1190789_105122903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90791_1051229030">
            <w:r>
              <w:rPr>
                <w:webHidden/>
                <w:rStyle w:val="IndexLink"/>
                <w:rtl w:val="true"/>
              </w:rPr>
              <w:t>مختار المؤلّف قدس‌سره و دليله</w:t>
            </w:r>
            <w:r>
              <w:rPr>
                <w:rStyle w:val="IndexLink"/>
                <w:rtl w:val="true"/>
              </w:rPr>
              <w:tab/>
            </w:r>
            <w:r>
              <w:rPr>
                <w:rStyle w:val="IndexLink"/>
              </w:rPr>
              <w:t>228</w:t>
            </w:r>
          </w:hyperlink>
        </w:p>
        <w:p>
          <w:pPr>
            <w:pStyle w:val="Contents5"/>
            <w:tabs>
              <w:tab w:val="clear" w:pos="7892"/>
              <w:tab w:val="right" w:pos="9026" w:leader="dot"/>
            </w:tabs>
            <w:rPr/>
          </w:pPr>
          <w:hyperlink w:anchor="__RefHeading___Toc1190793_1051229030">
            <w:r>
              <w:rPr>
                <w:webHidden/>
                <w:rStyle w:val="IndexLink"/>
                <w:rtl w:val="true"/>
              </w:rPr>
              <w:t>مستند المانعين مع الجواب عنه</w:t>
            </w:r>
            <w:r>
              <w:rPr>
                <w:rStyle w:val="IndexLink"/>
                <w:rtl w:val="true"/>
              </w:rPr>
              <w:tab/>
            </w:r>
            <w:r>
              <w:rPr>
                <w:rStyle w:val="IndexLink"/>
              </w:rPr>
              <w:t>235</w:t>
            </w:r>
          </w:hyperlink>
        </w:p>
        <w:p>
          <w:pPr>
            <w:pStyle w:val="Contents4"/>
            <w:tabs>
              <w:tab w:val="clear" w:pos="8176"/>
              <w:tab w:val="right" w:pos="9026" w:leader="dot"/>
            </w:tabs>
            <w:rPr/>
          </w:pPr>
          <w:hyperlink w:anchor="__RefHeading___Toc1190795_1051229030">
            <w:r>
              <w:rPr>
                <w:webHidden/>
                <w:rStyle w:val="IndexLink"/>
                <w:rtl w:val="true"/>
              </w:rPr>
              <w:t xml:space="preserve">القسم الرابع والخمسون </w:t>
            </w:r>
            <w:r>
              <w:rPr>
                <w:rStyle w:val="IndexLink"/>
                <w:rtl w:val="true"/>
              </w:rPr>
              <w:t>:</w:t>
              <w:tab/>
            </w:r>
            <w:r>
              <w:rPr>
                <w:rStyle w:val="IndexLink"/>
              </w:rPr>
              <w:t>236</w:t>
            </w:r>
          </w:hyperlink>
        </w:p>
        <w:p>
          <w:pPr>
            <w:pStyle w:val="Contents5"/>
            <w:tabs>
              <w:tab w:val="clear" w:pos="7892"/>
              <w:tab w:val="right" w:pos="9026" w:leader="dot"/>
            </w:tabs>
            <w:rPr/>
          </w:pPr>
          <w:hyperlink w:anchor="__RefHeading___Toc1190797_105122903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90799_1051229030">
            <w:r>
              <w:rPr>
                <w:webHidden/>
                <w:rStyle w:val="IndexLink"/>
                <w:rtl w:val="true"/>
              </w:rPr>
              <w:t>مستند المانعين مع الجواب عنه</w:t>
            </w:r>
            <w:r>
              <w:rPr>
                <w:rStyle w:val="IndexLink"/>
                <w:rtl w:val="true"/>
              </w:rPr>
              <w:tab/>
            </w:r>
            <w:r>
              <w:rPr>
                <w:rStyle w:val="IndexLink"/>
              </w:rPr>
              <w:t>237</w:t>
            </w:r>
          </w:hyperlink>
        </w:p>
        <w:p>
          <w:pPr>
            <w:pStyle w:val="Contents4"/>
            <w:tabs>
              <w:tab w:val="clear" w:pos="8176"/>
              <w:tab w:val="right" w:pos="9026" w:leader="dot"/>
            </w:tabs>
            <w:rPr/>
          </w:pPr>
          <w:hyperlink w:anchor="__RefHeading___Toc1190801_1051229030">
            <w:r>
              <w:rPr>
                <w:webHidden/>
                <w:rStyle w:val="IndexLink"/>
                <w:rtl w:val="true"/>
              </w:rPr>
              <w:t xml:space="preserve">القسم الخامس والخمسون </w:t>
            </w:r>
            <w:r>
              <w:rPr>
                <w:rStyle w:val="IndexLink"/>
                <w:rtl w:val="true"/>
              </w:rPr>
              <w:t>:</w:t>
              <w:tab/>
            </w:r>
            <w:r>
              <w:rPr>
                <w:rStyle w:val="IndexLink"/>
              </w:rPr>
              <w:t>238</w:t>
            </w:r>
          </w:hyperlink>
        </w:p>
        <w:p>
          <w:pPr>
            <w:pStyle w:val="Contents5"/>
            <w:tabs>
              <w:tab w:val="clear" w:pos="7892"/>
              <w:tab w:val="right" w:pos="9026" w:leader="dot"/>
            </w:tabs>
            <w:rPr/>
          </w:pPr>
          <w:hyperlink w:anchor="__RefHeading___Toc1190803_105122903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90805_1051229030">
            <w:r>
              <w:rPr>
                <w:webHidden/>
                <w:rStyle w:val="IndexLink"/>
                <w:rtl w:val="true"/>
              </w:rPr>
              <w:t>المستند في لزوم الاجتناب</w:t>
            </w:r>
            <w:r>
              <w:rPr>
                <w:rStyle w:val="IndexLink"/>
                <w:rtl w:val="true"/>
              </w:rPr>
              <w:tab/>
            </w:r>
            <w:r>
              <w:rPr>
                <w:rStyle w:val="IndexLink"/>
              </w:rPr>
              <w:t>239</w:t>
            </w:r>
          </w:hyperlink>
        </w:p>
        <w:p>
          <w:pPr>
            <w:pStyle w:val="Contents5"/>
            <w:tabs>
              <w:tab w:val="clear" w:pos="7892"/>
              <w:tab w:val="right" w:pos="9026" w:leader="dot"/>
            </w:tabs>
            <w:rPr/>
          </w:pPr>
          <w:hyperlink w:anchor="__RefHeading___Toc1190807_1051229030">
            <w:r>
              <w:rPr>
                <w:webHidden/>
                <w:rStyle w:val="IndexLink"/>
                <w:rtl w:val="true"/>
              </w:rPr>
              <w:t>مختار المؤلّف قدس‌سره و دليله</w:t>
            </w:r>
            <w:r>
              <w:rPr>
                <w:rStyle w:val="IndexLink"/>
                <w:rtl w:val="true"/>
              </w:rPr>
              <w:tab/>
            </w:r>
            <w:r>
              <w:rPr>
                <w:rStyle w:val="IndexLink"/>
              </w:rPr>
              <w:t>240</w:t>
            </w:r>
          </w:hyperlink>
        </w:p>
        <w:p>
          <w:pPr>
            <w:pStyle w:val="Contents4"/>
            <w:tabs>
              <w:tab w:val="clear" w:pos="8176"/>
              <w:tab w:val="right" w:pos="9026" w:leader="dot"/>
            </w:tabs>
            <w:rPr/>
          </w:pPr>
          <w:hyperlink w:anchor="__RefHeading___Toc1190809_1051229030">
            <w:r>
              <w:rPr>
                <w:webHidden/>
                <w:rStyle w:val="IndexLink"/>
                <w:rtl w:val="true"/>
              </w:rPr>
              <w:t xml:space="preserve">القسم السادس والخمسون </w:t>
            </w:r>
            <w:r>
              <w:rPr>
                <w:rStyle w:val="IndexLink"/>
                <w:rtl w:val="true"/>
              </w:rPr>
              <w:t>:</w:t>
              <w:tab/>
            </w:r>
            <w:r>
              <w:rPr>
                <w:rStyle w:val="IndexLink"/>
              </w:rPr>
              <w:t>241</w:t>
            </w:r>
          </w:hyperlink>
        </w:p>
        <w:p>
          <w:pPr>
            <w:pStyle w:val="Contents5"/>
            <w:tabs>
              <w:tab w:val="clear" w:pos="7892"/>
              <w:tab w:val="right" w:pos="9026" w:leader="dot"/>
            </w:tabs>
            <w:rPr/>
          </w:pPr>
          <w:hyperlink w:anchor="__RefHeading___Toc1190811_105122903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90813_1051229030">
            <w:r>
              <w:rPr>
                <w:webHidden/>
                <w:rStyle w:val="IndexLink"/>
                <w:rtl w:val="true"/>
              </w:rPr>
              <w:t>مستند المجوّزين</w:t>
            </w:r>
            <w:r>
              <w:rPr>
                <w:rStyle w:val="IndexLink"/>
                <w:rtl w:val="true"/>
              </w:rPr>
              <w:tab/>
            </w:r>
            <w:r>
              <w:rPr>
                <w:rStyle w:val="IndexLink"/>
              </w:rPr>
              <w:t>242</w:t>
            </w:r>
          </w:hyperlink>
        </w:p>
        <w:p>
          <w:pPr>
            <w:pStyle w:val="Contents2"/>
            <w:tabs>
              <w:tab w:val="clear" w:pos="8743"/>
              <w:tab w:val="right" w:pos="9026" w:leader="dot"/>
            </w:tabs>
            <w:rPr/>
          </w:pPr>
          <w:hyperlink w:anchor="__RefHeading___Toc1190815_1051229030">
            <w:r>
              <w:rPr>
                <w:webHidden/>
                <w:rStyle w:val="IndexLink"/>
                <w:rtl w:val="true"/>
              </w:rPr>
              <w:t>فهرس مصادر التحقيق</w:t>
            </w:r>
            <w:r>
              <w:rPr>
                <w:rStyle w:val="IndexLink"/>
                <w:rtl w:val="true"/>
              </w:rPr>
              <w:tab/>
            </w:r>
            <w:r>
              <w:rPr>
                <w:rStyle w:val="IndexLink"/>
              </w:rPr>
              <w:t>245</w:t>
            </w:r>
          </w:hyperlink>
        </w:p>
        <w:p>
          <w:pPr>
            <w:pStyle w:val="Contents2"/>
            <w:tabs>
              <w:tab w:val="clear" w:pos="8743"/>
              <w:tab w:val="right" w:pos="9026" w:leader="dot"/>
            </w:tabs>
            <w:rPr/>
          </w:pPr>
          <w:hyperlink w:anchor="__RefHeading___Toc1190817_1051229030">
            <w:r>
              <w:rPr>
                <w:webHidden/>
                <w:rStyle w:val="IndexLink"/>
                <w:rtl w:val="true"/>
              </w:rPr>
              <w:t>فهرس المحتويات</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0_54293"/>
      <w:bookmarkStart w:id="1" w:name="pg7350_54293"/>
      <w:bookmarkEnd w:id="1"/>
    </w:p>
    <w:p>
      <w:pPr>
        <w:pStyle w:val="Heading2"/>
        <w:numPr>
          <w:ilvl w:val="1"/>
          <w:numId w:val="1"/>
        </w:numPr>
        <w:rPr/>
      </w:pPr>
      <w:bookmarkStart w:id="2" w:name="pg7350_54293"/>
      <w:bookmarkStart w:id="3" w:name="__RefHeading___Toc1190453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ascii="Amiri" w:hAnsi="Amiri" w:eastAsia="Amiri" w:cs="Amiri"/>
          <w:color w:val="111111"/>
          <w:sz w:val="28"/>
          <w:sz w:val="28"/>
          <w:szCs w:val="28"/>
          <w:rtl w:val="true"/>
          <w:lang w:bidi="ar-SA"/>
        </w:rPr>
        <w:t xml:space="preserve">تأليف العلاّمة المحقّق و الفقيه المدقّق الحاجّ السيّد محمّد باقر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بحجّة الإسلام على الإطلاق</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الرضا الشفتيّ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0455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ascii="Amiri" w:hAnsi="Amiri" w:eastAsia="Amiri" w:cs="Amiri"/>
          <w:color w:val="111111"/>
          <w:sz w:val="28"/>
          <w:sz w:val="28"/>
          <w:szCs w:val="28"/>
          <w:rtl w:val="true"/>
          <w:lang w:bidi="ar-SA"/>
        </w:rPr>
        <w:t xml:space="preserve">تأليف العلاّمة المحقّق و الفقيه المدقّق الحاجّ السيّد محمّد باقر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بحجّة الإسلام على 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الرضا الشفتيّ </w:t>
      </w:r>
      <w:bookmarkStart w:id="7" w:name="pg7350_54301"/>
    </w:p>
    <w:p>
      <w:pPr>
        <w:pStyle w:val="Heading2"/>
        <w:numPr>
          <w:ilvl w:val="1"/>
          <w:numId w:val="1"/>
        </w:numPr>
        <w:rPr/>
      </w:pPr>
      <w:bookmarkStart w:id="8" w:name="__RefHeading___Toc1190457_1051229030"/>
      <w:bookmarkStart w:id="9" w:name="_Toc3"/>
      <w:bookmarkEnd w:id="7"/>
      <w:bookmarkEnd w:id="8"/>
      <w:r>
        <w:rPr>
          <w:rtl w:val="true"/>
        </w:rPr>
        <w:t>مقدّمة التحقيق</w:t>
      </w:r>
      <w:bookmarkEnd w:id="9"/>
    </w:p>
    <w:p>
      <w:pPr>
        <w:pStyle w:val="Heading3"/>
        <w:numPr>
          <w:ilvl w:val="2"/>
          <w:numId w:val="1"/>
        </w:numPr>
        <w:rPr/>
      </w:pPr>
      <w:bookmarkStart w:id="10" w:name="__RefHeading___Toc1190459_1051229030"/>
      <w:bookmarkStart w:id="11" w:name="_Toc4"/>
      <w:bookmarkEnd w:id="10"/>
      <w:r>
        <w:rPr/>
        <w:t>1</w:t>
      </w:r>
      <w:r>
        <w:rPr>
          <w:rtl w:val="true"/>
        </w:rPr>
        <w:t xml:space="preserve"> - </w:t>
      </w:r>
      <w:r>
        <w:rPr>
          <w:rtl w:val="true"/>
        </w:rPr>
        <w:t>لمحةٌ من حياة المؤلّف قدس‌سره</w:t>
      </w:r>
      <w:bookmarkEnd w:id="11"/>
    </w:p>
    <w:p>
      <w:pPr>
        <w:pStyle w:val="Heading4"/>
        <w:numPr>
          <w:ilvl w:val="3"/>
          <w:numId w:val="1"/>
        </w:numPr>
        <w:rPr/>
      </w:pPr>
      <w:bookmarkStart w:id="12" w:name="__RefHeading___Toc1190461_1051229030"/>
      <w:bookmarkStart w:id="13" w:name="_Toc5"/>
      <w:bookmarkEnd w:id="12"/>
      <w:r>
        <w:rPr>
          <w:rtl w:val="true"/>
        </w:rPr>
        <w:t>اشارة</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لمحةٌ من حياة المؤلّف قدس‌سره </w:t>
      </w:r>
      <w:r>
        <w:rPr>
          <w:rStyle w:val="FootnoteAnchor"/>
          <w:rtl w:val="true"/>
        </w:rPr>
        <w:footnoteReference w:id="2"/>
      </w:r>
    </w:p>
    <w:p>
      <w:pPr>
        <w:pStyle w:val="Heading4"/>
        <w:numPr>
          <w:ilvl w:val="3"/>
          <w:numId w:val="1"/>
        </w:numPr>
        <w:rPr/>
      </w:pPr>
      <w:bookmarkStart w:id="14" w:name="__RefHeading___Toc1190463_1051229030"/>
      <w:bookmarkStart w:id="15" w:name="_Toc6"/>
      <w:bookmarkEnd w:id="14"/>
      <w:r>
        <w:rPr>
          <w:rtl w:val="true"/>
        </w:rPr>
        <w:t>اسمه و نسبه</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w:t>
      </w:r>
      <w:bookmarkStart w:id="16" w:name="pg7350_54303"/>
    </w:p>
    <w:p>
      <w:pPr>
        <w:pStyle w:val="BookText"/>
        <w:rPr/>
      </w:pPr>
      <w:bookmarkEnd w:id="16"/>
      <w:r>
        <w:rPr>
          <w:rFonts w:ascii="Amiri" w:hAnsi="Amiri" w:eastAsia="Amiri" w:cs="Amiri"/>
          <w:color w:val="111111"/>
          <w:sz w:val="28"/>
          <w:sz w:val="28"/>
          <w:szCs w:val="28"/>
          <w:rtl w:val="true"/>
          <w:lang w:bidi="ar-SA"/>
        </w:rPr>
        <w:t xml:space="preserve">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 من كبار زعماء الدين وأعلام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نسبه الشريف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 عليه‌السلام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1190465_1051229030"/>
      <w:bookmarkStart w:id="18" w:name="_Toc7"/>
      <w:bookmarkEnd w:id="17"/>
      <w:r>
        <w:rPr>
          <w:rtl w:val="true"/>
        </w:rPr>
        <w:t>ولادته و نشأته</w:t>
      </w:r>
      <w:bookmarkEnd w:id="18"/>
    </w:p>
    <w:p>
      <w:p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 xml:space="preserve">في قرية من قرى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طارم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العراق لطلب العلوم الدينيّة والكمالات النفسانيّة في حدود سنة </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قريبًا من ذلك،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xml:space="preserve">، فحضر في أوّل أمره على الأستاذ الأكبر الآقا محمّد باقر الوحيد البهبهاني قدس‌سره في كربلاء </w:t>
      </w:r>
      <w:r>
        <w:rPr>
          <w:rStyle w:val="FootnoteAnchor"/>
          <w:rtl w:val="true"/>
        </w:rPr>
        <w:footnoteReference w:id="7"/>
      </w:r>
      <w:r>
        <w:rPr>
          <w:rFonts w:ascii="Amiri" w:hAnsi="Amiri" w:eastAsia="Amiri" w:cs="Amiri"/>
          <w:color w:val="111111"/>
          <w:sz w:val="28"/>
          <w:sz w:val="28"/>
          <w:szCs w:val="28"/>
          <w:rtl w:val="true"/>
          <w:lang w:bidi="ar-SA"/>
        </w:rPr>
        <w:t xml:space="preserve">، ثمّ على أستاذه العلاّمة المير سيّد عليّ الطباطبائيّ قدس‌سره 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رحل إلى النجف الأشرف وأقام فيها سبع سنين، وحضر فيها على العلاّمة الطباطبائيّ بحرالعلوم قدس‌سره، والشيخ الأكبر صاحب كشف الغطاء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إلى الكاظميّة، فحضر فيها على السيّد المحقّق المُحسن البغداديّ المقدّس الأعرجي رحمه‌الله قليلاً، فقد قرأ عليه القضاء والشهادات، وأقام عنده مدّة من الزمان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Amiri" w:hAnsi="Amiri" w:eastAsia="Amiri" w:cs="Amiri"/>
          <w:color w:val="111111"/>
          <w:sz w:val="28"/>
          <w:sz w:val="28"/>
          <w:szCs w:val="28"/>
          <w:rtl w:val="true"/>
          <w:lang w:bidi="ar-SA"/>
        </w:rPr>
        <w:t xml:space="preserve">و توطّن في أصفهان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مع الحاجّ محمّد ابراهيم الكلباسي قدس‌سره، وكانا صديقين رفيقين شفيقين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رحمه‌الله، فحضر مجلسه بما ينيف على ستّة أشهر </w:t>
      </w:r>
      <w:r>
        <w:rPr>
          <w:rStyle w:val="FootnoteAnchor"/>
          <w:rtl w:val="true"/>
        </w:rPr>
        <w:footnoteReference w:id="10"/>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لنفسي الترقّي الكامل في هذه المدّة القليلة بقدر تمام ما حصل لي في مدّة مقامي بالعتبات العاليات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فكتب له الميرزا قدس‌سره إجازة مبسوطة مضبوطة كان يغتنم بها من ذلك السفر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بعدها إلى كاشان، فحضر على المولى محمّد مهدي النراقي رحمه‌الله، وتلمّذ عليه مدّة قليلة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من بعض المشايخ أنّه بعد وروده إلى أصفهان ليس له شيء من الكتب إلاّ مجلّدًا واحدًا من المدارك، و كان مجرّدًا من الأموال، قليل البضاعة، بل عديمها، إلاّ منديلاً لمحلّ الخبز، ويسمّى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سكن في مدرسة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بابه إلى چهارباغ العبّاسي – المعروفة </w:t>
      </w:r>
    </w:p>
    <w:p>
      <w:pPr>
        <w:pStyle w:val="BookText"/>
        <w:rPr/>
      </w:pPr>
      <w:r>
        <w:rPr>
          <w:rFonts w:ascii="IRNazanin" w:hAnsi="IRNazanin" w:eastAsia="IRNazanin"/>
          <w:color w:val="111111"/>
          <w:sz w:val="28"/>
          <w:sz w:val="28"/>
          <w:szCs w:val="28"/>
          <w:rtl w:val="true"/>
          <w:lang w:bidi="fa-IR"/>
        </w:rPr>
        <w:t xml:space="preserve">في اصفهان بمدرسة چهارباغ، واجتمع الطلاّب والمشتغلون عنده للتحصيل والتعليم، و أخرجه المدرّس من المدرسة و لم يتعرّض له و لم يعارضه، فإذا اطّلع على أنّه أمر بالخروج، خرج من غير إظهار للكراهة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قليل من الزمان إجتمع عليه أهل العلم والمحصّلون، وانتقلت إليه رياسة الإماميّة في أغلب الأقطار بعد ذهاب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رشت، و يربح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الباعث على ترويج أمره في أصفهان و في غيره من البلاد، العالم الربّاني والمحقّق الصمداني ميرزا أبوالقاسم الجيلاني القمّي قدس‌سره، المقبول قوله عند العوام والخواص، و عند السلطان والرعيّة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يقدّمه العالم الزعيم الحاج محمّد إبراهيم الكرباسي رحمه‌الله في المشي والحكم و غيرهما، فكلّ هذه الأمور كانت ترفع شأنه، إلاّ أنّ يده تعالى فوق الأيدي، ترفع و تضع طبق المصالح الربّانيّة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بينه وبين الحاج محمّد إبراهيم المذكور صلة متينة و صداقة تامّة منبدء أمرهما، فقد كانا زميلين كريمين في النجف، تجمع بينهما معاهد العلم، وشاء </w:t>
      </w:r>
    </w:p>
    <w:p>
      <w:pPr>
        <w:pStyle w:val="BookText"/>
        <w:rPr/>
      </w:pPr>
      <w:r>
        <w:rPr>
          <w:rFonts w:ascii="Amiri" w:hAnsi="Amiri" w:eastAsia="Amiri" w:cs="Amiri"/>
          <w:color w:val="111111"/>
          <w:sz w:val="28"/>
          <w:sz w:val="28"/>
          <w:szCs w:val="28"/>
          <w:rtl w:val="true"/>
          <w:lang w:bidi="ar-SA"/>
        </w:rPr>
        <w:t xml:space="preserve">اللّه أن تنمو هذه المودّة شيئًا فشيئًا، و يبلغ كلّ منهما في الزعامة مبلغًا لم يكن يحدث له في البال، وأن يسكنا معًا بلدة أصفهان، ويتزعّما بها في وقت واحد، ولم تكن الرياسة لتكدّر صفو ذلك الودّ الخالص، أو تؤثّر مثقال ذرّة، فكلّما زادت سطوة أحدهما زاد اتّصالاً و رغبة بصاحبه، فاعتبروا يا أولى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
      </w:r>
      <w:r>
        <w:rPr>
          <w:rFonts w:ascii="Amiri" w:hAnsi="Amiri" w:eastAsia="Amiri" w:cs="Amiri"/>
          <w:color w:val="111111"/>
          <w:sz w:val="28"/>
          <w:sz w:val="28"/>
          <w:szCs w:val="28"/>
          <w:rtl w:val="true"/>
          <w:lang w:bidi="ar-SA"/>
        </w:rPr>
        <w:t>من طريق البحر، و كان ذلك أيّام</w:t>
      </w:r>
    </w:p>
    <w:p>
      <w:pPr>
        <w:pStyle w:val="BookText"/>
        <w:rPr/>
      </w:pPr>
      <w:r>
        <w:rPr>
          <w:rFonts w:ascii="Amiri" w:hAnsi="Amiri" w:eastAsia="Amiri" w:cs="Amiri"/>
          <w:color w:val="111111"/>
          <w:sz w:val="28"/>
          <w:sz w:val="28"/>
          <w:szCs w:val="28"/>
          <w:rtl w:val="true"/>
          <w:lang w:bidi="ar-SA"/>
        </w:rPr>
        <w:t xml:space="preserve">محمّد علي باشا المصريّ، وكانت له زيارة خاصّة له، فأخذ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 بها سادات المدينة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ميراث أولاد الزهراء استرد لهم من غاصبي فدك في طوفه الحرما</w:t>
      </w:r>
    </w:p>
    <w:p>
      <w:pPr>
        <w:pStyle w:val="BookText"/>
        <w:rPr/>
      </w:pPr>
      <w:r>
        <w:rPr>
          <w:rFonts w:ascii="Amiri" w:hAnsi="Amiri" w:eastAsia="Amiri" w:cs="Amiri"/>
          <w:color w:val="111111"/>
          <w:sz w:val="28"/>
          <w:sz w:val="28"/>
          <w:szCs w:val="28"/>
          <w:rtl w:val="true"/>
          <w:lang w:bidi="ar-SA"/>
        </w:rPr>
        <w:t>؛ و كذلك حدّد المطاف على مذهب الشيعة للمسلمين في مكّة المكرّمة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19"/>
      </w:r>
      <w:r>
        <w:rPr>
          <w:rFonts w:ascii="Amiri" w:hAnsi="Amiri" w:eastAsia="Amiri" w:cs="Amiri"/>
          <w:color w:val="111111"/>
          <w:sz w:val="28"/>
          <w:sz w:val="28"/>
          <w:szCs w:val="28"/>
          <w:rtl w:val="true"/>
          <w:lang w:bidi="ar-SA"/>
        </w:rPr>
        <w:t xml:space="preserve">و أنفق عليه ما يقرب من مائة ألف دينار شرعيّ تقريبًا من أمواله الخالصة، و مال بقبلته إلى يمين قبلة سائر المساجد يسيرًا، و جعل له مدارس و حجرات للطلبة، و أسّس أساسًا </w:t>
      </w:r>
      <w:bookmarkStart w:id="19" w:name="pg7350_54314"/>
    </w:p>
    <w:p>
      <w:pPr>
        <w:pStyle w:val="BookText"/>
        <w:rPr/>
      </w:pPr>
      <w:bookmarkEnd w:id="19"/>
      <w:r>
        <w:rPr>
          <w:rFonts w:ascii="Amiri" w:hAnsi="Amiri" w:eastAsia="Amiri" w:cs="Amiri"/>
          <w:color w:val="111111"/>
          <w:sz w:val="28"/>
          <w:sz w:val="28"/>
          <w:szCs w:val="28"/>
          <w:rtl w:val="true"/>
          <w:lang w:bidi="ar-SA"/>
        </w:rPr>
        <w:t xml:space="preserve">لم يعهد مثله من أحد العلماء والمجتهدين، و بنى فيه قبّة لمدفن نفسه، و هي الآن بمنزلة مشهد من مشاهد الأنبياء والأئمّة عليهم‌السلام مطاف للخلائق في خمسة أوقات الصلوات </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190467_1051229030"/>
      <w:bookmarkStart w:id="21" w:name="_Toc8"/>
      <w:bookmarkEnd w:id="20"/>
      <w:r>
        <w:rPr>
          <w:rtl w:val="true"/>
        </w:rPr>
        <w:t>إطراء العلماء له</w:t>
      </w:r>
      <w:bookmarkEnd w:id="21"/>
    </w:p>
    <w:p>
      <w:pPr>
        <w:pStyle w:val="Heading5"/>
        <w:numPr>
          <w:ilvl w:val="4"/>
          <w:numId w:val="1"/>
        </w:numPr>
        <w:rPr/>
      </w:pPr>
      <w:bookmarkStart w:id="22" w:name="__RefHeading___Toc1190469_1051229030"/>
      <w:bookmarkStart w:id="23" w:name="_Toc9"/>
      <w:bookmarkEnd w:id="22"/>
      <w:r>
        <w:rPr/>
        <w:t>1</w:t>
      </w:r>
      <w:r>
        <w:rPr>
          <w:rtl w:val="true"/>
        </w:rPr>
        <w:t xml:space="preserve"> - </w:t>
      </w:r>
      <w:r>
        <w:rPr>
          <w:rtl w:val="true"/>
        </w:rPr>
        <w:t>الفقيه المحقّق ميرزا أبوالقاسم القمّي قدس‌سره</w:t>
      </w:r>
      <w:bookmarkEnd w:id="23"/>
    </w:p>
    <w:p>
      <w:pPr>
        <w:pStyle w:val="BookText"/>
        <w:rPr/>
      </w:pPr>
      <w:r>
        <w:rPr>
          <w:rFonts w:ascii="Amiri" w:hAnsi="Amiri" w:eastAsia="Amiri" w:cs="Amiri"/>
          <w:color w:val="111111"/>
          <w:sz w:val="28"/>
          <w:sz w:val="28"/>
          <w:szCs w:val="28"/>
          <w:rtl w:val="true"/>
          <w:lang w:bidi="ar-SA"/>
        </w:rPr>
        <w:t xml:space="preserve">هو من أساتذته و مشايخه، قال في إجازته الكبيرة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الولد الأعزّ الأمجد، والخل الأسعد الأرشد العالم العامل الزكي الذكي، والفاضل الكامل الألمعيّ اللوذعيّ، بل المحقّق المدقّق التقي النقي، ابن المرحوم المبرور السيّد محمّد نقي محمّد باقر الموسويّ الجيلانيّ، أسبل اللّه عليه نواله و كثّر في الفرقة الناجية أمثاله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 w:name="__RefHeading___Toc1190471_1051229030"/>
      <w:bookmarkStart w:id="25" w:name="_Toc10"/>
      <w:bookmarkEnd w:id="24"/>
      <w:r>
        <w:rPr/>
        <w:t>2</w:t>
      </w:r>
      <w:r>
        <w:rPr>
          <w:rtl w:val="true"/>
        </w:rPr>
        <w:t xml:space="preserve"> - </w:t>
      </w:r>
      <w:r>
        <w:rPr>
          <w:rtl w:val="true"/>
        </w:rPr>
        <w:t>الحكيم المولى علي النوري قدس‌سره</w:t>
      </w:r>
      <w:bookmarkEnd w:id="25"/>
    </w:p>
    <w:p>
      <w:pPr>
        <w:pStyle w:val="BookText"/>
        <w:rPr/>
      </w:pPr>
      <w:r>
        <w:rPr>
          <w:rFonts w:ascii="Amiri" w:hAnsi="Amiri" w:eastAsia="Amiri" w:cs="Amiri"/>
          <w:color w:val="111111"/>
          <w:sz w:val="28"/>
          <w:sz w:val="28"/>
          <w:szCs w:val="28"/>
          <w:rtl w:val="true"/>
          <w:lang w:bidi="ar-SA"/>
        </w:rPr>
        <w:t xml:space="preserve">هو من أساتذته، قد أطرى عليه بقوله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الفريد الدهريّ، والوحيد العصريّ، مطاع، واجب الاتّباع، معظّم، مجموعة المناقب والمفاخر، آقا سيّد محمّد باقر، دامت بركات فضائله </w:t>
      </w:r>
      <w:bookmarkStart w:id="26" w:name="pg7350_54316"/>
    </w:p>
    <w:p>
      <w:pPr>
        <w:pStyle w:val="BookText"/>
        <w:rPr/>
      </w:pPr>
      <w:bookmarkEnd w:id="26"/>
      <w:r>
        <w:rPr>
          <w:rFonts w:ascii="Amiri" w:hAnsi="Amiri" w:eastAsia="Amiri" w:cs="Amiri"/>
          <w:color w:val="111111"/>
          <w:sz w:val="28"/>
          <w:sz w:val="28"/>
          <w:szCs w:val="28"/>
          <w:rtl w:val="true"/>
          <w:lang w:bidi="ar-SA"/>
        </w:rPr>
        <w:t xml:space="preserve">الإنسيّة و شمائله القدسيّة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1190473_1051229030"/>
      <w:bookmarkStart w:id="28" w:name="_Toc11"/>
      <w:bookmarkEnd w:id="27"/>
      <w:r>
        <w:rPr/>
        <w:t>3</w:t>
      </w:r>
      <w:r>
        <w:rPr>
          <w:rtl w:val="true"/>
        </w:rPr>
        <w:t xml:space="preserve"> - </w:t>
      </w:r>
      <w:r>
        <w:rPr>
          <w:rtl w:val="true"/>
        </w:rPr>
        <w:t>العلاّمة الفقيه الحاج محمّد إبراهيم الكرباسي قدس‌سره</w:t>
      </w:r>
      <w:bookmarkEnd w:id="28"/>
    </w:p>
    <w:p>
      <w:pPr>
        <w:pStyle w:val="BookText"/>
        <w:rPr/>
      </w:pPr>
      <w:r>
        <w:rPr>
          <w:rFonts w:ascii="Amiri" w:hAnsi="Amiri" w:eastAsia="Amiri" w:cs="Amiri"/>
          <w:color w:val="111111"/>
          <w:sz w:val="28"/>
          <w:sz w:val="28"/>
          <w:szCs w:val="28"/>
          <w:rtl w:val="true"/>
          <w:lang w:bidi="ar-SA"/>
        </w:rPr>
        <w:t xml:space="preserve">أطرى على صاحب الترجمة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فضله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المحقّقين، وأساطين الفقهاء الراسخين، فضلاً عن مجرّد كونه من المجتهدين الّذين يجب إطاعة أمرهم و امضاء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ذلك و من أعلام الطائفة و أركانها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1190475_1051229030"/>
      <w:bookmarkStart w:id="30" w:name="_Toc12"/>
      <w:bookmarkEnd w:id="29"/>
      <w:r>
        <w:rPr/>
        <w:t>4</w:t>
      </w:r>
      <w:r>
        <w:rPr>
          <w:rtl w:val="true"/>
        </w:rPr>
        <w:t xml:space="preserve"> - </w:t>
      </w:r>
      <w:r>
        <w:rPr>
          <w:rtl w:val="true"/>
        </w:rPr>
        <w:t>العلاّمة السيّد محمّد شفيع الجابلقي قدس‌سره</w:t>
      </w:r>
      <w:bookmarkEnd w:id="30"/>
    </w:p>
    <w:p>
      <w:pPr>
        <w:pStyle w:val="BookText"/>
        <w:rPr/>
      </w:pPr>
      <w:r>
        <w:rPr>
          <w:rFonts w:ascii="Amiri" w:hAnsi="Amiri" w:eastAsia="Amiri" w:cs="Amiri"/>
          <w:color w:val="111111"/>
          <w:sz w:val="28"/>
          <w:sz w:val="28"/>
          <w:szCs w:val="28"/>
          <w:rtl w:val="true"/>
          <w:lang w:bidi="ar-SA"/>
        </w:rPr>
        <w:t xml:space="preserve">قد وصفه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في الطرق الشفيعيّة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والركن المعتمد، الإمام الأجلّ الأعظم، النحرير الذاخر، والسحاب الماطر، الفائق على الأوائل و الأواخر، الحاج السيّد محمّد باقر بن محمّد نقي الرشتي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أزهد أهل زمانه و أعبدهم وأسماهم، فلذا أقبلت له الدنيا بحيث إنتهت الرياسة الدينيّة و الدنيويّة إليه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1" w:name="pg7350_54318"/>
    </w:p>
    <w:p>
      <w:pPr>
        <w:pStyle w:val="Heading5"/>
        <w:numPr>
          <w:ilvl w:val="4"/>
          <w:numId w:val="1"/>
        </w:numPr>
        <w:rPr/>
      </w:pPr>
      <w:bookmarkStart w:id="32" w:name="__RefHeading___Toc1190477_1051229030"/>
      <w:bookmarkStart w:id="33" w:name="_Toc13"/>
      <w:bookmarkEnd w:id="31"/>
      <w:bookmarkEnd w:id="32"/>
      <w:r>
        <w:rPr/>
        <w:t>5</w:t>
      </w:r>
      <w:r>
        <w:rPr>
          <w:rtl w:val="true"/>
        </w:rPr>
        <w:t xml:space="preserve"> - </w:t>
      </w:r>
      <w:r>
        <w:rPr>
          <w:rtl w:val="true"/>
        </w:rPr>
        <w:t>ولده العلاّمة المحقّق السيّد أسد اللّه الشفتي قدس‌سره</w:t>
      </w:r>
      <w:bookmarkEnd w:id="33"/>
    </w:p>
    <w:p>
      <w:pPr>
        <w:pStyle w:val="BookText"/>
        <w:rPr/>
      </w:pPr>
      <w:r>
        <w:rPr>
          <w:rFonts w:ascii="Amiri" w:hAnsi="Amiri" w:eastAsia="Amiri" w:cs="Amiri"/>
          <w:color w:val="111111"/>
          <w:sz w:val="28"/>
          <w:sz w:val="28"/>
          <w:szCs w:val="28"/>
          <w:rtl w:val="true"/>
          <w:lang w:bidi="ar-SA"/>
        </w:rPr>
        <w:t xml:space="preserve">الوالد العلاّمة والفقيه الفهامة رأس الفضل و رئيس الفضلاء، عماد الدين و عمود الملّة البيضاء، صاحب الكرامات الظاهرة والمعجزات الباهرة، فخر أهل العلم و أولى الافضال الّذي لا أظنّ وجود مثله في علم الرجال، بل هو أبو عذره، و هو السابق ميدان السبق على زعم العنود الحسود، جعلني اللّه فداه و في كلتا الدارين علاه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1190479_1051229030"/>
      <w:bookmarkStart w:id="35" w:name="_Toc14"/>
      <w:bookmarkEnd w:id="34"/>
      <w:r>
        <w:rPr>
          <w:rtl w:val="true"/>
        </w:rPr>
        <w:t>زهده و عبادته</w:t>
      </w:r>
      <w:bookmarkEnd w:id="35"/>
    </w:p>
    <w:p>
      <w:pPr>
        <w:pStyle w:val="BookText"/>
        <w:rPr/>
      </w:pPr>
      <w:r>
        <w:rPr>
          <w:rFonts w:ascii="Amiri" w:hAnsi="Amiri" w:eastAsia="Amiri" w:cs="Amiri"/>
          <w:color w:val="111111"/>
          <w:sz w:val="28"/>
          <w:sz w:val="28"/>
          <w:szCs w:val="28"/>
          <w:rtl w:val="true"/>
          <w:lang w:bidi="ar-SA"/>
        </w:rPr>
        <w:t xml:space="preserve">قال المحدّث القمّي رحمه‌الله في الفوائد الرضويّة، نقلاً عن صاحب التكملة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السيّد محمّد باقر كان عالمًا ربّانيًّا روحانيًّا ممّن عرف حلال آل محمّد عليهم‌السلام وحرامهم، وشيّد أحكامهم، وخالف هواه، واتّبع أمر مولاه، كان دائم المراقبة لربّه، لايشغله شيء عن الحضور والمراقبة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رحمه‌الله انّ آماق عين السيّد كانت مجروحة من كثرة بكائه في تهجّده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بعض خواصّه،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معه إلى بعض قراه، فبتنا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مضجعي فظنّ أني نمت، فقام يصلّي، فواللّه إنّي رأيت فرائصه وأعضائه يرتعد بحيث كان يكرّر الكلمة </w:t>
      </w:r>
      <w:bookmarkStart w:id="36" w:name="pg7350_54319"/>
    </w:p>
    <w:p>
      <w:pPr>
        <w:pStyle w:val="BookText"/>
        <w:rPr/>
      </w:pPr>
      <w:bookmarkEnd w:id="36"/>
      <w:r>
        <w:rPr>
          <w:rFonts w:ascii="Amiri" w:hAnsi="Amiri" w:eastAsia="Amiri" w:cs="Amiri"/>
          <w:color w:val="111111"/>
          <w:sz w:val="28"/>
          <w:sz w:val="28"/>
          <w:szCs w:val="28"/>
          <w:rtl w:val="true"/>
          <w:lang w:bidi="ar-SA"/>
        </w:rPr>
        <w:t xml:space="preserve">مرارًا من شدّة حركة فكّيه وأعضائه، حتّى ينطق بها صحيحة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190481_1051229030"/>
      <w:bookmarkStart w:id="38" w:name="_Toc15"/>
      <w:bookmarkEnd w:id="37"/>
      <w:r>
        <w:rPr>
          <w:rtl w:val="true"/>
        </w:rPr>
        <w:t>إقامته الحدود الشرعيّة</w:t>
      </w:r>
      <w:bookmarkEnd w:id="38"/>
    </w:p>
    <w:p>
      <w:p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قدس‌سره في اثبات هذا الاعتقاد رسالة ؛ و بهذا كان يقيم الحدود الشرعيّة ويجريها بيده أو يد من يأمره بلا خشية و لا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الروضات رحمه‌الله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يقدم إلى إجرائه بالمباشرة أو الأمر، بحيث بلغ عدد من قتله رحمه‌الله في سبيل ربّه تبارك و تعالى من الجناة والجفاة أو الزناة أو المحاربين اللاطين زمن رئاسته ثمانين أو تسعين،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190483_1051229030"/>
      <w:bookmarkStart w:id="40" w:name="_Toc16"/>
      <w:bookmarkEnd w:id="39"/>
      <w:r>
        <w:rPr>
          <w:rtl w:val="true"/>
        </w:rPr>
        <w:t>مشايخ روايته</w:t>
      </w:r>
      <w:bookmarkEnd w:id="40"/>
    </w:p>
    <w:p>
      <w:pPr>
        <w:pStyle w:val="BookText"/>
        <w:rPr/>
      </w:pPr>
      <w:r>
        <w:rPr>
          <w:rFonts w:ascii="Amiri" w:hAnsi="Amiri" w:eastAsia="Amiri" w:cs="Amiri"/>
          <w:color w:val="111111"/>
          <w:sz w:val="28"/>
          <w:sz w:val="28"/>
          <w:szCs w:val="28"/>
          <w:rtl w:val="true"/>
          <w:lang w:bidi="ar-SA"/>
        </w:rPr>
        <w:t xml:space="preserve">يروي عن عدّة من أعلام الأمّة، وإليك سرد ما نصّ عليه نفسه قدس‌سره في بعض إجازاته أو نبّه عليه غيره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السيّد علي الطباطبائي الحائري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41" w:name="pg7350_54321"/>
    </w:p>
    <w:p>
      <w:pPr>
        <w:pStyle w:val="BookText"/>
        <w:rPr/>
      </w:pPr>
      <w:bookmarkEnd w:id="4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أبوالقاسم الجيلاني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الحمد للّه والصلوة على رسول اللّه و على آله أولياء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طبعت مصوّرتها بتمامها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خطّى كتابخانه‌هاى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روضات الجنّات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بيان المفاخر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الأكبر الشيخ جعفر كاشف الغطاء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90485_1051229030"/>
      <w:bookmarkStart w:id="43" w:name="_Toc17"/>
      <w:bookmarkEnd w:id="42"/>
      <w:r>
        <w:rPr>
          <w:rtl w:val="true"/>
        </w:rPr>
        <w:t>تلامذته</w:t>
      </w:r>
      <w:bookmarkEnd w:id="43"/>
    </w:p>
    <w:p>
      <w:pPr>
        <w:pStyle w:val="BookText"/>
        <w:rPr/>
      </w:pPr>
      <w:r>
        <w:rPr>
          <w:rFonts w:ascii="Amiri" w:hAnsi="Amiri" w:eastAsia="Amiri" w:cs="Amiri"/>
          <w:color w:val="111111"/>
          <w:sz w:val="28"/>
          <w:sz w:val="28"/>
          <w:szCs w:val="28"/>
          <w:rtl w:val="true"/>
          <w:lang w:bidi="ar-SA"/>
        </w:rPr>
        <w:t xml:space="preserve">قد خرج من عالي مجلس تدريسه أكثر من مائة و خمسين مجتهد، من أكابرهم وأعاظمهم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آقا بزرك الحسيني القاضي عسكر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محمّد جعفر بن محمّد صفي الآباده‌اي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أحمد بن علي أكبر التربتي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علي أكبر بن إبراهيم الخوانساري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ملاّ عبد الباقي الكاشاني</w:t>
      </w:r>
      <w:r>
        <w:rPr>
          <w:rFonts w:eastAsia="Amiri" w:cs="Amiri" w:ascii="Amiri" w:hAnsi="Amiri"/>
          <w:color w:val="111111"/>
          <w:sz w:val="28"/>
          <w:szCs w:val="28"/>
          <w:rtl w:val="true"/>
          <w:lang w:bidi="ar-SA"/>
        </w:rPr>
        <w:t xml:space="preserve">. </w:t>
      </w:r>
      <w:bookmarkStart w:id="44" w:name="pg7350_54323"/>
    </w:p>
    <w:p>
      <w:pPr>
        <w:pStyle w:val="BookText"/>
        <w:rPr/>
      </w:pPr>
      <w:bookmarkEnd w:id="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عبدالوهّاب الشريف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محمّد إبراهيم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الموسوي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روضات الجنّات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محمّد بن محمّد إبراهيم الكرباسي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بن محمّد مهدي المازندراني الشهير بالحاج الأشرفي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 من الأعلام لم نذكرهم رومًا للاختصار، و مَن أراد أن تطّلع على أسمائهم و ترجمتهم فليراجع الجزء الأوّل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المرحوم السيّد مصلح الدّين المهدوي، وغيره من كتب التراجم والسير </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90487_1051229030"/>
      <w:bookmarkStart w:id="46" w:name="_Toc18"/>
      <w:bookmarkEnd w:id="45"/>
      <w:r>
        <w:rPr>
          <w:rtl w:val="true"/>
        </w:rPr>
        <w:t>أولاده</w:t>
      </w:r>
      <w:bookmarkEnd w:id="46"/>
    </w:p>
    <w:p>
      <w:pPr>
        <w:pStyle w:val="BookText"/>
        <w:rPr/>
      </w:pPr>
      <w:r>
        <w:rPr>
          <w:rFonts w:ascii="Amiri" w:hAnsi="Amiri" w:eastAsia="Amiri" w:cs="Amiri"/>
          <w:color w:val="111111"/>
          <w:sz w:val="28"/>
          <w:sz w:val="28"/>
          <w:szCs w:val="28"/>
          <w:rtl w:val="true"/>
          <w:lang w:bidi="ar-SA"/>
        </w:rPr>
        <w:t xml:space="preserve">له قدس‌سره أولاد متعدّدون، كلّهم علماء أجلاّء، و سادة فضلاء، إنتهت إليهم الرياسة الدينيّة والعلميّة بعد أبيهم في أصفهان، و هم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قال الإمام السيّد عبدالحسين شرف الدين في ترجمة والده قدس‌سره ما هذا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ولده الأبرّ الأغرّ، الفقيه الأصولي، المحقّق البحّاثة، العلاّمة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رحمه‌الله على شاكلة أبيه في العلم والعمل والجهاد لنفسه و المراقبة عليها آناء الليل،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إليه رئاسة الدين في ايران، وانقادت لأمره عامّة الناس و خاصّتها حتّى السلطان ناصر الدين شاه </w:t>
      </w:r>
      <w:r>
        <w:rPr>
          <w:rFonts w:eastAsia="Amiri" w:cs="Amiri" w:ascii="Amiri" w:hAnsi="Amiri"/>
          <w:color w:val="111111"/>
          <w:sz w:val="28"/>
          <w:szCs w:val="28"/>
          <w:rtl w:val="true"/>
          <w:lang w:bidi="ar-SA"/>
        </w:rPr>
        <w:t xml:space="preserve">... »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المفاخر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مكارم الآثار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2490</w:t>
      </w:r>
      <w:r>
        <w:rPr>
          <w:rFonts w:eastAsia="IRNazanin" w:cs="IRNazanin"/>
          <w:color w:val="111111"/>
          <w:sz w:val="28"/>
          <w:szCs w:val="28"/>
          <w:rtl w:val="true"/>
          <w:lang w:bidi="fa-IR"/>
        </w:rPr>
        <w:t xml:space="preserve"> -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بزرگان ودانشمندان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w:t>
      </w:r>
      <w:bookmarkStart w:id="47" w:name="pg7350_54327"/>
    </w:p>
    <w:p>
      <w:pPr>
        <w:pStyle w:val="BookText"/>
        <w:rPr/>
      </w:pPr>
      <w:bookmarkEnd w:id="4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4"/>
        <w:numPr>
          <w:ilvl w:val="3"/>
          <w:numId w:val="1"/>
        </w:numPr>
        <w:rPr/>
      </w:pPr>
      <w:bookmarkStart w:id="48" w:name="__RefHeading___Toc1190489_1051229030"/>
      <w:bookmarkStart w:id="49" w:name="_Toc19"/>
      <w:bookmarkEnd w:id="48"/>
      <w:r>
        <w:rPr>
          <w:rtl w:val="true"/>
        </w:rPr>
        <w:t>تآليفه القيّمة</w:t>
      </w:r>
      <w:bookmarkEnd w:id="49"/>
    </w:p>
    <w:p>
      <w:pPr>
        <w:pStyle w:val="Heading5"/>
        <w:numPr>
          <w:ilvl w:val="4"/>
          <w:numId w:val="1"/>
        </w:numPr>
        <w:rPr/>
      </w:pPr>
      <w:bookmarkStart w:id="50" w:name="__RefHeading___Toc1190491_1051229030"/>
      <w:bookmarkStart w:id="51" w:name="_Toc20"/>
      <w:bookmarkEnd w:id="50"/>
      <w:r>
        <w:rPr>
          <w:rtl w:val="true"/>
        </w:rPr>
        <w:t>اشارة</w:t>
      </w:r>
      <w:bookmarkEnd w:id="5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كثيرة، و رسائل متعدّدة، كلّها تفصح عن تضلّعه في شتّى العلوم </w:t>
      </w:r>
      <w:bookmarkStart w:id="52" w:name="pg7350_54329"/>
    </w:p>
    <w:p>
      <w:pPr>
        <w:pStyle w:val="BookText"/>
        <w:rPr/>
      </w:pPr>
      <w:bookmarkEnd w:id="52"/>
      <w:r>
        <w:rPr>
          <w:rFonts w:ascii="Amiri" w:hAnsi="Amiri" w:eastAsia="Amiri" w:cs="Amiri"/>
          <w:color w:val="111111"/>
          <w:sz w:val="28"/>
          <w:sz w:val="28"/>
          <w:szCs w:val="28"/>
          <w:rtl w:val="true"/>
          <w:lang w:bidi="ar-SA"/>
        </w:rPr>
        <w:t xml:space="preserve">المختلفة خصوصًا الفقه والرجال، و تظهر منها جامعيّته من المعقول والمنقول، وإليك أسماء بعضها والإشادة بأبعادها </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90493_1051229030"/>
      <w:bookmarkStart w:id="54" w:name="_Toc21"/>
      <w:bookmarkEnd w:id="53"/>
      <w:r>
        <w:rPr>
          <w:rtl w:val="true"/>
        </w:rPr>
        <w:t>الكتب والرسائل الفقهيّة</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المقتبسة من آثار الأئمّة الأطهار عليهم‌السلام</w:t>
      </w:r>
    </w:p>
    <w:p>
      <w:pPr>
        <w:pStyle w:val="BookText"/>
        <w:rPr/>
      </w:pPr>
      <w:r>
        <w:rPr>
          <w:rFonts w:ascii="Amiri" w:hAnsi="Amiri" w:eastAsia="Amiri" w:cs="Amiri"/>
          <w:color w:val="111111"/>
          <w:sz w:val="28"/>
          <w:sz w:val="28"/>
          <w:szCs w:val="28"/>
          <w:rtl w:val="true"/>
          <w:lang w:bidi="ar-SA"/>
        </w:rPr>
        <w:t>شرح لكتاب شرائع الإسلام، لم يخرج منه غير مقاصد كتاب الصلاة إلى آخر أحكام صلاة الأموات في ستّة مجلّدات، إلاّ أنّه مشتمل على أغلب قواعد الفقه وضوابطه الكلّيّات، بل محتو على معظم المسائل المتفرّقة من الطهارة إلى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بالطبع الأفست، و قد قامت بطبعه مكتبة مسجد السيّد حجّة الإسلام الشفتي قدس‌سره بأصفهان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 لتنوير قلوب الأخيار</w:t>
      </w:r>
    </w:p>
    <w:p>
      <w:pPr>
        <w:pStyle w:val="BookText"/>
        <w:rPr/>
      </w:pPr>
      <w:r>
        <w:rPr>
          <w:rFonts w:ascii="Amiri" w:hAnsi="Amiri" w:eastAsia="Amiri" w:cs="Amiri"/>
          <w:color w:val="111111"/>
          <w:sz w:val="28"/>
          <w:sz w:val="28"/>
          <w:szCs w:val="28"/>
          <w:rtl w:val="true"/>
          <w:lang w:bidi="ar-SA"/>
        </w:rPr>
        <w:t xml:space="preserve">رسالة فارسية مبسوطة، يتعرّض فيها للأدلّة غالبًا، و هي في خصوص الصلاة، مرتّبة على مقدّمة في مسائل الاجتهاد والتقليد، وأبواب ثلاثة ذات مباحث، وخاتمة في الخلل وأحكام الشكوك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والخاتمة رسالة كبيرة جدًّا، سيأتي الكلام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طبعت دون خاتمتها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مجلّدتين كبيرتين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قدس‌سره 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w:t>
      </w:r>
    </w:p>
    <w:p>
      <w:pPr>
        <w:pStyle w:val="BookText"/>
        <w:rPr/>
      </w:pPr>
      <w:r>
        <w:rPr>
          <w:rFonts w:ascii="Amiri" w:hAnsi="Amiri" w:eastAsia="Amiri" w:cs="Amiri"/>
          <w:color w:val="111111"/>
          <w:sz w:val="28"/>
          <w:sz w:val="28"/>
          <w:szCs w:val="28"/>
          <w:rtl w:val="true"/>
          <w:lang w:bidi="ar-SA"/>
        </w:rPr>
        <w:t xml:space="preserve">قال مؤلّفه في مفتتح المجلّد الأوّل من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في فضل الصلاة، 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تكلّمنا في هذا الحديث في المصباح الشارقة بما قد بلغ التطويل والإطناب في الغاية وأبرزنا فيه كثيرًا من الإشكالات المتوجّهة إليه وعقبنا كلاًّ منها بما يزيله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والجواب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فارسي و عربي، و هو أجوبة مسائله المعروفة في مجلّدين كبيرين، تشتمل على أربعين كتابًا من الكتب الفقهيّة، و رسائل متعدّدة في مسائل متبدّدة،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الأوقاف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إقامة الحدود في زمن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الرسائل الّتي نذكر كلاًّ منها بعنوان مستقلّ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القضاء والشهادات</w:t>
      </w:r>
    </w:p>
    <w:p>
      <w:pPr>
        <w:pStyle w:val="BookText"/>
        <w:rPr/>
      </w:pPr>
      <w:r>
        <w:rPr>
          <w:rFonts w:ascii="Amiri" w:hAnsi="Amiri" w:eastAsia="Amiri" w:cs="Amiri"/>
          <w:color w:val="111111"/>
          <w:sz w:val="28"/>
          <w:sz w:val="28"/>
          <w:szCs w:val="28"/>
          <w:rtl w:val="true"/>
          <w:lang w:bidi="ar-SA"/>
        </w:rPr>
        <w:t xml:space="preserve">قال في الروضات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تصنيفاته الفائقة أيضًا كتاب ألّفه في القضاء والشهادات بطريق الاستدلال التامّ زمن قراءته في تلك المباحث على شيخه السيّد محسن المرحوم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فارسي، ذكر فيه واجبات الحجّ ومستحبّاته، ورتّبه على مقدّمة، وثلاثة مقاصد، وخاتمة ؛ صرّح في أواسطه بأنّه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توجّهه إلى بيت اللّه الحرام من طريق 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آداب صلاة الليل و فضلها</w:t>
      </w:r>
    </w:p>
    <w:p>
      <w:pPr>
        <w:pStyle w:val="BookText"/>
        <w:rPr/>
      </w:pPr>
      <w:r>
        <w:rPr>
          <w:rFonts w:ascii="Amiri" w:hAnsi="Amiri" w:eastAsia="Amiri" w:cs="Amiri"/>
          <w:color w:val="111111"/>
          <w:sz w:val="28"/>
          <w:sz w:val="28"/>
          <w:szCs w:val="28"/>
          <w:rtl w:val="true"/>
          <w:lang w:bidi="ar-SA"/>
        </w:rPr>
        <w:t xml:space="preserve">هي مدرّجة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قدس‌سره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ابراء الوليّ مدّة المتعة عن المولى عليه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الذريعة رحمه‌الله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هبة الولي مدّة الزوجة المنقطعة للمولى عليه،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للسيّد محمّد باقر بن محمّد نقي الشفتي الاصفهاني، اختار فيها الجواز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حرمة محارم الموطوء على الواطي</w:t>
      </w:r>
    </w:p>
    <w:p>
      <w:pPr>
        <w:pStyle w:val="BookText"/>
        <w:rPr/>
      </w:pPr>
      <w:r>
        <w:rPr>
          <w:rFonts w:ascii="Amiri" w:hAnsi="Amiri" w:eastAsia="Amiri" w:cs="Amiri"/>
          <w:color w:val="111111"/>
          <w:sz w:val="28"/>
          <w:sz w:val="28"/>
          <w:szCs w:val="28"/>
          <w:rtl w:val="true"/>
          <w:lang w:bidi="ar-SA"/>
        </w:rPr>
        <w:t xml:space="preserve">هي رسالة متوسّطة مدرّجة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 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لمن أبدع السماوات والأرضين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رسالة تعيين السلام الأخير في النوافل</w:t>
      </w:r>
    </w:p>
    <w:p>
      <w:pPr>
        <w:pStyle w:val="BookText"/>
        <w:rPr/>
      </w:pPr>
      <w:r>
        <w:rPr>
          <w:rFonts w:ascii="Amiri" w:hAnsi="Amiri" w:eastAsia="Amiri" w:cs="Amiri"/>
          <w:color w:val="111111"/>
          <w:sz w:val="28"/>
          <w:sz w:val="28"/>
          <w:szCs w:val="28"/>
          <w:rtl w:val="true"/>
          <w:lang w:bidi="ar-SA"/>
        </w:rPr>
        <w:t xml:space="preserve">كتبه في الردّ على رسالة المولى علي أكبر الإيجهي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ردّ المولى الإيجهي رحمه‌الله</w:t>
      </w:r>
    </w:p>
    <w:p>
      <w:pPr>
        <w:pStyle w:val="BookText"/>
        <w:rPr/>
      </w:pPr>
      <w:r>
        <w:rPr>
          <w:rFonts w:ascii="Amiri" w:hAnsi="Amiri" w:eastAsia="Amiri" w:cs="Amiri"/>
          <w:color w:val="111111"/>
          <w:sz w:val="28"/>
          <w:sz w:val="28"/>
          <w:szCs w:val="28"/>
          <w:rtl w:val="true"/>
          <w:lang w:bidi="ar-SA"/>
        </w:rPr>
        <w:t xml:space="preserve">أيضًا له قدس‌سره، كتبه ثانيًا بعد ردّ المولى الإيجهي رحمه‌الله الردّ الأوّل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الرسالة السابقة والرسالتين للمولى الإيجهي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رسائل فقهيّة حول مسألة سلام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والدي المحقّق سماحة حجّة الإسلام والمسلمين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 </w:t>
      </w:r>
    </w:p>
    <w:p>
      <w:pPr>
        <w:pStyle w:val="BookText"/>
        <w:rPr/>
      </w:pPr>
      <w:r>
        <w:rPr>
          <w:rFonts w:ascii="Amiri" w:hAnsi="Amiri" w:eastAsia="Amiri" w:cs="Amiri"/>
          <w:color w:val="111111"/>
          <w:sz w:val="28"/>
          <w:sz w:val="28"/>
          <w:szCs w:val="28"/>
          <w:rtl w:val="true"/>
          <w:lang w:bidi="ar-SA"/>
        </w:rPr>
        <w:t xml:space="preserve">قامت بطبعها مكتبة مسجد السيّد حجّة الإسلام قدس‌سره 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ascii="Amiri" w:hAnsi="Amiri" w:eastAsia="Amiri" w:cs="Amiri"/>
          <w:color w:val="111111"/>
          <w:sz w:val="28"/>
          <w:sz w:val="28"/>
          <w:szCs w:val="28"/>
          <w:rtl w:val="true"/>
          <w:lang w:bidi="ar-SA"/>
        </w:rPr>
        <w:t>هي رسالة كبيرة استدلاليّة، مدرّجة في كتابه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بطبعها مكتبة مسجد السيّد حجّة الإسلام قدس‌سره</w:t>
      </w:r>
    </w:p>
    <w:p>
      <w:pPr>
        <w:pStyle w:val="BookText"/>
        <w:rPr/>
      </w:pPr>
      <w:r>
        <w:rPr>
          <w:rFonts w:ascii="IRNazanin" w:hAnsi="IRNazanin" w:eastAsia="IRNazanin"/>
          <w:color w:val="111111"/>
          <w:sz w:val="28"/>
          <w:sz w:val="28"/>
          <w:szCs w:val="28"/>
          <w:rtl w:val="true"/>
          <w:lang w:bidi="fa-IR"/>
        </w:rPr>
        <w:t>باصفهان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يد الواقف كافٍ في القبض لو كان هو المتولّي</w:t>
      </w:r>
    </w:p>
    <w:p>
      <w:pPr>
        <w:pStyle w:val="BookText"/>
        <w:rPr/>
      </w:pPr>
      <w:r>
        <w:rPr>
          <w:rFonts w:ascii="Amiri" w:hAnsi="Amiri" w:eastAsia="Amiri" w:cs="Amiri"/>
          <w:color w:val="111111"/>
          <w:sz w:val="28"/>
          <w:sz w:val="28"/>
          <w:szCs w:val="28"/>
          <w:rtl w:val="true"/>
          <w:lang w:bidi="ar-SA"/>
        </w:rPr>
        <w:t xml:space="preserve">هي رسالة استدلاليّة مفصّلة، مدرّجة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كتبها في الردّ على المولى أحمد النراقي قدس‌سره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ملخّص المقال في دفع القيل والقال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الردّ على هذه الرسالة إجابة لسؤال أخيه المولى أحمد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المخطوطة منه موجودة في المكتبة المرعشيّة برقم </w:t>
      </w:r>
      <w:r>
        <w:rPr>
          <w:rFonts w:eastAsia="Amiri" w:cs="Amiri" w:ascii="Amiri" w:hAnsi="Amiri"/>
          <w:color w:val="111111"/>
          <w:sz w:val="28"/>
          <w:szCs w:val="28"/>
          <w:lang w:bidi="ar-SA"/>
        </w:rPr>
        <w:t>3136</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بتحقيق الحجّة الدكتور السيّد أحمد التويسركاني رحمه‌الله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وقف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الغُسالة</w:t>
      </w:r>
    </w:p>
    <w:p>
      <w:pPr>
        <w:pStyle w:val="BookText"/>
        <w:rPr/>
      </w:pPr>
      <w:r>
        <w:rPr>
          <w:rFonts w:ascii="Amiri" w:hAnsi="Amiri" w:eastAsia="Amiri" w:cs="Amiri"/>
          <w:color w:val="111111"/>
          <w:sz w:val="28"/>
          <w:sz w:val="28"/>
          <w:szCs w:val="28"/>
          <w:rtl w:val="true"/>
          <w:lang w:bidi="ar-SA"/>
        </w:rPr>
        <w:t xml:space="preserve">ذكرها ولده العلاّمة الحاج السيّد أسد اللّه قدس‌سره في شرحه الكبير على شرائع الإسلام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مسألة الغسالة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تطهير البدن والثياب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والزبدة من</w:t>
      </w:r>
    </w:p>
    <w:p>
      <w:pPr>
        <w:pStyle w:val="BookText"/>
        <w:rPr/>
      </w:pPr>
      <w:r>
        <w:rPr>
          <w:rFonts w:ascii="Amiri" w:hAnsi="Amiri" w:eastAsia="Amiri" w:cs="Amiri"/>
          <w:color w:val="111111"/>
          <w:sz w:val="28"/>
          <w:sz w:val="28"/>
          <w:szCs w:val="28"/>
          <w:rtl w:val="true"/>
          <w:lang w:bidi="ar-SA"/>
        </w:rPr>
        <w:t xml:space="preserve">جمع بعض تلامذته ؛ نسخة منها موجودة في مكتبة أميرالمؤمنين عليه‌السلام بأصفهان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تطهير العجين بالماء النجس بتخبيزه و عدمه</w:t>
      </w:r>
    </w:p>
    <w:p>
      <w:pPr>
        <w:pStyle w:val="BookText"/>
        <w:rPr/>
      </w:pPr>
      <w:r>
        <w:rPr>
          <w:rFonts w:ascii="Amiri" w:hAnsi="Amiri" w:eastAsia="Amiri" w:cs="Amiri"/>
          <w:color w:val="111111"/>
          <w:sz w:val="28"/>
          <w:sz w:val="28"/>
          <w:szCs w:val="28"/>
          <w:rtl w:val="true"/>
          <w:lang w:bidi="ar-SA"/>
        </w:rPr>
        <w:t xml:space="preserve">قال العلاّمة الطهراني قدس‌سره 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تطهير العجين بتخبيزه و عدمه، للسيّد حجّة الإسلام الشفتيّ الرشتيّ، ضمن مجموعة في موقوفة مدرسة البروجردي في النجف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القِدْريّة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ذكرها العلاّمة السيّد محمّد هاشم الچهارسوقي قدس‌سره في إجازته الّتي كتبها لميرزا </w:t>
      </w:r>
    </w:p>
    <w:p>
      <w:pPr>
        <w:pStyle w:val="BookText"/>
        <w:rPr/>
      </w:pPr>
      <w:r>
        <w:rPr>
          <w:rFonts w:ascii="Amiri" w:hAnsi="Amiri" w:eastAsia="Amiri" w:cs="Amiri"/>
          <w:color w:val="111111"/>
          <w:sz w:val="28"/>
          <w:sz w:val="28"/>
          <w:szCs w:val="28"/>
          <w:rtl w:val="true"/>
          <w:lang w:bidi="ar-SA"/>
        </w:rPr>
        <w:t xml:space="preserve">عبدالوهّاب الهمداني رحمه‌الله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العابدين الخوانساريّ رحمهماالله ؛ انظر مقدّمة مناهج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قال فيها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رسالته القِدرية في طهارة الدم الّذي يلقى في القِدر فيغلى حتّى يستحيل، كما ورد في بعض الصحاح، و لعلّها لا تخلو عن قوّة، إلاّ أنّ ظاهر أكثر الأصحاب الإعراض عنها، و إعراضهم من أقوى الموهنات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قدس‌سره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حكم أكل التربة الحسينيّة و تعيين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تحقيق أبرزناه فيما كتبناه في تحقيق الدم الّذي يقع في القدر ثمّ يغلي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 اللبن المضروب بماء نجس هل يطهر بطبخه آجرًا أو خزفًا، أم لا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w:t>
      </w:r>
    </w:p>
    <w:p>
      <w:pPr>
        <w:pStyle w:val="BookText"/>
        <w:rPr/>
      </w:pPr>
      <w:r>
        <w:rPr>
          <w:rFonts w:ascii="Amiri" w:hAnsi="Amiri" w:eastAsia="Amiri" w:cs="Amiri"/>
          <w:color w:val="111111"/>
          <w:sz w:val="28"/>
          <w:sz w:val="28"/>
          <w:szCs w:val="28"/>
          <w:rtl w:val="true"/>
          <w:lang w:bidi="ar-SA"/>
        </w:rPr>
        <w:t xml:space="preserve">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الأراضي الخراجيّة</w:t>
      </w:r>
    </w:p>
    <w:p>
      <w:pPr>
        <w:pStyle w:val="BookText"/>
        <w:rPr/>
      </w:pPr>
      <w:r>
        <w:rPr>
          <w:rFonts w:ascii="Amiri" w:hAnsi="Amiri" w:eastAsia="Amiri" w:cs="Amiri"/>
          <w:color w:val="111111"/>
          <w:sz w:val="28"/>
          <w:sz w:val="28"/>
          <w:szCs w:val="28"/>
          <w:rtl w:val="true"/>
          <w:lang w:bidi="ar-SA"/>
        </w:rPr>
        <w:t xml:space="preserve">هي رسالة استدلاليّة كبيرة، كتبها في جواب مسألة سئل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نسخة خطيّة منها ضمن مجموعة في المكتبة الخاصّة للدكتور السيّد أحمد التويسركاني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الشكّ والسهو في الصلاة</w:t>
      </w:r>
    </w:p>
    <w:p>
      <w:pPr>
        <w:pStyle w:val="BookText"/>
        <w:rPr/>
      </w:pPr>
      <w:r>
        <w:rPr>
          <w:rFonts w:ascii="Amiri" w:hAnsi="Amiri" w:eastAsia="Amiri" w:cs="Amiri"/>
          <w:color w:val="111111"/>
          <w:sz w:val="28"/>
          <w:sz w:val="28"/>
          <w:szCs w:val="28"/>
          <w:rtl w:val="true"/>
          <w:lang w:bidi="ar-SA"/>
        </w:rPr>
        <w:t xml:space="preserve">رسالة كبيرة جدًّا، حسنة الوضع والتفريع، جعلها تتمّة لكتابه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صاحب الذريعة و عبّر عنها بالشكيّات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بتحقيق حفيده الحجّة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قدس‌سره 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طهارة عرق الجنب من الحرام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نسبها إليه ولده العلاّمة السيّد أسداللّه قدس‌سره في شرحه الكبير على الشرائع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جمع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أميرالمؤمنين عليه‌السلامبأصفهان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p>
    <w:p>
      <w:pPr>
        <w:pStyle w:val="BookText"/>
        <w:rPr/>
      </w:pPr>
      <w:r>
        <w:rPr>
          <w:rFonts w:ascii="Amiri" w:hAnsi="Amiri" w:eastAsia="Amiri" w:cs="Amiri"/>
          <w:color w:val="111111"/>
          <w:sz w:val="28"/>
          <w:sz w:val="28"/>
          <w:szCs w:val="28"/>
          <w:rtl w:val="true"/>
          <w:lang w:bidi="ar-SA"/>
        </w:rPr>
        <w:t xml:space="preserve">صرّح بها نفسه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اختار فيها وجوبها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ascii="Amiri" w:hAnsi="Amiri" w:eastAsia="Amiri" w:cs="Amiri"/>
          <w:color w:val="111111"/>
          <w:sz w:val="28"/>
          <w:sz w:val="28"/>
          <w:szCs w:val="28"/>
          <w:rtl w:val="true"/>
          <w:lang w:bidi="ar-SA"/>
        </w:rPr>
        <w:t xml:space="preserve">كتبها في جواب سائل سأله عن ذلك، مدرّجة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صلح حقّ الرجوع في الطلاق الرجعيّ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جواب مسألة سئل عنها، فرغ منها في مزرعة تندران من مزارع كرون من محالّ أصفهان في يوم الإثنين السابع من جمادي الآخرة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الاتّكال بقول النساء في انتفاء موانع النكاح فيها</w:t>
      </w:r>
    </w:p>
    <w:p>
      <w:pPr>
        <w:pStyle w:val="BookText"/>
        <w:rPr/>
      </w:pPr>
      <w:r>
        <w:rPr>
          <w:rFonts w:ascii="Amiri" w:hAnsi="Amiri" w:eastAsia="Amiri" w:cs="Amiri"/>
          <w:color w:val="111111"/>
          <w:sz w:val="28"/>
          <w:sz w:val="28"/>
          <w:szCs w:val="28"/>
          <w:rtl w:val="true"/>
          <w:lang w:bidi="ar-SA"/>
        </w:rPr>
        <w:t xml:space="preserve">صرّح بها المؤلّف قدس‌سره نفسه في مطالع أنواره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وثاقته كما حقّقناه في رسالتنا الموضوعة في جواز الاتّكال بقول المرأة في خلوّها عن موانع النكاح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ذكرها كلّ من العَلَمَين الشيخ الطهراني والسيّد الأمين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توجد نسخة منها ناقصة الآخر ضمن كتابه الكبير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مدرسة الشهيد المطهّري في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أوّلها بعد البسملة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رسالة في جواز الاتّكال بقول النساء في انتفاء موانع النكاح فيها،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النساء على ضربين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في جلد الميتة المدبوغ</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الّتي بين يديك، و سيأتي الكلام عنها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 الكتاب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ثبوت الزنا واللواط بالإقرار</w:t>
      </w:r>
    </w:p>
    <w:p>
      <w:pPr>
        <w:pStyle w:val="BookText"/>
        <w:rPr/>
      </w:pPr>
      <w:r>
        <w:rPr>
          <w:rFonts w:ascii="Amiri" w:hAnsi="Amiri" w:eastAsia="Amiri" w:cs="Amiri"/>
          <w:color w:val="111111"/>
          <w:sz w:val="28"/>
          <w:sz w:val="28"/>
          <w:szCs w:val="28"/>
          <w:rtl w:val="true"/>
          <w:lang w:bidi="ar-SA"/>
        </w:rPr>
        <w:t xml:space="preserve">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جواب مسألة سئل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شرح جواب المحقّق القمّي رحمه‌الله</w:t>
      </w:r>
    </w:p>
    <w:p>
      <w:pPr>
        <w:pStyle w:val="BookText"/>
        <w:rPr/>
      </w:pPr>
      <w:r>
        <w:rPr>
          <w:rFonts w:ascii="Amiri" w:hAnsi="Amiri" w:eastAsia="Amiri" w:cs="Amiri"/>
          <w:color w:val="111111"/>
          <w:sz w:val="28"/>
          <w:sz w:val="28"/>
          <w:szCs w:val="28"/>
          <w:rtl w:val="true"/>
          <w:lang w:bidi="ar-SA"/>
        </w:rPr>
        <w:t xml:space="preserve">شَرَح فيها جوابه عن مسألة في الطلاق في حياته و حسب أمره ؛ يذكر فيها جوابه، ثمّ إيضاح الجواب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يعبّر عنه أيضًا برسالة في طلاق مدّعى الوكالة عن الزوج مع إنكار الزوج، و رسالة في تقديم اليد على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القناة</w:t>
      </w:r>
    </w:p>
    <w:p>
      <w:pPr>
        <w:pStyle w:val="BookText"/>
        <w:rPr/>
      </w:pPr>
      <w:r>
        <w:rPr>
          <w:rFonts w:ascii="Amiri" w:hAnsi="Amiri" w:eastAsia="Amiri" w:cs="Amiri"/>
          <w:color w:val="111111"/>
          <w:sz w:val="28"/>
          <w:sz w:val="28"/>
          <w:szCs w:val="28"/>
          <w:rtl w:val="true"/>
          <w:lang w:bidi="ar-SA"/>
        </w:rPr>
        <w:t xml:space="preserve">هي رسالة فارسيّة، كتبها في جواب مسائل بعض أهالي يزد، مدرّجة في كتابه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ascii="Amiri" w:hAnsi="Amiri" w:eastAsia="Amiri" w:cs="Amiri"/>
          <w:color w:val="111111"/>
          <w:sz w:val="28"/>
          <w:sz w:val="28"/>
          <w:szCs w:val="28"/>
          <w:rtl w:val="true"/>
          <w:lang w:bidi="ar-SA"/>
        </w:rPr>
        <w:t xml:space="preserve">كتبها في جواب مَن سأله عن المسألة،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الصلاة عن الميّت</w:t>
      </w:r>
    </w:p>
    <w:p>
      <w:pPr>
        <w:pStyle w:val="BookText"/>
        <w:rPr/>
      </w:pPr>
      <w:r>
        <w:rPr>
          <w:rFonts w:ascii="Amiri" w:hAnsi="Amiri" w:eastAsia="Amiri" w:cs="Amiri"/>
          <w:color w:val="111111"/>
          <w:sz w:val="28"/>
          <w:sz w:val="28"/>
          <w:szCs w:val="28"/>
          <w:rtl w:val="true"/>
          <w:lang w:bidi="ar-SA"/>
        </w:rPr>
        <w:t xml:space="preserve">كتبها في جواب مسألة سئل عنها، مدرّجة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تحديد آية الكرسي</w:t>
      </w:r>
    </w:p>
    <w:p>
      <w:pPr>
        <w:pStyle w:val="BookText"/>
        <w:rPr/>
      </w:pPr>
      <w:r>
        <w:rPr>
          <w:rFonts w:ascii="Amiri" w:hAnsi="Amiri" w:eastAsia="Amiri" w:cs="Amiri"/>
          <w:color w:val="111111"/>
          <w:sz w:val="28"/>
          <w:sz w:val="28"/>
          <w:szCs w:val="28"/>
          <w:rtl w:val="true"/>
          <w:lang w:bidi="ar-SA"/>
        </w:rPr>
        <w:t>رسالة في جواب مَن سأل عن تحديد هذه الآية، مدرّجة في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طبعت هذه الرسالة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حوزه اصفهان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بتحقيق حفيده حجّة الإسلام والمسلمين الحاجّ السيّد مهدي الشفتيّ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كيفيّة زيارة عاشوراء</w:t>
      </w:r>
    </w:p>
    <w:p>
      <w:pPr>
        <w:pStyle w:val="BookText"/>
        <w:rPr/>
      </w:pPr>
      <w:r>
        <w:rPr>
          <w:rFonts w:ascii="Amiri" w:hAnsi="Amiri" w:eastAsia="Amiri" w:cs="Amiri"/>
          <w:color w:val="111111"/>
          <w:sz w:val="28"/>
          <w:sz w:val="28"/>
          <w:szCs w:val="28"/>
          <w:rtl w:val="true"/>
          <w:lang w:bidi="ar-SA"/>
        </w:rPr>
        <w:t xml:space="preserve">مدرّجة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قدس‌سره ؛ كتبها في جواب مَن سأله عن كيفيّة الزيارة و صلاتها، فأدرج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صلاتها ركعتان، لا أكثر، تفعلهما بعد الفراغ من اللعن والسلام والدعاء والسجدة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رسالة أخرى في هذا الموضوع لولده العلاّمة السيّد أسد اللّه قدس‌سره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بطبعها مكتبة مسجد السيّد حجّة الإسلام قدس‌سرهباصفهان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أكل التربة الحسينيّة و تعيين الحائر</w:t>
      </w:r>
    </w:p>
    <w:p>
      <w:pPr>
        <w:pStyle w:val="BookText"/>
        <w:rPr/>
      </w:pPr>
      <w:r>
        <w:rPr>
          <w:rFonts w:ascii="Amiri" w:hAnsi="Amiri" w:eastAsia="Amiri" w:cs="Amiri"/>
          <w:color w:val="111111"/>
          <w:sz w:val="28"/>
          <w:sz w:val="28"/>
          <w:szCs w:val="28"/>
          <w:rtl w:val="true"/>
          <w:lang w:bidi="ar-SA"/>
        </w:rPr>
        <w:t xml:space="preserve">مدرّجة في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قدس‌سره ؛ كتبها في جواب مسألتين سئل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هذه الرسالة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مع رسالة أخرى في هذا الموضوع لولده العلاّمة السيّد أسد اللّه قدس‌سره في مجلّد واحد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نينوا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بطبعها مكتبة مسجد السيّد حجّة الإسلام قدس‌سرهباصفهان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صيغ النكاح</w:t>
      </w:r>
    </w:p>
    <w:p>
      <w:pPr>
        <w:pStyle w:val="BookText"/>
        <w:rPr/>
      </w:pPr>
      <w:r>
        <w:rPr>
          <w:rFonts w:ascii="Amiri" w:hAnsi="Amiri" w:eastAsia="Amiri" w:cs="Amiri"/>
          <w:color w:val="111111"/>
          <w:sz w:val="28"/>
          <w:sz w:val="28"/>
          <w:szCs w:val="28"/>
          <w:rtl w:val="true"/>
          <w:lang w:bidi="ar-SA"/>
        </w:rPr>
        <w:t xml:space="preserve">هي رسالة فارسية في بيان أنحاء إجراء الصيغة و أنواع تغييراته ؛ ذكر فيها أربع عشرة صورة لصيغة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نسخة منها موجودة في مكتبة أميرالمؤمنين عليه‌السلام 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نجاسة المخالفين و عدمها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يجوز نيّة الوجوب في الوضوء قبل دخول الوقت مع اشتغال الذمّة بالقضاء و عدم ارادة الإتيان بها بذلك الوضوء، أم لا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تعريف البيع و أقسامه و شروطه</w:t>
      </w:r>
    </w:p>
    <w:p>
      <w:pPr>
        <w:pStyle w:val="BookText"/>
        <w:rPr/>
      </w:pPr>
      <w:r>
        <w:rPr>
          <w:rFonts w:ascii="Amiri" w:hAnsi="Amiri" w:eastAsia="Amiri" w:cs="Amiri"/>
          <w:color w:val="111111"/>
          <w:sz w:val="28"/>
          <w:sz w:val="28"/>
          <w:szCs w:val="28"/>
          <w:rtl w:val="true"/>
          <w:lang w:bidi="ar-SA"/>
        </w:rPr>
        <w:t xml:space="preserve">و هي ناقصة، توجد نسخة منها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حقيقة البيع و بيان أقسامه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توكيل الصبيّ المميّز</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هل ينفسخ المبايعة الخياريّة بمجرّد ردّ مثل الثمن و إرادة الفسخ من غير أن يتلفّظ بصيغة الفسخ، أم لا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نسخة منها ناقصة الآخر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وقع عقد النكاح من الأب وكالة للإبن المريض فمات قبل الدخول ما حكمه من العدّة والصداق والميراث و تزويج المرأة في العدّة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انهدم بنيان لمالكين، هل يجوز لمالك بناء التحت بعد الإحياء منع مالك الفوق من الإحياء، أم لا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أنّه إذا قتل عبد حرًّا ما حكمه</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الرسائل ونخبة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ميراث الغائب و بيان زمان التربّص</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في جواب مسألة سئل عنها، توجد ضمن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الوصل بين اسطوانين أو أسطوانات المسجد لجدار ضعيف البنيان لمصلحة إقامة الجماعة</w:t>
      </w:r>
    </w:p>
    <w:p>
      <w:pPr>
        <w:pStyle w:val="BookText"/>
        <w:rPr/>
      </w:pPr>
      <w:r>
        <w:rPr>
          <w:rFonts w:ascii="Amiri" w:hAnsi="Amiri" w:eastAsia="Amiri" w:cs="Amiri"/>
          <w:color w:val="111111"/>
          <w:sz w:val="28"/>
          <w:sz w:val="28"/>
          <w:szCs w:val="28"/>
          <w:rtl w:val="true"/>
          <w:lang w:bidi="ar-SA"/>
        </w:rPr>
        <w:t xml:space="preserve">نسخة منها موجودة ضمن مجموعة في مكتبة مركز إحياء الميراث الإسلاميّ بقمّ المقدّسة برقم </w:t>
      </w:r>
      <w:r>
        <w:rPr>
          <w:rFonts w:eastAsia="Amiri" w:cs="Amiri" w:ascii="Amiri" w:hAnsi="Amiri"/>
          <w:color w:val="111111"/>
          <w:sz w:val="28"/>
          <w:szCs w:val="28"/>
          <w:lang w:bidi="ar-SA"/>
        </w:rPr>
        <w:t>4841</w:t>
      </w:r>
      <w:r>
        <w:rPr>
          <w:rFonts w:ascii="Amiri" w:hAnsi="Amiri" w:eastAsia="Amiri" w:cs="Amiri"/>
          <w:color w:val="111111"/>
          <w:sz w:val="28"/>
          <w:sz w:val="28"/>
          <w:szCs w:val="28"/>
          <w:rtl w:val="true"/>
          <w:lang w:bidi="ar-SA"/>
        </w:rPr>
        <w:t xml:space="preserve">، مذكورة في فهرسها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سلام التحيّة في الصلاة</w:t>
      </w:r>
    </w:p>
    <w:p>
      <w:pPr>
        <w:pStyle w:val="BookText"/>
        <w:rPr/>
      </w:pPr>
      <w:r>
        <w:rPr>
          <w:rFonts w:ascii="Amiri" w:hAnsi="Amiri" w:eastAsia="Amiri" w:cs="Amiri"/>
          <w:color w:val="111111"/>
          <w:sz w:val="28"/>
          <w:sz w:val="28"/>
          <w:szCs w:val="28"/>
          <w:rtl w:val="true"/>
          <w:lang w:bidi="ar-SA"/>
        </w:rPr>
        <w:t xml:space="preserve">و هي ناقصة، توجد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توجد نسخة منها ناقصة الآخر في مكتبة أميرالمؤمنين عليه‌السلام بأصفهان برقم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أعدّ لعباده دار السلام و جعل تحيّتهم فيها سلام، والصلاة والسلام على من أرشد إلى طريق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العمليّة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بالفارسيّة، في أوّلها أصول الدين إجمالاً ؛ توجد نسخة منه في مكتبة مجلس الشورى بطهران برقم </w:t>
      </w:r>
      <w:r>
        <w:rPr>
          <w:rFonts w:eastAsia="Amiri" w:cs="Amiri" w:ascii="Amiri" w:hAnsi="Amiri"/>
          <w:color w:val="111111"/>
          <w:sz w:val="28"/>
          <w:szCs w:val="28"/>
          <w:lang w:bidi="ar-SA"/>
        </w:rPr>
        <w:t>15224</w:t>
      </w:r>
      <w:r>
        <w:rPr>
          <w:rFonts w:eastAsia="Amiri" w:cs="Amiri" w:ascii="Amiri" w:hAnsi="Amiri"/>
          <w:color w:val="111111"/>
          <w:sz w:val="28"/>
          <w:szCs w:val="28"/>
          <w:rtl w:val="true"/>
          <w:lang w:bidi="ar-SA"/>
        </w:rPr>
        <w:t xml:space="preserve"> . </w:t>
      </w:r>
      <w:bookmarkStart w:id="55" w:name="pg7350_54360"/>
    </w:p>
    <w:p>
      <w:pPr>
        <w:pStyle w:val="Heading5"/>
        <w:numPr>
          <w:ilvl w:val="4"/>
          <w:numId w:val="1"/>
        </w:numPr>
        <w:rPr/>
      </w:pPr>
      <w:bookmarkStart w:id="56" w:name="__RefHeading___Toc1190495_1051229030"/>
      <w:bookmarkStart w:id="57" w:name="_Toc22"/>
      <w:bookmarkEnd w:id="55"/>
      <w:bookmarkEnd w:id="56"/>
      <w:r>
        <w:rPr>
          <w:rtl w:val="true"/>
        </w:rPr>
        <w:t>الكتب والرسائل الحديثيّة</w:t>
      </w:r>
      <w:bookmarkEnd w:id="57"/>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الكافي</w:t>
      </w:r>
    </w:p>
    <w:p>
      <w:pPr>
        <w:pStyle w:val="BookText"/>
        <w:rPr/>
      </w:pPr>
      <w:r>
        <w:rPr>
          <w:rFonts w:ascii="Amiri" w:hAnsi="Amiri" w:eastAsia="Amiri" w:cs="Amiri"/>
          <w:color w:val="111111"/>
          <w:sz w:val="28"/>
          <w:sz w:val="28"/>
          <w:szCs w:val="28"/>
          <w:rtl w:val="true"/>
          <w:lang w:bidi="ar-SA"/>
        </w:rPr>
        <w:t>هي حواشي قليلة على كتاب الفروع من الكافي، من الطهارة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الوافي</w:t>
      </w:r>
    </w:p>
    <w:p>
      <w:pPr>
        <w:pStyle w:val="BookText"/>
        <w:rPr/>
      </w:pPr>
      <w:r>
        <w:rPr>
          <w:rFonts w:ascii="Amiri" w:hAnsi="Amiri" w:eastAsia="Amiri" w:cs="Amiri"/>
          <w:color w:val="111111"/>
          <w:sz w:val="28"/>
          <w:sz w:val="28"/>
          <w:szCs w:val="28"/>
          <w:rtl w:val="true"/>
          <w:lang w:bidi="ar-SA"/>
        </w:rPr>
        <w:t xml:space="preserve">نصّ عليها المؤلّف نفسه قدس‌سره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الحديثين المرويّين عن العترة الطاهرة عليهم‌السلام</w:t>
      </w:r>
    </w:p>
    <w:p>
      <w:pPr>
        <w:pStyle w:val="BookText"/>
        <w:rPr/>
      </w:pPr>
      <w:r>
        <w:rPr>
          <w:rFonts w:ascii="Amiri" w:hAnsi="Amiri" w:eastAsia="Amiri" w:cs="Amiri"/>
          <w:color w:val="111111"/>
          <w:sz w:val="28"/>
          <w:sz w:val="28"/>
          <w:szCs w:val="28"/>
          <w:rtl w:val="true"/>
          <w:lang w:bidi="ar-SA"/>
        </w:rPr>
        <w:t xml:space="preserve">الحديث الأوّل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سوّد اسمه في ديوان ولد سابع حشره اللّه يوم القيامة خنزيرًا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والحديث الثاني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اثنا عشر هكذا حول عرش ربّنا عزّوجلّ وفي مبتدأ خلقنا، أوّلنا محمّد وأوسطنا محمّد وآخرنا محمّد صلى‌الله‌عليه‌و‌آله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نسخة منها ضمن مجموعة في المكتبة الملّيّة بطهران برقم </w:t>
      </w:r>
      <w:r>
        <w:rPr>
          <w:rFonts w:eastAsia="Amiri" w:cs="Amiri" w:ascii="Amiri" w:hAnsi="Amiri"/>
          <w:color w:val="111111"/>
          <w:sz w:val="28"/>
          <w:szCs w:val="28"/>
          <w:lang w:bidi="ar-SA"/>
        </w:rPr>
        <w:t>4133088</w:t>
      </w:r>
      <w:r>
        <w:rPr>
          <w:rFonts w:eastAsia="Amiri" w:cs="Amiri" w:ascii="Amiri" w:hAnsi="Amiri"/>
          <w:color w:val="111111"/>
          <w:sz w:val="28"/>
          <w:szCs w:val="28"/>
          <w:rtl w:val="true"/>
          <w:lang w:bidi="ar-SA"/>
        </w:rPr>
        <w:t xml:space="preserve"> . </w:t>
      </w:r>
      <w:bookmarkStart w:id="58" w:name="pg7350_54362"/>
    </w:p>
    <w:p>
      <w:pPr>
        <w:pStyle w:val="Heading5"/>
        <w:numPr>
          <w:ilvl w:val="4"/>
          <w:numId w:val="1"/>
        </w:numPr>
        <w:rPr/>
      </w:pPr>
      <w:bookmarkStart w:id="59" w:name="__RefHeading___Toc1190497_1051229030"/>
      <w:bookmarkStart w:id="60" w:name="_Toc23"/>
      <w:bookmarkEnd w:id="58"/>
      <w:bookmarkEnd w:id="59"/>
      <w:r>
        <w:rPr>
          <w:rtl w:val="true"/>
        </w:rPr>
        <w:t>الكتب والرسائل الأصوليّة</w:t>
      </w:r>
      <w:bookmarkEnd w:id="6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ascii="Amiri" w:hAnsi="Amiri" w:eastAsia="Amiri" w:cs="Amiri"/>
          <w:color w:val="111111"/>
          <w:sz w:val="28"/>
          <w:sz w:val="28"/>
          <w:szCs w:val="28"/>
          <w:rtl w:val="true"/>
          <w:lang w:bidi="ar-SA"/>
        </w:rPr>
        <w:t xml:space="preserve">مشتمل على جمّ غفير من المسائل الأصوليّة والعربيّة و مباحث الألفاظ والمبادئ اللغويّة، في نحو من ثمانية آلاف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بعد وفاته بأمر تلميذه و صهره الآقا محمّد مهدي بن محمّد إبراهيم الكرباسي رحمهماالله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ascii="Amiri" w:hAnsi="Amiri" w:eastAsia="Amiri" w:cs="Amiri"/>
          <w:color w:val="111111"/>
          <w:sz w:val="28"/>
          <w:sz w:val="28"/>
          <w:szCs w:val="28"/>
          <w:rtl w:val="true"/>
          <w:lang w:bidi="ar-SA"/>
        </w:rPr>
        <w:t xml:space="preserve">نصّ عليها المؤلّف نفسه قدس‌سره في مطالع الأنوار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عامّ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فقه أهل البيت عليهم‌السلام، العدد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الوصول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حاشية علميّة مفصّلة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تآليف آية اللّه العلاّمة الحلّي قدس‌سره ؛ ذكرها المؤلّف قدس‌سره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البارقة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أصول معالم الدين</w:t>
      </w:r>
    </w:p>
    <w:p>
      <w:pPr>
        <w:pStyle w:val="BookText"/>
        <w:rPr/>
      </w:pPr>
      <w:r>
        <w:rPr>
          <w:rFonts w:ascii="Amiri" w:hAnsi="Amiri" w:eastAsia="Amiri" w:cs="Amiri"/>
          <w:color w:val="111111"/>
          <w:sz w:val="28"/>
          <w:sz w:val="28"/>
          <w:szCs w:val="28"/>
          <w:rtl w:val="true"/>
          <w:lang w:bidi="ar-SA"/>
        </w:rPr>
        <w:t xml:space="preserve">هي تعليقات مدوّنة بمنزلة شرح مبسوط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الشهيد الثاني ؛ ذكرها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الاجتهاد والتقليد</w:t>
      </w:r>
    </w:p>
    <w:p>
      <w:pPr>
        <w:pStyle w:val="BookText"/>
        <w:rPr/>
      </w:pPr>
      <w:r>
        <w:rPr>
          <w:rFonts w:ascii="Amiri" w:hAnsi="Amiri" w:eastAsia="Amiri" w:cs="Amiri"/>
          <w:color w:val="111111"/>
          <w:sz w:val="28"/>
          <w:sz w:val="28"/>
          <w:szCs w:val="28"/>
          <w:rtl w:val="true"/>
          <w:lang w:bidi="ar-SA"/>
        </w:rPr>
        <w:t xml:space="preserve">قال المحقّق الطهراني رحمه‌الله في الذريعة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التقليد في مسائل التقليد، لحجّة الإسلام الحاج السيّد محمّد باقر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بها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ينقل عباراتها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رآها الميرزا عبدالوهّاب القزوينيّ قدس‌سره، كتب في ردّها 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المسترشدين في حكم التقليد للعوام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61" w:name="pg7350_54366"/>
    </w:p>
    <w:p>
      <w:pPr>
        <w:pStyle w:val="Heading5"/>
        <w:numPr>
          <w:ilvl w:val="4"/>
          <w:numId w:val="1"/>
        </w:numPr>
        <w:rPr/>
      </w:pPr>
      <w:bookmarkStart w:id="62" w:name="__RefHeading___Toc1190499_1051229030"/>
      <w:bookmarkStart w:id="63" w:name="_Toc24"/>
      <w:bookmarkEnd w:id="61"/>
      <w:bookmarkEnd w:id="62"/>
      <w:r>
        <w:rPr>
          <w:rtl w:val="true"/>
        </w:rPr>
        <w:t>الكتب والرسائل الرجاليّة</w:t>
      </w:r>
      <w:bookmarkEnd w:id="63"/>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الرجال</w:t>
      </w:r>
    </w:p>
    <w:p>
      <w:pPr>
        <w:pStyle w:val="BookText"/>
        <w:rPr/>
      </w:pPr>
      <w:r>
        <w:rPr>
          <w:rFonts w:ascii="Amiri" w:hAnsi="Amiri" w:eastAsia="Amiri" w:cs="Amiri"/>
          <w:color w:val="111111"/>
          <w:sz w:val="28"/>
          <w:sz w:val="28"/>
          <w:szCs w:val="28"/>
          <w:rtl w:val="true"/>
          <w:lang w:bidi="ar-SA"/>
        </w:rPr>
        <w:t xml:space="preserve">هي تعليقات مختصرة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الطوسي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الفهرست</w:t>
      </w:r>
    </w:p>
    <w:p>
      <w:pPr>
        <w:pStyle w:val="BookText"/>
        <w:rPr/>
      </w:pPr>
      <w:r>
        <w:rPr>
          <w:rFonts w:ascii="Amiri" w:hAnsi="Amiri" w:eastAsia="Amiri" w:cs="Amiri"/>
          <w:color w:val="111111"/>
          <w:sz w:val="28"/>
          <w:sz w:val="28"/>
          <w:szCs w:val="28"/>
          <w:rtl w:val="true"/>
          <w:lang w:bidi="ar-SA"/>
        </w:rPr>
        <w:t xml:space="preserve">انّها تعليقات مختصرة غير مدوّنة على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خلاصة الأقوال</w:t>
      </w:r>
    </w:p>
    <w:p>
      <w:pPr>
        <w:pStyle w:val="BookText"/>
        <w:rPr/>
      </w:pPr>
      <w:r>
        <w:rPr>
          <w:rFonts w:ascii="Amiri" w:hAnsi="Amiri" w:eastAsia="Amiri" w:cs="Amiri"/>
          <w:color w:val="111111"/>
          <w:sz w:val="28"/>
          <w:sz w:val="28"/>
          <w:szCs w:val="28"/>
          <w:rtl w:val="true"/>
          <w:lang w:bidi="ar-SA"/>
        </w:rPr>
        <w:t xml:space="preserve">صرّح بها في حاشية المجلّد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أبان بن عثمان و أصحاب الإجماع</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رسالتان في تحقيق حال إبراهيم بن هاشم القمّي </w:t>
      </w:r>
      <w:r>
        <w:rPr>
          <w:rStyle w:val="FootnoteAnchor"/>
          <w:rtl w:val="true"/>
        </w:rPr>
        <w:footnoteReference w:id="6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الخبير البصير إلى تحقيق الحال في أبي بصير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خالد البرقي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أحمد بن محمّد بن عيسى الأشعري</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إسحاق بن عمّار الساباطي</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حسين بن خالد</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حماد بن عيسى الجهني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سهل بن زياد الآدمي الرازي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شهاب بن عبد ربّه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عبدالحميد بن سالم العطّار وولده محمّد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عمر بن يزيد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تعيين محمّد بن اسماعيل الواقع في صدر بعض أسانيد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66"/>
      </w:r>
      <w:bookmarkStart w:id="64" w:name="pg7350_54370"/>
    </w:p>
    <w:p>
      <w:pPr>
        <w:pStyle w:val="BookText"/>
        <w:rPr/>
      </w:pPr>
      <w:bookmarkEnd w:id="64"/>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أحمد الراوي عن العمركي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خالد البرقي</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تحقيق حال محمّد بن سنان</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الفضيل</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حال محمّد بن عيسى اليقطيني</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بيان أشخاص الّذين لقّبوا بما جيلويه</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الحال في معاوية بن شريح و معاوية بن ميسرة وأنّهما واحد</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بيان العدّة المتكرّرة في أسانيد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أكثر هذه الرسائل في مجلّد واحد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بتحقيق الحجّة الحاج 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بطبعها مكتبة مسجد السيّد حجّة الإسلام الشفتي قدس‌سره بأصفهان </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190501_1051229030"/>
      <w:bookmarkStart w:id="66" w:name="_Toc25"/>
      <w:bookmarkEnd w:id="65"/>
      <w:r>
        <w:rPr>
          <w:rtl w:val="true"/>
        </w:rPr>
        <w:t>الكتب والرسائل المتفرّقة</w:t>
      </w:r>
      <w:bookmarkEnd w:id="66"/>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أصول الدين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فارسية، في عدّة أبواب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w:t>
      </w:r>
    </w:p>
    <w:p>
      <w:pPr>
        <w:pStyle w:val="BookText"/>
        <w:rPr/>
      </w:pPr>
      <w:r>
        <w:rPr>
          <w:rFonts w:ascii="Amiri" w:hAnsi="Amiri" w:eastAsia="Amiri" w:cs="Amiri"/>
          <w:color w:val="111111"/>
          <w:sz w:val="28"/>
          <w:sz w:val="28"/>
          <w:szCs w:val="28"/>
          <w:rtl w:val="true"/>
          <w:lang w:bidi="ar-SA"/>
        </w:rPr>
        <w:t xml:space="preserve">الفارسي، عن بعض عقائد الشيخيّة، طبع أوّلاً بعد وفاته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كما ذكره صاحب الذريعة </w:t>
      </w:r>
      <w:r>
        <w:rPr>
          <w:rStyle w:val="FootnoteAnchor"/>
          <w:rtl w:val="true"/>
        </w:rPr>
        <w:footnoteReference w:id="68"/>
      </w:r>
      <w:r>
        <w:rPr>
          <w:rFonts w:ascii="Amiri" w:hAnsi="Amiri" w:eastAsia="Amiri" w:cs="Amiri"/>
          <w:color w:val="111111"/>
          <w:sz w:val="28"/>
          <w:sz w:val="28"/>
          <w:szCs w:val="28"/>
          <w:rtl w:val="true"/>
          <w:lang w:bidi="ar-SA"/>
        </w:rPr>
        <w:t xml:space="preserve">؛ و قد طبع ثانيًا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طباعة حروفيّة محقّقة، قامت بتحقيقه و طبعه مكتبة مسجد 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أنّ المراد من الطعام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pStyle w:val="BookText"/>
        <w:rPr/>
      </w:pPr>
      <w:r>
        <w:rPr>
          <w:rFonts w:ascii="Amiri" w:hAnsi="Amiri" w:eastAsia="Amiri" w:cs="Amiri"/>
          <w:color w:val="111111"/>
          <w:sz w:val="28"/>
          <w:sz w:val="28"/>
          <w:szCs w:val="28"/>
          <w:rtl w:val="true"/>
          <w:lang w:bidi="ar-SA"/>
        </w:rPr>
        <w:t xml:space="preserve">كتبها في جواب مسألة سئل عنها، توجد ضمن مجموعة لطيفة من رسائل المصنّف قدس‌سره 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الرسائل و نخبة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من جمع بعض تلامذته ؛ نسخة منها موجودة في مكتبة أميرالمؤمنين عليه‌السلام بأصفهان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BookText"/>
        <w:rPr/>
      </w:pPr>
      <w:r>
        <w:rPr>
          <w:rFonts w:ascii="Amiri" w:hAnsi="Amiri" w:eastAsia="Amiri" w:cs="Amiri"/>
          <w:color w:val="111111"/>
          <w:sz w:val="28"/>
          <w:sz w:val="28"/>
          <w:szCs w:val="28"/>
          <w:rtl w:val="true"/>
          <w:lang w:bidi="ar-SA"/>
        </w:rPr>
        <w:t xml:space="preserve">هي تعليقات مدوّنة بمنزلة شرح مبسوط على شرح الفاضل السيوطي على ألفيّة النحو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ألّفها في جزءين، قامت بطبع الجزء الأوّل منها مكتبة مسجد السيّد باصفهان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67" w:name="pg7350_54374"/>
    </w:p>
    <w:p>
      <w:pPr>
        <w:pStyle w:val="Heading4"/>
        <w:numPr>
          <w:ilvl w:val="3"/>
          <w:numId w:val="1"/>
        </w:numPr>
        <w:rPr/>
      </w:pPr>
      <w:bookmarkStart w:id="68" w:name="__RefHeading___Toc1190503_1051229030"/>
      <w:bookmarkStart w:id="69" w:name="_Toc26"/>
      <w:bookmarkEnd w:id="67"/>
      <w:bookmarkEnd w:id="68"/>
      <w:r>
        <w:rPr>
          <w:rtl w:val="true"/>
        </w:rPr>
        <w:t>وفاته و مرقده</w:t>
      </w:r>
      <w:bookmarkEnd w:id="69"/>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اول حمل و دويم ربيع دويم زدامگاه جهان شد بسوى دار سلامبلفظ تازى تاريخ رحلتش گفتم چو بشمرى مأتين است و ألف و ستّين 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 الأقوال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دفن بعد ثلاثة أيّام من وفاته في البقعة الّتي بناها لنفسه في جانب مسجده الكبير باصبهان، و هي الآن مشهد معروف و مزار متبرّك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الچهارسوقي قدس‌سره في الروضات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مثل يوم وفاته، يوم عظيم، ملأت زقاق البلد من أفواج الأنام رجالاً ونساءًا، يبكون عليه بكاء الفاقد والده الرحيم و مشفقه الكريم، بحيث كان همهمة الخلايق تسمع من وراء البلد، و غسل في بيته </w:t>
      </w:r>
    </w:p>
    <w:p>
      <w:pPr>
        <w:pStyle w:val="BookText"/>
        <w:rPr/>
      </w:pPr>
      <w:r>
        <w:rPr>
          <w:rFonts w:ascii="Amiri" w:hAnsi="Amiri" w:eastAsia="Amiri" w:cs="Amiri"/>
          <w:color w:val="111111"/>
          <w:sz w:val="28"/>
          <w:sz w:val="28"/>
          <w:szCs w:val="28"/>
          <w:rtl w:val="true"/>
          <w:lang w:bidi="ar-SA"/>
        </w:rPr>
        <w:t xml:space="preserve">الشريف، ثمّ أتى به إلى المسجد، فصلّى عليه ولده الأفضل وخلفه الأسعد الأرشد والفقيه الأوحد والحبر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سيّدنا السيّد أسد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العجائب اتّفاق فراغه من التحصيل و مراجعته من النجف الأشرف بإصرار والده الجليل في سنة وفاته، و مسارعة روحه المطهّر إلى جنّاته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أنشدت قصيدة طويلة في مرثيته بالعربيّة، و مطلعها كما يمرّ بالنظر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العزاء و هذه الزفرات ما هي في الزمر</w:t>
      </w:r>
    </w:p>
    <w:p>
      <w:pPr>
        <w:pStyle w:val="BookText"/>
        <w:rPr/>
      </w:pPr>
      <w:r>
        <w:rPr>
          <w:rFonts w:ascii="Amiri" w:hAnsi="Amiri" w:eastAsia="Amiri" w:cs="Amiri"/>
          <w:color w:val="111111"/>
          <w:sz w:val="28"/>
          <w:sz w:val="28"/>
          <w:szCs w:val="28"/>
          <w:rtl w:val="true"/>
          <w:lang w:bidi="ar-SA"/>
        </w:rPr>
        <w:t>تبكي السماء و في الأرض الفساد به ظهر</w:t>
      </w:r>
    </w:p>
    <w:p>
      <w:pPr>
        <w:pStyle w:val="BookText"/>
        <w:rPr/>
      </w:pPr>
      <w:r>
        <w:rPr>
          <w:rFonts w:ascii="Amiri" w:hAnsi="Amiri" w:eastAsia="Amiri" w:cs="Amiri"/>
          <w:color w:val="111111"/>
          <w:sz w:val="28"/>
          <w:sz w:val="28"/>
          <w:szCs w:val="28"/>
          <w:rtl w:val="true"/>
          <w:lang w:bidi="ar-SA"/>
        </w:rPr>
        <w:t>و جرت عيون الدمع من صمّ الجبال و حاولت</w:t>
      </w:r>
    </w:p>
    <w:p>
      <w:pPr>
        <w:pStyle w:val="BookText"/>
        <w:rPr/>
      </w:pPr>
      <w:r>
        <w:rPr>
          <w:rFonts w:ascii="Amiri" w:hAnsi="Amiri" w:eastAsia="Amiri" w:cs="Amiri"/>
          <w:color w:val="111111"/>
          <w:sz w:val="28"/>
          <w:sz w:val="28"/>
          <w:szCs w:val="28"/>
          <w:rtl w:val="true"/>
          <w:lang w:bidi="ar-SA"/>
        </w:rPr>
        <w:t>لتزول وانشقّت جيوب الصبر واشتمل الضرر</w:t>
      </w:r>
    </w:p>
    <w:p>
      <w:pPr>
        <w:pStyle w:val="BookText"/>
        <w:rPr/>
      </w:pPr>
      <w:r>
        <w:rPr>
          <w:rFonts w:ascii="Amiri" w:hAnsi="Amiri" w:eastAsia="Amiri" w:cs="Amiri"/>
          <w:color w:val="111111"/>
          <w:sz w:val="28"/>
          <w:sz w:val="28"/>
          <w:szCs w:val="28"/>
          <w:rtl w:val="true"/>
          <w:lang w:bidi="ar-SA"/>
        </w:rPr>
        <w:t>واغبرّت الآفاق واختلّ السياق بأسره</w:t>
      </w:r>
    </w:p>
    <w:p>
      <w:pPr>
        <w:pStyle w:val="BookText"/>
        <w:rPr/>
      </w:pPr>
      <w:r>
        <w:rPr>
          <w:rFonts w:ascii="Amiri" w:hAnsi="Amiri" w:eastAsia="Amiri" w:cs="Amiri"/>
          <w:color w:val="111111"/>
          <w:sz w:val="28"/>
          <w:sz w:val="28"/>
          <w:szCs w:val="28"/>
          <w:rtl w:val="true"/>
          <w:lang w:bidi="ar-SA"/>
        </w:rPr>
        <w:t>و تغيّرت شمس المشارق منه وانخسف القمر</w:t>
      </w:r>
    </w:p>
    <w:p>
      <w:pPr>
        <w:pStyle w:val="BookText"/>
        <w:rPr/>
      </w:pPr>
      <w:r>
        <w:rPr>
          <w:rFonts w:ascii="Amiri" w:hAnsi="Amiri" w:eastAsia="Amiri" w:cs="Amiri"/>
          <w:color w:val="111111"/>
          <w:sz w:val="28"/>
          <w:sz w:val="28"/>
          <w:szCs w:val="28"/>
          <w:rtl w:val="true"/>
          <w:lang w:bidi="ar-SA"/>
        </w:rPr>
        <w:t>ما أكثر الحزن الجديد و أكبر الهول الشديد</w:t>
      </w:r>
    </w:p>
    <w:p>
      <w:pPr>
        <w:pStyle w:val="BookText"/>
        <w:rPr/>
      </w:pPr>
      <w:r>
        <w:rPr>
          <w:rFonts w:ascii="Amiri" w:hAnsi="Amiri" w:eastAsia="Amiri" w:cs="Amiri"/>
          <w:color w:val="111111"/>
          <w:sz w:val="28"/>
          <w:sz w:val="28"/>
          <w:szCs w:val="28"/>
          <w:rtl w:val="true"/>
          <w:lang w:bidi="ar-SA"/>
        </w:rPr>
        <w:t>و أعظم الرزء المفخّم في الخلائق للبشر</w:t>
      </w:r>
    </w:p>
    <w:p>
      <w:pPr>
        <w:pStyle w:val="BookText"/>
        <w:rPr/>
      </w:pPr>
      <w:r>
        <w:rPr>
          <w:rFonts w:ascii="Amiri" w:hAnsi="Amiri" w:eastAsia="Amiri" w:cs="Amiri"/>
          <w:color w:val="111111"/>
          <w:sz w:val="28"/>
          <w:sz w:val="28"/>
          <w:szCs w:val="28"/>
          <w:rtl w:val="true"/>
          <w:lang w:bidi="ar-SA"/>
        </w:rPr>
        <w:t>من فقد سيّدنا الإمام الباقر العلم الّذي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جلّت عن العدّ المحامد منه و الكرامات الكبر </w:t>
      </w:r>
    </w:p>
    <w:p>
      <w:pPr>
        <w:pStyle w:val="BookText"/>
        <w:rPr/>
      </w:pPr>
      <w:r>
        <w:rPr>
          <w:rFonts w:ascii="Amiri" w:hAnsi="Amiri" w:eastAsia="Amiri" w:cs="Amiri"/>
          <w:color w:val="111111"/>
          <w:sz w:val="28"/>
          <w:sz w:val="28"/>
          <w:szCs w:val="28"/>
          <w:rtl w:val="true"/>
          <w:lang w:bidi="ar-SA"/>
        </w:rPr>
        <w:t>بكّاء جوف الليل من خوف الإله و مقتدى</w:t>
      </w:r>
    </w:p>
    <w:p>
      <w:pPr>
        <w:pStyle w:val="BookText"/>
        <w:rPr/>
      </w:pPr>
      <w:r>
        <w:rPr>
          <w:rFonts w:ascii="Amiri" w:hAnsi="Amiri" w:eastAsia="Amiri" w:cs="Amiri"/>
          <w:color w:val="111111"/>
          <w:sz w:val="28"/>
          <w:sz w:val="28"/>
          <w:szCs w:val="28"/>
          <w:rtl w:val="true"/>
          <w:lang w:bidi="ar-SA"/>
        </w:rPr>
        <w:t>طول النهار على نيابته الإمام المنتظر</w:t>
      </w:r>
    </w:p>
    <w:p>
      <w:pPr>
        <w:pStyle w:val="BookText"/>
        <w:rPr/>
      </w:pPr>
      <w:r>
        <w:rPr>
          <w:rFonts w:ascii="Amiri" w:hAnsi="Amiri" w:eastAsia="Amiri" w:cs="Amiri"/>
          <w:color w:val="111111"/>
          <w:sz w:val="28"/>
          <w:sz w:val="28"/>
          <w:szCs w:val="28"/>
          <w:rtl w:val="true"/>
          <w:lang w:bidi="ar-SA"/>
        </w:rPr>
        <w:t xml:space="preserve">إلى تمام ثمانين بيتًا تقريبًا، و يقول في آخرها مؤرّخًا لوفاته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طبعي القرم عن تأريخ رحلته</w:t>
      </w:r>
    </w:p>
    <w:p>
      <w:pPr>
        <w:pStyle w:val="BookText"/>
        <w:rPr/>
      </w:pPr>
      <w:r>
        <w:rPr>
          <w:rFonts w:ascii="Amiri" w:hAnsi="Amiri" w:eastAsia="Amiri" w:cs="Amiri"/>
          <w:color w:val="111111"/>
          <w:sz w:val="28"/>
          <w:sz w:val="28"/>
          <w:szCs w:val="28"/>
          <w:rtl w:val="true"/>
          <w:lang w:bidi="ar-SA"/>
        </w:rPr>
        <w:t xml:space="preserve">فجرّ ذيلاً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أنزله كريم المستقرّ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 </w:t>
      </w:r>
      <w:bookmarkStart w:id="70" w:name="pg7350_54380"/>
    </w:p>
    <w:p>
      <w:pPr>
        <w:pStyle w:val="Heading3"/>
        <w:numPr>
          <w:ilvl w:val="2"/>
          <w:numId w:val="1"/>
        </w:numPr>
        <w:rPr/>
      </w:pPr>
      <w:bookmarkStart w:id="71" w:name="__RefHeading___Toc1190505_1051229030"/>
      <w:bookmarkStart w:id="72" w:name="_Toc27"/>
      <w:bookmarkEnd w:id="70"/>
      <w:bookmarkEnd w:id="71"/>
      <w:r>
        <w:rPr/>
        <w:t>2</w:t>
      </w:r>
      <w:r>
        <w:rPr>
          <w:rtl w:val="true"/>
        </w:rPr>
        <w:t xml:space="preserve"> - </w:t>
      </w:r>
      <w:r>
        <w:rPr>
          <w:rtl w:val="true"/>
        </w:rPr>
        <w:t>بين يدي الكتاب</w:t>
      </w:r>
      <w:bookmarkEnd w:id="72"/>
    </w:p>
    <w:p>
      <w:pPr>
        <w:pStyle w:val="BookText"/>
        <w:rPr/>
      </w:pPr>
      <w:r>
        <w:rPr>
          <w:rFonts w:ascii="Amiri" w:hAnsi="Amiri" w:eastAsia="Amiri" w:cs="Amiri"/>
          <w:color w:val="111111"/>
          <w:sz w:val="28"/>
          <w:sz w:val="28"/>
          <w:szCs w:val="28"/>
          <w:rtl w:val="true"/>
          <w:lang w:bidi="ar-SA"/>
        </w:rPr>
        <w:t xml:space="preserve">كتابنا الحاضر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كبيرة استدلاليّة، كتبها المصنّف قدس‌سره في جواب السؤال عن حكم الصلاة في جلد الميتة المدبوغ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الصلاة في جلد الميتة المدبوغ ولو كانت ممّا يؤكل لحمه ؟ و هل تجوز في الجلود الموجودة في أسواق المسلمين إذا كانت مأخوذة من يد المسلم ولو كان ممّن يستحلّ الاستعمال بالدباغة لو كانت من الميتة، أو ممّن يقول بحلّيّة ذبائح أهل الكتاب، أم لا ؟</w:t>
      </w:r>
    </w:p>
    <w:p>
      <w:pPr>
        <w:pStyle w:val="BookText"/>
        <w:rPr/>
      </w:pPr>
      <w:r>
        <w:rPr>
          <w:rFonts w:ascii="Amiri" w:hAnsi="Amiri" w:eastAsia="Amiri" w:cs="Amiri"/>
          <w:color w:val="111111"/>
          <w:sz w:val="28"/>
          <w:sz w:val="28"/>
          <w:szCs w:val="28"/>
          <w:rtl w:val="true"/>
          <w:lang w:bidi="ar-SA"/>
        </w:rPr>
        <w:t xml:space="preserve">بيّن المؤلّف قدس‌سره في الجواب حكم المسألة بجميع شؤونها مع فروع حسنة تتعلّق بها، و أدرج فيها تحقيقات رشيقة و فوائد نافعة مفيدة تنبئ عن دقّة نظره و غوره، واستوفى فيها إنصافًا حقّ الاستدلال والتحليل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هذا ممّا يدلّ على طول باعه و تبحّره في المباحث الفقهيّة، جزاه اللّه تعالى عن الإسلام وأهله خير الجزاء </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350_54384"/>
      <w:bookmarkStart w:id="74" w:name="pg7350_54384"/>
      <w:bookmarkEnd w:id="74"/>
    </w:p>
    <w:p>
      <w:pPr>
        <w:pStyle w:val="Heading3"/>
        <w:numPr>
          <w:ilvl w:val="2"/>
          <w:numId w:val="1"/>
        </w:numPr>
        <w:rPr/>
      </w:pPr>
      <w:bookmarkStart w:id="75" w:name="pg7350_54384"/>
      <w:bookmarkStart w:id="76" w:name="__RefHeading___Toc1190507_1051229030"/>
      <w:bookmarkStart w:id="77" w:name="_Toc28"/>
      <w:bookmarkEnd w:id="75"/>
      <w:bookmarkEnd w:id="76"/>
      <w:r>
        <w:rPr/>
        <w:t>3</w:t>
      </w:r>
      <w:r>
        <w:rPr>
          <w:rtl w:val="true"/>
        </w:rPr>
        <w:t xml:space="preserve"> - </w:t>
      </w:r>
      <w:r>
        <w:rPr>
          <w:rtl w:val="true"/>
        </w:rPr>
        <w:t>منهجنا في التحقيق</w:t>
      </w:r>
      <w:bookmarkEnd w:id="77"/>
    </w:p>
    <w:p>
      <w:pPr>
        <w:pStyle w:val="BookText"/>
        <w:rPr/>
      </w:pPr>
      <w:r>
        <w:rPr>
          <w:rFonts w:ascii="Amiri" w:hAnsi="Amiri" w:eastAsia="Amiri" w:cs="Amiri"/>
          <w:color w:val="111111"/>
          <w:sz w:val="28"/>
          <w:sz w:val="28"/>
          <w:szCs w:val="28"/>
          <w:rtl w:val="true"/>
          <w:lang w:bidi="ar-SA"/>
        </w:rPr>
        <w:t xml:space="preserve">مع الأسف لا توجد من هذه الرسالة إلاّ نسخة واحدة ضمن نسخة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قدس‌سره، الموجودة في مكتبة شيخنا العلاّمة المحقّق آية اللّه الحاجّ السيّد محمّد علي الروضاتي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أحفاد صاحب</w:t>
      </w:r>
    </w:p>
    <w:p>
      <w:pPr>
        <w:pStyle w:val="BookText"/>
        <w:rPr/>
      </w:pP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مقامهما و أسكنهما في غرفات الجنّات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فاعتمدنا في التحقيق عليها، و كان منهج التحقيق وفق المراحل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 النصّ و تقويمه و ترقيمه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الآيات القرآنيّة والأحاديث الشريفة و كلمات الفقهاء الّتي نقلها المؤلّف من مصادرها الّتي ذكرها إن وجدت، و إلاّ فمن مصادر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 إلى فقرات و مقاطع مع إضافة بعض العناوين المناسبة بين قوسين معقوفين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المواضع المشكلة والعبارات المبهمة، و شرح بعض اللغات الغريبة الواردة في المتن مع الاستعانة بكتب اللغة و معاجم العربيّة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بذلنا قصارى جهدنا في تحقيق هذا السفر القيّم وإخراجه إلى عالم النور، فما وجد فيه من خلل أو خطأ فهو عن قصور لا 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نسأل اللّه تعالى أن يتقبّل منّا هذا القليل بقبول حسن، و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يوفّقنا لإحياء تراث أهل البيت عليهم‌السلام و علمائنا الأبرار، خصوصًا بقيّة آثار جدّنا الأمجد الأسعد العلاّمة المحقّق الفقيه الأصوليّ الأوحد السيّد محمّد باقر الشفتيّ،</w:t>
      </w:r>
    </w:p>
    <w:p>
      <w:pPr>
        <w:pStyle w:val="BookText"/>
        <w:rPr/>
      </w:pPr>
      <w:r>
        <w:rPr>
          <w:rFonts w:ascii="Amiri" w:hAnsi="Amiri" w:eastAsia="Amiri" w:cs="Amiri"/>
          <w:color w:val="111111"/>
          <w:sz w:val="28"/>
          <w:sz w:val="28"/>
          <w:szCs w:val="28"/>
          <w:rtl w:val="true"/>
          <w:lang w:bidi="ar-SA"/>
        </w:rPr>
        <w:t xml:space="preserve">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لجزيل خدماته المباركة في إحياء الشريعة الغرّاء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والصلاة والسلام على محمّد وأهل بيته الطيّبين الطاهرين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السيّد محمّد الرضا الشفتيّ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الحدثان </w:t>
      </w:r>
      <w:r>
        <w:rPr>
          <w:rFonts w:eastAsia="IRNazanin" w:cs="IRNazanin"/>
          <w:color w:val="111111"/>
          <w:sz w:val="28"/>
          <w:szCs w:val="28"/>
          <w:rtl w:val="true"/>
          <w:lang w:bidi="fa-IR"/>
        </w:rPr>
        <w:t xml:space="preserve">- </w:t>
      </w:r>
      <w:bookmarkStart w:id="78" w:name="pg7350_54388"/>
    </w:p>
    <w:p>
      <w:pPr>
        <w:pStyle w:val="Heading2"/>
        <w:numPr>
          <w:ilvl w:val="1"/>
          <w:numId w:val="1"/>
        </w:numPr>
        <w:rPr/>
      </w:pPr>
      <w:bookmarkStart w:id="79" w:name="__RefHeading___Toc1190509_1051229030"/>
      <w:bookmarkStart w:id="80" w:name="_Toc29"/>
      <w:bookmarkEnd w:id="78"/>
      <w:bookmarkEnd w:id="79"/>
      <w:r>
        <w:rPr>
          <w:rtl w:val="true"/>
        </w:rPr>
        <w:t>رسالة في حكم الصلاة في جلد الميتة المدبوغ</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190511_1051229030"/>
      <w:bookmarkStart w:id="82" w:name="_Toc30"/>
      <w:bookmarkEnd w:id="81"/>
      <w:r>
        <w:rPr>
          <w:rtl w:val="true"/>
        </w:rPr>
        <w:t>اشارة</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350_54392"/>
      <w:bookmarkStart w:id="84" w:name="pg7350_54392"/>
      <w:bookmarkEnd w:id="84"/>
    </w:p>
    <w:p>
      <w:pPr>
        <w:pStyle w:val="BookText"/>
        <w:rPr/>
      </w:pPr>
      <w:bookmarkStart w:id="85" w:name="pg7350_54392"/>
      <w:bookmarkEnd w:id="8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6" w:name="__RefHeading___Toc1190513_1051229030"/>
      <w:bookmarkStart w:id="87" w:name="_Toc31"/>
      <w:bookmarkEnd w:id="86"/>
      <w:r>
        <w:rPr>
          <w:rtl w:val="true"/>
        </w:rPr>
        <w:t>لاتجوز الصلاة في جلد الميتة ولو كانت ممّا يؤكل لحمه و دبغ سبعین مرّة</w:t>
      </w:r>
      <w:bookmarkEnd w:id="87"/>
    </w:p>
    <w:p>
      <w:pPr>
        <w:pStyle w:val="Heading4"/>
        <w:numPr>
          <w:ilvl w:val="3"/>
          <w:numId w:val="1"/>
        </w:numPr>
        <w:rPr/>
      </w:pPr>
      <w:bookmarkStart w:id="88" w:name="__RefHeading___Toc1190515_1051229030"/>
      <w:bookmarkStart w:id="89" w:name="_Toc32"/>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يجوز الصلاة في جلد الميتة المدبوغ ولو كانت ممّا يؤكل لحمه ؟ وهل تجوز في الجلود الموجودة في أسواق المسلمين إذا كانت مأخوذة من يد المسلم ولو كان ممّن يستحلّ الاستعمال بالدباغة لو كانت من الميتة، أو ممّن يقول بحلّيّة ذبائح أهل الكتاب، أم لا ؟</w:t>
      </w:r>
    </w:p>
    <w:p>
      <w:pPr>
        <w:pStyle w:val="BookText"/>
        <w:rPr/>
      </w:pPr>
      <w:r>
        <w:rPr>
          <w:rFonts w:ascii="Amiri" w:hAnsi="Amiri" w:eastAsia="Amiri" w:cs="Amiri"/>
          <w:color w:val="111111"/>
          <w:sz w:val="28"/>
          <w:sz w:val="28"/>
          <w:szCs w:val="28"/>
          <w:rtl w:val="true"/>
          <w:lang w:bidi="ar-SA"/>
        </w:rPr>
        <w:t>والمرجوّ من إفاضات جنابكم والمأمول من ألطاف خدامكم شرح ما ذكر في السؤال و تفصيل الأحكام والأقوال، أدام اللّه تعالى بقاءكم العالي و خلّد ظلالكم المتعالي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المرام و تحقيق الحال في المقام يحتاج إلى بسط و شرح في الكلام،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الصلاة في جلد الميتة ولو كانت ممّا يؤكل لحمه ودبغ سبعين 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الخلاف عليه الإجماع </w:t>
      </w:r>
      <w:r>
        <w:rPr>
          <w:rStyle w:val="FootnoteAnchor"/>
          <w:rtl w:val="true"/>
        </w:rPr>
        <w:footnoteReference w:id="72"/>
      </w:r>
      <w:r>
        <w:rPr>
          <w:rFonts w:ascii="Amiri" w:hAnsi="Amiri" w:eastAsia="Amiri" w:cs="Amiri"/>
          <w:color w:val="111111"/>
          <w:sz w:val="28"/>
          <w:sz w:val="28"/>
          <w:szCs w:val="28"/>
          <w:rtl w:val="true"/>
          <w:lang w:bidi="ar-SA"/>
        </w:rPr>
        <w:t xml:space="preserve">، و في المعتبر والمنتهى والتذكرة و نهاية الإحكام هو مذهب علمائنا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لايجوز </w:t>
      </w:r>
      <w:r>
        <w:rPr>
          <w:rStyle w:val="FootnoteAnchor"/>
          <w:rtl w:val="true"/>
        </w:rPr>
        <w:footnoteReference w:id="73"/>
      </w:r>
      <w:r>
        <w:rPr>
          <w:rFonts w:ascii="Amiri" w:hAnsi="Amiri" w:eastAsia="Amiri" w:cs="Amiri"/>
          <w:color w:val="111111"/>
          <w:sz w:val="28"/>
          <w:sz w:val="28"/>
          <w:szCs w:val="28"/>
          <w:rtl w:val="true"/>
          <w:lang w:bidi="ar-SA"/>
        </w:rPr>
        <w:t xml:space="preserve">الصلاة في جلد الميتة و لو دبغ، و هو مذهب علمائنا أجمع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لايجوز الصلاة في جلد الميتة، ذهب إليه علماؤنا أجمع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فرق في التحريم بين المدبوغ و غيره، لأنّا قد بيّنا فيما مضى أنّ الدباغ لايطهّر الميتة، و هو مذهب علمائنا أجمع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الصلاة في كلّ ثوب متّخذ من النباتات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جلد ما يؤكل لحمه مع التذكية لا بدونها، وإن دبغ، عند علمائناأجمع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يقرب منه ما ذكره في الرابع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هذه العبارات كغيرها انتفاء الخلاف في المسألة عندنا، لكنّ الظاهر من شيخنا الشهيد في الذكرى خلافه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w:t>
      </w:r>
      <w:r>
        <w:rPr>
          <w:rStyle w:val="FootnoteAnchor"/>
          <w:rtl w:val="true"/>
        </w:rPr>
        <w:footnoteReference w:id="78"/>
      </w:r>
      <w:r>
        <w:rPr>
          <w:rFonts w:ascii="Amiri" w:hAnsi="Amiri" w:eastAsia="Amiri" w:cs="Amiri"/>
          <w:color w:val="111111"/>
          <w:sz w:val="28"/>
          <w:sz w:val="28"/>
          <w:szCs w:val="28"/>
          <w:rtl w:val="true"/>
          <w:lang w:bidi="ar-SA"/>
        </w:rPr>
        <w:t xml:space="preserve">الصلاة في كلّ ما يستر العورة عدا أمور،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الميتة ولو دبغ بإجماعنا إلاّ من شذّ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كأنّه إشارة إلى ابن الجنيد، لقوله بطهارة جلد الميتة بالدباغة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الحال فيه أنّ الجلد إمّا من ميتة ما لا يؤكل لحمه، أو ممّا يؤكل ؛ ولا يبعد أن يكون الخلاف على تقديره في الثاني فقط، لأنّ المانع في الأوّل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وهو كون الجلد ممّا لا يؤكل لحمه ؛ و عرضيّ، و هو النجاسة بالموت ؛ والزائل بالدباغة على القول به هو الثاني، لا الأوّل، فلا معنى لتجويز الصلاة به حينئذ، بخلاف الثاني، فإنّ المانع عن الصلاة فيه عرضيّ، والمفروض زواله بالدباغة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الظاهر من عبارة المنتهى </w:t>
      </w:r>
      <w:r>
        <w:rPr>
          <w:rStyle w:val="FootnoteAnchor"/>
          <w:rtl w:val="true"/>
        </w:rPr>
        <w:footnoteReference w:id="81"/>
      </w:r>
      <w:r>
        <w:rPr>
          <w:rFonts w:ascii="Amiri" w:hAnsi="Amiri" w:eastAsia="Amiri" w:cs="Amiri"/>
          <w:color w:val="111111"/>
          <w:sz w:val="28"/>
          <w:sz w:val="28"/>
          <w:szCs w:val="28"/>
          <w:rtl w:val="true"/>
          <w:lang w:bidi="ar-SA"/>
        </w:rPr>
        <w:t>، لاستناد المنع فيها إلى عدم الطهارة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بالدباغة، وكذا الحال في المعتبر،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الميتة نجسة، والدباغ غير مطهّر، و طهارة اللباس شرط لصحّة </w:t>
      </w:r>
      <w:bookmarkStart w:id="90" w:name="pg7350_54398"/>
    </w:p>
    <w:p>
      <w:pPr>
        <w:pStyle w:val="BookText"/>
        <w:rPr/>
      </w:pPr>
      <w:bookmarkEnd w:id="90"/>
      <w:r>
        <w:rPr>
          <w:rFonts w:ascii="Amiri" w:hAnsi="Amiri" w:eastAsia="Amiri" w:cs="Amiri"/>
          <w:color w:val="111111"/>
          <w:sz w:val="28"/>
          <w:sz w:val="28"/>
          <w:szCs w:val="28"/>
          <w:rtl w:val="true"/>
          <w:lang w:bidi="ar-SA"/>
        </w:rPr>
        <w:t xml:space="preserve">الصلاة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الدليل على كون المانع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لايجوز أن يكون المانع كونه من جلد الميتة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جلد من جلود الميتة، فلا يجوز الصلاة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فظاهرة، و أمّا الكبرى فلعموم نصوص الآتية ؛ و يؤيّده تصريحه في الذكرى في مباحث الطهارة بعدم تجويزه الصلاة فيه مع نسبة القول بالطهارة بالدباغة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الظاهر من الذكرى في تلك المباحث أنّ المخالف هو الشلمغاني، بناءً على أنّه نسب القول بطهارة جلد الميتة بالدباغة إليهما معًا،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الجنيد وافق على عدم جواز الصلاة فيه وإن دبغ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الظاهر منه أنّ الشلمغاني لم يوافقهم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والمخالف على فرض تحقّقه نادرٌ شاذٌّ، لا التفات إليه و لا اعتناء به، فعدم جواز الصلاة في جلد الميتة مطلقًا ممّا لا ارتياب فيه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90517_1051229030"/>
      <w:bookmarkStart w:id="92" w:name="_Toc33"/>
      <w:bookmarkEnd w:id="91"/>
      <w:r>
        <w:rPr>
          <w:rtl w:val="true"/>
        </w:rPr>
        <w:t>المستند في المسألة</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معتبرة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التهذيب بسندين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الجلد الميّت أيلبس في الصلاة إذا دبغ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ولو دبغ سبعين مرّة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وجد الحديث في غالب نسخ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في غير الإنسان،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 قد يتعاكس الأمر، فيستعمل الميّت في غير الإنسان، و منه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المِيتة بكسر الميم ففي المجمع أنّها للحال والهيئة،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حسنة، و مِيتة السوء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استعمالان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نفس الهيكل ؛ و هذا الاستعمال يغلب في الإنسان كالميتة في غيره، و على هذا يكون من باب غلبة الاسم على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المعنى الوصفيّ ؛ و حينئذٍ لا يتفاوت الحال بين الإنسان و غيره من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الحديث هذا المعنى، و لهذا أدخل الألف واللام في الجلد، وإلاّ لزم تعريته عنها، فالميّت على هذا صفةٌ للجلد، إمّا بحال الموصوف بناءً</w:t>
      </w:r>
    </w:p>
    <w:p>
      <w:pPr>
        <w:pStyle w:val="BookText"/>
        <w:rPr/>
      </w:pPr>
      <w:r>
        <w:rPr>
          <w:rFonts w:ascii="Amiri" w:hAnsi="Amiri" w:eastAsia="Amiri" w:cs="Amiri"/>
          <w:color w:val="111111"/>
          <w:sz w:val="28"/>
          <w:sz w:val="28"/>
          <w:szCs w:val="28"/>
          <w:rtl w:val="true"/>
          <w:lang w:bidi="ar-SA"/>
        </w:rPr>
        <w:t>على أنّ الجلد لمّا كان ممّا تحلّه الحياة يمكن نسبة الموت إليه ؛ أو بحال متعلّقه،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الّذي مات صاحبه، فعلى هذا يكون الألف واللام للموصول، فهو </w:t>
      </w:r>
    </w:p>
    <w:p>
      <w:pPr>
        <w:pStyle w:val="BookText"/>
        <w:rPr/>
      </w:pPr>
      <w:r>
        <w:rPr>
          <w:rFonts w:ascii="Amiri" w:hAnsi="Amiri" w:eastAsia="Amiri" w:cs="Amiri"/>
          <w:color w:val="111111"/>
          <w:sz w:val="28"/>
          <w:sz w:val="28"/>
          <w:szCs w:val="28"/>
          <w:rtl w:val="true"/>
          <w:lang w:bidi="ar-SA"/>
        </w:rPr>
        <w:t xml:space="preserve">مبنيّ على القول بجواز دخولها في الصفة المشبّهة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ما وجد في غالب نسخ التهذيب، و أمّا على ما في الفقيه فالأمر على ما اقتضاه الظاهر في المقامين،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مسلم عن أبي جعفر عليه‌السلام أنّه سأله عن جلد الميتة يلبس في الصلاة إذا دبغ،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وإن دبغ سبعين مرّة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فيه مسند، بخلافه على ما في التهذيب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التهذيب أيضًا عن محمّد بن أبي عمير، عن غير واحد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المرسِل من أصحاب الإجماع ؛ ولما ذكره شيخ الطائفة في العدّة من أنّ ابن أبي عمير و صفوان بن يحيى لايرويان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عدّة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صرّح شيخنا الشهيد في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الواحد مقبول بشروطه المشهورة ؛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مرسله معلوم التحرّز عن الرواية عن مجروح، ولهذا قبلت الأصحاب مراسيل ابن أبي عمير و صفوان بن يحيى وأحمد بن أبي نصر البزنطي، لأنّهم لايرسلون إلاّ عن ثقة،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ولايخفى ما في دليله من عدم المطابقة لما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ظهر لك انّ ما ذكره شيخنا البهائي في درايته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من حال مُرسِله عدمُ الإرسال عن غير الثقة، فينتظم حينئذ في سلك الصحاح، كمراسيل ابن أبي عمير رحمه‌الله ؛ و روايته أحيانًا عن غير الثقة لاتقدح في ذلك كما يظنّ، لأنّهم ذكروا أنّه لايرسل إلاّ عن ثقة، لا أنّه لا يروي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في علم الدراية، المطبوع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في دراية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على ما ينبغي كما لا يخفى، منه دام ظلّه العالي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عبداللّه عليه‌السلام في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شيء منه و لا شِسع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الشِسع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النعل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قبال النعل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 بين الإصبع الوسطى والّتي تليها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الكافي، عن عليّ بن أبي المغيرة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الميتة ينتفع منها بشيء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رسول اللّه صلى‌الله‌عليه‌و‌آله مرّ بشاة ميتة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 هذه الشاة إذا </w:t>
      </w:r>
      <w:r>
        <w:rPr>
          <w:rStyle w:val="FootnoteAnchor"/>
          <w:rtl w:val="true"/>
        </w:rPr>
        <w:footnoteReference w:id="92"/>
      </w:r>
      <w:r>
        <w:rPr>
          <w:rFonts w:ascii="Amiri" w:hAnsi="Amiri" w:eastAsia="Amiri" w:cs="Amiri"/>
          <w:color w:val="111111"/>
          <w:sz w:val="28"/>
          <w:sz w:val="28"/>
          <w:szCs w:val="28"/>
          <w:rtl w:val="true"/>
          <w:lang w:bidi="ar-SA"/>
        </w:rPr>
        <w:t xml:space="preserve">لم ينتفعوا بلحمها أن ينتفعوا بإهابها،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شاة كانت </w:t>
      </w:r>
      <w:r>
        <w:rPr>
          <w:rStyle w:val="FootnoteAnchor"/>
          <w:rtl w:val="true"/>
        </w:rPr>
        <w:footnoteReference w:id="93"/>
      </w:r>
      <w:r>
        <w:rPr>
          <w:rFonts w:ascii="Amiri" w:hAnsi="Amiri" w:eastAsia="Amiri" w:cs="Amiri"/>
          <w:color w:val="111111"/>
          <w:sz w:val="28"/>
          <w:sz w:val="28"/>
          <w:szCs w:val="28"/>
          <w:rtl w:val="true"/>
          <w:lang w:bidi="ar-SA"/>
        </w:rPr>
        <w:t>لسودة بنت زمعة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 النبيّ صلى‌الله‌عليه‌و‌آله وكانت شاة مهزولة لاينتفع بلحمها، فتركوها حتّى ماتت، فقالرسول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أهلها إذا </w:t>
      </w:r>
      <w:r>
        <w:rPr>
          <w:rStyle w:val="FootnoteAnchor"/>
          <w:rtl w:val="true"/>
        </w:rPr>
        <w:footnoteReference w:id="94"/>
      </w:r>
      <w:r>
        <w:rPr>
          <w:rFonts w:ascii="Amiri" w:hAnsi="Amiri" w:eastAsia="Amiri" w:cs="Amiri"/>
          <w:color w:val="111111"/>
          <w:sz w:val="28"/>
          <w:sz w:val="28"/>
          <w:szCs w:val="28"/>
          <w:rtl w:val="true"/>
          <w:lang w:bidi="ar-SA"/>
        </w:rPr>
        <w:t xml:space="preserve">لم ينتفعوا بلحمها أن ينتفعوا بإهابها أن تذكّى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مرويّ في موضعين من الكافي، أحدهما في كتاب الصلاة، والثاني في كتاب الأطعمة والأشربة، والسند فيهما واحد، لأنّه رواه عن محمّد بن يحيى، عن أحمد بن محمّد، عن ابن محبوب، عن عاصم بن حميد، عن عليّ بن أبي المغيرة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الطائفة مع روايته عن الكافي أسقط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فرواه عن عليّ بنالمغيرة </w:t>
      </w:r>
      <w:r>
        <w:rPr>
          <w:rStyle w:val="FootnoteAnchor"/>
          <w:rtl w:val="true"/>
        </w:rPr>
        <w:footnoteReference w:id="96"/>
      </w:r>
      <w:r>
        <w:rPr>
          <w:rFonts w:ascii="Amiri" w:hAnsi="Amiri" w:eastAsia="Amiri" w:cs="Amiri"/>
          <w:color w:val="111111"/>
          <w:sz w:val="28"/>
          <w:sz w:val="28"/>
          <w:szCs w:val="28"/>
          <w:rtl w:val="true"/>
          <w:lang w:bidi="ar-SA"/>
        </w:rPr>
        <w:t xml:space="preserve">؛ و لعلّه صار سببًا لتأمّل صاحب المدارك و غيره في الحكم بصحّة الحديث، لكنّه غير صالح لذلك ؛ و قد بيّنا وجهه في مطالع الأنوار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ينتفع به من الميتة و ما لا ينتفع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الأطعمة والأشربة من الكافي، عن الفتح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عليه‌السلام أسأله عن جلود الميتة الّتي يؤكل لحمها إن ذكى،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لاينتفع من الميتة بإهاب و لا عصب، الحديث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الذبائح والأطعمة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ابن فضّال، عن يونس، عن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السخلة الّتي مرّت </w:t>
      </w:r>
      <w:r>
        <w:rPr>
          <w:rStyle w:val="FootnoteAnchor"/>
          <w:rtl w:val="true"/>
        </w:rPr>
        <w:footnoteReference w:id="100"/>
      </w:r>
      <w:r>
        <w:rPr>
          <w:rFonts w:ascii="Amiri" w:hAnsi="Amiri" w:eastAsia="Amiri" w:cs="Amiri"/>
          <w:color w:val="111111"/>
          <w:sz w:val="28"/>
          <w:sz w:val="28"/>
          <w:szCs w:val="28"/>
          <w:rtl w:val="true"/>
          <w:lang w:bidi="ar-SA"/>
        </w:rPr>
        <w:t xml:space="preserve">بها رسول اللّه صلى‌الله‌عليه‌و‌آله و هي ميتة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أهلها لو انتفعوا بإهابها،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ميتة يا أبا مريم ولكنّها كانت مهزولة، فذبحها أهلها فرموا بها،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أهلها لو انتفعوا بإهابها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الراوي أنّه اعتقد عدم جواز الانتفاع بالميتة، ولمّا كان ما وصل إليه من رسول اللّه صلى‌الله‌عليه‌و‌آله موهمًا لخلاف ذلك، سأل مولانا الصادق عليه‌السلام عنه، و قرّره عليه‌السلام على اعتقاده و بيّن معنى كلامه صلى‌الله‌عليه‌و‌آله، و أنّه ليس المراد </w:t>
      </w:r>
      <w:bookmarkStart w:id="93" w:name="pg7350_54410"/>
    </w:p>
    <w:p>
      <w:pPr>
        <w:pStyle w:val="BookText"/>
        <w:rPr/>
      </w:pPr>
      <w:bookmarkEnd w:id="93"/>
      <w:r>
        <w:rPr>
          <w:rFonts w:ascii="Amiri" w:hAnsi="Amiri" w:eastAsia="Amiri" w:cs="Amiri"/>
          <w:color w:val="111111"/>
          <w:sz w:val="28"/>
          <w:sz w:val="28"/>
          <w:szCs w:val="28"/>
          <w:rtl w:val="true"/>
          <w:lang w:bidi="ar-SA"/>
        </w:rPr>
        <w:t xml:space="preserve">منه ما يتوهّم من ظاهره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المنافات بينه و بين ما ذكرنا من الكافي، حيث انّ المستفاد من هذا الحديث أنّهم رموها بعد الذبح، و من الأوّل خلافه ؛ و يمكن دفعه بتغاير الواقعة، و إليه يؤمى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بالنصوص المذكورة على المدّعى أمّا بالأوّلين فغنيّ عن البيان ؛ و أمّا بالثلاثة الأخيرة فلأنّ المستفاد منها عدم جواز الانتفاع بأجزاء الميتة، و معلوم أنّ لبسها في حال الصلاة انتفاع، فيكون منهيًّا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الصغرى فظاهرة، و أمّا الكبرى فلعموم النصوص المذكورة و غيرها ممّاستقف عليه ؛ و لا حاجة إلى إيراده في المقام،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من القطعيّات الّتي لاتفتقر إلى الاستدلال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190519_1051229030"/>
      <w:bookmarkStart w:id="95" w:name="_Toc34"/>
      <w:bookmarkEnd w:id="94"/>
      <w:r>
        <w:rPr>
          <w:rtl w:val="true"/>
        </w:rPr>
        <w:t>الكلام هنا في أمور مهمّة</w:t>
      </w:r>
      <w:bookmarkEnd w:id="95"/>
    </w:p>
    <w:p>
      <w:pPr>
        <w:pStyle w:val="Heading4"/>
        <w:numPr>
          <w:ilvl w:val="3"/>
          <w:numId w:val="1"/>
        </w:numPr>
        <w:rPr/>
      </w:pPr>
      <w:bookmarkStart w:id="96" w:name="__RefHeading___Toc1190521_1051229030"/>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و إنّما الكلام هنا في أمور مهمّة ينبغي التعرّض لها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190523_1051229030"/>
      <w:bookmarkStart w:id="99" w:name="_Toc36"/>
      <w:bookmarkEnd w:id="98"/>
      <w:r>
        <w:rPr>
          <w:rtl w:val="true"/>
        </w:rPr>
        <w:t>الأمر الأوّل</w:t>
      </w:r>
      <w:r>
        <w:rPr>
          <w:rtl w:val="true"/>
        </w:rPr>
        <w:t xml:space="preserve">: </w:t>
      </w:r>
      <w:r>
        <w:rPr>
          <w:rtl w:val="true"/>
        </w:rPr>
        <w:t>جواز الصلاة في الجلود مشروطًا بالعلم بكونها من المذكّى المأكول اللحم</w:t>
      </w:r>
      <w:bookmarkEnd w:id="99"/>
    </w:p>
    <w:p>
      <w:pPr>
        <w:pStyle w:val="Heading5"/>
        <w:numPr>
          <w:ilvl w:val="4"/>
          <w:numId w:val="1"/>
        </w:numPr>
        <w:rPr/>
      </w:pPr>
      <w:bookmarkStart w:id="100" w:name="__RefHeading___Toc1190525_1051229030"/>
      <w:bookmarkStart w:id="101" w:name="_Toc37"/>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الجلود في نفس الأمر والواقع إمّا مأخوذة من الميتة، أو من المذكّى، فلا ثالث، لكنّها باعتبار علم المكلّف و عدمه ينقسم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أنّه مأخوذ من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أنّه مأخوذ من المذكّى المأكول اللحم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جهل حاله، فلم يثبت فيه شيء من الأمرين، فيمكن أن يكون من </w:t>
      </w:r>
    </w:p>
    <w:p>
      <w:pPr>
        <w:pStyle w:val="BookText"/>
        <w:rPr/>
      </w:pPr>
      <w:r>
        <w:rPr>
          <w:rFonts w:ascii="Amiri" w:hAnsi="Amiri" w:eastAsia="Amiri" w:cs="Amiri"/>
          <w:color w:val="111111"/>
          <w:sz w:val="28"/>
          <w:sz w:val="28"/>
          <w:szCs w:val="28"/>
          <w:rtl w:val="true"/>
          <w:lang w:bidi="ar-SA"/>
        </w:rPr>
        <w:t xml:space="preserve">الأوّل، كما يمكن أن يكون من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أنّ الأوّل ممّا لايجوز الصلاة فيه، كجوازها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الثالث في أنّه هل هو ملحقٌ بالأوّل، فيكون جواز الصلاة في الجلود مشروطًا بالعلم بكونها من المذكّى المأكول اللحم، فما لم يعلم فيه ذلك يحكم فيه بعدم الجواز ولو احتمل أنّها من المذكّى ؛ أو بالثاني فيكون المنع عن</w:t>
      </w:r>
    </w:p>
    <w:p>
      <w:pPr>
        <w:pStyle w:val="BookText"/>
        <w:rPr/>
      </w:pPr>
      <w:r>
        <w:rPr>
          <w:rFonts w:ascii="Amiri" w:hAnsi="Amiri" w:eastAsia="Amiri" w:cs="Amiri"/>
          <w:color w:val="111111"/>
          <w:sz w:val="28"/>
          <w:sz w:val="28"/>
          <w:szCs w:val="28"/>
          <w:rtl w:val="true"/>
          <w:lang w:bidi="ar-SA"/>
        </w:rPr>
        <w:t xml:space="preserve">الصلاة مختصًّا بصورة العلم بكونها من الميتة، فما لم يعلم فيه ذلك يحكم بالجواز، فاحتمال كونها من الميتة غير مضرّ ؟فيه خلافٌ بين الأصحاب،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و هو مختار المعتبر و نهاية الإحكام والتذكرة والمنتهى والتحرير والذكرى والدروس والجعفريّة والروض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الحكم بذكاة </w:t>
      </w:r>
      <w:r>
        <w:rPr>
          <w:rStyle w:val="FootnoteAnchor"/>
          <w:rtl w:val="true"/>
        </w:rPr>
        <w:footnoteReference w:id="103"/>
      </w:r>
      <w:r>
        <w:rPr>
          <w:rFonts w:ascii="Amiri" w:hAnsi="Amiri" w:eastAsia="Amiri" w:cs="Amiri"/>
          <w:color w:val="111111"/>
          <w:sz w:val="28"/>
          <w:sz w:val="28"/>
          <w:szCs w:val="28"/>
          <w:rtl w:val="true"/>
          <w:lang w:bidi="ar-SA"/>
        </w:rPr>
        <w:t xml:space="preserve">ما لم يعلم أنّه ميتة وجوده في يد مسلم، أو في سوق المسلمين، أو في بلد الغالب فيه المسلمون، انتهى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نهاية الإحكام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العلم </w:t>
      </w:r>
      <w:r>
        <w:rPr>
          <w:rStyle w:val="FootnoteAnchor"/>
          <w:rtl w:val="true"/>
        </w:rPr>
        <w:footnoteReference w:id="105"/>
      </w:r>
      <w:r>
        <w:rPr>
          <w:rFonts w:ascii="Amiri" w:hAnsi="Amiri" w:eastAsia="Amiri" w:cs="Amiri"/>
          <w:color w:val="111111"/>
          <w:sz w:val="28"/>
          <w:sz w:val="28"/>
          <w:szCs w:val="28"/>
          <w:rtl w:val="true"/>
          <w:lang w:bidi="ar-SA"/>
        </w:rPr>
        <w:t xml:space="preserve">بالتذكية عدم العلم بموته، و وجوده في يد مسلم </w:t>
      </w:r>
    </w:p>
    <w:p>
      <w:pPr>
        <w:pStyle w:val="BookText"/>
        <w:rPr/>
      </w:pPr>
      <w:r>
        <w:rPr>
          <w:rFonts w:ascii="Amiri" w:hAnsi="Amiri" w:eastAsia="Amiri" w:cs="Amiri"/>
          <w:color w:val="111111"/>
          <w:sz w:val="28"/>
          <w:sz w:val="28"/>
          <w:szCs w:val="28"/>
          <w:rtl w:val="true"/>
          <w:lang w:bidi="ar-SA"/>
        </w:rPr>
        <w:t xml:space="preserve">لايستحلّ جلد الميتة، أو في سوق المسلمين، أو بلد الغالب فيه المسلمون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والأمر فيه كما في عبارة المعتبر، والواو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وجوده في يد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عطف الأخيرين عليه بأو دليلٌ عليه،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يكفيفي الحكم بالتذكية عدم العلم بموته مع أحد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قال في التذكرة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يكتفى في العلم بالتذكية وجوده في يد مسلم، أو في سوق المسلمين، أو في بلد الغالب فيه الإسلام، و عدم العلم بالموت، لأنّ الأصل في المسلم العدالة، و هي تمنع عن </w:t>
      </w:r>
      <w:r>
        <w:rPr>
          <w:rStyle w:val="FootnoteAnchor"/>
          <w:rtl w:val="true"/>
        </w:rPr>
        <w:footnoteReference w:id="108"/>
      </w:r>
      <w:r>
        <w:rPr>
          <w:rFonts w:ascii="IRNazanin" w:hAnsi="IRNazanin" w:eastAsia="IRNazanin"/>
          <w:color w:val="111111"/>
          <w:sz w:val="28"/>
          <w:sz w:val="28"/>
          <w:szCs w:val="28"/>
          <w:rtl w:val="true"/>
          <w:lang w:bidi="fa-IR"/>
        </w:rPr>
        <w:t xml:space="preserve">الإقدام على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وجد جلدًا مطروحًا لا يعلم أذكيّ هو أم ميتة </w:t>
      </w:r>
      <w:r>
        <w:rPr>
          <w:rStyle w:val="FootnoteAnchor"/>
          <w:rtl w:val="true"/>
        </w:rPr>
        <w:footnoteReference w:id="109"/>
      </w:r>
      <w:r>
        <w:rPr>
          <w:rFonts w:ascii="Amiri" w:hAnsi="Amiri" w:eastAsia="Amiri" w:cs="Amiri"/>
          <w:color w:val="111111"/>
          <w:sz w:val="28"/>
          <w:sz w:val="28"/>
          <w:szCs w:val="28"/>
          <w:rtl w:val="true"/>
          <w:lang w:bidi="ar-SA"/>
        </w:rPr>
        <w:t xml:space="preserve">؟ لم يصلّ فيه، لأنّ الأصل عدم التذكية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يكتفى في العلم بالتذكية وجوده في يد مسلم لايستحلّ جلد الميتة، أو في سوق المسلمين، أو في بلد الغالب فيه الإسلام مع عدم العلم بالموت، ولايكفى الأخير، فلو وجد مطروحًا لم يحكم بالتذكية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والمبطل للصلاة فيه علم كونه ميتة، أو الشكّ إذا وجد مطروحًا، لأصالةعدم التذكية، أو في يد كافر عملاً بالظاهر من حاله، أو في سوقالكفر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مذكّى الكافر و ما في يده من الجلود ميتة، إلاّ أن يعلم خلافه ؛ و كذا ما في دار الكفر، إلاّ أن يعلم المسلم بعينه، و كذا المطروح من الجلود بالدارين، إلاّ مع قرينة خلافه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لاتجوز الصلاة في جلد الميتة ولو دبغ سبعين مرّة، أو كان لايتمّ </w:t>
      </w:r>
      <w:r>
        <w:rPr>
          <w:rStyle w:val="FootnoteAnchor"/>
          <w:rtl w:val="true"/>
        </w:rPr>
        <w:footnoteReference w:id="114"/>
      </w:r>
      <w:r>
        <w:rPr>
          <w:rFonts w:ascii="Amiri" w:hAnsi="Amiri" w:eastAsia="Amiri" w:cs="Amiri"/>
          <w:color w:val="111111"/>
          <w:sz w:val="28"/>
          <w:sz w:val="28"/>
          <w:szCs w:val="28"/>
          <w:rtl w:val="true"/>
          <w:lang w:bidi="ar-SA"/>
        </w:rPr>
        <w:t xml:space="preserve">الصلاة فيه منفردًا ولو شِسعًا ؛ و في حكمه ما يوجد مطروحًا، أو يؤخذ </w:t>
      </w:r>
    </w:p>
    <w:p>
      <w:pPr>
        <w:pStyle w:val="BookText"/>
        <w:rPr/>
      </w:pPr>
      <w:r>
        <w:rPr>
          <w:rFonts w:ascii="Amiri" w:hAnsi="Amiri" w:eastAsia="Amiri" w:cs="Amiri"/>
          <w:color w:val="111111"/>
          <w:sz w:val="28"/>
          <w:sz w:val="28"/>
          <w:szCs w:val="28"/>
          <w:rtl w:val="true"/>
          <w:lang w:bidi="ar-SA"/>
        </w:rPr>
        <w:t xml:space="preserve">من كافر، أو من سوق الكفّار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الجعفريّة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الساتر أن لايكون جلد ميتة ولو دبغ، أو كان شسعًا </w:t>
      </w:r>
      <w:r>
        <w:rPr>
          <w:rStyle w:val="FootnoteAnchor"/>
          <w:rtl w:val="true"/>
        </w:rPr>
        <w:footnoteReference w:id="116"/>
      </w:r>
      <w:r>
        <w:rPr>
          <w:rFonts w:ascii="Amiri" w:hAnsi="Amiri" w:eastAsia="Amiri" w:cs="Amiri"/>
          <w:color w:val="111111"/>
          <w:sz w:val="28"/>
          <w:sz w:val="28"/>
          <w:szCs w:val="28"/>
          <w:rtl w:val="true"/>
          <w:lang w:bidi="ar-SA"/>
        </w:rPr>
        <w:t xml:space="preserve">؛ و فيحكمه ما يوجد مطروحًا، أو في يد الكافر </w:t>
      </w:r>
      <w:r>
        <w:rPr>
          <w:rStyle w:val="FootnoteAnchor"/>
          <w:rtl w:val="true"/>
        </w:rPr>
        <w:footnoteReference w:id="117"/>
      </w:r>
      <w:r>
        <w:rPr>
          <w:rFonts w:ascii="Amiri" w:hAnsi="Amiri" w:eastAsia="Amiri" w:cs="Amiri"/>
          <w:color w:val="111111"/>
          <w:sz w:val="28"/>
          <w:sz w:val="28"/>
          <w:szCs w:val="28"/>
          <w:rtl w:val="true"/>
          <w:lang w:bidi="ar-SA"/>
        </w:rPr>
        <w:t xml:space="preserve">، أو في سوق الكفر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حكم الميتة ما يوجد مطروحًا وإن كان في بلاد الإسلام، لأصالة عدم التذكية، أو في يد كافر، أو في سوق الكفر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هو الظاهر من النهاية والمبسوط والوسيلة ؛ قال في النهاية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لابأس بالصلاة في السنجاب والحواصل و في وبر كلّ شيء يؤكل لحمه إذا ذكى و دبغ ؛ فإن لم يعلم أنّه مذكّى، فلا بأس بشرائه من أسواق المسلمين ممّن لايستحلّ </w:t>
      </w:r>
      <w:r>
        <w:rPr>
          <w:rStyle w:val="FootnoteAnchor"/>
          <w:rtl w:val="true"/>
        </w:rPr>
        <w:footnoteReference w:id="120"/>
      </w:r>
      <w:r>
        <w:rPr>
          <w:rFonts w:ascii="Amiri" w:hAnsi="Amiri" w:eastAsia="Amiri" w:cs="Amiri"/>
          <w:color w:val="111111"/>
          <w:sz w:val="28"/>
          <w:sz w:val="28"/>
          <w:szCs w:val="28"/>
          <w:rtl w:val="true"/>
          <w:lang w:bidi="ar-SA"/>
        </w:rPr>
        <w:t xml:space="preserve">الميتة، و لايجوز شراؤها ممّن يستحلّ ذلك،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كان متّهمًا فيه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اشترى جلدًا على أنّه مذكّى جاز أن يصلّي فيه، وإن لم يكن كذلك إذا اشترى ذلك من أسواق </w:t>
      </w:r>
      <w:r>
        <w:rPr>
          <w:rStyle w:val="FootnoteAnchor"/>
          <w:rtl w:val="true"/>
        </w:rPr>
        <w:footnoteReference w:id="123"/>
      </w:r>
      <w:r>
        <w:rPr>
          <w:rFonts w:ascii="Amiri" w:hAnsi="Amiri" w:eastAsia="Amiri" w:cs="Amiri"/>
          <w:color w:val="111111"/>
          <w:sz w:val="28"/>
          <w:sz w:val="28"/>
          <w:szCs w:val="28"/>
          <w:rtl w:val="true"/>
          <w:lang w:bidi="ar-SA"/>
        </w:rPr>
        <w:t xml:space="preserve">المسلمين ممّن لايستحلّ الميتة، ولايجوز شراؤها ممّن يستحلّ ذلك، أو كان متّهمًا فيه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اللباس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ما يجوز </w:t>
      </w:r>
      <w:r>
        <w:rPr>
          <w:rStyle w:val="FootnoteAnchor"/>
          <w:rtl w:val="true"/>
        </w:rPr>
        <w:footnoteReference w:id="125"/>
      </w:r>
      <w:r>
        <w:rPr>
          <w:rFonts w:ascii="Amiri" w:hAnsi="Amiri" w:eastAsia="Amiri" w:cs="Amiri"/>
          <w:color w:val="111111"/>
          <w:sz w:val="28"/>
          <w:sz w:val="28"/>
          <w:szCs w:val="28"/>
          <w:rtl w:val="true"/>
          <w:lang w:bidi="ar-SA"/>
        </w:rPr>
        <w:t xml:space="preserve">فيه الصلاة، أو تكره، أولايجوز </w:t>
      </w:r>
      <w:r>
        <w:rPr>
          <w:rStyle w:val="FootnoteAnchor"/>
          <w:rtl w:val="true"/>
        </w:rPr>
        <w:footnoteReference w:id="126"/>
      </w:r>
      <w:r>
        <w:rPr>
          <w:rFonts w:ascii="Amiri" w:hAnsi="Amiri" w:eastAsia="Amiri" w:cs="Amiri"/>
          <w:color w:val="111111"/>
          <w:sz w:val="28"/>
          <w:sz w:val="28"/>
          <w:szCs w:val="28"/>
          <w:rtl w:val="true"/>
          <w:lang w:bidi="ar-SA"/>
        </w:rPr>
        <w:t xml:space="preserve">فيه، فالأوّل ثلاثة </w:t>
      </w:r>
      <w:r>
        <w:rPr>
          <w:rStyle w:val="FootnoteAnchor"/>
          <w:rtl w:val="true"/>
        </w:rPr>
        <w:footnoteReference w:id="127"/>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جلد </w:t>
      </w:r>
      <w:r>
        <w:rPr>
          <w:rStyle w:val="FootnoteAnchor"/>
          <w:rtl w:val="true"/>
        </w:rPr>
        <w:footnoteReference w:id="128"/>
      </w:r>
      <w:r>
        <w:rPr>
          <w:rFonts w:ascii="Amiri" w:hAnsi="Amiri" w:eastAsia="Amiri" w:cs="Amiri"/>
          <w:color w:val="111111"/>
          <w:sz w:val="28"/>
          <w:sz w:val="28"/>
          <w:szCs w:val="28"/>
          <w:rtl w:val="true"/>
          <w:lang w:bidi="ar-SA"/>
        </w:rPr>
        <w:t xml:space="preserve">ما يؤكل لحمه إذا كان مذكّى، و صوف ما يؤكل لحمه و شعره ووبره إذا لم يكن منتوفًا من </w:t>
      </w:r>
      <w:r>
        <w:rPr>
          <w:rStyle w:val="FootnoteAnchor"/>
          <w:rtl w:val="true"/>
        </w:rPr>
        <w:footnoteReference w:id="129"/>
      </w:r>
      <w:r>
        <w:rPr>
          <w:rFonts w:ascii="Amiri" w:hAnsi="Amiri" w:eastAsia="Amiri" w:cs="Amiri"/>
          <w:color w:val="111111"/>
          <w:sz w:val="28"/>
          <w:sz w:val="28"/>
          <w:szCs w:val="28"/>
          <w:rtl w:val="true"/>
          <w:lang w:bidi="ar-SA"/>
        </w:rPr>
        <w:t xml:space="preserve">الميتة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المدارك والذخيرة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02" w:name="pg7350_54422"/>
    </w:p>
    <w:p>
      <w:pPr>
        <w:pStyle w:val="Heading5"/>
        <w:numPr>
          <w:ilvl w:val="4"/>
          <w:numId w:val="1"/>
        </w:numPr>
        <w:rPr/>
      </w:pPr>
      <w:bookmarkStart w:id="103" w:name="__RefHeading___Toc1190527_1051229030"/>
      <w:bookmarkStart w:id="104" w:name="_Toc38"/>
      <w:bookmarkEnd w:id="102"/>
      <w:bookmarkEnd w:id="103"/>
      <w:r>
        <w:rPr>
          <w:rtl w:val="true"/>
        </w:rPr>
        <w:t>مختار المؤلّف قدس‌سره و دليله</w:t>
      </w:r>
      <w:bookmarkEnd w:id="104"/>
    </w:p>
    <w:p>
      <w:pPr>
        <w:pStyle w:val="BookText"/>
        <w:rPr/>
      </w:pPr>
      <w:r>
        <w:rPr>
          <w:rFonts w:ascii="Amiri" w:hAnsi="Amiri" w:eastAsia="Amiri" w:cs="Amiri"/>
          <w:color w:val="111111"/>
          <w:sz w:val="28"/>
          <w:sz w:val="28"/>
          <w:szCs w:val="28"/>
          <w:rtl w:val="true"/>
          <w:lang w:bidi="ar-SA"/>
        </w:rPr>
        <w:t xml:space="preserve">والمختار هو الأوّل ؛ 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التذكية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المرويّ في الكافي عن ابن أبي عمير، عن ابن بكير، عن زرارة، عن أبي عبداللّه عليه‌السلام في حديث طويل من جملته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فالصلاة فيوبره وبوله و شعره و روثه وألبانه وكلّ شيء منه جائز </w:t>
      </w:r>
      <w:r>
        <w:rPr>
          <w:rStyle w:val="FootnoteAnchor"/>
          <w:rtl w:val="true"/>
        </w:rPr>
        <w:footnoteReference w:id="132"/>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أنّه علّق جواز الصلاة في أجزاء ما يؤكل لحمه فيه بالعلم بالتذكية،و مقتضاه انتفاء الجواز عند انتفاعه،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فيه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وأبا الحسن عليهماالسلام عن لباس الفراء والصلاة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فيها إلاّ فيما كان منه ذكيًّا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الواو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أو، لوضوح أنّ السؤال عن أحدهما عليهماالسلام كان مغنيًا عن السؤال عن الآخر ؛ و لإفراد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الهدى يهلك قبل أن يبلغ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الحجّ من الفقيه، عن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طريقه إليه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رجل ساق بدنة فانكسرت قبل أن تبلغ محلّها، أو عرض لها موت أو هلاك،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يذكّيها إن قدر على ذلك و يلطخ نعلها الّتي قلّدت بها حتّى </w:t>
      </w:r>
      <w:bookmarkStart w:id="105" w:name="pg7350_54424"/>
    </w:p>
    <w:p>
      <w:pPr>
        <w:pStyle w:val="BookText"/>
        <w:rPr/>
      </w:pPr>
      <w:bookmarkEnd w:id="105"/>
      <w:r>
        <w:rPr>
          <w:rFonts w:ascii="Amiri" w:hAnsi="Amiri" w:eastAsia="Amiri" w:cs="Amiri"/>
          <w:color w:val="111111"/>
          <w:sz w:val="28"/>
          <w:sz w:val="28"/>
          <w:szCs w:val="28"/>
          <w:rtl w:val="true"/>
          <w:lang w:bidi="ar-SA"/>
        </w:rPr>
        <w:t xml:space="preserve">يعلم من مرّ بها أنّها قد ذكيت، فيأكل من لحمها إن أراد، الحديث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 سندهما بعد الانجبار بالشهرة المحكيّة و أصالة عدم التذكية والموثّقة كالصحيحة غير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مضمونه 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الإشعار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بسند صحيح عن الحلبي،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ساق بدنة فانكسرت قبل أن تبلغ محلّها، أو عرض لها موت، أو هلك، فلينحرها إن قدر على ذلك، ثمّليلطخ نعلها الّتي قلّدت بدمها </w:t>
      </w:r>
      <w:r>
        <w:rPr>
          <w:rStyle w:val="FootnoteAnchor"/>
          <w:rtl w:val="true"/>
        </w:rPr>
        <w:footnoteReference w:id="136"/>
      </w:r>
      <w:r>
        <w:rPr>
          <w:rFonts w:ascii="Amiri" w:hAnsi="Amiri" w:eastAsia="Amiri" w:cs="Amiri"/>
          <w:color w:val="111111"/>
          <w:sz w:val="28"/>
          <w:sz w:val="28"/>
          <w:szCs w:val="28"/>
          <w:rtl w:val="true"/>
          <w:lang w:bidi="ar-SA"/>
        </w:rPr>
        <w:t xml:space="preserve">حتّى يعلم من مرّ بها أنّها قد ذكيت، فيأكل منلحمها إن أراد، إلى آخره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مع كونه مستندًا في المسألة، قرينةٌ لصدق الرواية المذكورة </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190529_1051229030"/>
      <w:bookmarkStart w:id="107" w:name="_Toc39"/>
      <w:bookmarkEnd w:id="106"/>
      <w:r>
        <w:rPr>
          <w:rtl w:val="true"/>
        </w:rPr>
        <w:t>المستند للقول الثاني</w:t>
      </w:r>
      <w:bookmarkEnd w:id="1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و ما دلّ على جواز الصلاة في الجلود الّتي لم يعلم أنّها من الميتة، كالصحيح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Style w:val="FootnoteAnchor"/>
          <w:rtl w:val="true"/>
        </w:rPr>
        <w:footnoteReference w:id="138"/>
      </w:r>
      <w:r>
        <w:rPr>
          <w:rFonts w:ascii="Amiri" w:hAnsi="Amiri" w:eastAsia="Amiri" w:cs="Amiri"/>
          <w:color w:val="111111"/>
          <w:sz w:val="28"/>
          <w:sz w:val="28"/>
          <w:szCs w:val="28"/>
          <w:rtl w:val="true"/>
          <w:lang w:bidi="ar-SA"/>
        </w:rPr>
        <w:t xml:space="preserve">يجوز الصلاة فيه من اللباس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زيادات التهذيب، عن عبداللّه بن مسكان، عن عليّ بن </w:t>
      </w:r>
    </w:p>
    <w:p>
      <w:pPr>
        <w:pStyle w:val="BookText"/>
        <w:rPr/>
      </w:pPr>
      <w:r>
        <w:rPr>
          <w:rFonts w:ascii="Amiri" w:hAnsi="Amiri" w:eastAsia="Amiri" w:cs="Amiri"/>
          <w:color w:val="111111"/>
          <w:sz w:val="28"/>
          <w:sz w:val="28"/>
          <w:szCs w:val="28"/>
          <w:rtl w:val="true"/>
          <w:lang w:bidi="ar-SA"/>
        </w:rPr>
        <w:t xml:space="preserve">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أبا عبداللّه عليه‌السلام وأنا عنده عن رجل </w:t>
      </w:r>
      <w:r>
        <w:rPr>
          <w:rStyle w:val="FootnoteAnchor"/>
          <w:rtl w:val="true"/>
        </w:rPr>
        <w:footnoteReference w:id="139"/>
      </w:r>
      <w:r>
        <w:rPr>
          <w:rFonts w:ascii="Amiri" w:hAnsi="Amiri" w:eastAsia="Amiri" w:cs="Amiri"/>
          <w:color w:val="111111"/>
          <w:sz w:val="28"/>
          <w:sz w:val="28"/>
          <w:szCs w:val="28"/>
          <w:rtl w:val="true"/>
          <w:lang w:bidi="ar-SA"/>
        </w:rPr>
        <w:t>يتقلّد السيف ويصلّي فيه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الكيمخت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Style w:val="FootnoteAnchor"/>
          <w:rtl w:val="true"/>
        </w:rPr>
        <w:footnoteReference w:id="140"/>
      </w:r>
      <w:r>
        <w:rPr>
          <w:rFonts w:ascii="Amiri" w:hAnsi="Amiri" w:eastAsia="Amiri" w:cs="Amiri"/>
          <w:color w:val="111111"/>
          <w:sz w:val="28"/>
          <w:sz w:val="28"/>
          <w:szCs w:val="28"/>
          <w:rtl w:val="true"/>
          <w:lang w:bidi="ar-SA"/>
        </w:rPr>
        <w:t>جلود دوابّ منه ما يكون ذكيًّا و منه ما يكون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أنّه ميتة فلا تصلّ فيه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المرويّ في الفقيه والتهذيب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عنتقليد السيف في الصلاة فيه الغراء والكيمخت </w:t>
      </w:r>
      <w:r>
        <w:rPr>
          <w:rStyle w:val="FootnoteAnchor"/>
          <w:rtl w:val="true"/>
        </w:rPr>
        <w:footnoteReference w:id="1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تعلم أنّهميتة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منه الموثّق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الذبائح والأطعمة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الجبن و تقليد السيف و فيه الكيمخت والغراء،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ما لم تعلم أنّه من الميتة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08" w:name="pg7350_54427"/>
    </w:p>
    <w:p>
      <w:pPr>
        <w:pStyle w:val="Heading5"/>
        <w:numPr>
          <w:ilvl w:val="4"/>
          <w:numId w:val="1"/>
        </w:numPr>
        <w:rPr/>
      </w:pPr>
      <w:bookmarkStart w:id="109" w:name="__RefHeading___Toc1190531_1051229030"/>
      <w:bookmarkStart w:id="110" w:name="_Toc40"/>
      <w:bookmarkEnd w:id="108"/>
      <w:bookmarkEnd w:id="109"/>
      <w:r>
        <w:rPr>
          <w:rtl w:val="true"/>
        </w:rPr>
        <w:t>الجواب عن المستند للقول الثاني</w:t>
      </w:r>
      <w:bookmarkEnd w:id="110"/>
    </w:p>
    <w:p>
      <w:pPr>
        <w:pStyle w:val="BookText"/>
        <w:rPr/>
      </w:pPr>
      <w:r>
        <w:rPr>
          <w:rFonts w:ascii="Amiri" w:hAnsi="Amiri" w:eastAsia="Amiri" w:cs="Amiri"/>
          <w:color w:val="111111"/>
          <w:sz w:val="28"/>
          <w:sz w:val="28"/>
          <w:szCs w:val="28"/>
          <w:rtl w:val="true"/>
          <w:lang w:bidi="ar-SA"/>
        </w:rPr>
        <w:t xml:space="preserve">والجواب أمّا عن أصالة الطهارة، فإنّ التعويل عليها مشروطٌ بانتفاء النصّ على خلافها و قد 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النصوص المذكورة، فإنّ مدلولها خارجٌ عن محلّ الكلام، إذ الجلود المأخوذة من أسواق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كالجلود الّتي في بلاد الإسلام الّتي فيها آثار استعمالهم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استعمالها في الصلاة و غيرها على القولين، كما علمت جملة من عباراتهم السالفة، و ستقف على النصوص الواردة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نبّهنا أنّ الثمرة إنّما تظهر في الجلود المطروحة في بلاد الإسلام الّتي لم يظهر فيها آثار الاستعمال، فإنّه على القول الثاني لايجب الاجتناب عنها، بخلافه على القول الأوّل، و هو المختار، فلا يجوز استعمال الجلود إلاّ مع ثبوتالتذكية، لكن ثبوتها قد يكون بالعلم، و قد يكون بالظنّ المستند إلى قول العدلين، بل العدل الواحد، و قد يكون بوجودها في أسواق المسلمين، فالجلود الموجودة في الأسواق ليست من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يوجد فيه الأمور المذكورة، يجوز استعمالها مطلقًا إلاّ مع العلم بكونها من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نصوص مستفيضة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التهذيب عن الجلود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w:t>
      </w:r>
    </w:p>
    <w:p>
      <w:pPr>
        <w:pStyle w:val="BookText"/>
        <w:rPr/>
      </w:pPr>
      <w:r>
        <w:rPr>
          <w:rFonts w:ascii="Amiri" w:hAnsi="Amiri" w:eastAsia="Amiri" w:cs="Amiri"/>
          <w:color w:val="111111"/>
          <w:sz w:val="28"/>
          <w:sz w:val="28"/>
          <w:szCs w:val="28"/>
          <w:rtl w:val="true"/>
          <w:lang w:bidi="ar-SA"/>
        </w:rPr>
        <w:t>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 صلّ فيها حتّى تعلم أنّه ميّت بعينه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يجوز الصلاة فيه من اللباس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زياداته، عن البزنطي، 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الخفاف يأتي السوق فيشتري الخفّ لا يدري أذكيّ هو أم لا، ما تقول في الصلاة فيه و هو لا يدري أيصلّي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أشتري الخفّ من السوق و يصنع لي وأصلّي فيه وليس عليكم المسألة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 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يأتيفي </w:t>
      </w:r>
      <w:r>
        <w:rPr>
          <w:rStyle w:val="FootnoteAnchor"/>
          <w:rtl w:val="true"/>
        </w:rPr>
        <w:footnoteReference w:id="147"/>
      </w:r>
      <w:r>
        <w:rPr>
          <w:rFonts w:ascii="Amiri" w:hAnsi="Amiri" w:eastAsia="Amiri" w:cs="Amiri"/>
          <w:color w:val="111111"/>
          <w:sz w:val="28"/>
          <w:sz w:val="28"/>
          <w:szCs w:val="28"/>
          <w:rtl w:val="true"/>
          <w:lang w:bidi="ar-SA"/>
        </w:rPr>
        <w:t xml:space="preserve">السوق فيشتري جبة فراء لايدري أذكيّة هي أم غير ذكيّة أيضًا </w:t>
      </w:r>
      <w:r>
        <w:rPr>
          <w:rStyle w:val="FootnoteAnchor"/>
          <w:rtl w:val="true"/>
        </w:rPr>
        <w:footnoteReference w:id="148"/>
      </w:r>
      <w:r>
        <w:rPr>
          <w:rFonts w:ascii="Amiri" w:hAnsi="Amiri" w:eastAsia="Amiri" w:cs="Amiri"/>
          <w:color w:val="111111"/>
          <w:sz w:val="28"/>
          <w:sz w:val="28"/>
          <w:szCs w:val="28"/>
          <w:rtl w:val="true"/>
          <w:lang w:bidi="ar-SA"/>
        </w:rPr>
        <w:t xml:space="preserve">أيصلّيفيها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إنّ أبا جعفر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لجهالتهم </w:t>
      </w:r>
      <w:r>
        <w:rPr>
          <w:rStyle w:val="FootnoteAnchor"/>
          <w:rtl w:val="true"/>
        </w:rPr>
        <w:footnoteReference w:id="149"/>
      </w:r>
      <w:r>
        <w:rPr>
          <w:rFonts w:ascii="Amiri" w:hAnsi="Amiri" w:eastAsia="Amiri" w:cs="Amiri"/>
          <w:color w:val="111111"/>
          <w:sz w:val="28"/>
          <w:sz w:val="28"/>
          <w:szCs w:val="28"/>
          <w:rtl w:val="true"/>
          <w:lang w:bidi="ar-SA"/>
        </w:rPr>
        <w:t xml:space="preserve">، إنّ الدين أوسع من ذلك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الفقيه عن سليمان بن جعفر الجعفريّ، عن مولانا الكاظم عليه‌السلام مثله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الكافي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الخفاف عندنا في السوق نشتريها، فما ترى في الصلاة فيها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حتّى يقال لك إنّها ميتة بعينه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فيه عن سهل، عن بعض أصحابه،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أعترض السوق فأشتري خفافًا </w:t>
      </w:r>
      <w:r>
        <w:rPr>
          <w:rStyle w:val="FootnoteAnchor"/>
          <w:rtl w:val="true"/>
        </w:rPr>
        <w:footnoteReference w:id="153"/>
      </w:r>
      <w:r>
        <w:rPr>
          <w:rFonts w:ascii="Amiri" w:hAnsi="Amiri" w:eastAsia="Amiri" w:cs="Amiri"/>
          <w:color w:val="111111"/>
          <w:sz w:val="28"/>
          <w:sz w:val="28"/>
          <w:szCs w:val="28"/>
          <w:rtl w:val="true"/>
          <w:lang w:bidi="ar-SA"/>
        </w:rPr>
        <w:t>لا أدري أذكيّ هو أم 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فالنعل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أضيق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عمّا كان أبو الحسن عليه‌السلام يفعله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لايخفى أنّ النصوص المذكورة وإن وردت في أمور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كالخفّ والفرو والنعل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مشاركة غيرها معها في ذلك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يرشدك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انتفاء الفرق والفارق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عليكمالمسألة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فصحّة الصلاة في الجلود الموجودة في الأسواق ممّا لاينبغي التأمّل فيه في الجملة </w:t>
      </w:r>
      <w:r>
        <w:rPr>
          <w:rFonts w:eastAsia="Amiri" w:cs="Amiri" w:ascii="Amiri" w:hAnsi="Amiri"/>
          <w:color w:val="111111"/>
          <w:sz w:val="28"/>
          <w:szCs w:val="28"/>
          <w:rtl w:val="true"/>
          <w:lang w:bidi="ar-SA"/>
        </w:rPr>
        <w:t xml:space="preserve">. </w:t>
      </w:r>
      <w:bookmarkStart w:id="111" w:name="pg7350_54434"/>
    </w:p>
    <w:p>
      <w:pPr>
        <w:pStyle w:val="Heading3"/>
        <w:numPr>
          <w:ilvl w:val="2"/>
          <w:numId w:val="1"/>
        </w:numPr>
        <w:rPr/>
      </w:pPr>
      <w:bookmarkStart w:id="112" w:name="__RefHeading___Toc1190533_1051229030"/>
      <w:bookmarkStart w:id="113" w:name="_Toc41"/>
      <w:bookmarkEnd w:id="111"/>
      <w:bookmarkEnd w:id="112"/>
      <w:r>
        <w:rPr>
          <w:rtl w:val="true"/>
        </w:rPr>
        <w:t>الاحتمالات المتصوّرة في المقام</w:t>
      </w:r>
      <w:bookmarkEnd w:id="113"/>
    </w:p>
    <w:p>
      <w:pPr>
        <w:pStyle w:val="Heading4"/>
        <w:numPr>
          <w:ilvl w:val="3"/>
          <w:numId w:val="1"/>
        </w:numPr>
        <w:rPr/>
      </w:pPr>
      <w:bookmarkStart w:id="114" w:name="__RefHeading___Toc1190535_1051229030"/>
      <w:bookmarkStart w:id="115" w:name="_Toc4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وإن أردت تنقيح المقام فاستمع لما أتلو عليك،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يستدعي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السوق إمّا مختصّ بالمسلمين، أو بالكفّار، أو مشترك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الاشتراك إمّا يكون المسلمون أكثر من الكفّار، أو بالعكس، أو هما متساويان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جميع التقادير إمّا يكون الجلد في يد من علم إسلامه، أو كفره، أو مجهول الحال، فالاحتمالات خمسة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جميع التقادير إمّا يحصل الظنّ بكون الجلد من مذكّى المسلمين، أو من غيره، أو لا هذا و لا ذاك، فالأقسام خمسة و أربعون، خمسة عشر منها فيما إذا كان الجلد في يد من علم إسلامه، و خمسة عشر منها فيما إذا كان في يد من علم كفره، و خمسة عشر منها فيما إذا كان في يد مجهول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كونه في يد معلوم الإسلام إمّا أنّ المسلم ممّن لايقول باستعمال الميتة بالدباغة و لا باستحلال ذبيحة أهل الكتاب، أو يقول بذلك، أو لا هذا ولا ذاك، فالأقسام خمسة و سبعون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جميع التقادير إمّا أن يخبر ذو اليد بأنّه من ذبيحة المسلمين، أو من غيرها، أو لا هذا و لا ذاك، فالأقسام مائتان و خمسة و عشرون </w:t>
      </w:r>
      <w:r>
        <w:rPr>
          <w:rFonts w:eastAsia="Amiri" w:cs="Amiri" w:ascii="Amiri" w:hAnsi="Amiri"/>
          <w:color w:val="111111"/>
          <w:sz w:val="28"/>
          <w:szCs w:val="28"/>
          <w:rtl w:val="true"/>
          <w:lang w:bidi="ar-SA"/>
        </w:rPr>
        <w:t xml:space="preserve">. </w:t>
      </w:r>
      <w:bookmarkStart w:id="116" w:name="pg7350_54436"/>
    </w:p>
    <w:p>
      <w:pPr>
        <w:pStyle w:val="BookText"/>
        <w:rPr/>
      </w:pPr>
      <w:bookmarkEnd w:id="116"/>
      <w:r>
        <w:rPr>
          <w:rFonts w:ascii="Amiri" w:hAnsi="Amiri" w:eastAsia="Amiri" w:cs="Amiri"/>
          <w:color w:val="111111"/>
          <w:sz w:val="28"/>
          <w:sz w:val="28"/>
          <w:szCs w:val="28"/>
          <w:rtl w:val="true"/>
          <w:lang w:bidi="ar-SA"/>
        </w:rPr>
        <w:t xml:space="preserve">هذا كلّه فيما إذا كان في السوق، و هكذا الحال فيما إذا كان في غيره، فالأقسام أربعمائة و خمسون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نتكلّم في جملة من هذه الأقسام على وجه يتّضح الحال لدى أولى الفضل والأعلام، فنقول </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90537_1051229030"/>
      <w:bookmarkStart w:id="118" w:name="_Toc43"/>
      <w:bookmarkEnd w:id="117"/>
      <w:r>
        <w:rPr>
          <w:rtl w:val="true"/>
        </w:rPr>
        <w:t>القسم الأوّل</w:t>
      </w:r>
      <w:r>
        <w:rPr>
          <w:rtl w:val="true"/>
        </w:rPr>
        <w:t>:</w:t>
      </w:r>
      <w:bookmarkEnd w:id="11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الجلد في يد من علم إسلامه وأنّه ممّن لم يقل باستحلال استعمال الميتة بالدباغة، و لا باستحلال ذبيحة أهل الكتاب في السوق المختصّ بالمسلمين، وكان المظنون أنّه من ذبيحتهم، وأخبر ذواليد بأنّه منها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القسم ممّا يقطع بجواز استعماله في الصلاة و غيرها ؛ والظاهر أنّه ممّا أطبق عليه الأصحاب ؛ و يدلّ عليه جميع النصوص الواردة في الباب، و ليس فيه إلاّ منافاته لقوله عليه‌السلام في الموثّقة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فالصلاة في وبره و بوله و شعره و روثه وألبانه و كلّ شيء منه جائز </w:t>
      </w:r>
      <w:r>
        <w:rPr>
          <w:rStyle w:val="FootnoteAnchor"/>
          <w:rtl w:val="true"/>
        </w:rPr>
        <w:footnoteReference w:id="155"/>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اللازم إمّا تخصيص المفهوم فيه بغير ما نحن فيه، للنصوص المتقدّمة، أو حمل العلم فيه على ما يعمّ الظنّ ؛ والأوّل وإن كان تخصيصًا، لكنّ الثاني أولى، لئلاّ </w:t>
      </w:r>
      <w:bookmarkStart w:id="119" w:name="pg7350_54438"/>
    </w:p>
    <w:p>
      <w:pPr>
        <w:pStyle w:val="BookText"/>
        <w:rPr/>
      </w:pPr>
      <w:bookmarkEnd w:id="119"/>
      <w:r>
        <w:rPr>
          <w:rFonts w:ascii="Amiri" w:hAnsi="Amiri" w:eastAsia="Amiri" w:cs="Amiri"/>
          <w:color w:val="111111"/>
          <w:sz w:val="28"/>
          <w:sz w:val="28"/>
          <w:szCs w:val="28"/>
          <w:rtl w:val="true"/>
          <w:lang w:bidi="ar-SA"/>
        </w:rPr>
        <w:t xml:space="preserve">يلزم التخصيص بإخراج أكثر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المنافات يمكن إمّا بارتكاب التخصيص في المفهوم، أو التجوّز في المنطوق، و هو أولى 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الثاني لا محيص عن شبهة التخصيص في كلّ من المنطوق والمفهوم أيضًا، أمّا في الأوّل فلأنّ مقتضى المنطوق حينئذٍ أنّه إذا حصل الظنّ بكونه من المذكّى يجوز الصلاة فيه ؛ و هو أعمٌّ من أن يكون الجلد في يد الكافر ولو في سوق الكفر،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الثاني فلأنّ مقتضى المفهوم حينئذٍ أنّه إذا لم يحصل الظنّ بكونه من المذكّى لا يجوز الصلاة فيه ؛ و هو أعمٌّ من أن يكون ذلك في سوق المسلمين، أو لا ؛ و ستقف على الكلام في كلّ من المقامين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90539_1051229030"/>
      <w:bookmarkStart w:id="121" w:name="_Toc44"/>
      <w:bookmarkEnd w:id="120"/>
      <w:r>
        <w:rPr>
          <w:rtl w:val="true"/>
        </w:rPr>
        <w:t>القسم الثاني</w:t>
      </w:r>
      <w:r>
        <w:rPr>
          <w:rtl w:val="true"/>
        </w:rPr>
        <w:t>:</w:t>
      </w:r>
      <w:bookmarkEnd w:id="121"/>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إلاّ في الإخبار من ذي اليد، بمعنى أنّه لم يتحقّق الإخبار منه بأنّه من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جواز الاستعمال ولو في الصلاة فيه أيضًا ممّا لاينبغي الإشكال فيه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الظاهر من كلام شيخ الطائفة في المبسوط خلافه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اشترى جلدًا على أنّه مذكّى جاز أن يصلّى فيه، وإن لم يكن كذلك إذا اشترى ذلك من أسواق </w:t>
      </w:r>
      <w:r>
        <w:rPr>
          <w:rStyle w:val="FootnoteAnchor"/>
          <w:rtl w:val="true"/>
        </w:rPr>
        <w:footnoteReference w:id="157"/>
      </w:r>
      <w:r>
        <w:rPr>
          <w:rFonts w:ascii="Amiri" w:hAnsi="Amiri" w:eastAsia="Amiri" w:cs="Amiri"/>
          <w:color w:val="111111"/>
          <w:sz w:val="28"/>
          <w:sz w:val="28"/>
          <w:szCs w:val="28"/>
          <w:rtl w:val="true"/>
          <w:lang w:bidi="ar-SA"/>
        </w:rPr>
        <w:t xml:space="preserve">المسلمين ممّن لايستحلّ الميتة، ولايجوز شراؤها ممّن يستحلّ ذلك، أو كان متّهمًا فيه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الظاهر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الإخبار من البائع بذلك، و مقتضى تعليق الجواز بذلك انتفاؤه عند انتفائه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مستنده ما رواه في الكافي عن محمّد بن الحسين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يشترى من السوق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مضمونًا فلا بأس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البائع ذكاته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لبس الفرو الّذي يشترى من السوق أو الصلاة فيه ؟ و على التقديرين يتمّ المراد، لأنّه عليه‌السلام علّق نفي البأس عن ذلك بضمان البائع،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بالتذكية ؛ و مقتضى ذلك ثبوته عند عدمه،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بما هو صريحٌ في الجواز من غير حاجة إلى </w:t>
      </w:r>
      <w:bookmarkStart w:id="122" w:name="pg7350_54442"/>
    </w:p>
    <w:p>
      <w:pPr>
        <w:pStyle w:val="BookText"/>
        <w:rPr/>
      </w:pPr>
      <w:bookmarkEnd w:id="122"/>
      <w:r>
        <w:rPr>
          <w:rFonts w:ascii="Amiri" w:hAnsi="Amiri" w:eastAsia="Amiri" w:cs="Amiri"/>
          <w:color w:val="111111"/>
          <w:sz w:val="28"/>
          <w:sz w:val="28"/>
          <w:szCs w:val="28"/>
          <w:rtl w:val="true"/>
          <w:lang w:bidi="ar-SA"/>
        </w:rPr>
        <w:t xml:space="preserve">الاستخبار والإخبار، كالصحيح المرويّ في الفقيه عن سليمان بن جعفر الجعفريّ أنّه سأل العبد الصالح موسى بن جعفر عليهماالسلام عن الرجل يأتي السوق، فيشتري جبّة فراء لايدري أذكيّة هي أم غير ذكيّة، أيصلّي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بجهالتهم، إنّ الدين أوسع من ذلك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صحيحة البزنطي المتقدّمة، و يقرب منه صحيحته الأخرى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المذكورة غير صالحة للمعارضة من وجوه عديدة ظاهرة، فلابدّ من طرحها بالمرّة، أو حملها على موضع التهمة، أو على الرجحان والأولويّة بمعنى أنّ الاستعمال حال الاستخبار والإخبار بالتذكية أولى، و فيه تأمّل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190541_1051229030"/>
      <w:bookmarkStart w:id="124" w:name="_Toc45"/>
      <w:bookmarkEnd w:id="123"/>
      <w:r>
        <w:rPr>
          <w:rtl w:val="true"/>
        </w:rPr>
        <w:t>القسم الثالث</w:t>
      </w:r>
      <w:r>
        <w:rPr>
          <w:rtl w:val="true"/>
        </w:rPr>
        <w:t>:</w:t>
      </w:r>
      <w:bookmarkEnd w:id="124"/>
    </w:p>
    <w:p>
      <w:pPr>
        <w:pStyle w:val="Heading5"/>
        <w:numPr>
          <w:ilvl w:val="4"/>
          <w:numId w:val="1"/>
        </w:numPr>
        <w:rPr/>
      </w:pPr>
      <w:bookmarkStart w:id="125" w:name="__RefHeading___Toc1190543_1051229030"/>
      <w:bookmarkStart w:id="126" w:name="_Toc46"/>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الجلد في سوق المسلمين في يد المسلم الّذي علم أنّه لايقول بطهارة الميتة بالدباغة، و لا بحلّية ذبيحة أهل الكتاب، ولم يخبر ذو اليد بأنّه من ذبيحة المسلمين، و لا ظنّ ذلك أيضًا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شيخ الطائفة في المبسوط عدم جواز الصلاة فيه، و قد سمعت عبارته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لعلّه الظاهر من العلاّمة في نهاية الإحكام والتذكرة، قال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شرطنا في المسلم عدم استباحته الميتة </w:t>
      </w:r>
      <w:r>
        <w:rPr>
          <w:rStyle w:val="FootnoteAnchor"/>
          <w:rtl w:val="true"/>
        </w:rPr>
        <w:footnoteReference w:id="163"/>
      </w:r>
      <w:r>
        <w:rPr>
          <w:rFonts w:ascii="Amiri" w:hAnsi="Amiri" w:eastAsia="Amiri" w:cs="Amiri"/>
          <w:color w:val="111111"/>
          <w:sz w:val="28"/>
          <w:sz w:val="28"/>
          <w:szCs w:val="28"/>
          <w:rtl w:val="true"/>
          <w:lang w:bidi="ar-SA"/>
        </w:rPr>
        <w:t xml:space="preserve">، ليحصل ظنّ التذكية، إذ الأصل الموت، ولا معارض له حينئذ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اعتبرنا في المسلم انتفاء استباحته للميتة </w:t>
      </w:r>
      <w:r>
        <w:rPr>
          <w:rStyle w:val="FootnoteAnchor"/>
          <w:rtl w:val="true"/>
        </w:rPr>
        <w:footnoteReference w:id="165"/>
      </w:r>
      <w:r>
        <w:rPr>
          <w:rFonts w:ascii="Amiri" w:hAnsi="Amiri" w:eastAsia="Amiri" w:cs="Amiri"/>
          <w:color w:val="111111"/>
          <w:sz w:val="28"/>
          <w:sz w:val="28"/>
          <w:szCs w:val="28"/>
          <w:rtl w:val="true"/>
          <w:lang w:bidi="ar-SA"/>
        </w:rPr>
        <w:t xml:space="preserve">، ليحصل الظنّ بالتذكية، إذ لا فرق في انتفاء الظنّ بين المستبيح من المسلم والكافر، انتهى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منهما أنّ المناط في استعمال الجلود ظنّ التذكية، وحيث انتفى انتفى، والمفروض انتفاء الظنّ فيما نحن فيه، فلا يجوز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الفرض محال، لظهور حصول الظنّ بالتذكية في الفرض المفروض</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الاستحالة ممّا لا شبهة في فسادها، لوضوح أنّه قد يظهر من عدم مبالات بعض من أفراد المسلمين عدم الاجتناب عمّا هو فوق ذلك، فلا يستبعد بالإضافة إلى حاله أن يتعدّي لمبايعته جلد الميتة </w:t>
      </w:r>
      <w:r>
        <w:rPr>
          <w:rFonts w:eastAsia="Amiri" w:cs="Amiri" w:ascii="Amiri" w:hAnsi="Amiri"/>
          <w:color w:val="111111"/>
          <w:sz w:val="28"/>
          <w:szCs w:val="28"/>
          <w:rtl w:val="true"/>
          <w:lang w:bidi="ar-SA"/>
        </w:rPr>
        <w:t xml:space="preserve">. </w:t>
      </w:r>
      <w:bookmarkStart w:id="127" w:name="pg7350_54446"/>
    </w:p>
    <w:p>
      <w:pPr>
        <w:pStyle w:val="Heading5"/>
        <w:numPr>
          <w:ilvl w:val="4"/>
          <w:numId w:val="1"/>
        </w:numPr>
        <w:rPr/>
      </w:pPr>
      <w:bookmarkStart w:id="128" w:name="__RefHeading___Toc1190545_1051229030"/>
      <w:bookmarkStart w:id="129" w:name="_Toc47"/>
      <w:bookmarkEnd w:id="127"/>
      <w:bookmarkEnd w:id="128"/>
      <w:r>
        <w:rPr>
          <w:rtl w:val="true"/>
        </w:rPr>
        <w:t>المستند في عدم الجواز</w:t>
      </w:r>
      <w:bookmarkEnd w:id="129"/>
    </w:p>
    <w:p>
      <w:pPr>
        <w:pStyle w:val="BookText"/>
        <w:rPr/>
      </w:pPr>
      <w:r>
        <w:rPr>
          <w:rFonts w:ascii="Amiri" w:hAnsi="Amiri" w:eastAsia="Amiri" w:cs="Amiri"/>
          <w:color w:val="111111"/>
          <w:sz w:val="28"/>
          <w:sz w:val="28"/>
          <w:szCs w:val="28"/>
          <w:rtl w:val="true"/>
          <w:lang w:bidi="ar-SA"/>
        </w:rPr>
        <w:t xml:space="preserve">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رواية محمّد بن الحسين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الموثّق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بناءً على أنّ مقتضى المفهوم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العلم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في الجلد عند انتفاء الظنّ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عنه بأنّ مقتضى ما ذكر وإن كان ذلك، لكنّ النصوص المتقدّمة الدالّة على جواز الصلاة في الجلود المأخوذة من الأسواق عامّة شاملة لصورة الشكّ بالتذكية أيضًا، لوضوح أنّ مقتضى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عليه‌السلامعن الخفاف الّتي تباع في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 صلّ فيه حتّى تعلم أنّه ميّت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إلاّ حال العلم بكون الجلد من الميتة ؛ و هو أعمّ من أن يكون التذكية مظنونة،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صحيحته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عندنا في السوق نشتريها، فما ترى في الصلاة فيها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حتّى يقال لك إنّها ميتة بعينه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صحيحة البزنطي المتقدّمة عن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عنالخفاف يأتي السوق، فيشتري الخفّ لايدري أذكيّ هو أم لا، ما تقول في الصلاة </w:t>
      </w:r>
    </w:p>
    <w:p>
      <w:pPr>
        <w:pStyle w:val="BookText"/>
        <w:rPr/>
      </w:pPr>
      <w:r>
        <w:rPr>
          <w:rFonts w:ascii="Amiri" w:hAnsi="Amiri" w:eastAsia="Amiri" w:cs="Amiri"/>
          <w:color w:val="111111"/>
          <w:sz w:val="28"/>
          <w:sz w:val="28"/>
          <w:szCs w:val="28"/>
          <w:rtl w:val="true"/>
          <w:lang w:bidi="ar-SA"/>
        </w:rPr>
        <w:t xml:space="preserve">فيه و هو لا يدري أيصلّي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أشتري الخفّ من السوق و يصنع لي وأصلّي فيه وليس عليكم المسألة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لظهور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يدرى أذكيّ هو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صورة عدم الظنّ أيضًا ؛ وحكمه عليه‌السلام بالجواز من غير تفرقة بين الاحتمالات دليلُ ثبوت الحكم في الجميع،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أوضح منها صحيحته الأخرى و صحيحة سليمان بن جعفر الجعفريّ المتقدّمتان ؛ و رواية محمّد بن الحسين الأشعري غير صالحة للمعارضة من وجوه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الموثّق المذكور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أعمّ من أن يكون الجلد مأخوذًا من سوق المسلمين و غيره، فمقتضاه عدم جواز الصلاة إلاّ مع العلم أو الظنّ بالتذكية فيهما، لكن لابدّ من حمله على الثاني للصحاح المذكورة و غيرها،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في الصحاح المذكورة الخفّ والفرو، فيحمل الموثّق على غيرهما، لكنّ الظاهر انتفاء الفارق، فالجواب الأوّل متعيّن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الموثّقة المذكورة على غير السوق يفتقر إلى شاهد، وليس ؛ و رفع المنافات بينها و بين النصوص المذكورة و غيرها غير منحصر في ذلك،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 المذكور ظاهرٌ في اعتبار العلم و نصٌّ في اعتبارالرجحان ؛ والنصوص المذكورة صريحةٌ في عدم توقّف الاستعمال على العلم وظاهرةٌ في جواز الاستعمال في صورة الشكّ بالتذكية، والقاعدة تقتضي رفع اليد </w:t>
      </w:r>
      <w:bookmarkStart w:id="130" w:name="pg7350_54449"/>
    </w:p>
    <w:p>
      <w:pPr>
        <w:pStyle w:val="BookText"/>
        <w:rPr/>
      </w:pPr>
      <w:bookmarkEnd w:id="130"/>
      <w:r>
        <w:rPr>
          <w:rFonts w:ascii="Amiri" w:hAnsi="Amiri" w:eastAsia="Amiri" w:cs="Amiri"/>
          <w:color w:val="111111"/>
          <w:sz w:val="28"/>
          <w:sz w:val="28"/>
          <w:szCs w:val="28"/>
          <w:rtl w:val="true"/>
          <w:lang w:bidi="ar-SA"/>
        </w:rPr>
        <w:t xml:space="preserve">عن ظاهر كلّ منهما بملاحظة نصّ الآخر، والمتحصّل منه اعتبار الظنّ بالتذكية مطلقًا ولو في الجلود المأخوذة من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جمع متين، لكن مبنيّ على الالتفات إلى بعض النصوص الواردة فقط،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يدرى أذكيّ هو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بعد الالتفات إلى الجميع فلا، إذ من</w:t>
      </w:r>
    </w:p>
    <w:p>
      <w:pPr>
        <w:pStyle w:val="BookText"/>
        <w:rPr/>
      </w:pPr>
      <w:r>
        <w:rPr>
          <w:rFonts w:ascii="Amiri" w:hAnsi="Amiri" w:eastAsia="Amiri" w:cs="Amiri"/>
          <w:color w:val="111111"/>
          <w:sz w:val="28"/>
          <w:sz w:val="28"/>
          <w:szCs w:val="28"/>
          <w:rtl w:val="true"/>
          <w:lang w:bidi="ar-SA"/>
        </w:rPr>
        <w:t xml:space="preserve">جملتها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 صلّ فيها حتّى تعلم أنّه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كالصريح في جواز الصلاة ولو في صورة الشكّ، فتقييد الموثّقة بغير السوق أولى، فتأمّل </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90547_1051229030"/>
      <w:bookmarkStart w:id="132" w:name="_Toc48"/>
      <w:bookmarkEnd w:id="131"/>
      <w:r>
        <w:rPr>
          <w:rtl w:val="true"/>
        </w:rPr>
        <w:t>القسم الرابع</w:t>
      </w:r>
      <w:r>
        <w:rPr>
          <w:rtl w:val="true"/>
        </w:rPr>
        <w:t>:</w:t>
      </w:r>
      <w:bookmarkEnd w:id="132"/>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الثالث، لكن مع الإخبار من ذي اليد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والجواز فيه أقوى من الثالث، لكونه مدلولاً عليه بالنصوص المذكورة، و رواية محمّد بن الحسين الأشعري أيضًا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إنّما يتوهّم من كلام العلاّمة، و أمّا الشيخ فلا، إذ المفروض تحقّق الإخبار من ذي اليد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المنع مع الجواب عنه يظهر ممّا بيّناه في الثالث كما لايخفى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 أنّه يكفي في الحكم باستعمال الجلود الموجودة فيالأسواق احتمال التذكية، فعدم الظنّ بالتذكية غير مضرّ ؛ و هذا هو الظاهر من المحقّق والشهيد و غيرهما، قال في المعتبر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يكفي في الحكم بذكاة ما لم يعلم أنّه ميتة وجوده في يد مسلم، أو في سوق المسلمين، أو في بلد الغالب فيه المسلمون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والمبطل للصلاة فيه علم كونه ميتة، أو الشكّ إذا وجد مطروحًا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آخر ما قدّمناه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لاعتبار المظنّة بالموثّق المرويّ في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زيادات التهذيب، عن إسحاق بن عمّار، عن العبد الصالح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بالصلاة في الفرو </w:t>
      </w:r>
      <w:r>
        <w:rPr>
          <w:rStyle w:val="FootnoteAnchor"/>
          <w:rtl w:val="true"/>
        </w:rPr>
        <w:footnoteReference w:id="173"/>
      </w:r>
      <w:r>
        <w:rPr>
          <w:rFonts w:ascii="Amiri" w:hAnsi="Amiri" w:eastAsia="Amiri" w:cs="Amiri"/>
          <w:color w:val="111111"/>
          <w:sz w:val="28"/>
          <w:sz w:val="28"/>
          <w:szCs w:val="28"/>
          <w:rtl w:val="true"/>
          <w:lang w:bidi="ar-SA"/>
        </w:rPr>
        <w:t xml:space="preserve">اليمانيّ و فيما صنع في أرض الإسلام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174"/>
      </w:r>
      <w:r>
        <w:rPr>
          <w:rFonts w:ascii="IRNazanin" w:hAnsi="IRNazanin" w:eastAsia="IRNazanin"/>
          <w:color w:val="111111"/>
          <w:sz w:val="28"/>
          <w:sz w:val="28"/>
          <w:szCs w:val="28"/>
          <w:rtl w:val="true"/>
          <w:lang w:bidi="fa-IR"/>
        </w:rPr>
        <w:t xml:space="preserve">فلا بأس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لظهور أنّ اعتبار غلبة الإسلام إنّما هو لتحصيل الظنّ بكون الجلد من مصنوعأهل الإسلام، فلو كان احتمال التذكية كافيًا، لما حاجة إلى ذلك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بكون الجلد من مصنوع أهل الإسلام غير اعتبار الظنّ بكونهمن ذبيحتهم، والكلام إنّما هو في ذلك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تسليم استلزامه 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بصحيحة الحلبي المتقدّمة، </w:t>
      </w:r>
    </w:p>
    <w:p>
      <w:pPr>
        <w:pStyle w:val="BookText"/>
        <w:rPr/>
      </w:pPr>
      <w:r>
        <w:rPr>
          <w:rFonts w:ascii="IRNazanin" w:hAnsi="IRNazanin" w:eastAsia="IRNazanin"/>
          <w:color w:val="111111"/>
          <w:sz w:val="28"/>
          <w:sz w:val="28"/>
          <w:szCs w:val="28"/>
          <w:rtl w:val="true"/>
          <w:lang w:bidi="fa-IR"/>
        </w:rPr>
        <w:t>لقوله</w:t>
      </w:r>
    </w:p>
    <w:p>
      <w:pPr>
        <w:pStyle w:val="BookText"/>
        <w:rPr/>
      </w:pPr>
      <w:r>
        <w:rPr>
          <w:rFonts w:ascii="Amiri" w:hAnsi="Amiri" w:eastAsia="Amiri" w:cs="Amiri"/>
          <w:color w:val="111111"/>
          <w:sz w:val="28"/>
          <w:sz w:val="28"/>
          <w:szCs w:val="28"/>
          <w:rtl w:val="true"/>
          <w:lang w:bidi="ar-SA"/>
        </w:rPr>
        <w:t xml:space="preserve">عليه‌السلام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 صلّ فيها حتّى تعلم أنّه ميتة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 لوضوح أنّ المستفاد منه أنّ المناط في الاجتناب حصول العلم بكونه من الميتة، و مقتضاه جواز الصلاة حال عدم العلم بذلك، سواء ظنّ بالتذكية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والتعارض بينهما من تعارض الظاهرين والعموم من وجه، فلابدّ من الرجوع إلى الترجيح، و هو مع الصحيح، لقوّة الدلالة والصحّة واعتضاده بكثير من النصوص المعتبرة، فلابدّ من حمل الموثّق على الجلد المأخوذ من غير السوق، كما قلناه في موثّقة ابن بكير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بالتذكية فيما إذا كان الجلد من غير السوق من بلاد المسلمين، و أمّا فيه فلا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المظنّة في غير السوق ينافيه ما رواه ثقة الإسلام في باب النوادر من كتاب الأطعمة من الكافي عن السكوني،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سفرة وجدت في الطريق مطروحة كثير لحمها و خبزها و بيضها و جبنها و فيها سكين، فقال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مافيها ويؤكل </w:t>
      </w:r>
      <w:r>
        <w:rPr>
          <w:rStyle w:val="FootnoteAnchor"/>
          <w:rtl w:val="true"/>
        </w:rPr>
        <w:footnoteReference w:id="178"/>
      </w:r>
      <w:r>
        <w:rPr>
          <w:rFonts w:ascii="Amiri" w:hAnsi="Amiri" w:eastAsia="Amiri" w:cs="Amiri"/>
          <w:color w:val="111111"/>
          <w:sz w:val="28"/>
          <w:sz w:val="28"/>
          <w:szCs w:val="28"/>
          <w:rtl w:val="true"/>
          <w:lang w:bidi="ar-SA"/>
        </w:rPr>
        <w:t xml:space="preserve">، لأنّه يفسد وليس له بقاء، فإن جاء لها </w:t>
      </w:r>
      <w:r>
        <w:rPr>
          <w:rStyle w:val="FootnoteAnchor"/>
          <w:rtl w:val="true"/>
        </w:rPr>
        <w:footnoteReference w:id="179"/>
      </w:r>
      <w:r>
        <w:rPr>
          <w:rFonts w:ascii="Amiri" w:hAnsi="Amiri" w:eastAsia="Amiri" w:cs="Amiri"/>
          <w:color w:val="111111"/>
          <w:sz w:val="28"/>
          <w:sz w:val="28"/>
          <w:szCs w:val="28"/>
          <w:rtl w:val="true"/>
          <w:lang w:bidi="ar-SA"/>
        </w:rPr>
        <w:t>طالبها غرموا له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لا ندري </w:t>
      </w:r>
      <w:r>
        <w:rPr>
          <w:rStyle w:val="FootnoteAnchor"/>
          <w:rtl w:val="true"/>
        </w:rPr>
        <w:footnoteReference w:id="181"/>
      </w:r>
      <w:r>
        <w:rPr>
          <w:rFonts w:ascii="Amiri" w:hAnsi="Amiri" w:eastAsia="Amiri" w:cs="Amiri"/>
          <w:color w:val="111111"/>
          <w:sz w:val="28"/>
          <w:sz w:val="28"/>
          <w:szCs w:val="28"/>
          <w:rtl w:val="true"/>
          <w:lang w:bidi="ar-SA"/>
        </w:rPr>
        <w:t xml:space="preserve">سفرة مسلم أو سفرة 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bookmarkStart w:id="133" w:name="pg7350_54455"/>
    </w:p>
    <w:p>
      <w:pPr>
        <w:pStyle w:val="BookText"/>
        <w:rPr/>
      </w:pPr>
      <w:bookmarkEnd w:id="133"/>
      <w:r>
        <w:rPr>
          <w:rFonts w:ascii="Amiri" w:hAnsi="Amiri" w:eastAsia="Amiri" w:cs="Amiri"/>
          <w:color w:val="111111"/>
          <w:sz w:val="28"/>
          <w:sz w:val="28"/>
          <w:szCs w:val="28"/>
          <w:rtl w:val="true"/>
          <w:lang w:bidi="ar-SA"/>
        </w:rPr>
        <w:t xml:space="preserve">في سعة حتّى يعلموا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بالتفرقة بين الأكل والاستعمال في الصلاة، بناءً على أنّ مقتضى الموثّقتين المذكورتين اعتبار مظنّة التذكية لجواز الصلاة، و غاية ما يستفاد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الأكل إلاّ إذا علم بكون اللحم من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انتفاء القائل بالتفرقة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هذا الحديث مقيّد بصورة الظنّ بالتذكية 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ضعف سند الحديث بالنوفلي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الحسين بن يزيد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والراوي يقدح في الركون عليه </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90549_1051229030"/>
      <w:bookmarkStart w:id="135" w:name="_Toc49"/>
      <w:bookmarkEnd w:id="134"/>
      <w:r>
        <w:rPr>
          <w:rtl w:val="true"/>
        </w:rPr>
        <w:t>القسم الخامس</w:t>
      </w:r>
      <w:r>
        <w:rPr>
          <w:rtl w:val="true"/>
        </w:rPr>
        <w:t>:</w:t>
      </w:r>
      <w:bookmarkEnd w:id="135"/>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سوق المسلمين في يد المسلم الغير المستبيح</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لكن مع إخبار ذي اليد بكونه من غير المذكّى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والحكم في ذلك أنّه إن حصل العلم من قوله فلا إشكال، و إلاّ ففيه إشكال من قوله عليه‌السلام في صحيحة الحلبي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 صلّ فيها حتّى تعلم أنّه </w:t>
      </w:r>
    </w:p>
    <w:p>
      <w:pPr>
        <w:pStyle w:val="BookText"/>
        <w:rPr/>
      </w:pPr>
      <w:r>
        <w:rPr>
          <w:rFonts w:ascii="Amiri" w:hAnsi="Amiri" w:eastAsia="Amiri" w:cs="Amiri"/>
          <w:color w:val="111111"/>
          <w:sz w:val="28"/>
          <w:sz w:val="28"/>
          <w:szCs w:val="28"/>
          <w:rtl w:val="true"/>
          <w:lang w:bidi="ar-SA"/>
        </w:rPr>
        <w:t xml:space="preserve">ميتة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والمفروض انتفاء العلم ؛ و من قوله عليه‌السلام في 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يقال لك إنّها ميتة بعينه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والمفروض تحقّق القول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الثاني والأوّل من تعارض المطلق والمقيّد، بناءً على أنّ القول أعمّ من أن يكون مفيدًا للعلم أم لا، فيحمل على الأوّل لقوله</w:t>
      </w:r>
    </w:p>
    <w:p>
      <w:pPr>
        <w:pStyle w:val="BookText"/>
        <w:rPr/>
      </w:pP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احتمال آخر، و هو التفصيل بين كون ذي اليد المخبر ثقة و غيره، فيحكم بعدم الجواز في الأوّل دون الثاني، أمّا الثاني فلما ذكر من 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تعلم أنّه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الأوّل فللصحيح المرويّ في باب الغرر من تجارة التهذيب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الفراء اشتريه</w:t>
      </w:r>
    </w:p>
    <w:p>
      <w:pPr>
        <w:pStyle w:val="BookText"/>
        <w:rPr/>
      </w:pPr>
      <w:r>
        <w:rPr>
          <w:rFonts w:ascii="Amiri" w:hAnsi="Amiri" w:eastAsia="Amiri" w:cs="Amiri"/>
          <w:color w:val="111111"/>
          <w:sz w:val="28"/>
          <w:sz w:val="28"/>
          <w:szCs w:val="28"/>
          <w:rtl w:val="true"/>
          <w:lang w:bidi="ar-SA"/>
        </w:rPr>
        <w:t xml:space="preserve">من الرجل الّذي لعلّي لا أثق به </w:t>
      </w:r>
      <w:r>
        <w:rPr>
          <w:rStyle w:val="FootnoteAnchor"/>
          <w:rtl w:val="true"/>
        </w:rPr>
        <w:footnoteReference w:id="187"/>
      </w:r>
      <w:r>
        <w:rPr>
          <w:rFonts w:ascii="Amiri" w:hAnsi="Amiri" w:eastAsia="Amiri" w:cs="Amiri"/>
          <w:color w:val="111111"/>
          <w:sz w:val="28"/>
          <w:sz w:val="28"/>
          <w:szCs w:val="28"/>
          <w:rtl w:val="true"/>
          <w:lang w:bidi="ar-SA"/>
        </w:rPr>
        <w:t>، على أنّها ذكيّة أبيعها على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كنتلاتثق بها فلا تبعها على أنّها ذكيّة،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أنّها ذكية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المفهوم منه هو أنّه إن كان المخبر بالتذكية ثقة، يجوز الاكتفاء بقوله في التذكية ؛ و معلوم أنّ الاكتفاء بقول الثقة في التذكية الّتي هيمخالفة للأصل يدلّ على الاكتفاء بقوله في عدم التذكية الّتي هي موافقة للأصل بطريق أولى كما لايخفى، فعلى هذا يختصّ المفهوم في الصحيح المذكور الدالّ </w:t>
      </w:r>
    </w:p>
    <w:p>
      <w:pPr>
        <w:pStyle w:val="BookText"/>
        <w:rPr/>
      </w:pPr>
      <w:r>
        <w:rPr>
          <w:rFonts w:ascii="Amiri" w:hAnsi="Amiri" w:eastAsia="Amiri" w:cs="Amiri"/>
          <w:color w:val="111111"/>
          <w:sz w:val="28"/>
          <w:sz w:val="28"/>
          <w:szCs w:val="28"/>
          <w:rtl w:val="true"/>
          <w:lang w:bidi="ar-SA"/>
        </w:rPr>
        <w:t xml:space="preserve">على جواز الصلاة فيما إذا لم يحصل العلم بكونه من الميتة في غير الصورة المفروضة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في الجلد مع إخبار ذي اليد الثقة بعدم التذكية ولو لم يفد قوله العلم، و جوازها فيه فيما إذا لم يعلم أنّه من الميتة ولو مع</w:t>
      </w:r>
    </w:p>
    <w:p>
      <w:pPr>
        <w:pStyle w:val="BookText"/>
        <w:rPr/>
      </w:pPr>
      <w:r>
        <w:rPr>
          <w:rFonts w:ascii="Amiri" w:hAnsi="Amiri" w:eastAsia="Amiri" w:cs="Amiri"/>
          <w:color w:val="111111"/>
          <w:sz w:val="28"/>
          <w:sz w:val="28"/>
          <w:szCs w:val="28"/>
          <w:rtl w:val="true"/>
          <w:lang w:bidi="ar-SA"/>
        </w:rPr>
        <w:t xml:space="preserve">إخبار ذي اليد الغير الثقة بعدم كونه من المذكّى، لعموم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تعلم أنّه ميتة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المفهوم منه و إن كان ذلك، لكنّه معارض لقوله عليه‌السلام في الصحيح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يقال لك إنّها ميتة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لوضوح أنّه أعمّ من أن يكون قول القائل مفيدًا للعلم،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والتعارض بينه و بين الصحيح الآخر يكون من تعارض الظاهرين والعموم من وجه، لا العموم مطلقًا، لوضوح أنّ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تعلم أنّه 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جواز الصلاة في الجلد مع انتفاء العلم بكونه من الميتة، سواء أخبر ذواليد بعدم التذكية أو لا، فلابدّ من الرجوع إلى الترجيح، و هو مع الدالّ على الاجتناب، لظهور أنّ البراءة اليقينيّة الّتي استدعى الاشتغال اليقينيّ لايحصل مع الإخبار بعدم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للاعتضاد بأصالة عدم التذكية، و بما يؤمي إليه الصحيحان السالفان المرويّان عن البزنطي و سليمان بن جعفر الجعفريّ، لقوله عليه‌السلام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المسألة، </w:t>
      </w:r>
    </w:p>
    <w:p>
      <w:pPr>
        <w:pStyle w:val="BookText"/>
        <w:rPr/>
      </w:pPr>
      <w:r>
        <w:rPr>
          <w:rFonts w:ascii="Amiri" w:hAnsi="Amiri" w:eastAsia="Amiri" w:cs="Amiri"/>
          <w:color w:val="111111"/>
          <w:sz w:val="28"/>
          <w:sz w:val="28"/>
          <w:szCs w:val="28"/>
          <w:rtl w:val="true"/>
          <w:lang w:bidi="ar-SA"/>
        </w:rPr>
        <w:t xml:space="preserve">إنّ الخوارج ضيّقوا على أنفسهم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لوضوح أنّ الضيق إنّما يترتّب على السؤال إذا تعيّن قبول الجواب بعد السؤال، لظهور أنّ مع عدم تعيّن القبول لا 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لكونه هو المقطوع به في كلمات جماعة من الأصحاب، قال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وجد في يد مستحلّ بالدبغ، ففيه صور ثلاث،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ميتة، فليجتنب، لاعتضاده بالأصل من عدم الذكاة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مذكّى، فالأقرب القبول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الأقرب في الثاني يؤمي إلى انتفاء الخلاف في الأوّل، فإذا ثبت ذلك في المستحلّ ففي غير المستحلّ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بذلك في آخر المبحث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 الثلاث آتية في غير المستحلّ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الأخذ من مسلم يعلم منه استحلال الميتة بالدباغ وجه بالمنع، إلاّأن يخبر بالذكاة، فيقبل على الأقرب، وأقوى في الجواز إذا جهل حاله في الاستحلال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منه إباحة ذبيحة الكتابيّ، فالظاهر أنّه كالعلمباستحلال المدبوغ من الميتة، والوجه الحكم بالطهارة مطلقًا، إلاّ أن يخبر بخلافه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المعتمد القول بالطهارة </w:t>
      </w:r>
      <w:r>
        <w:rPr>
          <w:rStyle w:val="FootnoteAnchor"/>
          <w:rtl w:val="true"/>
        </w:rPr>
        <w:footnoteReference w:id="194"/>
      </w:r>
      <w:r>
        <w:rPr>
          <w:rFonts w:ascii="Amiri" w:hAnsi="Amiri" w:eastAsia="Amiri" w:cs="Amiri"/>
          <w:color w:val="111111"/>
          <w:sz w:val="28"/>
          <w:sz w:val="28"/>
          <w:szCs w:val="28"/>
          <w:rtl w:val="true"/>
          <w:lang w:bidi="ar-SA"/>
        </w:rPr>
        <w:t xml:space="preserve">مطلقًا، إلاّ أن يخبر ذواليد بعدم التذكية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الفاضل جمال الدين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يقيّد بما إذا لم يخبر ذو اليد بكونه ميتة، سواء أخبر بالتذكية، أم سكت، فإنّه إذا أخبر بذلك، فالظاهر أنّه لا خلاف في أنّه يحكم عليه بالميتة وإن لم يعلم صدقه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مقتضى كلام المبسوط عدم جواز الصلاة مع عدم الإخبار بالتذكية ؛ و كيف مع الإخبار بخلافها، فالقول بالاجتناب متعيّن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حصل الظنّ من قول المخبر، أو لم يحصل، لكن لم يكن خلافه مظنونًا ؛ و أمّا معه فالّذي يظهر من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تعالى محلّ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والتذكرة جواز الاستعمال حينئذ، قال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شرطنا </w:t>
      </w:r>
      <w:r>
        <w:rPr>
          <w:rStyle w:val="FootnoteAnchor"/>
          <w:rtl w:val="true"/>
        </w:rPr>
        <w:footnoteReference w:id="197"/>
      </w:r>
      <w:r>
        <w:rPr>
          <w:rFonts w:ascii="Amiri" w:hAnsi="Amiri" w:eastAsia="Amiri" w:cs="Amiri"/>
          <w:color w:val="111111"/>
          <w:sz w:val="28"/>
          <w:sz w:val="28"/>
          <w:szCs w:val="28"/>
          <w:rtl w:val="true"/>
          <w:lang w:bidi="ar-SA"/>
        </w:rPr>
        <w:t xml:space="preserve">في المسلم عدم استباحته الميتة </w:t>
      </w:r>
      <w:r>
        <w:rPr>
          <w:rStyle w:val="FootnoteAnchor"/>
          <w:rtl w:val="true"/>
        </w:rPr>
        <w:footnoteReference w:id="198"/>
      </w:r>
      <w:r>
        <w:rPr>
          <w:rFonts w:ascii="Amiri" w:hAnsi="Amiri" w:eastAsia="Amiri" w:cs="Amiri"/>
          <w:color w:val="111111"/>
          <w:sz w:val="28"/>
          <w:sz w:val="28"/>
          <w:szCs w:val="28"/>
          <w:rtl w:val="true"/>
          <w:lang w:bidi="ar-SA"/>
        </w:rPr>
        <w:t xml:space="preserve">، ليحصل ظنّالتذكية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اعتبرنا في المسلم انتفاء استباحته للميتة </w:t>
      </w:r>
      <w:r>
        <w:rPr>
          <w:rStyle w:val="FootnoteAnchor"/>
          <w:rtl w:val="true"/>
        </w:rPr>
        <w:footnoteReference w:id="200"/>
      </w:r>
      <w:r>
        <w:rPr>
          <w:rFonts w:ascii="Amiri" w:hAnsi="Amiri" w:eastAsia="Amiri" w:cs="Amiri"/>
          <w:color w:val="111111"/>
          <w:sz w:val="28"/>
          <w:sz w:val="28"/>
          <w:szCs w:val="28"/>
          <w:rtl w:val="true"/>
          <w:lang w:bidi="ar-SA"/>
        </w:rPr>
        <w:t xml:space="preserve">، ليحصل الظنّ بالتذكية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الظاهر منهما أنّ المناط في استعمال الجلود الظنّ بكونها من المذكّى، والمفروض تحقّقه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الفرض المذكور من الفروض النادرة، فلا ينصرف إليه الإطلاق في قوله عليه‌السلام في الصحيح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يقال لك إنّها ميتة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فيبقى العمومات الدالّة على جواز استعمال الجلود الموجودة في أسواق المسلمين سالمة عمّا يصلح للمعارضة، كقوله عليه‌السلام في الصحيح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 صلّ فيها حتّى تعلم أنّه ميّت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عليه‌السلام في موثّقة سماعة المتقدّمة حيث سئل عن الصلاة مع تقليد السيفالّذي فيه الغراء والكيمخت </w:t>
      </w:r>
      <w:r>
        <w:rPr>
          <w:rStyle w:val="FootnoteAnchor"/>
          <w:rtl w:val="true"/>
        </w:rPr>
        <w:footnoteReference w:id="2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تعلم أنّه ميتة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136" w:name="pg7350_54467"/>
    </w:p>
    <w:p>
      <w:pPr>
        <w:pStyle w:val="BookText"/>
        <w:rPr/>
      </w:pPr>
      <w:bookmarkEnd w:id="136"/>
      <w:r>
        <w:rPr>
          <w:rFonts w:ascii="Amiri" w:hAnsi="Amiri" w:eastAsia="Amiri" w:cs="Amiri"/>
          <w:color w:val="111111"/>
          <w:sz w:val="28"/>
          <w:sz w:val="28"/>
          <w:szCs w:val="28"/>
          <w:rtl w:val="true"/>
          <w:lang w:bidi="ar-SA"/>
        </w:rPr>
        <w:t xml:space="preserve">و قوله عليه‌السلام في الصحيح المتقدّم عن عبداللّه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سأل أبا عبداللّه عليه‌السلام وأنا عنده عن الرجل يتقلد السيف و يصلّي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الكيمخت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الكيمخت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 دوابّ منه ما يكون ذكيًّا و منه ما يكون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أنّه ميتة، فلا تصلّ فيه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يظهر الحال في الكلمات السالفة من محقّقي الأصحاب الناطقة بوجوب الاجتناب فيما لو أخبر ذو اليد بعدم التذكية </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90551_1051229030"/>
      <w:bookmarkStart w:id="138" w:name="_Toc50"/>
      <w:bookmarkEnd w:id="137"/>
      <w:r>
        <w:rPr>
          <w:rtl w:val="true"/>
        </w:rPr>
        <w:t>القسم السادس</w:t>
      </w:r>
      <w:r>
        <w:rPr>
          <w:rtl w:val="true"/>
        </w:rPr>
        <w:t>:</w:t>
      </w:r>
      <w:bookmarkEnd w:id="138"/>
    </w:p>
    <w:p>
      <w:pPr>
        <w:pStyle w:val="Heading5"/>
        <w:numPr>
          <w:ilvl w:val="4"/>
          <w:numId w:val="1"/>
        </w:numPr>
        <w:rPr/>
      </w:pPr>
      <w:bookmarkStart w:id="139" w:name="__RefHeading___Toc1190553_1051229030"/>
      <w:bookmarkStart w:id="140" w:name="_Toc51"/>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في البلد المختصّ</w:t>
      </w:r>
    </w:p>
    <w:p>
      <w:pPr>
        <w:pStyle w:val="BookText"/>
        <w:rPr/>
      </w:pPr>
      <w:r>
        <w:rPr>
          <w:rFonts w:ascii="Amiri" w:hAnsi="Amiri" w:eastAsia="Amiri" w:cs="Amiri"/>
          <w:color w:val="111111"/>
          <w:sz w:val="28"/>
          <w:sz w:val="28"/>
          <w:szCs w:val="28"/>
          <w:rtl w:val="true"/>
          <w:lang w:bidi="ar-SA"/>
        </w:rPr>
        <w:t xml:space="preserve">بالمسلم مع الإخبار من ذي اليد بالتذكية والظنّ بها أيضًا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لاينبغي التأمّل في جواز استعماله في الصلاة و غيرها، والظاهر أنّه ممّا لا خلاف فيه، عدا ما يظهر من الكلام المتقدّم من شيخ الطائفة في المبسوط،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اشترى جلدًا على أنّه مذكّى جاز أن يصلّى فيه، وإن لم يكن كذلك إذا اشترى ذلك من أسواق </w:t>
      </w:r>
      <w:r>
        <w:rPr>
          <w:rStyle w:val="FootnoteAnchor"/>
          <w:rtl w:val="true"/>
        </w:rPr>
        <w:footnoteReference w:id="207"/>
      </w:r>
      <w:r>
        <w:rPr>
          <w:rFonts w:ascii="Amiri" w:hAnsi="Amiri" w:eastAsia="Amiri" w:cs="Amiri"/>
          <w:color w:val="111111"/>
          <w:sz w:val="28"/>
          <w:sz w:val="28"/>
          <w:szCs w:val="28"/>
          <w:rtl w:val="true"/>
          <w:lang w:bidi="ar-SA"/>
        </w:rPr>
        <w:t xml:space="preserve">المسلمين ممّن لايستحلّ الميتة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41" w:name="pg7350_54469"/>
    </w:p>
    <w:p>
      <w:pPr>
        <w:pStyle w:val="BookText"/>
        <w:rPr/>
      </w:pPr>
      <w:bookmarkEnd w:id="141"/>
      <w:r>
        <w:rPr>
          <w:rFonts w:ascii="Amiri" w:hAnsi="Amiri" w:eastAsia="Amiri" w:cs="Amiri"/>
          <w:color w:val="111111"/>
          <w:sz w:val="28"/>
          <w:sz w:val="28"/>
          <w:szCs w:val="28"/>
          <w:rtl w:val="true"/>
          <w:lang w:bidi="ar-SA"/>
        </w:rPr>
        <w:t xml:space="preserve">حيث علّق الجواز فيه على ما إذا اشتراه من أسواق المسلمين، و مقتضاه انتفاء الجواز في صورة انتفاء اشترائه من الأسواق، والمأخوذ في البلد المختصّ بالمسلم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الحال كلامه في النهاية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يعلم أنّه مذكّى، فلا بأس بشرائه من أسواق المسلمين ممّن لايستحلّ الميتة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أنّه غير مراد من الكلام، بل المراد منه الاحتراز عمّا أخذ من سوق الكفّار، فالاحتراز بالمضاف إليه لا بالمضاف إليه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الحال في بعض العبارات الأخر المضاهية لما ذكر </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190555_1051229030"/>
      <w:bookmarkStart w:id="143" w:name="_Toc52"/>
      <w:bookmarkEnd w:id="142"/>
      <w:r>
        <w:rPr>
          <w:rtl w:val="true"/>
        </w:rPr>
        <w:t>المستند في الجواز</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أنّ الظاهر انتفاء الخلاف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الموثّق المتقدّم، و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بالصلاة في الفرو </w:t>
      </w:r>
      <w:r>
        <w:rPr>
          <w:rStyle w:val="FootnoteAnchor"/>
          <w:rtl w:val="true"/>
        </w:rPr>
        <w:footnoteReference w:id="210"/>
      </w:r>
      <w:r>
        <w:rPr>
          <w:rFonts w:ascii="Amiri" w:hAnsi="Amiri" w:eastAsia="Amiri" w:cs="Amiri"/>
          <w:color w:val="111111"/>
          <w:sz w:val="28"/>
          <w:sz w:val="28"/>
          <w:szCs w:val="28"/>
          <w:rtl w:val="true"/>
          <w:lang w:bidi="ar-SA"/>
        </w:rPr>
        <w:t xml:space="preserve">اليمانيّ و فيما صنعفي أرض الإسلام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211"/>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 جواز الصلاة فيما علم أنّه مصنوعٌ في أرض الإسلام، و لايلزم أن يكون الأمر فيما نحن فيه كذلك، لأنّه يمكن أن يكون الجلد في يد المسلم في البلد المختصّ بالمسلم و لايعلم أنّه مصنوعٌ في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بكونه من المصنوع في أرض الإسلام مع القطع بكونه من ذبيحة الكفّار لايجدي قطعًا، كما أنّه لايضرّ القطع بكونه من المصنوع في أرض الكفّار مع القطع بكونه من ذبيحة المسلم، و هو ظاهر،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اكتفائه عليه‌السلام في صورة الاشتراك بغلبة المسلمين دليلٌ على الاكتفاء بظنّ كونه من ذبيحة المسلمين، كما لايخفى على المتأمّل، والمفروض تحقّقه فيما نحن فيه،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الصحيح المرويّ في الفقيه عن جعفر بن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كتب إلى أبي الحسن عليه‌السلام يسأله عن الخفّ والفرو </w:t>
      </w:r>
      <w:r>
        <w:rPr>
          <w:rStyle w:val="FootnoteAnchor"/>
          <w:rtl w:val="true"/>
        </w:rPr>
        <w:footnoteReference w:id="213"/>
      </w:r>
      <w:r>
        <w:rPr>
          <w:rFonts w:ascii="Amiri" w:hAnsi="Amiri" w:eastAsia="Amiri" w:cs="Amiri"/>
          <w:color w:val="111111"/>
          <w:sz w:val="28"/>
          <w:sz w:val="28"/>
          <w:szCs w:val="28"/>
          <w:rtl w:val="true"/>
          <w:lang w:bidi="ar-SA"/>
        </w:rPr>
        <w:t xml:space="preserve">ألبسه وأصلّى فيه و لا أعلم أنّه ذكيّ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ترك الاستفصال بين كون الفرو مثلاً مأخوذًا من السوق و غيره، يفيد ثبوت الحكم في الصورتين و قد صرّح بعدم العلم بالتذكية، فشموله لصورة الظنّ ممّايقطع به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العموم المستفاد من التعليل المستفاد من قوله عليه‌السلام في الصحيحتين المتقدّمتين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 المسألة، إنّ الدين أوسع من ذلك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يمكن الاحتجاج أيضًا بصحيحة عبدالرّحمن بن الحجّاج المتقدّمة، لترك الاستفصال فيها من كون شراء الفراء من السوق و غيره، فيعمّ القسمين ؛ و دعوى الشيوع والظهور في الأوّل بحيث لا ينصرف إليه العموم المستفاد من ترك الاستفصال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السائل أنّه اعتقد جواز بيعه، وإنّما سأل عن بيعها على أنّها ذكيّة ؛ و قرّره عليه‌السلام على جواز البيع و فصّل الإخبار بالتذكية بين كون المخبر ثقة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نفتقر في إثبات جواز أصل البيع إلى التمسّك بالتقرير، لاستفادته من جوابه عليه‌السلام، لظهور أنّه عليه‌السلام إنّما منع عن البيع على أنّها ذكيّة، لا مطلقًا، بل كلامه عليه‌السلام</w:t>
      </w:r>
    </w:p>
    <w:p>
      <w:pPr>
        <w:pStyle w:val="BookText"/>
        <w:rPr/>
      </w:pPr>
      <w:r>
        <w:rPr>
          <w:rFonts w:ascii="Amiri" w:hAnsi="Amiri" w:eastAsia="Amiri" w:cs="Amiri"/>
          <w:color w:val="111111"/>
          <w:sz w:val="28"/>
          <w:sz w:val="28"/>
          <w:szCs w:val="28"/>
          <w:rtl w:val="true"/>
          <w:lang w:bidi="ar-SA"/>
        </w:rPr>
        <w:t xml:space="preserve">ظاهر الدلالة على جواز أصل البيع، فلو لم يكن ملحقًا بالتذكية لم يجز ذلك، لعدم جواز بيع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الغالب في أمثال الفراء استعمالها في الصلاة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البائع في السؤال إمّا أن يكون ممّن يستحلّ استعمال الميتة بالدباغة، أو لا ؛ و على التقديرين يتمّ المرام، أمّا على الأوّل فبالأولويّة، وأمّا علىالثاني فظاهر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مرويّ في كتاب الصلاة من الكافي، و هو على ما فيه صريحٌ في أنّ مورده في السوق، فلا يصحّ الاستناد إليه في غيره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في الكافي و إن انتهى سنده إلى عبدالرّحمن بن الحجّاج، لكن في متن الحديث اختلاف، فليلاحظ، فتأمّل </w:t>
      </w:r>
      <w:r>
        <w:rPr>
          <w:rFonts w:eastAsia="Amiri" w:cs="Amiri" w:ascii="Amiri" w:hAnsi="Amiri"/>
          <w:color w:val="111111"/>
          <w:sz w:val="28"/>
          <w:szCs w:val="28"/>
          <w:rtl w:val="true"/>
          <w:lang w:bidi="ar-SA"/>
        </w:rPr>
        <w:t xml:space="preserve">. </w:t>
      </w:r>
      <w:bookmarkStart w:id="144" w:name="pg7350_54476"/>
    </w:p>
    <w:p>
      <w:pPr>
        <w:pStyle w:val="BookText"/>
        <w:rPr/>
      </w:pPr>
      <w:bookmarkEnd w:id="144"/>
      <w:r>
        <w:rPr>
          <w:rFonts w:ascii="Amiri" w:hAnsi="Amiri" w:eastAsia="Amiri" w:cs="Amiri"/>
          <w:color w:val="111111"/>
          <w:sz w:val="28"/>
          <w:sz w:val="28"/>
          <w:szCs w:val="28"/>
          <w:rtl w:val="true"/>
          <w:lang w:bidi="ar-SA"/>
        </w:rPr>
        <w:t>مضافًا إلى أنّ الحكم مقطوعٌ به في كلمات الأصحاب، و قد تقدّم جملة من عباراتهم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90557_1051229030"/>
      <w:bookmarkStart w:id="146" w:name="_Toc53"/>
      <w:bookmarkEnd w:id="145"/>
      <w:r>
        <w:rPr>
          <w:rtl w:val="true"/>
        </w:rPr>
        <w:t>القسم السابع</w:t>
      </w:r>
      <w:r>
        <w:rPr>
          <w:rtl w:val="true"/>
        </w:rPr>
        <w:t>:</w:t>
      </w:r>
      <w:bookmarkEnd w:id="146"/>
    </w:p>
    <w:p>
      <w:pPr>
        <w:pStyle w:val="Heading5"/>
        <w:numPr>
          <w:ilvl w:val="4"/>
          <w:numId w:val="1"/>
        </w:numPr>
        <w:rPr/>
      </w:pPr>
      <w:bookmarkStart w:id="147" w:name="__RefHeading___Toc1190559_1051229030"/>
      <w:bookmarkStart w:id="148" w:name="_Toc5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السادس إلاّ في الإخبار من ذي اليد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يتوهّم من كلام شيخ الطائفة في المبسوط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لقوله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اشترى جلدًا على أنّه مذكّى جاز أن يصلّي فيه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فيها الموهم لاختصاص الجواز بما في أسواق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المستند فيه ما تقدّم من رواية محمّد بن الحسين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كتببعض أصحابنا إلى 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الفرو يشترى من السوق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مضمونًا فلا بأس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الأمر في الجلود المأخوذة من الأسواق أسهل من غيرها، فإذا لم يجز استعمالها إلاّ مع ضمان البائع للتذكية، ففي غيرها بطريق أولى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عمّا فيه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بالمفهوم </w:t>
      </w:r>
      <w:bookmarkStart w:id="149" w:name="pg7350_54478"/>
    </w:p>
    <w:p>
      <w:pPr>
        <w:pStyle w:val="BookText"/>
        <w:rPr/>
      </w:pPr>
      <w:bookmarkEnd w:id="149"/>
      <w:r>
        <w:rPr>
          <w:rFonts w:ascii="Amiri" w:hAnsi="Amiri" w:eastAsia="Amiri" w:cs="Amiri"/>
          <w:color w:val="111111"/>
          <w:sz w:val="28"/>
          <w:sz w:val="28"/>
          <w:szCs w:val="28"/>
          <w:rtl w:val="true"/>
          <w:lang w:bidi="ar-SA"/>
        </w:rPr>
        <w:t xml:space="preserve">فرع القول بالمنطوق، و حيث عرفت عدم إمكانه تبيّن لك الحال </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190561_1051229030"/>
      <w:bookmarkStart w:id="151" w:name="_Toc55"/>
      <w:bookmarkEnd w:id="150"/>
      <w:r>
        <w:rPr>
          <w:rtl w:val="true"/>
        </w:rPr>
        <w:t>مختار المؤلّف قدس‌سره</w:t>
      </w:r>
      <w:bookmarkEnd w:id="151"/>
    </w:p>
    <w:p>
      <w:pPr>
        <w:pStyle w:val="BookText"/>
        <w:rPr/>
      </w:pPr>
      <w:r>
        <w:rPr>
          <w:rFonts w:ascii="Amiri" w:hAnsi="Amiri" w:eastAsia="Amiri" w:cs="Amiri"/>
          <w:color w:val="111111"/>
          <w:sz w:val="28"/>
          <w:sz w:val="28"/>
          <w:szCs w:val="28"/>
          <w:rtl w:val="true"/>
          <w:lang w:bidi="ar-SA"/>
        </w:rPr>
        <w:t xml:space="preserve">والحقّ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أيضًا، والمستند فيه يظهر ممّا تقدّم و ممّا يأتي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90563_1051229030"/>
      <w:bookmarkStart w:id="153" w:name="_Toc56"/>
      <w:bookmarkEnd w:id="152"/>
      <w:r>
        <w:rPr>
          <w:rtl w:val="true"/>
        </w:rPr>
        <w:t>القسم الثامن</w:t>
      </w:r>
      <w:r>
        <w:rPr>
          <w:rtl w:val="true"/>
        </w:rPr>
        <w:t>:</w:t>
      </w:r>
      <w:bookmarkEnd w:id="153"/>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في البلد المختصّ</w:t>
      </w:r>
    </w:p>
    <w:p>
      <w:pPr>
        <w:pStyle w:val="BookText"/>
        <w:rPr/>
      </w:pPr>
      <w:r>
        <w:rPr>
          <w:rFonts w:ascii="Amiri" w:hAnsi="Amiri" w:eastAsia="Amiri" w:cs="Amiri"/>
          <w:color w:val="111111"/>
          <w:sz w:val="28"/>
          <w:sz w:val="28"/>
          <w:szCs w:val="28"/>
          <w:rtl w:val="true"/>
          <w:lang w:bidi="ar-SA"/>
        </w:rPr>
        <w:t xml:space="preserve">بالمسلم في غير السوق مع الإخبار من ذي اليد بالتذكية، لكن لم يحصل من قوله الظنّ بها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90565_1051229030"/>
      <w:bookmarkStart w:id="155" w:name="_Toc57"/>
      <w:bookmarkEnd w:id="154"/>
      <w:r>
        <w:rPr>
          <w:rtl w:val="true"/>
        </w:rPr>
        <w:t>القسم التاسع</w:t>
      </w:r>
      <w:r>
        <w:rPr>
          <w:rtl w:val="true"/>
        </w:rPr>
        <w:t>:</w:t>
      </w:r>
      <w:bookmarkEnd w:id="155"/>
    </w:p>
    <w:p>
      <w:pPr>
        <w:pStyle w:val="Heading5"/>
        <w:numPr>
          <w:ilvl w:val="4"/>
          <w:numId w:val="1"/>
        </w:numPr>
        <w:rPr/>
      </w:pPr>
      <w:bookmarkStart w:id="156" w:name="__RefHeading___Toc1190567_1051229030"/>
      <w:bookmarkStart w:id="157" w:name="_Toc58"/>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انتفاء الإخبار أيضًا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الظاهر من كلام العلاّمة في التذكرة و نهاية الإحكام عدم جواز الاستعمال </w:t>
      </w:r>
      <w:r>
        <w:rPr>
          <w:rStyle w:val="FootnoteAnchor"/>
          <w:rtl w:val="true"/>
        </w:rPr>
        <w:footnoteReference w:id="218"/>
      </w:r>
      <w:r>
        <w:rPr>
          <w:rFonts w:ascii="Amiri" w:hAnsi="Amiri" w:eastAsia="Amiri" w:cs="Amiri"/>
          <w:color w:val="111111"/>
          <w:sz w:val="28"/>
          <w:sz w:val="28"/>
          <w:szCs w:val="28"/>
          <w:rtl w:val="true"/>
          <w:lang w:bidi="ar-SA"/>
        </w:rPr>
        <w:t xml:space="preserve">؛ و قد أوردنا عبارتهما في القسم الثالث من الأقسام المذكورة </w:t>
      </w:r>
      <w:r>
        <w:rPr>
          <w:rFonts w:eastAsia="Amiri" w:cs="Amiri" w:ascii="Amiri" w:hAnsi="Amiri"/>
          <w:color w:val="111111"/>
          <w:sz w:val="28"/>
          <w:szCs w:val="28"/>
          <w:rtl w:val="true"/>
          <w:lang w:bidi="ar-SA"/>
        </w:rPr>
        <w:t xml:space="preserve">. </w:t>
      </w:r>
      <w:bookmarkStart w:id="158" w:name="pg7350_54480"/>
    </w:p>
    <w:p>
      <w:pPr>
        <w:pStyle w:val="BookText"/>
        <w:rPr/>
      </w:pPr>
      <w:bookmarkEnd w:id="158"/>
      <w:r>
        <w:rPr>
          <w:rFonts w:ascii="Amiri" w:hAnsi="Amiri" w:eastAsia="Amiri" w:cs="Amiri"/>
          <w:color w:val="111111"/>
          <w:sz w:val="28"/>
          <w:sz w:val="28"/>
          <w:szCs w:val="28"/>
          <w:rtl w:val="true"/>
          <w:lang w:bidi="ar-SA"/>
        </w:rPr>
        <w:t xml:space="preserve">وكأنّه الظاهر من المبسوط </w:t>
      </w:r>
      <w:r>
        <w:rPr>
          <w:rStyle w:val="FootnoteAnchor"/>
          <w:rtl w:val="true"/>
        </w:rPr>
        <w:footnoteReference w:id="219"/>
      </w:r>
      <w:r>
        <w:rPr>
          <w:rFonts w:ascii="Amiri" w:hAnsi="Amiri" w:eastAsia="Amiri" w:cs="Amiri"/>
          <w:color w:val="111111"/>
          <w:sz w:val="28"/>
          <w:sz w:val="28"/>
          <w:szCs w:val="28"/>
          <w:rtl w:val="true"/>
          <w:lang w:bidi="ar-SA"/>
        </w:rPr>
        <w:t xml:space="preserve">أيضًا في القسمين من وجه، و في التاسع من وجهين، و من النهاية </w:t>
      </w:r>
      <w:r>
        <w:rPr>
          <w:rStyle w:val="FootnoteAnchor"/>
          <w:rtl w:val="true"/>
        </w:rPr>
        <w:footnoteReference w:id="220"/>
      </w:r>
      <w:r>
        <w:rPr>
          <w:rFonts w:ascii="Amiri" w:hAnsi="Amiri" w:eastAsia="Amiri" w:cs="Amiri"/>
          <w:color w:val="111111"/>
          <w:sz w:val="28"/>
          <w:sz w:val="28"/>
          <w:szCs w:val="28"/>
          <w:rtl w:val="true"/>
          <w:lang w:bidi="ar-SA"/>
        </w:rPr>
        <w:t xml:space="preserve">فيهما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وجه هذا التفصيل بعد الاطّلاع على ما نبّهنا عليه في القسم السادس والسابع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190569_1051229030"/>
      <w:bookmarkStart w:id="160" w:name="_Toc59"/>
      <w:bookmarkEnd w:id="159"/>
      <w:r>
        <w:rPr>
          <w:rtl w:val="true"/>
        </w:rPr>
        <w:t>المستند في عدم الجواز</w:t>
      </w:r>
      <w:bookmarkEnd w:id="160"/>
    </w:p>
    <w:p>
      <w:pPr>
        <w:pStyle w:val="BookText"/>
        <w:rPr/>
      </w:pPr>
      <w:r>
        <w:rPr>
          <w:rFonts w:ascii="Amiri" w:hAnsi="Amiri" w:eastAsia="Amiri" w:cs="Amiri"/>
          <w:color w:val="111111"/>
          <w:sz w:val="28"/>
          <w:sz w:val="28"/>
          <w:szCs w:val="28"/>
          <w:rtl w:val="true"/>
          <w:lang w:bidi="ar-SA"/>
        </w:rPr>
        <w:t xml:space="preserve">و لعلّ المستند في ذلك قوله عليه‌السلام في موثّقة ابن بكير السالفة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فالصلاة في وبره وبوله و شعره و روثه وألبانه و كلّ شيء منه جائز </w:t>
      </w:r>
      <w:r>
        <w:rPr>
          <w:rStyle w:val="FootnoteAnchor"/>
          <w:rtl w:val="true"/>
        </w:rPr>
        <w:footnoteReference w:id="221"/>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المفهوم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العلم فيه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مع عدم الظنّ بالتذكية ؛ و لمّا لم يمكن المصير إلى مقتضاه على سبيل الإطلاق، لما عرفت في المباحث السالفة من جواز استعمال الجلود المأخوذ </w:t>
      </w:r>
      <w:r>
        <w:rPr>
          <w:rStyle w:val="FootnoteAnchor"/>
          <w:rtl w:val="true"/>
        </w:rPr>
        <w:footnoteReference w:id="223"/>
      </w:r>
      <w:r>
        <w:rPr>
          <w:rFonts w:ascii="Amiri" w:hAnsi="Amiri" w:eastAsia="Amiri" w:cs="Amiri"/>
          <w:color w:val="111111"/>
          <w:sz w:val="28"/>
          <w:sz w:val="28"/>
          <w:szCs w:val="28"/>
          <w:rtl w:val="true"/>
          <w:lang w:bidi="ar-SA"/>
        </w:rPr>
        <w:t>في أسواق المسلمين مطلقًا ولو مع الشكّ بالتذكية، فلابدّ من تقييد الموثّقة المقتضية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جواز الصلاة مع انتفاء المظنّة بما إذا كانت الجلود مأخوذة في غير أسواق </w:t>
      </w:r>
    </w:p>
    <w:p>
      <w:pPr>
        <w:pStyle w:val="BookText"/>
        <w:rPr/>
      </w:pPr>
      <w:r>
        <w:rPr>
          <w:rFonts w:ascii="Amiri" w:hAnsi="Amiri" w:eastAsia="Amiri" w:cs="Amiri"/>
          <w:color w:val="111111"/>
          <w:sz w:val="28"/>
          <w:sz w:val="28"/>
          <w:szCs w:val="28"/>
          <w:rtl w:val="true"/>
          <w:lang w:bidi="ar-SA"/>
        </w:rPr>
        <w:t xml:space="preserve">المسلمين، فالمتحصّل من ذلك عدم جواز الصلاة مع انتفاء المظنّة في التذكية، و ما نحن فيه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 الموثّقة بغير الأسواق ما الداعي لصرف العلم عن ظاهره، فلِمَ لايحمل عليه مع أنّ حمل العلم على الظنّ مجاز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قوله عليه‌السلام في الموثّق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224"/>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لوضوح أنّ اعتبار الغلبة إنّما هو لإلحاق المشتبه بالأغلب، ليحصل الظنّ بكونه على ما يقتضيه قواعد الإسلام ؛ و أرض الإسلام وإن كانت أعمّ من السوق و غيره، لكنّ النصوص المتقدّمة الدالّة على جواز استعمال الجلود الموجودة في الأسواق إلاّ مع العلم بعدم التذكية مقيّدة للموثّقالمذكور المقتضي لاعتبار المظنّة بغير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استعمال الجلود المأخوذة من أياديالمسلمين في غير الأسواق من بلاد المسلمين إلاّ مع الظنّ بالتذكية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اعتبار الغلبة في ذيل الموثّق المذكور وإن كان ذلك فيما إذا كان في أرض الإسلام غير أهل الإسلام، و أمّا فيما لم يكن كذلك، بل كان مختصًّا بالمسلمين، فإنّ صدر الموثّق المذكور يدلّ على جواز الاستعمال مطلقًا ولو مع عدم المظنّة بالتذكية،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بالصلاة في الفرو </w:t>
      </w:r>
      <w:r>
        <w:rPr>
          <w:rStyle w:val="FootnoteAnchor"/>
          <w:rtl w:val="true"/>
        </w:rPr>
        <w:footnoteReference w:id="226"/>
      </w:r>
      <w:r>
        <w:rPr>
          <w:rFonts w:ascii="Amiri" w:hAnsi="Amiri" w:eastAsia="Amiri" w:cs="Amiri"/>
          <w:color w:val="111111"/>
          <w:sz w:val="28"/>
          <w:sz w:val="28"/>
          <w:szCs w:val="28"/>
          <w:rtl w:val="true"/>
          <w:lang w:bidi="ar-SA"/>
        </w:rPr>
        <w:t xml:space="preserve">اليمانيّ و فيما صنع </w:t>
      </w:r>
    </w:p>
    <w:p>
      <w:pPr>
        <w:pStyle w:val="BookText"/>
        <w:rPr/>
      </w:pPr>
      <w:r>
        <w:rPr>
          <w:rFonts w:ascii="Amiri" w:hAnsi="Amiri" w:eastAsia="Amiri" w:cs="Amiri"/>
          <w:color w:val="111111"/>
          <w:sz w:val="28"/>
          <w:sz w:val="28"/>
          <w:szCs w:val="28"/>
          <w:rtl w:val="true"/>
          <w:lang w:bidi="ar-SA"/>
        </w:rPr>
        <w:t xml:space="preserve">في أرض الإسلام </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لوضوح عدم اختصاصه بصورة الظنّ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المظنّة في صورة الاشتراك دليلٌ على اعتبارها في صورة الاختصاص أيضًا، و عدم التنبيه إليه لعلّه من جهة كون خلافه نادرًا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الغالب حصول الظنّ بالتذكية في الجلود الموجودة في أيدي المسلمين في البلاد المختصّة بهم، و أمّا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وجود الجلد في يد بعضهم ممّن لا يبالي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ممكنًا، لكنّه نادر، فلا ينصرف إليه إطلاق</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بالصلاة فيما صنع في أرض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لاسيّما بعد تذييله بما يدلّ على اعتبار المظنّة كما علمت، فلابدّ في حكم أمثاله من الرجوع إلى مقتضى الأصل، و هو عدم جواز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الإغماض عمّا ذكر و تسليم الإطلاق في موثّقة إسحاق بنعمّار،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الأدلّة المطلقة مشروطةٌ بانتفاء المقيّد، و هو موجودٌ فيما نحن فيه، لقوله عليه‌السلام في موثّقة ابن بكير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المرام في هذا المقام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المنافات بين الموثّقتين المذكورتين، إذ مقتضى موثّقة ابن بكير عدم جواز الصلاة في الجلود إلاّ مع العلم بالتذكية ؛ و مقتضى موثّقة إسحاق بن عمّار جوازها مع عدمه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صريحةٌ في عدم اعتبار العلم و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اعتبار المظنّة، كما أنّ تلك صريحةٌ في اعتبار الرجحان و ظاهرةٌ في توقّف </w:t>
      </w:r>
    </w:p>
    <w:p>
      <w:pPr>
        <w:pStyle w:val="BookText"/>
        <w:rPr/>
      </w:pPr>
      <w:r>
        <w:rPr>
          <w:rFonts w:ascii="Amiri" w:hAnsi="Amiri" w:eastAsia="Amiri" w:cs="Amiri"/>
          <w:color w:val="111111"/>
          <w:sz w:val="28"/>
          <w:sz w:val="28"/>
          <w:szCs w:val="28"/>
          <w:rtl w:val="true"/>
          <w:lang w:bidi="ar-SA"/>
        </w:rPr>
        <w:t xml:space="preserve">الاستعمال على العلم، فاللازم رفع اليد عن ظاهر كلٍّ منهما بمعونة النصّ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فالجمع بينهما توقّف الاستعمال في الجلود المأخوذة في غير أسواق المسلمين على الظنّ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من إمكان منع شمول موثّقة إسحاق بن عمّار لصورة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الجواب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الفقيه عن جعفر بن محمّد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كتب إلى أبي الحسن عليه‌السلام يسأله عن الفرو والخفّ ألبسه و أصلّي فيه و لا أعلم أنّه ذكيّ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ترك استفصاله عليه‌السلام بين كون الفرو مثلاً مأخوذًا من السوق و غيره وبين كون المظنون فيه التذكية و غيره، يفيد ثبوت الحكم في الجميع،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أنّه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شاملاً لصورة الشكّ أيضًا، لكنّه محمولٌ على الظنّ للموثّقة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مثل الفرو والخفّ و غيرهما ممّا يعمل في أرض الإسلام لاينفكّ غالبًا عن الظنّ بالتذكية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رفع المنافات بين الموثّقتين بنحو آخر، و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موثّقة ابن بكير محمولةٌ على غير أرض الإسلام، والمورد في موثّقة إسحاق بن عمّار هو </w:t>
      </w:r>
      <w:bookmarkStart w:id="161" w:name="pg7350_54488"/>
    </w:p>
    <w:p>
      <w:pPr>
        <w:pStyle w:val="BookText"/>
        <w:rPr/>
      </w:pPr>
      <w:bookmarkEnd w:id="161"/>
      <w:r>
        <w:rPr>
          <w:rFonts w:ascii="Amiri" w:hAnsi="Amiri" w:eastAsia="Amiri" w:cs="Amiri"/>
          <w:color w:val="111111"/>
          <w:sz w:val="28"/>
          <w:sz w:val="28"/>
          <w:szCs w:val="28"/>
          <w:rtl w:val="true"/>
          <w:lang w:bidi="ar-SA"/>
        </w:rPr>
        <w:t xml:space="preserve">أرض الإسلام، فلا منافات، بل لا افتقار حينئذٍ إلى صرف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جواز استعمال الجلود الموجودة في بلاد الكفّار هو العلم بالتذكية ؛ و على هذا يبقى العموم في موثّقة إسحاق بن عمّار سالمًا</w:t>
      </w:r>
    </w:p>
    <w:p>
      <w:pPr>
        <w:pStyle w:val="BookText"/>
        <w:rPr/>
      </w:pPr>
      <w:r>
        <w:rPr>
          <w:rFonts w:ascii="Amiri" w:hAnsi="Amiri" w:eastAsia="Amiri" w:cs="Amiri"/>
          <w:color w:val="111111"/>
          <w:sz w:val="28"/>
          <w:sz w:val="28"/>
          <w:szCs w:val="28"/>
          <w:rtl w:val="true"/>
          <w:lang w:bidi="ar-SA"/>
        </w:rPr>
        <w:t xml:space="preserve">عمّا يصلح للمعارضة، فيحكم بجواز الصلاة و لو في صورة الشكّ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حملٌ بعيدٌ لا يكاد ينصرف إليه الذهن، سيّما بعد 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مسبوقًا بما يعمّ جميع البلاد و ملحوقًا بما يكون كذلك، فلاحظ حتّى يظهر لك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تقدير الإغماض و تسليم الحمل المذكور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بموثّقة إسحاق بن عمّار مع ذلك لا يكفي لإثبات المرام،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في الجلد</w:t>
      </w:r>
    </w:p>
    <w:p>
      <w:pPr>
        <w:pStyle w:val="BookText"/>
        <w:rPr/>
      </w:pPr>
      <w:r>
        <w:rPr>
          <w:rFonts w:ascii="Amiri" w:hAnsi="Amiri" w:eastAsia="Amiri" w:cs="Amiri"/>
          <w:color w:val="111111"/>
          <w:sz w:val="28"/>
          <w:sz w:val="28"/>
          <w:szCs w:val="28"/>
          <w:rtl w:val="true"/>
          <w:lang w:bidi="ar-SA"/>
        </w:rPr>
        <w:t xml:space="preserve">المصنوع في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الفرو والخفّ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مطلق الجلد، و قد عرفت أنّ مثل الفرو المعمول في أرض الإسلام لاينفكّ غالبًا عن الظنّ بالتذكية،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الظاهر أنّ اعتبار الغلبة فيها في صورة الاشتراكلأجل حصول الظنّ بتذكية المسلمين، و منه يظهر عدم كفاية الاحتمال والشكّ ؛ فالجلود الّتي لم يظنّ أنّها من المذكّى لا يمكن الحكم بجواز استعمالها، سواء كانت مطروحة في بلاد المسلمين، أو لا، بل و لو كانت في يد مسلم </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190571_1051229030"/>
      <w:bookmarkStart w:id="163" w:name="_Toc60"/>
      <w:bookmarkEnd w:id="162"/>
      <w:r>
        <w:rPr>
          <w:rtl w:val="true"/>
        </w:rPr>
        <w:t>الجواب عن مستند الجواز</w:t>
      </w:r>
      <w:bookmarkEnd w:id="1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ما ذكر يتّضح الجواب عمّا لو تمسّك متمسّك للجواز بصحيحة </w:t>
      </w:r>
      <w:bookmarkStart w:id="164" w:name="pg7350_54490"/>
    </w:p>
    <w:p>
      <w:pPr>
        <w:pStyle w:val="BookText"/>
        <w:rPr/>
      </w:pPr>
      <w:bookmarkEnd w:id="164"/>
      <w:r>
        <w:rPr>
          <w:rFonts w:ascii="Amiri" w:hAnsi="Amiri" w:eastAsia="Amiri" w:cs="Amiri"/>
          <w:color w:val="111111"/>
          <w:sz w:val="28"/>
          <w:sz w:val="28"/>
          <w:szCs w:val="28"/>
          <w:rtl w:val="true"/>
          <w:lang w:bidi="ar-SA"/>
        </w:rPr>
        <w:t xml:space="preserve">عبدالرحمن بن الحجّاج السالفة،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الفراء اشتريته من الرجل الّذي لعلّي لا أثق به </w:t>
      </w:r>
      <w:r>
        <w:rPr>
          <w:rStyle w:val="FootnoteAnchor"/>
          <w:rtl w:val="true"/>
        </w:rPr>
        <w:footnoteReference w:id="230"/>
      </w:r>
      <w:r>
        <w:rPr>
          <w:rFonts w:ascii="Amiri" w:hAnsi="Amiri" w:eastAsia="Amiri" w:cs="Amiri"/>
          <w:color w:val="111111"/>
          <w:sz w:val="28"/>
          <w:sz w:val="28"/>
          <w:szCs w:val="28"/>
          <w:rtl w:val="true"/>
          <w:lang w:bidi="ar-SA"/>
        </w:rPr>
        <w:t>، فيبيعني على أنّها ذكيّة أبيعها على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تثق به فلا تبعها على أنّها ذكيّة إلاّ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أنّها ذكيّة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أنّه يظهر منها جواز الشراء والبيع مع عدم كون البائع ممّن لايثق به، وهو أعمّ من أن يحصل الظنّ بالتذكية، أو لا، فإنّك قد عرفت أنّ موثّقة ابن بكير صريحةٌ في اعتبار المظنّة، فينبغي تقييد الإطلاق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عرفت من أنّ أمثال الفرو في الغالب لا ينفكّ عن المظنّة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أنّك قد عرفت ممّا نبّهنا عليه فيما سلف أنّ هذا الحديث مرويّ في الكافي أيضًا </w:t>
      </w:r>
      <w:r>
        <w:rPr>
          <w:rStyle w:val="FootnoteAnchor"/>
          <w:rtl w:val="true"/>
        </w:rPr>
        <w:footnoteReference w:id="232"/>
      </w:r>
      <w:r>
        <w:rPr>
          <w:rFonts w:ascii="Amiri" w:hAnsi="Amiri" w:eastAsia="Amiri" w:cs="Amiri"/>
          <w:color w:val="111111"/>
          <w:sz w:val="28"/>
          <w:sz w:val="28"/>
          <w:szCs w:val="28"/>
          <w:rtl w:val="true"/>
          <w:lang w:bidi="ar-SA"/>
        </w:rPr>
        <w:t xml:space="preserve">، و هو على ما فيه صريحٌ في أنّ مورده السوق، إلاّ أنّ المتن في الكتابينمختلف </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190573_1051229030"/>
      <w:bookmarkStart w:id="166" w:name="_Toc61"/>
      <w:bookmarkEnd w:id="165"/>
      <w:r>
        <w:rPr>
          <w:rtl w:val="true"/>
        </w:rPr>
        <w:t>إطلاق كلمات جماعة من فحول الأصحاب يستدعي الجواز</w:t>
      </w:r>
      <w:bookmarkEnd w:id="16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المقام شيء آخر،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كلمات جماعة من فحول </w:t>
      </w:r>
    </w:p>
    <w:p>
      <w:pPr>
        <w:pStyle w:val="BookText"/>
        <w:rPr/>
      </w:pPr>
      <w:r>
        <w:rPr>
          <w:rFonts w:ascii="Amiri" w:hAnsi="Amiri" w:eastAsia="Amiri" w:cs="Amiri"/>
          <w:color w:val="111111"/>
          <w:sz w:val="28"/>
          <w:sz w:val="28"/>
          <w:szCs w:val="28"/>
          <w:rtl w:val="true"/>
          <w:lang w:bidi="ar-SA"/>
        </w:rPr>
        <w:t xml:space="preserve">الأصحاب يستدعي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الحكم بذكاة </w:t>
      </w:r>
      <w:r>
        <w:rPr>
          <w:rStyle w:val="FootnoteAnchor"/>
          <w:rtl w:val="true"/>
        </w:rPr>
        <w:footnoteReference w:id="233"/>
      </w:r>
      <w:r>
        <w:rPr>
          <w:rFonts w:ascii="Amiri" w:hAnsi="Amiri" w:eastAsia="Amiri" w:cs="Amiri"/>
          <w:color w:val="111111"/>
          <w:sz w:val="28"/>
          <w:sz w:val="28"/>
          <w:szCs w:val="28"/>
          <w:rtl w:val="true"/>
          <w:lang w:bidi="ar-SA"/>
        </w:rPr>
        <w:t xml:space="preserve">ما لم يعلم أنّه ميتة وجوده في يد مسلم، أو في سوق المسلمين، أو في بلد الغالب فيه المسلمون، انتهى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 الاكتفاء في الحكم بالتذكية بمجرّد وجود الجلد في يد المسلم ولو مع عدم حصول المظنّة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عبارة العلاّمة في نهاية الإحكام والتذكرة والمنتهى والتحرير </w:t>
      </w:r>
      <w:r>
        <w:rPr>
          <w:rStyle w:val="FootnoteAnchor"/>
          <w:rtl w:val="true"/>
        </w:rPr>
        <w:footnoteReference w:id="235"/>
      </w:r>
      <w:r>
        <w:rPr>
          <w:rFonts w:ascii="Amiri" w:hAnsi="Amiri" w:eastAsia="Amiri" w:cs="Amiri"/>
          <w:color w:val="111111"/>
          <w:sz w:val="28"/>
          <w:sz w:val="28"/>
          <w:szCs w:val="28"/>
          <w:rtl w:val="true"/>
          <w:lang w:bidi="ar-SA"/>
        </w:rPr>
        <w:t xml:space="preserve">، وقد أوردناها في أوّل المبحث، فليلاحظ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والمبطل للصلاة فيه علم كونه ميتة، أو الشكّ إذا وجد مطروحًا، لأصالة عدم التذكية، أو في يد كافر عملاً بالظاهر من حاله، أو في سوق الكفر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مقتضاه أنّ مع الشكّ بالتذكية إنّما يحكم بالفساد في المواضع المذكورة، و ما نحن فيه لم يكن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جواز الصلاة في الجلد المأخوذ من يد المسلم ولو مع الشكّ بالتذكية ؛ و هو مقتضى البيان والدروس والجعفريّة والروض </w:t>
      </w:r>
      <w:r>
        <w:rPr>
          <w:rStyle w:val="FootnoteAnchor"/>
          <w:rtl w:val="true"/>
        </w:rPr>
        <w:footnoteReference w:id="237"/>
      </w:r>
      <w:r>
        <w:rPr>
          <w:rFonts w:ascii="Amiri" w:hAnsi="Amiri" w:eastAsia="Amiri" w:cs="Amiri"/>
          <w:color w:val="111111"/>
          <w:sz w:val="28"/>
          <w:sz w:val="28"/>
          <w:szCs w:val="28"/>
          <w:rtl w:val="true"/>
          <w:lang w:bidi="ar-SA"/>
        </w:rPr>
        <w:t xml:space="preserve">، فلاحظ عباراتهم المذكورة في أوائل المبحث، لكنّها نطالبهم بالمستند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الظاهر من العلاّمة في التذكرة و نهاية الإحكام والمنتهى أنّ الحكم بجواز استعمال الجلد المأخوذ من يد المسلم إنّما هو لحصول المظنّة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اعتبرنا في المسلم انتفاء استباحته للميتة </w:t>
      </w:r>
      <w:r>
        <w:rPr>
          <w:rStyle w:val="FootnoteAnchor"/>
          <w:rtl w:val="true"/>
        </w:rPr>
        <w:footnoteReference w:id="238"/>
      </w:r>
      <w:r>
        <w:rPr>
          <w:rFonts w:ascii="Amiri" w:hAnsi="Amiri" w:eastAsia="Amiri" w:cs="Amiri"/>
          <w:color w:val="111111"/>
          <w:sz w:val="28"/>
          <w:sz w:val="28"/>
          <w:szCs w:val="28"/>
          <w:rtl w:val="true"/>
          <w:lang w:bidi="ar-SA"/>
        </w:rPr>
        <w:t xml:space="preserve">، ليحصل الظنّبالتذكية، إذ لا فرق في انتفاء الظنّ بين المستبيح من المسلم والكافر، إذ الأصل الموت و لا معارض له حينئذ ؛ أمّا من لا تستبيح </w:t>
      </w:r>
      <w:r>
        <w:rPr>
          <w:rStyle w:val="FootnoteAnchor"/>
          <w:rtl w:val="true"/>
        </w:rPr>
        <w:footnoteReference w:id="239"/>
      </w:r>
      <w:r>
        <w:rPr>
          <w:rFonts w:ascii="Amiri" w:hAnsi="Amiri" w:eastAsia="Amiri" w:cs="Amiri"/>
          <w:color w:val="111111"/>
          <w:sz w:val="28"/>
          <w:sz w:val="28"/>
          <w:szCs w:val="28"/>
          <w:rtl w:val="true"/>
          <w:lang w:bidi="ar-SA"/>
        </w:rPr>
        <w:t xml:space="preserve">الميتة، فإنّإسلامه يمنعه من الإقدام على المحرّم غالبًا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ما ذكره في النهاية، و 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وجد الجلد مع من يستحلّ الميتة لم يحكم بتذكيته وإن أخبره </w:t>
      </w:r>
    </w:p>
    <w:p>
      <w:pPr>
        <w:pStyle w:val="BookText"/>
        <w:rPr/>
      </w:pPr>
      <w:r>
        <w:rPr>
          <w:rFonts w:ascii="Amiri" w:hAnsi="Amiri" w:eastAsia="Amiri" w:cs="Amiri"/>
          <w:color w:val="111111"/>
          <w:sz w:val="28"/>
          <w:sz w:val="28"/>
          <w:szCs w:val="28"/>
          <w:rtl w:val="true"/>
          <w:lang w:bidi="ar-SA"/>
        </w:rPr>
        <w:t xml:space="preserve">بالتذكية </w:t>
      </w:r>
      <w:r>
        <w:rPr>
          <w:rStyle w:val="FootnoteAnchor"/>
          <w:rtl w:val="true"/>
        </w:rPr>
        <w:footnoteReference w:id="241"/>
      </w:r>
      <w:r>
        <w:rPr>
          <w:rFonts w:ascii="Amiri" w:hAnsi="Amiri" w:eastAsia="Amiri" w:cs="Amiri"/>
          <w:color w:val="111111"/>
          <w:sz w:val="28"/>
          <w:sz w:val="28"/>
          <w:szCs w:val="28"/>
          <w:rtl w:val="true"/>
          <w:lang w:bidi="ar-SA"/>
        </w:rPr>
        <w:t xml:space="preserve">، لأنّه غير موثوق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لو وجد الجلد مع من يتّهم في استعمال الميتة، انتهى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مراد غيره أيضًا ذلك، يكون النزاع في تعيين الموضوع، فهم مشاركون معنا في الحكم، لكن اختلافهم في الموضوع،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اللّه</w:t>
      </w:r>
    </w:p>
    <w:p>
      <w:pPr>
        <w:pStyle w:val="BookText"/>
        <w:rPr/>
      </w:pPr>
      <w:r>
        <w:rPr>
          <w:rFonts w:ascii="Amiri" w:hAnsi="Amiri" w:eastAsia="Amiri" w:cs="Amiri"/>
          <w:color w:val="111111"/>
          <w:sz w:val="28"/>
          <w:sz w:val="28"/>
          <w:szCs w:val="28"/>
          <w:rtl w:val="true"/>
          <w:lang w:bidi="ar-SA"/>
        </w:rPr>
        <w:t xml:space="preserve">دار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إسلام المسلم يمنعه من الإقدام على المحرّم غالبًا، مقتضاه أنّه</w:t>
      </w:r>
    </w:p>
    <w:p>
      <w:pPr>
        <w:pStyle w:val="BookText"/>
        <w:rPr/>
      </w:pPr>
      <w:r>
        <w:rPr>
          <w:rFonts w:ascii="Amiri" w:hAnsi="Amiri" w:eastAsia="Amiri" w:cs="Amiri"/>
          <w:color w:val="111111"/>
          <w:sz w:val="28"/>
          <w:sz w:val="28"/>
          <w:szCs w:val="28"/>
          <w:rtl w:val="true"/>
          <w:lang w:bidi="ar-SA"/>
        </w:rPr>
        <w:t>في الغالب كذلك ؛ و تحقّق الغلبة إنّما يجدي في المشتبه، و أمّا إذا اطّلعنا على غير</w:t>
      </w:r>
    </w:p>
    <w:p>
      <w:pPr>
        <w:pStyle w:val="BookText"/>
        <w:rPr/>
      </w:pPr>
      <w:r>
        <w:rPr>
          <w:rFonts w:ascii="Amiri" w:hAnsi="Amiri" w:eastAsia="Amiri" w:cs="Amiri"/>
          <w:color w:val="111111"/>
          <w:sz w:val="28"/>
          <w:sz w:val="28"/>
          <w:szCs w:val="28"/>
          <w:rtl w:val="true"/>
          <w:lang w:bidi="ar-SA"/>
        </w:rPr>
        <w:t xml:space="preserve">الغالب فلا، كما لا يخفى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يظهر من عدم مبالاة بعض من أفراد المسلمين ما يمنع من حصول المظنّة و لو مع الإخبار، فضلاً عمّا إذا فرض عدمه كما لايخفى، والكلامإنّما هو في تلك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المظنّة فيما نحن فيه ينافيه ما تقدّم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سفرة وجدت في الطريق مطروحة كثير لحمها و خبزها و بيضها و جبنها و فيها سكين، فقال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ما فيها و يؤكل </w:t>
      </w:r>
      <w:r>
        <w:rPr>
          <w:rStyle w:val="FootnoteAnchor"/>
          <w:rtl w:val="true"/>
        </w:rPr>
        <w:footnoteReference w:id="243"/>
      </w:r>
      <w:r>
        <w:rPr>
          <w:rFonts w:ascii="Amiri" w:hAnsi="Amiri" w:eastAsia="Amiri" w:cs="Amiri"/>
          <w:color w:val="111111"/>
          <w:sz w:val="28"/>
          <w:sz w:val="28"/>
          <w:szCs w:val="28"/>
          <w:rtl w:val="true"/>
          <w:lang w:bidi="ar-SA"/>
        </w:rPr>
        <w:t xml:space="preserve">لأنّه يفسد و ليس له بقاء، فإن جاء </w:t>
      </w:r>
    </w:p>
    <w:p>
      <w:pPr>
        <w:pStyle w:val="BookText"/>
        <w:rPr/>
      </w:pPr>
      <w:r>
        <w:rPr>
          <w:rFonts w:ascii="Amiri" w:hAnsi="Amiri" w:eastAsia="Amiri" w:cs="Amiri"/>
          <w:color w:val="111111"/>
          <w:sz w:val="28"/>
          <w:sz w:val="28"/>
          <w:szCs w:val="28"/>
          <w:rtl w:val="true"/>
          <w:lang w:bidi="ar-SA"/>
        </w:rPr>
        <w:t xml:space="preserve">طالبها غرموا له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لاندري </w:t>
      </w:r>
      <w:r>
        <w:rPr>
          <w:rStyle w:val="FootnoteAnchor"/>
          <w:rtl w:val="true"/>
        </w:rPr>
        <w:footnoteReference w:id="245"/>
      </w:r>
      <w:r>
        <w:rPr>
          <w:rFonts w:ascii="Amiri" w:hAnsi="Amiri" w:eastAsia="Amiri" w:cs="Amiri"/>
          <w:color w:val="111111"/>
          <w:sz w:val="28"/>
          <w:sz w:val="28"/>
          <w:szCs w:val="28"/>
          <w:rtl w:val="true"/>
          <w:lang w:bidi="ar-SA"/>
        </w:rPr>
        <w:t>سفرة مسلم أو سفرة مجوسيّ،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سعة حتّى يعلموا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الجواب عنه في القسم الرابع من الأقسام المذكورة، مضافًا إلى أنّ حمل الحديث على أنّ احتمال كون السفرة للمجوسيّ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كونها من المسلم في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لايقبله الإنصاف، لوضوح أنّ احتمال كونها من المسلم في تلك البلاد أقوى، لكون المظنون إلحاق المشتبه بالأغلب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تبيّن ممّا بيّناه في المباحث المذكورة أنّ لزوم الاجتناب عنالجلود المطروحة إنّما هو إذا لم يحصل الظنّ بالتذكية، لعموم 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شيخنا الشهيد في الذكرى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والمبطل للصلاة فيه علم كونه ميتة، أو الشكّ إذا وجد مطروحًا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يلوح من العلاّمة في التذكرة و نهاية الإحكام لقوله </w:t>
      </w:r>
      <w:r>
        <w:rPr>
          <w:rFonts w:eastAsia="Amiri" w:cs="Amiri" w:ascii="Amiri" w:hAnsi="Amiri"/>
          <w:color w:val="111111"/>
          <w:sz w:val="28"/>
          <w:szCs w:val="28"/>
          <w:rtl w:val="true"/>
          <w:lang w:bidi="ar-SA"/>
        </w:rPr>
        <w:t xml:space="preserve">: </w:t>
      </w:r>
      <w:bookmarkStart w:id="167" w:name="pg7350_54500"/>
    </w:p>
    <w:p>
      <w:pPr>
        <w:pStyle w:val="BookText"/>
        <w:rPr/>
      </w:pPr>
      <w:bookmarkEnd w:id="167"/>
      <w:r>
        <w:rPr>
          <w:rFonts w:ascii="Amiri" w:hAnsi="Amiri" w:eastAsia="Amiri" w:cs="Amiri"/>
          <w:color w:val="111111"/>
          <w:sz w:val="28"/>
          <w:sz w:val="28"/>
          <w:szCs w:val="28"/>
          <w:rtl w:val="true"/>
          <w:lang w:bidi="ar-SA"/>
        </w:rPr>
        <w:t xml:space="preserve">و إنّما اعتبرنا في المسلم انتفاء استباحته للميتة، ليحصل الظنّ بالتذكية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ممّا لاينبغي التأمّل فيه، بل و لا خلاف، لكن في الجلود المطروحة الّتي فيها آثار استعمال المسلمين، كالقطعات من جلد المصاحف والصحائف والخفّ والحذاء و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الإشكال والخلاف فيما لم يكن كذلك ؛ والظاهر فيه التفصيل المذكور، ولايبعد أن يكون هو المراد من كلمات الأصحاب و إن كانت جملة منها مطلقة، فلاحظ عباراتهم السالفة ؛ و كيف كان والتحقيق ما فصّلناه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90575_1051229030"/>
      <w:bookmarkStart w:id="169" w:name="_Toc62"/>
      <w:bookmarkEnd w:id="168"/>
      <w:r>
        <w:rPr>
          <w:rtl w:val="true"/>
        </w:rPr>
        <w:t>القسم العاشر</w:t>
      </w:r>
      <w:r>
        <w:rPr>
          <w:rtl w:val="true"/>
        </w:rPr>
        <w:t>:</w:t>
      </w:r>
      <w:bookmarkEnd w:id="169"/>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الغير المستحلّ في غير السوق من بلادالمسلمين مع إخبار ذي اليد بكونه من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إن كان المخبر ثقة و حصل الظنّ من قوله، فلا شبهة في وجوب الاجتناب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عبدالرّحمن بن حجّاج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المتقدّمة، إذ لو ثبت الاعتماد بقول المخبر الثقة في التذكية الّتي هي مخالفة للأصل، ففي عدمها الّذي هو موافق للأصل بطريق أولى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كذلك، فلو حصل العلم بقوله فكذلك ؛ و هكذا الحال فيما لو أوجب الظنّ، بل الشكّ أيضًا، لموثّقة ابن بكير المذكورة، و لقوله عليه‌السلام في صحيحة الحلبي السالفة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يقال لك إنّها ميتة بعينه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المستفاد من النصوص انّ أمر الجلود في أسواق المسلمين أسهل من غيرها، فلو وجب الاجتناب عن الجلود الموجودة في الأسواق بإخبار المخبر انّها من غير المذكّى، فوجوب الاجتناب في غير الأسواق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الحكم بذلك مقطوع به في كلمات الأصحاب، و قد أوردنا كثيرًا من عباراتهم في القسم الخامس من أقسام المسألة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يعلم أنّ الأمر هنا كالسالف في أنّ ذلك إنّما هو إذا لم يحصل الظنّ،بخلاف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حينئذٍ جواز الاستعمال، لقوله عليه‌السلامفيموثّقة ابن بكير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لما علمت في حمل العلم فيها على الظنّ، و لعموم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الفرو </w:t>
      </w:r>
      <w:r>
        <w:rPr>
          <w:rStyle w:val="FootnoteAnchor"/>
          <w:rtl w:val="true"/>
        </w:rPr>
        <w:footnoteReference w:id="253"/>
      </w:r>
      <w:r>
        <w:rPr>
          <w:rFonts w:ascii="Amiri" w:hAnsi="Amiri" w:eastAsia="Amiri" w:cs="Amiri"/>
          <w:color w:val="111111"/>
          <w:sz w:val="28"/>
          <w:sz w:val="28"/>
          <w:szCs w:val="28"/>
          <w:rtl w:val="true"/>
          <w:lang w:bidi="ar-SA"/>
        </w:rPr>
        <w:t xml:space="preserve">اليمانيّ وفيما صنع في أرض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70" w:name="pg7350_54504"/>
    </w:p>
    <w:p>
      <w:pPr>
        <w:pStyle w:val="BookText"/>
        <w:rPr/>
      </w:pPr>
      <w:bookmarkEnd w:id="170"/>
      <w:r>
        <w:rPr>
          <w:rFonts w:ascii="Amiri" w:hAnsi="Amiri" w:eastAsia="Amiri" w:cs="Amiri"/>
          <w:color w:val="111111"/>
          <w:sz w:val="28"/>
          <w:sz w:val="28"/>
          <w:szCs w:val="28"/>
          <w:rtl w:val="true"/>
          <w:lang w:bidi="ar-SA"/>
        </w:rPr>
        <w:t>ولاينافيه صحيحة الحلبي المذكورة، لما نبّهنا عليه في المبحث المشار إليه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90577_1051229030"/>
      <w:bookmarkStart w:id="172" w:name="_Toc63"/>
      <w:bookmarkEnd w:id="171"/>
      <w:r>
        <w:rPr>
          <w:rtl w:val="true"/>
        </w:rPr>
        <w:t>القسم الحادي عشر</w:t>
      </w:r>
      <w:r>
        <w:rPr>
          <w:rtl w:val="true"/>
        </w:rPr>
        <w:t>:</w:t>
      </w:r>
      <w:bookmarkEnd w:id="172"/>
    </w:p>
    <w:p>
      <w:pPr>
        <w:pStyle w:val="Heading5"/>
        <w:numPr>
          <w:ilvl w:val="4"/>
          <w:numId w:val="1"/>
        </w:numPr>
        <w:rPr/>
      </w:pPr>
      <w:bookmarkStart w:id="173" w:name="__RefHeading___Toc1190579_1051229030"/>
      <w:bookmarkStart w:id="174" w:name="_Toc6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إلاّ في السوق،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الجلد في يد المسلم الغير المستحلّ مع الإخبار والظنّ بالتذكية، لكن في السوق المختصّ بالكفّار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الذكرى والدروس والجعفريّة والروض لزوم الاجتناب، قال في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لايجوز </w:t>
      </w:r>
      <w:r>
        <w:rPr>
          <w:rStyle w:val="FootnoteAnchor"/>
          <w:rtl w:val="true"/>
        </w:rPr>
        <w:footnoteReference w:id="255"/>
      </w:r>
      <w:r>
        <w:rPr>
          <w:rFonts w:ascii="Amiri" w:hAnsi="Amiri" w:eastAsia="Amiri" w:cs="Amiri"/>
          <w:color w:val="111111"/>
          <w:sz w:val="28"/>
          <w:sz w:val="28"/>
          <w:szCs w:val="28"/>
          <w:rtl w:val="true"/>
          <w:lang w:bidi="ar-SA"/>
        </w:rPr>
        <w:t xml:space="preserve">الصلاة في جلد الميتة و لو دبغ سبعين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حكمه ما يوجد مطروحًا، أو يؤخذ من كافر، أو من سوقالكفّار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صريحٌ في أنّ الجلد المأخوذ من سوق الكفّار يكون في حكم الميتة، ومقتضى إطلاقه أنّه كذلك و لو أخذ من يد مسلم، لا سيّما بعد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سوق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يخفى ؛ و هو أعمّ من أن يخبر ذو اليد بالتذكية و حصل الظنّ من قوله، أو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عبارة غيره من الكتب المذكورة، و قد أوردناها في أوائل المبحث فليلاحظ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الظاهر من المبسوط والنهاية أيضًا، قال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اشترى جلدًا على أنّه مذكّى، جاز أن يصلّي فيه، وإن لم يكن كذلك إذا اشترى ذلك من أسواق </w:t>
      </w:r>
      <w:r>
        <w:rPr>
          <w:rStyle w:val="FootnoteAnchor"/>
          <w:rtl w:val="true"/>
        </w:rPr>
        <w:footnoteReference w:id="257"/>
      </w:r>
      <w:r>
        <w:rPr>
          <w:rFonts w:ascii="Amiri" w:hAnsi="Amiri" w:eastAsia="Amiri" w:cs="Amiri"/>
          <w:color w:val="111111"/>
          <w:sz w:val="28"/>
          <w:sz w:val="28"/>
          <w:szCs w:val="28"/>
          <w:rtl w:val="true"/>
          <w:lang w:bidi="ar-SA"/>
        </w:rPr>
        <w:t xml:space="preserve">المسلمين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تعليق الجواز بما إذا اشتراه من سوق المسلمين، انتفاؤه فيما إذا اشتراه من سوق الكفّار مطلقًا ولو اشتراه من المسلم المخبر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ذكره في الثاني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المعتبر والمنتهى و نهاية الإحكام والتذكرة والسرائر جواز الاستعمال ؛ قال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يكفي في الحكم بذكاة </w:t>
      </w:r>
      <w:r>
        <w:rPr>
          <w:rStyle w:val="FootnoteAnchor"/>
          <w:rtl w:val="true"/>
        </w:rPr>
        <w:footnoteReference w:id="260"/>
      </w:r>
      <w:r>
        <w:rPr>
          <w:rFonts w:ascii="Amiri" w:hAnsi="Amiri" w:eastAsia="Amiri" w:cs="Amiri"/>
          <w:color w:val="111111"/>
          <w:sz w:val="28"/>
          <w:sz w:val="28"/>
          <w:szCs w:val="28"/>
          <w:rtl w:val="true"/>
          <w:lang w:bidi="ar-SA"/>
        </w:rPr>
        <w:t xml:space="preserve">ما لم يعلم أنّه ميتة وجوده في يد مسلم، أوفي سوق المسلمين، أو في بلد الغالب فيه المسلمون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صريحٌ في أنّ وجود الجلد في يد مسلم من أمارات الحكم بتذكيته، وهو أعمّ من أن يكون المسلم في سوق الكفّار و غيره كما لا يخفى، لا سيّما بعد إيراده </w:t>
      </w:r>
    </w:p>
    <w:p>
      <w:pPr>
        <w:pStyle w:val="BookText"/>
        <w:rPr/>
      </w:pPr>
      <w:r>
        <w:rPr>
          <w:rFonts w:ascii="Amiri" w:hAnsi="Amiri" w:eastAsia="Amiri" w:cs="Amiri"/>
          <w:color w:val="111111"/>
          <w:sz w:val="28"/>
          <w:sz w:val="28"/>
          <w:szCs w:val="28"/>
          <w:rtl w:val="true"/>
          <w:lang w:bidi="ar-SA"/>
        </w:rPr>
        <w:t xml:space="preserve">بالتنكير الأظهر في الدلالة على الشمول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الحال في عبارة غيره من الكتب المذكورة، فلاحظها في أوائل المبحث إن أردت الملاحظة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البيان أظهر في الدلالة على الجواز ممّا ذكر، لأنّه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مذكّى الكافر و ما في يده من الجلود ميتة، إلاّ أن يعلم خلافه ؛ وكذا ما في دار الكفر، إلاّ أن يعلم المسلم بعينه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هو الظاهر من المدارك والذخيرة والبحار أيضًا </w:t>
      </w:r>
      <w:r>
        <w:rPr>
          <w:rStyle w:val="FootnoteAnchor"/>
          <w:rtl w:val="true"/>
        </w:rPr>
        <w:footnoteReference w:id="263"/>
      </w:r>
      <w:r>
        <w:rPr>
          <w:rFonts w:ascii="Amiri" w:hAnsi="Amiri" w:eastAsia="Amiri" w:cs="Amiri"/>
          <w:color w:val="111111"/>
          <w:sz w:val="28"/>
          <w:sz w:val="28"/>
          <w:szCs w:val="28"/>
          <w:rtl w:val="true"/>
          <w:lang w:bidi="ar-SA"/>
        </w:rPr>
        <w:t xml:space="preserve">، قال في المدارك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الحكم بذكاة الجلد الّذي لا يعلم كونه ميتة وجوده في يد مسلم، أو في سوق المسلمين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يكفي في الحكم بذكاة الجلد الّذي لايعلم كونه ميتة وجوده في يد مسلم، أو في سوق الغالب عليه المسلمون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75" w:name="pg7350_54510"/>
    </w:p>
    <w:p>
      <w:pPr>
        <w:pStyle w:val="Heading5"/>
        <w:numPr>
          <w:ilvl w:val="4"/>
          <w:numId w:val="1"/>
        </w:numPr>
        <w:rPr/>
      </w:pPr>
      <w:bookmarkStart w:id="176" w:name="__RefHeading___Toc1190581_1051229030"/>
      <w:bookmarkStart w:id="177" w:name="_Toc65"/>
      <w:bookmarkEnd w:id="175"/>
      <w:bookmarkEnd w:id="176"/>
      <w:r>
        <w:rPr>
          <w:rtl w:val="true"/>
        </w:rPr>
        <w:t>المستند في عدم الجواز</w:t>
      </w:r>
      <w:bookmarkEnd w:id="177"/>
    </w:p>
    <w:p>
      <w:pPr>
        <w:pStyle w:val="BookText"/>
        <w:rPr/>
      </w:pPr>
      <w:r>
        <w:rPr>
          <w:rFonts w:ascii="Amiri" w:hAnsi="Amiri" w:eastAsia="Amiri" w:cs="Amiri"/>
          <w:color w:val="111111"/>
          <w:sz w:val="28"/>
          <w:sz w:val="28"/>
          <w:szCs w:val="28"/>
          <w:rtl w:val="true"/>
          <w:lang w:bidi="ar-SA"/>
        </w:rPr>
        <w:t xml:space="preserve">و لعلّ المستند للأوّل الصحيح المرويّ في أبواب الذبائح من الكافي والفقيه عن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أبا جعفر عليه‌السلام عن شراء اللحم من الأسواق و لايدرى ما يصنع القصّابون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إذا كان في سوق </w:t>
      </w:r>
      <w:r>
        <w:rPr>
          <w:rStyle w:val="FootnoteAnchor"/>
          <w:rtl w:val="true"/>
        </w:rPr>
        <w:footnoteReference w:id="266"/>
      </w:r>
      <w:r>
        <w:rPr>
          <w:rFonts w:ascii="Amiri" w:hAnsi="Amiri" w:eastAsia="Amiri" w:cs="Amiri"/>
          <w:color w:val="111111"/>
          <w:sz w:val="28"/>
          <w:sz w:val="28"/>
          <w:szCs w:val="28"/>
          <w:rtl w:val="true"/>
          <w:lang w:bidi="ar-SA"/>
        </w:rPr>
        <w:t xml:space="preserve">المسلمين و لا تسأل عنه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إذا كان ذلك في أسواق المسلمين و لا تسأل عنه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باب الذبائح من التهذيب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عليه‌السلامعن شراء اللحم من السوق و لايدرى ما يصنع القصّابون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سوق المسلمين كل </w:t>
      </w:r>
      <w:r>
        <w:rPr>
          <w:rStyle w:val="FootnoteAnchor"/>
          <w:rtl w:val="true"/>
        </w:rPr>
        <w:footnoteReference w:id="269"/>
      </w:r>
      <w:r>
        <w:rPr>
          <w:rFonts w:ascii="IRNazanin" w:hAnsi="IRNazanin" w:eastAsia="IRNazanin"/>
          <w:color w:val="111111"/>
          <w:sz w:val="28"/>
          <w:sz w:val="28"/>
          <w:szCs w:val="28"/>
          <w:rtl w:val="true"/>
          <w:lang w:bidi="fa-IR"/>
        </w:rPr>
        <w:t xml:space="preserve">ولا تسأل عنه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تعليق جواز أكل </w:t>
      </w:r>
      <w:r>
        <w:rPr>
          <w:rStyle w:val="FootnoteAnchor"/>
          <w:rtl w:val="true"/>
        </w:rPr>
        <w:footnoteReference w:id="271"/>
      </w:r>
      <w:r>
        <w:rPr>
          <w:rFonts w:ascii="Amiri" w:hAnsi="Amiri" w:eastAsia="Amiri" w:cs="Amiri"/>
          <w:color w:val="111111"/>
          <w:sz w:val="28"/>
          <w:sz w:val="28"/>
          <w:szCs w:val="28"/>
          <w:rtl w:val="true"/>
          <w:lang w:bidi="ar-SA"/>
        </w:rPr>
        <w:t>المفهوم من الأمر الوارد مورد توهّمالحظر بما إذا كان الشراء من سوق المسلمين، يقتضي انتفاء الجواز عند كون الشراء من سوق الكفّار، و هو أعمّ من أن يكون البائع مسلمًا، أو لا ؛ والظاهر انتفاء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التفرقة بين جواز الأكل واستعمال الجلد، فأينما جاز ذلك جاز هذا، و كلّما لم يجز لم يجز </w:t>
      </w:r>
      <w:r>
        <w:rPr>
          <w:rFonts w:eastAsia="Amiri" w:cs="Amiri" w:ascii="Amiri" w:hAnsi="Amiri"/>
          <w:color w:val="111111"/>
          <w:sz w:val="28"/>
          <w:szCs w:val="28"/>
          <w:rtl w:val="true"/>
          <w:lang w:bidi="ar-SA"/>
        </w:rPr>
        <w:t xml:space="preserve">. </w:t>
      </w:r>
      <w:bookmarkStart w:id="178" w:name="pg7350_54512"/>
    </w:p>
    <w:p>
      <w:pPr>
        <w:pStyle w:val="BookText"/>
        <w:rPr/>
      </w:pPr>
      <w:bookmarkEnd w:id="178"/>
      <w:r>
        <w:rPr>
          <w:rFonts w:ascii="Amiri" w:hAnsi="Amiri" w:eastAsia="Amiri" w:cs="Amiri"/>
          <w:color w:val="111111"/>
          <w:sz w:val="28"/>
          <w:sz w:val="28"/>
          <w:szCs w:val="28"/>
          <w:rtl w:val="true"/>
          <w:lang w:bidi="ar-SA"/>
        </w:rPr>
        <w:t xml:space="preserve">و يدلّ على ذلك أيضًا الصحيح المرويّ في الباب المذكور من التهذيب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يباع في أسواق المسلمين فلا بأس بأكله، وإن لم يعلم </w:t>
      </w:r>
      <w:r>
        <w:rPr>
          <w:rStyle w:val="FootnoteAnchor"/>
          <w:rtl w:val="true"/>
        </w:rPr>
        <w:footnoteReference w:id="272"/>
      </w:r>
      <w:r>
        <w:rPr>
          <w:rFonts w:ascii="IRNazanin" w:hAnsi="IRNazanin" w:eastAsia="IRNazanin"/>
          <w:color w:val="111111"/>
          <w:sz w:val="28"/>
          <w:sz w:val="28"/>
          <w:szCs w:val="28"/>
          <w:rtl w:val="true"/>
          <w:lang w:bidi="fa-IR"/>
        </w:rPr>
        <w:t xml:space="preserve">مَن الذابح 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والتعارض بينها و بين النصوص السالفة الدالّة على جواز استعمال الجلود المأخوذة من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يأتي السوق فيشتري جبّة فراء لا يدرى أذكيّة هي أم غير ذكيّة، أيصلّي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لجهالتهم </w:t>
      </w:r>
      <w:r>
        <w:rPr>
          <w:rStyle w:val="FootnoteAnchor"/>
          <w:rtl w:val="true"/>
        </w:rPr>
        <w:footnoteReference w:id="274"/>
      </w:r>
      <w:r>
        <w:rPr>
          <w:rFonts w:ascii="Amiri" w:hAnsi="Amiri" w:eastAsia="Amiri" w:cs="Amiri"/>
          <w:color w:val="111111"/>
          <w:sz w:val="28"/>
          <w:sz w:val="28"/>
          <w:szCs w:val="28"/>
          <w:rtl w:val="true"/>
          <w:lang w:bidi="ar-SA"/>
        </w:rPr>
        <w:t xml:space="preserve">، إنّ الدين أوسع من ذلك </w:t>
      </w:r>
      <w:r>
        <w:rPr>
          <w:rStyle w:val="FootnoteAnchor"/>
          <w:rtl w:val="true"/>
        </w:rPr>
        <w:footnoteReference w:id="275"/>
      </w:r>
      <w:r>
        <w:rPr>
          <w:rFonts w:ascii="Amiri" w:hAnsi="Amiri" w:eastAsia="Amiri" w:cs="Amiri"/>
          <w:color w:val="111111"/>
          <w:sz w:val="28"/>
          <w:sz w:val="28"/>
          <w:szCs w:val="28"/>
          <w:rtl w:val="true"/>
          <w:lang w:bidi="ar-SA"/>
        </w:rPr>
        <w:t xml:space="preserve">؛ و صحيحة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الخفاف الّتي تباع في السوق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 صلّ فيها حتّى تعلم أنّهميّت بعينه </w:t>
      </w:r>
      <w:r>
        <w:rPr>
          <w:rStyle w:val="FootnoteAnchor"/>
          <w:rtl w:val="true"/>
        </w:rPr>
        <w:footnoteReference w:id="276"/>
      </w:r>
      <w:r>
        <w:rPr>
          <w:rFonts w:ascii="Amiri" w:hAnsi="Amiri" w:eastAsia="Amiri" w:cs="Amiri"/>
          <w:color w:val="111111"/>
          <w:sz w:val="28"/>
          <w:sz w:val="28"/>
          <w:szCs w:val="28"/>
          <w:rtl w:val="true"/>
          <w:lang w:bidi="ar-SA"/>
        </w:rPr>
        <w:t xml:space="preserve">؛ و غيرهما من النصوص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المطلق والمقيّد، فينبغي تقييد السوق فيها بغير سوق الكفّار للنصوص المذكورة، مضافًا إلى إمكانادّعاء ظهورها في غيره </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190583_1051229030"/>
      <w:bookmarkStart w:id="180" w:name="_Toc66"/>
      <w:bookmarkEnd w:id="179"/>
      <w:r>
        <w:rPr>
          <w:rtl w:val="true"/>
        </w:rPr>
        <w:t>المستند للقول بالجواز</w:t>
      </w:r>
      <w:bookmarkEnd w:id="1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للقول بالجواز موثّقة ابن بكير المتكرّرة،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w:t>
      </w:r>
      <w:bookmarkStart w:id="181" w:name="pg7350_54514"/>
    </w:p>
    <w:p>
      <w:pPr>
        <w:pStyle w:val="BookText"/>
        <w:rPr/>
      </w:pPr>
      <w:bookmarkEnd w:id="181"/>
      <w:r>
        <w:rPr>
          <w:rFonts w:ascii="Amiri" w:hAnsi="Amiri" w:eastAsia="Amiri" w:cs="Amiri"/>
          <w:color w:val="111111"/>
          <w:sz w:val="28"/>
          <w:sz w:val="28"/>
          <w:szCs w:val="28"/>
          <w:rtl w:val="true"/>
          <w:lang w:bidi="ar-SA"/>
        </w:rPr>
        <w:t xml:space="preserve">ذكيّ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بعد ما علمت من حمل العلم فيها على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إطلاقها وإن كان ذلك، لكنّ التعارض بينها وبين النصوص المذكورة من تعارض الظاهرين والعموم من وجه، لافتراق النصوص المذكورة عنها في غير صورة المظنّة، وافتراقها عنها في غير سوق الكفّار، واجتماعهما في الصورة المفروضة، فاللازم الرجوع إلى الترجيح، و هو مع النصوص المذكورة، لأصحيّة السند، و أكثريّة العدد، و كون مضمونها ممّا أطبقت المشايخ الثلاثة على إيراده، واعتضادها بالاحتياط المستحسن مراعاته عند أولى الألباب </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190585_1051229030"/>
      <w:bookmarkStart w:id="183" w:name="_Toc67"/>
      <w:bookmarkEnd w:id="182"/>
      <w:r>
        <w:rPr>
          <w:rtl w:val="true"/>
        </w:rPr>
        <w:t>مختار المؤلّف قدس‌سره و دليله</w:t>
      </w:r>
      <w:bookmarkEnd w:id="183"/>
    </w:p>
    <w:p>
      <w:pPr>
        <w:pStyle w:val="BookText"/>
        <w:rPr/>
      </w:pPr>
      <w:r>
        <w:rPr>
          <w:rFonts w:ascii="Amiri" w:hAnsi="Amiri" w:eastAsia="Amiri" w:cs="Amiri"/>
          <w:color w:val="111111"/>
          <w:sz w:val="28"/>
          <w:sz w:val="28"/>
          <w:szCs w:val="28"/>
          <w:rtl w:val="true"/>
          <w:lang w:bidi="ar-SA"/>
        </w:rPr>
        <w:t xml:space="preserve">لكنّ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الاجتناب، فيجوز الاستعمال في الصلاة و غيرها، للموثّق المذكور، و لقوله عليه‌السلام في موثّقة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الغالب عليهاالمسلمين </w:t>
      </w:r>
      <w:r>
        <w:rPr>
          <w:rStyle w:val="FootnoteAnchor"/>
          <w:rtl w:val="true"/>
        </w:rPr>
        <w:footnoteReference w:id="278"/>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بناءً على أنّ الاكتفاء بغلبة المسلمين حال الاشتراكإنّما هو لحصول الظنّ بكون الجلد من مذكّى المسلمين، و هو متحقّق فيما نحن فيه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في الجملة صحيحة عبدالرّحمن بن حجّاج </w:t>
      </w:r>
      <w:r>
        <w:rPr>
          <w:rStyle w:val="FootnoteAnchor"/>
          <w:rtl w:val="true"/>
        </w:rPr>
        <w:footnoteReference w:id="280"/>
      </w:r>
      <w:r>
        <w:rPr>
          <w:rFonts w:ascii="Amiri" w:hAnsi="Amiri" w:eastAsia="Amiri" w:cs="Amiri"/>
          <w:color w:val="111111"/>
          <w:sz w:val="28"/>
          <w:sz w:val="28"/>
          <w:szCs w:val="28"/>
          <w:rtl w:val="true"/>
          <w:lang w:bidi="ar-SA"/>
        </w:rPr>
        <w:t xml:space="preserve">المتقدّمة، لما عرفت </w:t>
      </w:r>
    </w:p>
    <w:p>
      <w:pPr>
        <w:pStyle w:val="BookText"/>
        <w:rPr/>
      </w:pPr>
      <w:r>
        <w:rPr>
          <w:rFonts w:ascii="Amiri" w:hAnsi="Amiri" w:eastAsia="Amiri" w:cs="Amiri"/>
          <w:color w:val="111111"/>
          <w:sz w:val="28"/>
          <w:sz w:val="28"/>
          <w:szCs w:val="28"/>
          <w:rtl w:val="true"/>
          <w:lang w:bidi="ar-SA"/>
        </w:rPr>
        <w:t xml:space="preserve">أنّ مقتضى مفهوم الشرط فيها جواز الاجتزاء في التذكية بإخبار الثقة من غير استفصال ؛ وإطلاقه يعمّ ما نحن فيه و غيره، سيّما بعد ترك الاستفصال بين محتملات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المذكورة غير صالحة للمعارضة، لإمكان المناقشة في دلالتها، أمّا صحيحة الحلبي فإنّه وإن يتوهّم من كلام الشيخ في التهذيب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يباع</w:t>
      </w:r>
    </w:p>
    <w:p>
      <w:pPr>
        <w:pStyle w:val="BookText"/>
        <w:rPr/>
      </w:pPr>
      <w:r>
        <w:rPr>
          <w:rFonts w:ascii="Amiri" w:hAnsi="Amiri" w:eastAsia="Amiri" w:cs="Amiri"/>
          <w:color w:val="111111"/>
          <w:sz w:val="28"/>
          <w:sz w:val="28"/>
          <w:szCs w:val="28"/>
          <w:rtl w:val="true"/>
          <w:lang w:bidi="ar-SA"/>
        </w:rPr>
        <w:t xml:space="preserve">في أسواق المسلمين فلا بأس بأكله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انّه من تتمّة الحديث، لأنّه ذكر هكذا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عيسى، عن الحسين بن سعيد، عن ابن أبي عمير، عن حمّاد، عن الحلبي،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ذبيحة المرجئوالحروريّ </w:t>
      </w:r>
      <w:r>
        <w:rPr>
          <w:rStyle w:val="FootnoteAnchor"/>
          <w:rtl w:val="true"/>
        </w:rPr>
        <w:footnoteReference w:id="28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وقر واستقر حتّى يكون ما يكون ؛ فأمّا ما يباع في أسواق المسلمين، إلى آخره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الظاهر أنّه ليس كذلك، بل من كلام الشيخ، والحديث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بعد ذلك من غير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ذلك محمّد بن يحيى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بناءً على ما اطّردت عادته من أنّه يأتي بمثل ذلك فيما إذا كانت العبارة من المقنعة، أو من نفسه ؛ و ما نحن فيه من الثاني، لعدم كون هذا الكلام مذكورًا في المقنعة، و لهذا لم يصدّره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الحديث المذكور مرويّ في الكافي والفقيه، و ليس فيهما هذا الذيل، بل ذكر الحديث إلى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يكون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لمّا كان يتوهّم من كلام التهذيب أنّه من تتمّة الحديث، تصدّينا لدفعه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الفضلاء، فلأنّ جزاء الشرط فيها جزءان،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أنّ النهي هنا ورد في محلّ توهّم الوجوب، فكما أنّه ليس المستفاد من الأمر الوارد في محلّ توهّم الحظر إلاّ نفيه، فكذلك ليس المستفاد من النهي الوارد في محلّ توهّم الوجوب إلاّ نفيه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فالمستفاد منها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في سوق المسلمين يباح لك الأكل ولا يجب عليك السؤال، فاللازم من المفهوم حينئذٍ انتفاء إباحة الأكل عند انتفاء السؤال، لا مطلقًا ؛ والمفروض إخبار ذي اليد المسلم بالتذكية مع استفادة الظنّ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فالتمسّك بالصحيحة المذكورة في إثبات عدم لزوم الاجتناب لو لم يكن أولى من التمسّك لاثبات الاجتناب، فلا أقلّ من انتفاء الأولويّة في العكس ؛ فعلى هذايبقى موثّقة ابن بكير المذكورة سالمة عمّا يصلح للمعارضة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بجميع العبارات المذكورة في الدلالة على المنع في الصورة المفروضة محلّ تأمّل، لأنّ من جملتها عبارة الذكرى، و هي إنّما تدلّ على المنع في صورة الشكّ بالتذكية، فلا يشمل صورة الظنّ كما فيما نحن فيه، لأنّها هكذا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والمبطل للصلاة فيه علم كونه ميتة، أو الشكّ إذا وجد مطروحًا، لأصالة </w:t>
      </w:r>
      <w:bookmarkStart w:id="184" w:name="pg7350_54520"/>
    </w:p>
    <w:p>
      <w:pPr>
        <w:pStyle w:val="BookText"/>
        <w:rPr/>
      </w:pPr>
      <w:bookmarkEnd w:id="184"/>
      <w:r>
        <w:rPr>
          <w:rFonts w:ascii="Amiri" w:hAnsi="Amiri" w:eastAsia="Amiri" w:cs="Amiri"/>
          <w:color w:val="111111"/>
          <w:sz w:val="28"/>
          <w:sz w:val="28"/>
          <w:szCs w:val="28"/>
          <w:rtl w:val="true"/>
          <w:lang w:bidi="ar-SA"/>
        </w:rPr>
        <w:t xml:space="preserve">عدم التذكية، أو في يد كافر عملاً بالظاهر من حاله، أو في سوق الكفر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سوق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التقدير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والمبطل للصلاة الشكّ في التذكية إذا وجد في سوق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تعلم أنّ المفروض فيما نحن فيه هو الظنّ بها، فالتمسّك بالعبارة المذكورة في إسناد الجواز إلى صاحبها في محلّ الكلام أولى من التمسّك بها في إسناد عدمه إليه كما لايخفى </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90587_1051229030"/>
      <w:bookmarkStart w:id="186" w:name="_Toc68"/>
      <w:bookmarkEnd w:id="185"/>
      <w:r>
        <w:rPr>
          <w:rtl w:val="true"/>
        </w:rPr>
        <w:t>القسم الثاني عشر</w:t>
      </w:r>
      <w:r>
        <w:rPr>
          <w:rtl w:val="true"/>
        </w:rPr>
        <w:t>:</w:t>
      </w:r>
      <w:bookmarkEnd w:id="186"/>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بالتذكية،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الجلد مأخوذًا من يدالمسلم الغير المستحلّ في سوق الكفّار من غير إخباره بالتذكية، لكن مع الظنّ بكونه من مذكّى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أنّه هل يجوز أخذ الجلود من يد المسلم في سوق الكفّار واستعماله من غير الاستخبار منه، أو لا بل لابدّ من الاستعلام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يجوّز الاستعمال في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كالمبسوط والنهاية والدروس والجعفريّة والروض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مجوّز في هذه المسألة، بل بطريق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كلماتهم المذكورة كما يقتضي عدم الجواز هناك، يقتضي هنا أيضًا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جوّز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كالمعتبر والمنتهى و نهاية الإحكام والتذكرة والتحرير والبيان والمدارك والذخيرة، بل الذكرى أيضًا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يجوّزه هنا أيضًا، لإطلاق كلماتهم الشاملة للصورتين أيضًا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في الطرفين يظهر ممّا بيّناه، فلا حاجة إلى 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بعدم جواز الاستعمال و توقّفه على الاستخبار والاستعلام،لقوله</w:t>
      </w:r>
    </w:p>
    <w:p>
      <w:pPr>
        <w:pStyle w:val="BookText"/>
        <w:rPr/>
      </w:pPr>
      <w:r>
        <w:rPr>
          <w:rFonts w:ascii="Amiri" w:hAnsi="Amiri" w:eastAsia="Amiri" w:cs="Amiri"/>
          <w:color w:val="111111"/>
          <w:sz w:val="28"/>
          <w:sz w:val="28"/>
          <w:szCs w:val="28"/>
          <w:rtl w:val="true"/>
          <w:lang w:bidi="ar-SA"/>
        </w:rPr>
        <w:t xml:space="preserve">عليه‌السلام في 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إذا كان ذلك في أسواق المسلمين ولاتسأل عنه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عرفت من أنّ مقتضى منطوقه إباحة الأكل من غير افتقار إلى السؤال والاستعلام عند كون ذلك في أسواق المسلمين، فمقتضى المفهوم حينئذٍ انتفاء الإباحة عند انتفاء السؤال فيما إذا لم يكن الأسواق من أسواق المسلمين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الجزاء، فله حكمه، فكأنّه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في سوق المسلمين، فلا يجب عليك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فمقتضى المفهوم عدم جواز الأكل ولزوم السؤال فيما إذا لم يكن في أسواق </w:t>
      </w:r>
    </w:p>
    <w:p>
      <w:pPr>
        <w:pStyle w:val="BookText"/>
        <w:rPr/>
      </w:pPr>
      <w:r>
        <w:rPr>
          <w:rFonts w:ascii="Amiri" w:hAnsi="Amiri" w:eastAsia="Amiri" w:cs="Amiri"/>
          <w:color w:val="111111"/>
          <w:sz w:val="28"/>
          <w:sz w:val="28"/>
          <w:szCs w:val="28"/>
          <w:rtl w:val="true"/>
          <w:lang w:bidi="ar-SA"/>
        </w:rPr>
        <w:t xml:space="preserve">المسلمين، و هو أعمّ من أن يظنّ تذكيته، أو لا ؛ و مقتضى منطوق موثّقة ابن بكير جواز الصلاة والاستعمال في صورة الظنّ بالتذكية أعمّ من أن يكون في سوق الكفّار، أو لا ؛ فبينهما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صحيحة الفضلاء عدم جواز الأكل والاستعمال في غير أسواق المسلمين في صورة انتفاء المسألة، سواء ظنّ تذكيته، أم لا ؛ و مقتضى موثّقة ابن بكير جواز الاستعمال في صورة المظنّة، سواء تحقّق السؤال، أم لا، فلابدّ من الرجوع إلى الترجيح، و هو مع المانعين، للصحّة في السند والكثرة في العدد، وكون المضمون ممّا أطبقت المشايخ العظام على روايته، والاعتضاد بقاعدة الاشتغال ؛ فعلى هذا لايجوز الاستعمال إلاّ مع الاستخبار والإخبار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انصراف المفهوم في صحيحة الفضلاء إلى ما نحن فيه غير معلوم، لظهور أنّ المتبادر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الأسواق أسواق المسلمين،فلا يجوز الأكل من غير مسألة إذا كان ذلك في يد الكافر، أو مجهول الحال ؛ وأمّا إذا كان ذلك في يد المسلم الغير المستحلّ، سيّما بعد الظنّ بكونه من مذكّى المسلمين، فلم يظهر شموله له، فيبقى العموم في موثّقة ابن بكير المعتضدة بما ذكرناه في موثّقة إسحاق بن عمّار سالمًا عمّا يصلح للمعارضة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رواية إسماعيل بن عيسى المرويّة في الفقيه، و باب ما يجوز الصلاة فيه من اللباس والمكان من زيادات التهذيب، عن إسماعيل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جلود الفراء يشتريها الرجل في سوق من أسواق الجيل </w:t>
      </w:r>
      <w:r>
        <w:rPr>
          <w:rStyle w:val="FootnoteAnchor"/>
          <w:rtl w:val="true"/>
        </w:rPr>
        <w:footnoteReference w:id="288"/>
      </w:r>
      <w:r>
        <w:rPr>
          <w:rFonts w:ascii="IRNazanin" w:hAnsi="IRNazanin" w:eastAsia="IRNazanin"/>
          <w:color w:val="111111"/>
          <w:sz w:val="28"/>
          <w:sz w:val="28"/>
          <w:szCs w:val="28"/>
          <w:rtl w:val="true"/>
          <w:lang w:bidi="fa-IR"/>
        </w:rPr>
        <w:t xml:space="preserve">، </w:t>
      </w:r>
      <w:bookmarkStart w:id="187" w:name="pg7350_54526"/>
    </w:p>
    <w:p>
      <w:pPr>
        <w:pStyle w:val="BookText"/>
        <w:rPr/>
      </w:pPr>
      <w:bookmarkEnd w:id="187"/>
      <w:r>
        <w:rPr>
          <w:rFonts w:ascii="Amiri" w:hAnsi="Amiri" w:eastAsia="Amiri" w:cs="Amiri"/>
          <w:color w:val="111111"/>
          <w:sz w:val="28"/>
          <w:sz w:val="28"/>
          <w:szCs w:val="28"/>
          <w:rtl w:val="true"/>
          <w:lang w:bidi="ar-SA"/>
        </w:rPr>
        <w:t xml:space="preserve">أيسأل عن ذكاته إذا كان البائع مسلمًا غير عارف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Style w:val="FootnoteAnchor"/>
          <w:rtl w:val="true"/>
        </w:rPr>
        <w:footnoteReference w:id="289"/>
      </w:r>
      <w:r>
        <w:rPr>
          <w:rFonts w:ascii="Amiri" w:hAnsi="Amiri" w:eastAsia="Amiri" w:cs="Amiri"/>
          <w:color w:val="111111"/>
          <w:sz w:val="28"/>
          <w:sz w:val="28"/>
          <w:szCs w:val="28"/>
          <w:rtl w:val="true"/>
          <w:lang w:bidi="ar-SA"/>
        </w:rPr>
        <w:t xml:space="preserve">أن تسألوا عنه إذا رأيتم المشركين يبيعون ذلك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جهة التقرير، والثاني من جهة مفهوم الشرط، فالظاهر جواز الاستعمال سيّما بعد كون ذي اليد ممّن يثق به، وإن كان الأحوط الاستخبار، بل الاجتناب مع الإمكان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90589_1051229030"/>
      <w:bookmarkStart w:id="189" w:name="_Toc69"/>
      <w:bookmarkEnd w:id="188"/>
      <w:r>
        <w:rPr>
          <w:rtl w:val="true"/>
        </w:rPr>
        <w:t>القسم الثالث عشر</w:t>
      </w:r>
      <w:r>
        <w:rPr>
          <w:rtl w:val="true"/>
        </w:rPr>
        <w:t>:</w:t>
      </w:r>
      <w:bookmarkEnd w:id="189"/>
    </w:p>
    <w:p>
      <w:pPr>
        <w:pStyle w:val="Heading5"/>
        <w:numPr>
          <w:ilvl w:val="4"/>
          <w:numId w:val="1"/>
        </w:numPr>
        <w:rPr/>
      </w:pPr>
      <w:bookmarkStart w:id="190" w:name="__RefHeading___Toc1190591_1051229030"/>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لكن مع الإخبار من غير مظنّة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الجلدفي يد المسلم الغير المستحلّ في سوق الكفّار مع إخباره بالتذكية مع عدم حصول المظنّة بها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مَن قال بالمنع في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كالمبسوط والنهاية والدروس والجعفريّة والروض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هنا أيضًا، بل قال به هنا بعض مَن لم يقل به هناك كالذكرى، بل التذكرة و نهاية الإحكام أيضًا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92" w:name="pg7350_54528"/>
    </w:p>
    <w:p>
      <w:pPr>
        <w:pStyle w:val="BookText"/>
        <w:rPr/>
      </w:pPr>
      <w:bookmarkEnd w:id="192"/>
      <w:r>
        <w:rPr>
          <w:rFonts w:ascii="Amiri" w:hAnsi="Amiri" w:eastAsia="Amiri" w:cs="Amiri"/>
          <w:color w:val="111111"/>
          <w:sz w:val="28"/>
          <w:sz w:val="28"/>
          <w:szCs w:val="28"/>
          <w:rtl w:val="true"/>
          <w:lang w:bidi="ar-SA"/>
        </w:rPr>
        <w:t xml:space="preserve">أمّا الأوّل فلما مرّ في المبحث السابق، و أمّا غيره فلما عرفت فيما سلف مرارًا من أنّ الظاهر منهما أنّ المناط في استعمال الجلود الظنّ بالتذكية، والمفروض انتفاؤه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والبيان </w:t>
      </w:r>
      <w:r>
        <w:rPr>
          <w:rStyle w:val="FootnoteAnchor"/>
          <w:rtl w:val="true"/>
        </w:rPr>
        <w:footnoteReference w:id="293"/>
      </w:r>
      <w:r>
        <w:rPr>
          <w:rFonts w:ascii="Amiri" w:hAnsi="Amiri" w:eastAsia="Amiri" w:cs="Amiri"/>
          <w:color w:val="111111"/>
          <w:sz w:val="28"/>
          <w:sz w:val="28"/>
          <w:szCs w:val="28"/>
          <w:rtl w:val="true"/>
          <w:lang w:bidi="ar-SA"/>
        </w:rPr>
        <w:t xml:space="preserve">جواز الاستعمال، لا سيّما الثاني ؛ و هذا هو الظاهر من المدارك والذخيرة أيضًا </w:t>
      </w:r>
      <w:r>
        <w:rPr>
          <w:rStyle w:val="FootnoteAnchor"/>
          <w:rtl w:val="true"/>
        </w:rPr>
        <w:footnoteReference w:id="294"/>
      </w:r>
      <w:r>
        <w:rPr>
          <w:rFonts w:ascii="Amiri" w:hAnsi="Amiri" w:eastAsia="Amiri" w:cs="Amiri"/>
          <w:color w:val="111111"/>
          <w:sz w:val="28"/>
          <w:sz w:val="28"/>
          <w:szCs w:val="28"/>
          <w:rtl w:val="true"/>
          <w:lang w:bidi="ar-SA"/>
        </w:rPr>
        <w:t xml:space="preserve">، فلاحظ عباراتهم حتّى يتبيّن لك الحال </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90593_1051229030"/>
      <w:bookmarkStart w:id="194" w:name="_Toc71"/>
      <w:bookmarkEnd w:id="193"/>
      <w:r>
        <w:rPr>
          <w:rtl w:val="true"/>
        </w:rPr>
        <w:t>المستند في الجواز مع الجواب عنه</w:t>
      </w:r>
      <w:bookmarkEnd w:id="194"/>
    </w:p>
    <w:p>
      <w:pPr>
        <w:pStyle w:val="BookText"/>
        <w:rPr/>
      </w:pPr>
      <w:r>
        <w:rPr>
          <w:rFonts w:ascii="Amiri" w:hAnsi="Amiri" w:eastAsia="Amiri" w:cs="Amiri"/>
          <w:color w:val="111111"/>
          <w:sz w:val="28"/>
          <w:sz w:val="28"/>
          <w:szCs w:val="28"/>
          <w:rtl w:val="true"/>
          <w:lang w:bidi="ar-SA"/>
        </w:rPr>
        <w:t xml:space="preserve">و لعلّ المستند في ذلك مفهوم الشرط في صحيحة الفضلاء، لأنّ الظاهر منهجواز الاستعمال والأكل في غير أسواق المسلمين في صورة تحقّق المسألة، سواء حصل الظنّ بالتذكية،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المفهوم في موثّقة ابن بكير وإن كان عدم جواز الاستعمال في صورة انتفاء المظنّة، لكنّه يعمّ صورة تحقّق السؤال والإخبار بالتذكية و عدمه، فبينهما عموم من وجه، و قد عرفت أنّ الوجوه المرجّحة في جانب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يظهر ممّا سلف،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الفرض المفروض من الفروض النادرة، فلم يظهر شمول المفهوم له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يمكن دعوى ظهوره في غيره، إذ الظاهر أنّ السؤال الّذي يظهر من </w:t>
      </w:r>
      <w:bookmarkStart w:id="195" w:name="pg7350_54530"/>
    </w:p>
    <w:p>
      <w:pPr>
        <w:pStyle w:val="BookText"/>
        <w:rPr/>
      </w:pPr>
      <w:bookmarkEnd w:id="195"/>
      <w:r>
        <w:rPr>
          <w:rFonts w:ascii="Amiri" w:hAnsi="Amiri" w:eastAsia="Amiri" w:cs="Amiri"/>
          <w:color w:val="111111"/>
          <w:sz w:val="28"/>
          <w:sz w:val="28"/>
          <w:szCs w:val="28"/>
          <w:rtl w:val="true"/>
          <w:lang w:bidi="ar-SA"/>
        </w:rPr>
        <w:t>كلامه</w:t>
      </w:r>
    </w:p>
    <w:p>
      <w:pPr>
        <w:pStyle w:val="BookText"/>
        <w:rPr/>
      </w:pPr>
      <w:r>
        <w:rPr>
          <w:rFonts w:ascii="Amiri" w:hAnsi="Amiri" w:eastAsia="Amiri" w:cs="Amiri"/>
          <w:color w:val="111111"/>
          <w:sz w:val="28"/>
          <w:sz w:val="28"/>
          <w:szCs w:val="28"/>
          <w:rtl w:val="true"/>
          <w:lang w:bidi="ar-SA"/>
        </w:rPr>
        <w:t xml:space="preserve">عليه‌السلام أنّه مناط في الاستعمال إنّما هو إذا كان مفيدًا للظنّ لو لم يكن مفيدًا للعلم، فعلى هذا يبقى العموم في موثّقة ابن بكير سالمًا عمّا يصلح للمعارضة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التمسّك في الحكم بجواز الاستعمال في الصورة المفروضة بصحيحة عبدالرّحمن بن الحجّاج السالفة، لما عرفت من أنّ مقتضاها جواز الشراء عن الرجل الغير الموثوق به و بيعه حينئذ </w:t>
      </w:r>
      <w:r>
        <w:rPr>
          <w:rStyle w:val="FootnoteAnchor"/>
          <w:rtl w:val="true"/>
        </w:rPr>
        <w:footnoteReference w:id="295"/>
      </w:r>
      <w:r>
        <w:rPr>
          <w:rFonts w:ascii="Amiri" w:hAnsi="Amiri" w:eastAsia="Amiri" w:cs="Amiri"/>
          <w:color w:val="111111"/>
          <w:sz w:val="28"/>
          <w:sz w:val="28"/>
          <w:szCs w:val="28"/>
          <w:rtl w:val="true"/>
          <w:lang w:bidi="ar-SA"/>
        </w:rPr>
        <w:t xml:space="preserve">؛ و مقتضى ترك الاستفصال ثبوته ولو كان في غير أسواق المسلمين، و معلومٌ أنّ جواز البيع والشراء يستلزم جواز الاستعمال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عنه بأنّ الغالب حصول المظنّة بالتذكية عند إخبار المسلم بها، فينصرف إليه الصحيحة المذكورة ؛ و على فرض الإغماض عنه و تسليم الشمول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تقييدها في غير أسواق المسلمين بهذه الصورة </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190595_1051229030"/>
      <w:bookmarkStart w:id="197" w:name="_Toc72"/>
      <w:bookmarkEnd w:id="196"/>
      <w:r>
        <w:rPr>
          <w:rtl w:val="true"/>
        </w:rPr>
        <w:t xml:space="preserve">البحث عن قاعدة </w:t>
      </w:r>
      <w:r>
        <w:rPr>
          <w:rtl w:val="true"/>
        </w:rPr>
        <w:t xml:space="preserve">: </w:t>
      </w:r>
      <w:r>
        <w:rPr>
          <w:rtl w:val="true"/>
        </w:rPr>
        <w:t>انّ الأصل في فعل المسلم الحمل على الصحّة</w:t>
      </w:r>
      <w:bookmarkEnd w:id="197"/>
    </w:p>
    <w:p>
      <w:pPr>
        <w:pStyle w:val="Heading6"/>
        <w:numPr>
          <w:ilvl w:val="5"/>
          <w:numId w:val="1"/>
        </w:numPr>
        <w:rPr/>
      </w:pPr>
      <w:bookmarkStart w:id="198" w:name="__RefHeading___Toc1190597_1051229030"/>
      <w:bookmarkStart w:id="199" w:name="_Toc73"/>
      <w:bookmarkEnd w:id="198"/>
      <w:r>
        <w:rPr>
          <w:rtl w:val="true"/>
        </w:rPr>
        <w:t>اشارة</w:t>
      </w:r>
      <w:bookmarkEnd w:id="1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 في المقام شيء ينبغي التعرّض له،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المتلقّاة عندهم بالقبول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الأصل في فعل المسلم الحمل على الصحّة </w:t>
      </w:r>
      <w:r>
        <w:rPr>
          <w:rFonts w:eastAsia="Amiri" w:cs="Amiri" w:ascii="Amiri" w:hAnsi="Amiri"/>
          <w:color w:val="111111"/>
          <w:sz w:val="28"/>
          <w:szCs w:val="28"/>
          <w:rtl w:val="true"/>
          <w:lang w:bidi="ar-SA"/>
        </w:rPr>
        <w:t xml:space="preserve">» . </w:t>
      </w:r>
      <w:bookmarkStart w:id="200" w:name="pg7350_54532"/>
    </w:p>
    <w:p>
      <w:pPr>
        <w:pStyle w:val="BookText"/>
        <w:rPr/>
      </w:pPr>
      <w:bookmarkEnd w:id="200"/>
      <w:r>
        <w:rPr>
          <w:rFonts w:ascii="Amiri" w:hAnsi="Amiri" w:eastAsia="Amiri" w:cs="Amiri"/>
          <w:color w:val="111111"/>
          <w:sz w:val="28"/>
          <w:sz w:val="28"/>
          <w:szCs w:val="28"/>
          <w:rtl w:val="true"/>
          <w:lang w:bidi="ar-SA"/>
        </w:rPr>
        <w:t xml:space="preserve">قيل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قاعدة ورد بها النصّ عن الأئمّة عليهم‌السلام و أجمع عليها علماء الأعلام، و فرّع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أخبر مسلم بطهارة ما علم نجاسته يقبل، لأنّ القول فعل لسانيّ،</w:t>
      </w:r>
    </w:p>
    <w:p>
      <w:pPr>
        <w:pStyle w:val="BookText"/>
        <w:rPr/>
      </w:pPr>
      <w:r>
        <w:rPr>
          <w:rFonts w:ascii="Amiri" w:hAnsi="Amiri" w:eastAsia="Amiri" w:cs="Amiri"/>
          <w:color w:val="111111"/>
          <w:sz w:val="28"/>
          <w:sz w:val="28"/>
          <w:szCs w:val="28"/>
          <w:rtl w:val="true"/>
          <w:lang w:bidi="ar-SA"/>
        </w:rPr>
        <w:t xml:space="preserve">و قد عرفت أنّ الأصل في فعل المسلم الحمل على الصحّة، و مقتضى ذلك الحكم بجواز الاستعمال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عنه أيضًا بأنّ القاعدة المذكورة إمّا مستندة إلى الإجماع، أو النصّ ؛ و كلاهما غير مجد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فلما عرفت من أنّ الظاهر من أكثر الأصحاب فيما نحن فيه وجوب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بينه و بين ما أوردناه في المسألة عموم من وجه، فيجب الرجوع إلى الترجيح، و مقتضاه لزوم الاجتناب لكثرة ما دلّ عليه، و لكون القائل به أكثر، و كونه ممّا يقتضيه 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لم نظفر بالنصّ الدالّ عليها بالخصوص، و يمكن أن يكون مأخوذة منالنصوص في موارد جزئيّة، كصحيحة الفضلاء السابقة و نحوها </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190599_1051229030"/>
      <w:bookmarkStart w:id="202" w:name="_Toc74"/>
      <w:bookmarkEnd w:id="201"/>
      <w:r>
        <w:rPr>
          <w:rtl w:val="true"/>
        </w:rPr>
        <w:t>مختار المؤلّف قدس‌سره</w:t>
      </w:r>
      <w:bookmarkEnd w:id="2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لا محيص عن الحكم بلزوم الاجتناب في محلّ الكلام </w:t>
      </w:r>
      <w:r>
        <w:rPr>
          <w:rFonts w:eastAsia="Amiri" w:cs="Amiri" w:ascii="Amiri" w:hAnsi="Amiri"/>
          <w:color w:val="111111"/>
          <w:sz w:val="28"/>
          <w:szCs w:val="28"/>
          <w:rtl w:val="true"/>
          <w:lang w:bidi="ar-SA"/>
        </w:rPr>
        <w:t xml:space="preserve">. </w:t>
      </w:r>
      <w:bookmarkStart w:id="203" w:name="pg7350_54534"/>
    </w:p>
    <w:p>
      <w:pPr>
        <w:pStyle w:val="Heading4"/>
        <w:numPr>
          <w:ilvl w:val="3"/>
          <w:numId w:val="1"/>
        </w:numPr>
        <w:rPr/>
      </w:pPr>
      <w:bookmarkStart w:id="204" w:name="__RefHeading___Toc1190601_1051229030"/>
      <w:bookmarkStart w:id="205" w:name="_Toc75"/>
      <w:bookmarkEnd w:id="203"/>
      <w:bookmarkEnd w:id="204"/>
      <w:r>
        <w:rPr>
          <w:rtl w:val="true"/>
        </w:rPr>
        <w:t>القسم الرابع عشر</w:t>
      </w:r>
      <w:r>
        <w:rPr>
          <w:rtl w:val="true"/>
        </w:rPr>
        <w:t>:</w:t>
      </w:r>
      <w:bookmarkEnd w:id="205"/>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الإخبار والظنّ بالتذكية كلاهما منتفيًا </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90603_1051229030"/>
      <w:bookmarkStart w:id="207" w:name="_Toc76"/>
      <w:bookmarkEnd w:id="206"/>
      <w:r>
        <w:rPr>
          <w:rtl w:val="true"/>
        </w:rPr>
        <w:t>القسم الخامس عشر</w:t>
      </w:r>
      <w:r>
        <w:rPr>
          <w:rtl w:val="true"/>
        </w:rPr>
        <w:t>:</w:t>
      </w:r>
      <w:bookmarkEnd w:id="207"/>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 إخبار ذي اليد المسلم بكونه من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لزوم الاجتناب في القسمين ممّا لا ينبغي التأمّل فيه، و يظهر الوجه فيه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ما دلّ على وجوب الاجتناب مع إخبار ذي اليد بكونه من غير المذكّى في سوق المسلمين يدلّ على وجوب الاجتناب في محلّ الكلام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ممّا لاينبغي الريب فيه فيما إذا كان قول المسلم المخبر مفيدًا للظنّ، بل فيما إذا لم يكن خلافه مظنونًا ؛ و أمّا معه فلا يخلو من إشكال من أنّ مقتضى موثّقة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بكير جواز الصلاة مع الظنّ بالتذكية، و هو متحقّق فيما نحن فيه ؛ و من أنّ المفهوم من صحيحة الفضلاء عدم الجواز عند انتفاء المسألة، والمفروض فيما نحن فيه كذلك، و بينهما عموم من وجه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أسلفنا المقال في نظيره و صرنا إلى ترجيح موثّقة ابن بكير، لعدم معلوميّة انصراف المفهوم في صحيحة الفضلاء إلى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يظهر شمول صحيحة الفضلاء للمفروض، لكونه من الفروض النادرة، كذلك الحال في موثّقة ابن بكير، فاللازم الرجوع في حكمه إلى ما يقتضيه الأصل، و هو لزوم الاجتناب، لأصالة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الموثّقة أنّ مقصوده عليه‌السلام فيها التنبيه على أنّ المناط في استعمال الجلود ممّا يؤكل لحمه هو الظنّ بالتذكية أينما وجدت،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حرام أكله، فالصلاة في وبره و شعره و جلده وبوله وروثه وكلّ شيء منه فاسد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فالصلاة في وبره وبوله وشعره وروثه وألبانه و كلّ شيء منه جائز </w:t>
      </w:r>
      <w:r>
        <w:rPr>
          <w:rStyle w:val="FootnoteAnchor"/>
          <w:rtl w:val="true"/>
        </w:rPr>
        <w:footnoteReference w:id="297"/>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ما علمت ممّا أسلفناه من لزوم حمل العلم فيه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جواز استعمال اللفظ في استعمال واحد في المعنى الحقيقيّ والمجازيّ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المستفاد منه أنّ المناط في استعمال الجلود مثلاً ممّا يؤكل لحمه هو الظنّ بكونها من المذكّى ؛ و لايتفاوت الحال فيه بين الفرض النادر و غيره، فمتى حصل ينبغي الحكم بالجواز، والمفروض تحقّقه، فيجوز، فالجواز لا يخلو من رجحان وإن كان الاجتناب في صورة الإمكان سبيل النجاة </w:t>
      </w:r>
      <w:r>
        <w:rPr>
          <w:rFonts w:eastAsia="Amiri" w:cs="Amiri" w:ascii="Amiri" w:hAnsi="Amiri"/>
          <w:color w:val="111111"/>
          <w:sz w:val="28"/>
          <w:szCs w:val="28"/>
          <w:rtl w:val="true"/>
          <w:lang w:bidi="ar-SA"/>
        </w:rPr>
        <w:t xml:space="preserve">. </w:t>
      </w:r>
      <w:bookmarkStart w:id="208" w:name="pg7350_54539"/>
    </w:p>
    <w:p>
      <w:pPr>
        <w:pStyle w:val="Heading4"/>
        <w:numPr>
          <w:ilvl w:val="3"/>
          <w:numId w:val="1"/>
        </w:numPr>
        <w:rPr/>
      </w:pPr>
      <w:bookmarkStart w:id="209" w:name="__RefHeading___Toc1190605_1051229030"/>
      <w:bookmarkStart w:id="210" w:name="_Toc77"/>
      <w:bookmarkEnd w:id="208"/>
      <w:bookmarkEnd w:id="209"/>
      <w:r>
        <w:rPr>
          <w:rtl w:val="true"/>
        </w:rPr>
        <w:t>القسم السادس عشر</w:t>
      </w:r>
      <w:r>
        <w:rPr>
          <w:rtl w:val="true"/>
        </w:rPr>
        <w:t>:</w:t>
      </w:r>
      <w:bookmarkEnd w:id="210"/>
    </w:p>
    <w:p>
      <w:pPr>
        <w:pStyle w:val="Heading5"/>
        <w:numPr>
          <w:ilvl w:val="4"/>
          <w:numId w:val="1"/>
        </w:numPr>
        <w:rPr/>
      </w:pPr>
      <w:bookmarkStart w:id="211" w:name="__RefHeading___Toc1190607_1051229030"/>
      <w:bookmarkStart w:id="212" w:name="_Toc78"/>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الغير المستحلّ أيضًا، لكن في البلد المختصّ بالكفّار،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سوقهم مع إخباره بالتذكية و حصول الظنّ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فيه جواز الاستعمال، وفاقًا لما يظهر من المعتبر والمنتهى ونهاية الإحكام والتذكرة والسرائر والبيان، بل الذكرى والدروس والجعفريّة والروض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غير الأربعة الأخيرة فظاهر، لحكمهم بأنّه يكفي في الحكم بذكاة ما لم يعلمأنّه ميتة وجوده في يد مسلم، أو في سوق المسلمين، إلى آخر ما تقدّم عنهم ؛ و هو أعمّ من أن يكون المسلم في بلاد المسلمين و غيرها، لا سيّما البيان، فإنّ كلامه في الدلالة على الجواز أظهر، لما علمت أنّه قال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مذكّى الكافر و ما في يده من الجلود ميتة، إلاّ أن يعلم خلافه ؛ و كذا ما في دار الكفر، إلاّ أن يعلم المسلم بعينه ؛ و كذا المطروح من الجلود </w:t>
      </w:r>
    </w:p>
    <w:p>
      <w:pPr>
        <w:pStyle w:val="BookText"/>
        <w:rPr/>
      </w:pPr>
      <w:r>
        <w:rPr>
          <w:rFonts w:ascii="Amiri" w:hAnsi="Amiri" w:eastAsia="Amiri" w:cs="Amiri"/>
          <w:color w:val="111111"/>
          <w:sz w:val="28"/>
          <w:sz w:val="28"/>
          <w:szCs w:val="28"/>
          <w:rtl w:val="true"/>
          <w:lang w:bidi="ar-SA"/>
        </w:rPr>
        <w:t xml:space="preserve">بالدارين، إلاّ مع قرينة خلافه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 المراد من دار الكفر في كلامه أعمّ من السوق و غيره، وقد حكم بأنّ ما في دار الكفر من الجلود ميتة، إلاّ أن يعلم المسلم ؛ و معلوم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الجلد في دار الكفر في يد مسلم، و هذا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الأربعة الأخيرة، فلأنّ مقتضاها حصر الجلد المبطل للصلاة الّذي له حكم الميتة في المطروح والمأخوذ من يد الكافر، أو في سوق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الجعفريّة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 ما يوجد مطروحًا، أو في يد الكافر </w:t>
      </w:r>
      <w:r>
        <w:rPr>
          <w:rStyle w:val="FootnoteAnchor"/>
          <w:rtl w:val="true"/>
        </w:rPr>
        <w:footnoteReference w:id="301"/>
      </w:r>
      <w:r>
        <w:rPr>
          <w:rFonts w:ascii="Amiri" w:hAnsi="Amiri" w:eastAsia="Amiri" w:cs="Amiri"/>
          <w:color w:val="111111"/>
          <w:sz w:val="28"/>
          <w:sz w:val="28"/>
          <w:szCs w:val="28"/>
          <w:rtl w:val="true"/>
          <w:lang w:bidi="ar-SA"/>
        </w:rPr>
        <w:t xml:space="preserve">، أو في سوق الكفر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عبارة الدروس والروض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الذكرى ما سمعت مرارًا من أنّه قال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والمبطل للصلاة فيه علم كونه ميتة، أو الشكّ إذا وجد مطروحًا، لأصالة عدم التذكية، أو في يد كافر عملاً بالظاهر من حاله، أو في سوق الكفر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213" w:name="pg7350_54543"/>
    </w:p>
    <w:p>
      <w:pPr>
        <w:pStyle w:val="BookText"/>
        <w:rPr/>
      </w:pPr>
      <w:bookmarkEnd w:id="213"/>
      <w:r>
        <w:rPr>
          <w:rFonts w:ascii="Amiri" w:hAnsi="Amiri" w:eastAsia="Amiri" w:cs="Amiri"/>
          <w:color w:val="111111"/>
          <w:sz w:val="28"/>
          <w:sz w:val="28"/>
          <w:szCs w:val="28"/>
          <w:rtl w:val="true"/>
          <w:lang w:bidi="ar-SA"/>
        </w:rPr>
        <w:t xml:space="preserve">و مقتضى حصر المنع فيما ذكر انتفاؤه في غيره ولو كان في بلده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يكون الظاهر من كلام شيخ الطائفة في المبسوط عدم الجواز </w:t>
      </w:r>
      <w:r>
        <w:rPr>
          <w:rStyle w:val="FootnoteAnchor"/>
          <w:rtl w:val="true"/>
        </w:rPr>
        <w:footnoteReference w:id="305"/>
      </w:r>
      <w:r>
        <w:rPr>
          <w:rFonts w:ascii="Amiri" w:hAnsi="Amiri" w:eastAsia="Amiri" w:cs="Amiri"/>
          <w:color w:val="111111"/>
          <w:sz w:val="28"/>
          <w:sz w:val="28"/>
          <w:szCs w:val="28"/>
          <w:rtl w:val="true"/>
          <w:lang w:bidi="ar-SA"/>
        </w:rPr>
        <w:t xml:space="preserve">، لما عرفت من أنّه علّق الجواز فيه بما إذا اشتراه من أسواق المسلمين، والمفروض انتفاؤه، فينتفي الجواز أيضًا ؛ و هو الظاهر منه في النهاية أيضًا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190609_1051229030"/>
      <w:bookmarkStart w:id="215" w:name="_Toc79"/>
      <w:bookmarkEnd w:id="214"/>
      <w:r>
        <w:rPr>
          <w:rtl w:val="true"/>
        </w:rPr>
        <w:t>المستند في عدم الجواز مع الجواب عنه</w:t>
      </w:r>
      <w:bookmarkEnd w:id="21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المستند في ذلك موثّقة إسحاق بن عمّار،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الفرو </w:t>
      </w:r>
      <w:r>
        <w:rPr>
          <w:rStyle w:val="FootnoteAnchor"/>
          <w:rtl w:val="true"/>
        </w:rPr>
        <w:footnoteReference w:id="307"/>
      </w:r>
      <w:r>
        <w:rPr>
          <w:rFonts w:ascii="Amiri" w:hAnsi="Amiri" w:eastAsia="Amiri" w:cs="Amiri"/>
          <w:color w:val="111111"/>
          <w:sz w:val="28"/>
          <w:sz w:val="28"/>
          <w:szCs w:val="28"/>
          <w:rtl w:val="true"/>
          <w:lang w:bidi="ar-SA"/>
        </w:rPr>
        <w:t xml:space="preserve">اليمانيّ و فيما صنع في أرض الإسلام </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بناءً على أنّ نفي البأس بالمصنوع في أرض الإسلام يدلّ على تحقّقه بما صنع في غيرها، و هو أعمّ من أنيكون مأخوذًا من يد مسلم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عليّ بن أبي حمزة السالفة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وأبا الحسن عليهماالسلام عن لباس الفراء والصلاة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فيها إلاّ فيما كان منه ذكيًّا </w:t>
      </w:r>
      <w:r>
        <w:rPr>
          <w:rStyle w:val="FootnoteAnchor"/>
          <w:rtl w:val="true"/>
        </w:rPr>
        <w:footnoteReference w:id="309"/>
      </w:r>
      <w:r>
        <w:rPr>
          <w:rFonts w:ascii="Amiri" w:hAnsi="Amiri" w:eastAsia="Amiri" w:cs="Amiri"/>
          <w:color w:val="111111"/>
          <w:sz w:val="28"/>
          <w:sz w:val="28"/>
          <w:szCs w:val="28"/>
          <w:rtl w:val="true"/>
          <w:lang w:bidi="ar-SA"/>
        </w:rPr>
        <w:t xml:space="preserve">؛ بناءً على أنّ الظاهر منه منع الصلاة في صورة انتفاء العلم بالتذكية، خرج ما دلّ الدليل على إخراجه، فيبقى غيره مندرجًا تحت العموم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إذا كان ذلك في أسواق المسلمين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أنّه علّق فيه جواز الأكل بما إذا كان في سوق المسلمين، و مقتضاه انتفاؤه عند انتفائه، وقد عرفت أنّه لايتفاوت الحال بين عدم جواز الأكل و عدم جواز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نبّهنا عليه فيما سلف من أنّ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غير أهل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311"/>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إذ الظاهر أنّ اكتفائه عليه‌السلام في صورة الاشتراك بغلبة المسلمين ليحصل الظنّ بكونه من ذبيحة المسلمين، والمفروض تحقّقه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الإغماض عنه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مقتضاها على فرض التسليم المنع من الصلاة في المصنوع في غير أرض الإسلام، سواء تحقّق الاستخبار والإخبار عنه،أم لا ؛ والمفهوم في صحيحة الفضلاء يستدعي الجواز في صورة المسألة، كما عرفت ممّا فصّلناه، فلابدّ من تقييد المفهوم في الموثّقة بغير صورة الاستخبار والمسألة، حملاً للمطلق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الجواب عن التمسّك بصحيحة الفضلاء في المنع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الجواب عن رواية أبي حمزة، فهو أنّ ظاهرها غير معمول به قطعًا، لما عرفت ممّا بيّناه في المباحث السالفة، للقطع بجواز استعمال الجلود في بلاد المسلمين مع انتفاء العلم بالتذكية، فلابدّ إمّا من حمل النهي فيها على المرجوحيّة </w:t>
      </w:r>
      <w:bookmarkStart w:id="216" w:name="pg7350_54547"/>
    </w:p>
    <w:p>
      <w:pPr>
        <w:pStyle w:val="BookText"/>
        <w:rPr/>
      </w:pPr>
      <w:bookmarkEnd w:id="216"/>
      <w:r>
        <w:rPr>
          <w:rFonts w:ascii="Amiri" w:hAnsi="Amiri" w:eastAsia="Amiri" w:cs="Amiri"/>
          <w:color w:val="111111"/>
          <w:sz w:val="28"/>
          <w:sz w:val="28"/>
          <w:szCs w:val="28"/>
          <w:rtl w:val="true"/>
          <w:lang w:bidi="ar-SA"/>
        </w:rPr>
        <w:t xml:space="preserve">في الجملة، أو حملها على الأعمّ من العلم و غيره ؛ و على التقديرين لايصلح للتمسّك بها في إثبات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الحملين كليهما مَجاز، فليقيّد الرواية بما إذا كان الجلد في غير أرض الإسلام، و هو أولى، لأولويّة التقييد من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أيضًا لابدّ من حملها على غير صورة العلم، لما علمت من أنّ مقتضى المفهوم في صحيحة الفضلاء جواز الاستعمال بعد المسألة </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190611_1051229030"/>
      <w:bookmarkStart w:id="218" w:name="_Toc80"/>
      <w:bookmarkEnd w:id="217"/>
      <w:r>
        <w:rPr>
          <w:rtl w:val="true"/>
        </w:rPr>
        <w:t>مختار المؤلّف قدس‌سره و دليله</w:t>
      </w:r>
      <w:bookmarkEnd w:id="218"/>
    </w:p>
    <w:p>
      <w:pPr>
        <w:pStyle w:val="BookText"/>
        <w:rPr/>
      </w:pPr>
      <w:r>
        <w:rPr>
          <w:rFonts w:ascii="Amiri" w:hAnsi="Amiri" w:eastAsia="Amiri" w:cs="Amiri"/>
          <w:color w:val="111111"/>
          <w:sz w:val="28"/>
          <w:sz w:val="28"/>
          <w:szCs w:val="28"/>
          <w:rtl w:val="true"/>
          <w:lang w:bidi="ar-SA"/>
        </w:rPr>
        <w:t xml:space="preserve">فالمختار جواز الاستعمال، 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الموثّقة المتكرّرة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 بناءً على ما مرّ من لزوم حمل العلم فيها على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عبدالرّحمن بن الحجّاج المذكورة، لترك الاستفصال فيها بين كون الرجل البائع في بلاد الكفر و غيرها، و فيه تأمّل </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190613_1051229030"/>
      <w:bookmarkStart w:id="220" w:name="_Toc81"/>
      <w:bookmarkEnd w:id="219"/>
      <w:r>
        <w:rPr>
          <w:rtl w:val="true"/>
        </w:rPr>
        <w:t>القسم السابع عشر</w:t>
      </w:r>
      <w:r>
        <w:rPr>
          <w:rtl w:val="true"/>
        </w:rPr>
        <w:t>:</w:t>
      </w:r>
      <w:bookmarkEnd w:id="220"/>
    </w:p>
    <w:p>
      <w:pPr>
        <w:pStyle w:val="Heading5"/>
        <w:numPr>
          <w:ilvl w:val="4"/>
          <w:numId w:val="1"/>
        </w:numPr>
        <w:rPr/>
      </w:pPr>
      <w:bookmarkStart w:id="221" w:name="__RefHeading___Toc1190615_1051229030"/>
      <w:bookmarkStart w:id="222" w:name="_Toc82"/>
      <w:bookmarkEnd w:id="221"/>
      <w:r>
        <w:rPr>
          <w:rtl w:val="true"/>
        </w:rPr>
        <w:t>اشارة</w:t>
      </w:r>
      <w:bookmarkEnd w:id="2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بالتذكية </w:t>
      </w:r>
      <w:r>
        <w:rPr>
          <w:rFonts w:eastAsia="Amiri" w:cs="Amiri" w:ascii="Amiri" w:hAnsi="Amiri"/>
          <w:color w:val="111111"/>
          <w:sz w:val="28"/>
          <w:szCs w:val="28"/>
          <w:rtl w:val="true"/>
          <w:lang w:bidi="ar-SA"/>
        </w:rPr>
        <w:t xml:space="preserve">. </w:t>
      </w:r>
      <w:bookmarkStart w:id="223" w:name="pg7350_54549"/>
    </w:p>
    <w:p>
      <w:pPr>
        <w:pStyle w:val="BookText"/>
        <w:rPr/>
      </w:pPr>
      <w:bookmarkEnd w:id="223"/>
      <w:r>
        <w:rPr>
          <w:rFonts w:ascii="Amiri" w:hAnsi="Amiri" w:eastAsia="Amiri" w:cs="Amiri"/>
          <w:color w:val="111111"/>
          <w:sz w:val="28"/>
          <w:sz w:val="28"/>
          <w:szCs w:val="28"/>
          <w:rtl w:val="true"/>
          <w:lang w:bidi="ar-SA"/>
        </w:rPr>
        <w:t xml:space="preserve">والظاهر من المعتبر والمنتهى و نهاية الإحكام والتذكرة والسرائر والبيان والذكرى والدروس والجعفريّة والروض </w:t>
      </w:r>
      <w:r>
        <w:rPr>
          <w:rStyle w:val="FootnoteAnchor"/>
          <w:rtl w:val="true"/>
        </w:rPr>
        <w:footnoteReference w:id="314"/>
      </w:r>
      <w:r>
        <w:rPr>
          <w:rFonts w:ascii="Amiri" w:hAnsi="Amiri" w:eastAsia="Amiri" w:cs="Amiri"/>
          <w:color w:val="111111"/>
          <w:sz w:val="28"/>
          <w:sz w:val="28"/>
          <w:szCs w:val="28"/>
          <w:rtl w:val="true"/>
          <w:lang w:bidi="ar-SA"/>
        </w:rPr>
        <w:t xml:space="preserve">هنا أيضًا جواز الاستعمال، لعين ما علمت في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شيخ الطائفة في النهاية والمبسوط هنا أيضًا عدم الجواز، أمّا في النهاية </w:t>
      </w:r>
      <w:r>
        <w:rPr>
          <w:rStyle w:val="FootnoteAnchor"/>
          <w:rtl w:val="true"/>
        </w:rPr>
        <w:footnoteReference w:id="315"/>
      </w:r>
      <w:r>
        <w:rPr>
          <w:rFonts w:ascii="Amiri" w:hAnsi="Amiri" w:eastAsia="Amiri" w:cs="Amiri"/>
          <w:color w:val="111111"/>
          <w:sz w:val="28"/>
          <w:sz w:val="28"/>
          <w:szCs w:val="28"/>
          <w:rtl w:val="true"/>
          <w:lang w:bidi="ar-SA"/>
        </w:rPr>
        <w:t xml:space="preserve">فلحصره جواز الشراء في صورة عدم العلم بالتذكية فيما إذا كان الجلد في أسواق المسلمين، والمفروض انتفاؤه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المبسوط </w:t>
      </w:r>
      <w:r>
        <w:rPr>
          <w:rStyle w:val="FootnoteAnchor"/>
          <w:rtl w:val="true"/>
        </w:rPr>
        <w:footnoteReference w:id="316"/>
      </w:r>
      <w:r>
        <w:rPr>
          <w:rFonts w:ascii="Amiri" w:hAnsi="Amiri" w:eastAsia="Amiri" w:cs="Amiri"/>
          <w:color w:val="111111"/>
          <w:sz w:val="28"/>
          <w:sz w:val="28"/>
          <w:szCs w:val="28"/>
          <w:rtl w:val="true"/>
          <w:lang w:bidi="ar-SA"/>
        </w:rPr>
        <w:t xml:space="preserve">فمن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تعليقه جواز الصلاة على ما إذا اشتراه من أسواق المسلمين، والمفروض انتفاؤه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الإخبار بالتذكية </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190617_1051229030"/>
      <w:bookmarkStart w:id="225" w:name="_Toc83"/>
      <w:bookmarkEnd w:id="224"/>
      <w:r>
        <w:rPr>
          <w:rtl w:val="true"/>
        </w:rPr>
        <w:t>المستند في المنع مع الجواب عنه</w:t>
      </w:r>
      <w:bookmarkEnd w:id="2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 المنع يظهر ممّا ذكر، إلاّ أنّ الأمر هنا أشكل من السابق، لعدم </w:t>
      </w:r>
    </w:p>
    <w:p>
      <w:pPr>
        <w:pStyle w:val="BookText"/>
        <w:rPr/>
      </w:pPr>
      <w:r>
        <w:rPr>
          <w:rFonts w:ascii="Amiri" w:hAnsi="Amiri" w:eastAsia="Amiri" w:cs="Amiri"/>
          <w:color w:val="111111"/>
          <w:sz w:val="28"/>
          <w:sz w:val="28"/>
          <w:szCs w:val="28"/>
          <w:rtl w:val="true"/>
          <w:lang w:bidi="ar-SA"/>
        </w:rPr>
        <w:t xml:space="preserve">إمكان معارضة المفهوم من موثّقة إسحاق بن عمّار بما يفهم من صحيحة الفضلاء، لكون المفروض انتفاء الاستخبار والمسألة، بل يكون أحدهما فيما نحن فيه معاضدًا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لوضوح أنّ المستفاد من الموثّقة المذكورة عدم جواز الصلاة في المصنوع في غير أرض الإسلام، و هو مقتضى المفهوم في صحيحة الفضلاء، لكن في صورة انتفاء الاستخبار، كما هو المفروض في محلّ الكلام ؛ فقد اشتركا في الدلالة على المنع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بالمعارضة بموثقة ابن بكير المتكرّرة ؛ والتعارض بينهما عموم من وجه، لأنّ المفهوم في موثّقة إسحاق بن عمّار وإن كان أخصّ باعتبار غير أرض الإسلام، لكنّه أعمّ باعتبار حصول الظنّ بكونه من ذبيحة المسلمين و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والعموم والخصوص في موثّقة ابن بكير بالعكس، فافتراق المنطوق في موثّقة ابن بكير عنه في المظنون بالتذكية في أرض الإسلام، وافتراق المفهوم في موثّقة إسحاق عنه في غير المظنون بالتذكية في غير أرض الإسلام، واجتماعهما في المظنون بكونه من ذبيحة المسلمين في غير أرض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والمنطوق يستدعي الجواز والمفهوم عدمه، فلابدّ من الرجوع إلى الترجيح، وهو متحقّق في الجانبين، أمّا في موثّقة إسحاق فللاعتضاد بقاعدة الاشتغال وأصالة عدم التذكية، و بالمفهوم في صحيحة الفضلاء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موثّقة ابن بكير فلكون الدلالة فيها بالمنطوق و أقوائيّة السند، إذ في </w:t>
      </w:r>
      <w:bookmarkStart w:id="226" w:name="pg7350_54553"/>
    </w:p>
    <w:p>
      <w:pPr>
        <w:pStyle w:val="BookText"/>
        <w:rPr/>
      </w:pPr>
      <w:bookmarkEnd w:id="226"/>
      <w:r>
        <w:rPr>
          <w:rFonts w:ascii="Amiri" w:hAnsi="Amiri" w:eastAsia="Amiri" w:cs="Amiri"/>
          <w:color w:val="111111"/>
          <w:sz w:val="28"/>
          <w:sz w:val="28"/>
          <w:szCs w:val="28"/>
          <w:rtl w:val="true"/>
          <w:lang w:bidi="ar-SA"/>
        </w:rPr>
        <w:t xml:space="preserve">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ابن بكير، كلاهما من أصحاب الإجماع، بخلاف السند في موثّقة إسحاق، فإنّ فيه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المغيرة،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والاعتضاد بما يقتضيه القاعدة المسلّمة من حمل أفعال المسلمين على الصحّة، وبأصالة البرائة، و بالصحاح السالفة المشتملة على أنّه ليس عليكم المسألة المعلّل في اثنين منها بأنّ الدين أوسع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يظهر من كلمات أكثر الأصحاب على ما علمت ؛ و بالأوفقيّة للدّين السهلة السمحة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آلاف السلام والثناء والتحيّة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يظهر من ذيل موثّقة إسحاق أيضًا على ما نبّهنا عليه غير مرّة ؛ و بالعمومات السالفة الدالّة على جواز الاستعمال ما لم يعلم أنّه ميتة </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90619_1051229030"/>
      <w:bookmarkStart w:id="228" w:name="_Toc84"/>
      <w:bookmarkEnd w:id="227"/>
      <w:r>
        <w:rPr>
          <w:rtl w:val="true"/>
        </w:rPr>
        <w:t>مختار المؤلّف قدس‌سره</w:t>
      </w:r>
      <w:bookmarkEnd w:id="228"/>
    </w:p>
    <w:p>
      <w:pPr>
        <w:pStyle w:val="BookText"/>
        <w:rPr/>
      </w:pPr>
      <w:r>
        <w:rPr>
          <w:rFonts w:ascii="Amiri" w:hAnsi="Amiri" w:eastAsia="Amiri" w:cs="Amiri"/>
          <w:color w:val="111111"/>
          <w:sz w:val="28"/>
          <w:sz w:val="28"/>
          <w:szCs w:val="28"/>
          <w:rtl w:val="true"/>
          <w:lang w:bidi="ar-SA"/>
        </w:rPr>
        <w:t xml:space="preserve">فالترجيح للجواز و إن كان الاجتناب في صورة الإمكان أقرب بسبيل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يتّضح الحال لو عورض موثّقة ابن بكير بالمفهوم في صحيحة الفضلاء، فإنّ بينهما أيضًا عموم من وجه، لافتراق المفهوم عن منطوقها في غيرصورة المظنّة في غير أسواق المسلمين ؛ وافتراق المنطوق عنه في صورة المظنّة في أرض الإسلام، واجتماعهما في صورة المظنّة في غير أرض الإسلام، فإنّ مقتضى المفهوم عدم الجواز من غير مسألة، و مقتضى المنطوق الجواز مع عدمها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والوجوه المرجّحة متحقّقة في الطرفين، لكنّ العمل بمقتضى المنطوق أولى، لأكثريّة الوجوه المرجّحة فيه كما علمت، مضافًا إلى اعتضاده بما يقتضيه ترك الاستفصال في صحيحة عبدالرّحمن بن الحجّاج السالفة </w:t>
      </w:r>
      <w:r>
        <w:rPr>
          <w:rFonts w:eastAsia="Amiri" w:cs="Amiri" w:ascii="Amiri" w:hAnsi="Amiri"/>
          <w:color w:val="111111"/>
          <w:sz w:val="28"/>
          <w:szCs w:val="28"/>
          <w:rtl w:val="true"/>
          <w:lang w:bidi="ar-SA"/>
        </w:rPr>
        <w:t xml:space="preserve">. </w:t>
      </w:r>
      <w:bookmarkStart w:id="229" w:name="pg7350_54555"/>
    </w:p>
    <w:p>
      <w:pPr>
        <w:pStyle w:val="Heading4"/>
        <w:numPr>
          <w:ilvl w:val="3"/>
          <w:numId w:val="1"/>
        </w:numPr>
        <w:rPr/>
      </w:pPr>
      <w:bookmarkStart w:id="230" w:name="__RefHeading___Toc1190621_1051229030"/>
      <w:bookmarkStart w:id="231" w:name="_Toc85"/>
      <w:bookmarkEnd w:id="229"/>
      <w:bookmarkEnd w:id="230"/>
      <w:r>
        <w:rPr>
          <w:rtl w:val="true"/>
        </w:rPr>
        <w:t>القسم الثامن عشر</w:t>
      </w:r>
      <w:r>
        <w:rPr>
          <w:rtl w:val="true"/>
        </w:rPr>
        <w:t>:</w:t>
      </w:r>
      <w:bookmarkEnd w:id="231"/>
    </w:p>
    <w:p>
      <w:pPr>
        <w:pStyle w:val="Heading5"/>
        <w:numPr>
          <w:ilvl w:val="4"/>
          <w:numId w:val="1"/>
        </w:numPr>
        <w:rPr/>
      </w:pPr>
      <w:bookmarkStart w:id="232" w:name="__RefHeading___Toc1190623_1051229030"/>
      <w:bookmarkStart w:id="233" w:name="_Toc86"/>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إلاّ في المظنّة بأن يكون الجلد في يد المسلم الغير المستحلّ في بلد الكفر مع إخباره بالتذكية، لكن من غير استفادة الظنّ من قوله، وبالجملة من غير الظنّ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والمنتهى والتحرير والبيان والذكرى والدروس والجعفريّة والروض </w:t>
      </w:r>
      <w:r>
        <w:rPr>
          <w:rStyle w:val="FootnoteAnchor"/>
          <w:rtl w:val="true"/>
        </w:rPr>
        <w:footnoteReference w:id="317"/>
      </w:r>
      <w:r>
        <w:rPr>
          <w:rFonts w:ascii="Amiri" w:hAnsi="Amiri" w:eastAsia="Amiri" w:cs="Amiri"/>
          <w:color w:val="111111"/>
          <w:sz w:val="28"/>
          <w:sz w:val="28"/>
          <w:szCs w:val="28"/>
          <w:rtl w:val="true"/>
          <w:lang w:bidi="ar-SA"/>
        </w:rPr>
        <w:t xml:space="preserve">هنا أيضًا جواز الاستعمال، لإطلاق كلماتهم الشاملة للمفروض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نهاية الإحكام والتذكرة هنا عدم الجواز،لما علمت مرارًا من أنّ الظاهر منهما أنّ المناط في جواز استعمال الجلود هو الظنّ بالتذكية، والمفروض انتفاؤه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تجعل كلامه فيهما قرينة لحمل كلامه في المنتهى والتحرير على ذلك، فيقلّ القائل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أنّك قد عرفت ممّا أوردنا عن المنتهى ما يؤيّده </w:t>
      </w:r>
      <w:r>
        <w:rPr>
          <w:rFonts w:eastAsia="Amiri" w:cs="Amiri" w:ascii="Amiri" w:hAnsi="Amiri"/>
          <w:color w:val="111111"/>
          <w:sz w:val="28"/>
          <w:szCs w:val="28"/>
          <w:rtl w:val="true"/>
          <w:lang w:bidi="ar-SA"/>
        </w:rPr>
        <w:t xml:space="preserve">. </w:t>
      </w:r>
      <w:bookmarkStart w:id="234" w:name="pg7350_54556"/>
    </w:p>
    <w:p>
      <w:pPr>
        <w:pStyle w:val="Heading5"/>
        <w:numPr>
          <w:ilvl w:val="4"/>
          <w:numId w:val="1"/>
        </w:numPr>
        <w:rPr/>
      </w:pPr>
      <w:bookmarkStart w:id="235" w:name="__RefHeading___Toc1190625_1051229030"/>
      <w:bookmarkStart w:id="236" w:name="_Toc87"/>
      <w:bookmarkEnd w:id="234"/>
      <w:bookmarkEnd w:id="235"/>
      <w:r>
        <w:rPr>
          <w:rtl w:val="true"/>
        </w:rPr>
        <w:t>مختار المؤلّف قدس‌سره و دليله</w:t>
      </w:r>
      <w:bookmarkEnd w:id="236"/>
    </w:p>
    <w:p>
      <w:pPr>
        <w:pStyle w:val="BookText"/>
        <w:rPr/>
      </w:pPr>
      <w:r>
        <w:rPr>
          <w:rFonts w:ascii="Amiri" w:hAnsi="Amiri" w:eastAsia="Amiri" w:cs="Amiri"/>
          <w:color w:val="111111"/>
          <w:sz w:val="28"/>
          <w:sz w:val="28"/>
          <w:szCs w:val="28"/>
          <w:rtl w:val="true"/>
          <w:lang w:bidi="ar-SA"/>
        </w:rPr>
        <w:t xml:space="preserve">و كيف كان و هو مقتضى المبسوط والنهاية أيضًا </w:t>
      </w:r>
      <w:r>
        <w:rPr>
          <w:rStyle w:val="FootnoteAnchor"/>
          <w:rtl w:val="true"/>
        </w:rPr>
        <w:footnoteReference w:id="318"/>
      </w:r>
      <w:r>
        <w:rPr>
          <w:rFonts w:ascii="IRNazanin" w:hAnsi="IRNazanin" w:eastAsia="IRNazanin"/>
          <w:color w:val="111111"/>
          <w:sz w:val="28"/>
          <w:sz w:val="28"/>
          <w:szCs w:val="28"/>
          <w:rtl w:val="true"/>
          <w:lang w:bidi="fa-IR"/>
        </w:rPr>
        <w:t xml:space="preserve">، و هذا هو المختار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موثّقة إسحاق بن عمّار المذكورة، و موثّقة ابن بكير المتكرّرة </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190627_1051229030"/>
      <w:bookmarkStart w:id="238" w:name="_Toc88"/>
      <w:bookmarkEnd w:id="237"/>
      <w:r>
        <w:rPr>
          <w:rtl w:val="true"/>
        </w:rPr>
        <w:t>المستند للجواز مع الجواب عنه</w:t>
      </w:r>
      <w:bookmarkEnd w:id="238"/>
    </w:p>
    <w:p>
      <w:pPr>
        <w:pStyle w:val="BookText"/>
        <w:rPr/>
      </w:pPr>
      <w:r>
        <w:rPr>
          <w:rFonts w:ascii="Amiri" w:hAnsi="Amiri" w:eastAsia="Amiri" w:cs="Amiri"/>
          <w:color w:val="111111"/>
          <w:sz w:val="28"/>
          <w:sz w:val="28"/>
          <w:szCs w:val="28"/>
          <w:rtl w:val="true"/>
          <w:lang w:bidi="ar-SA"/>
        </w:rPr>
        <w:t xml:space="preserve">و لعلّ المستند للجواز هو المفهوم من صحيحة الفضلاء، لما عرفت من أنّ المفهوم منها توقّف إباحة الأكل في غير أسواق المسلمين على المسألة، والمفروض تحقّقها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قد عرفت ممّا أبرزناه سالفًا الجواب عنه،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الفرض المذكورمن الفروض النادرة الّتي لم يظهر شمول المفهوم 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السؤال إنّما هو ليحصل من الجواب العلم أو المظنّة، والمفروض انتفاؤهما </w:t>
      </w:r>
      <w:r>
        <w:rPr>
          <w:rFonts w:eastAsia="Amiri" w:cs="Amiri" w:ascii="Amiri" w:hAnsi="Amiri"/>
          <w:color w:val="111111"/>
          <w:sz w:val="28"/>
          <w:szCs w:val="28"/>
          <w:rtl w:val="true"/>
          <w:lang w:bidi="ar-SA"/>
        </w:rPr>
        <w:t xml:space="preserve">. </w:t>
      </w:r>
      <w:bookmarkStart w:id="239" w:name="pg7350_54558"/>
    </w:p>
    <w:p>
      <w:pPr>
        <w:pStyle w:val="Heading4"/>
        <w:numPr>
          <w:ilvl w:val="3"/>
          <w:numId w:val="1"/>
        </w:numPr>
        <w:rPr/>
      </w:pPr>
      <w:bookmarkStart w:id="240" w:name="__RefHeading___Toc1190629_1051229030"/>
      <w:bookmarkStart w:id="241" w:name="_Toc89"/>
      <w:bookmarkEnd w:id="239"/>
      <w:bookmarkEnd w:id="240"/>
      <w:r>
        <w:rPr>
          <w:rtl w:val="true"/>
        </w:rPr>
        <w:t>القسم التاسع عشر</w:t>
      </w:r>
      <w:r>
        <w:rPr>
          <w:rtl w:val="true"/>
        </w:rPr>
        <w:t>:</w:t>
      </w:r>
      <w:bookmarkEnd w:id="241"/>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انتفاء الإخبار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المعتبر والبيان والذكرى والدروس والجعفريّة والروض هنا أيضًا الجواز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190631_1051229030"/>
      <w:bookmarkStart w:id="243" w:name="_Toc90"/>
      <w:bookmarkEnd w:id="242"/>
      <w:r>
        <w:rPr>
          <w:rtl w:val="true"/>
        </w:rPr>
        <w:t>القسم العشرون</w:t>
      </w:r>
      <w:r>
        <w:rPr>
          <w:rtl w:val="true"/>
        </w:rPr>
        <w:t>:</w:t>
      </w:r>
      <w:bookmarkEnd w:id="243"/>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بكونه من غير المذكّى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كلماتهم وإن اقتضى الجواز هنا أيضًا، لكنّ الظاهر أنّه غير مراد، لتصريح كثير منهم بأنّ ذا اليد إذا أخبر بكونه من غير المذكّى يقبل قوله في سوق المسلمين، فضلاً عن بلاد الكفر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أوردنا جملة من كلماتهم في القسم الثالث من الأقسام المذكورة، فالظاهر أنّ لزوم الاجتناب حينئذٍ محلّ وفاق </w:t>
      </w:r>
      <w:r>
        <w:rPr>
          <w:rFonts w:eastAsia="Amiri" w:cs="Amiri" w:ascii="Amiri" w:hAnsi="Amiri"/>
          <w:color w:val="111111"/>
          <w:sz w:val="28"/>
          <w:szCs w:val="28"/>
          <w:rtl w:val="true"/>
          <w:lang w:bidi="ar-SA"/>
        </w:rPr>
        <w:t xml:space="preserve">. </w:t>
      </w:r>
      <w:bookmarkStart w:id="244" w:name="pg7350_54560"/>
    </w:p>
    <w:p>
      <w:pPr>
        <w:pStyle w:val="BookText"/>
        <w:rPr/>
      </w:pPr>
      <w:bookmarkEnd w:id="244"/>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الاجتناب حينئذٍ ممّا لاينبغي التأمّل فيه، سواء استفيد الظنّ من قوله أم لا، إلاّ إذا كان خلافه مظنونًا، و حينئذٍ الحكم بلزوم الاجتناب لايخلو من إشكال ؛ و قد أسلفنا المقال في نظيره بما لا مزيد عليه، فليلاحظ </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90633_1051229030"/>
      <w:bookmarkStart w:id="246" w:name="_Toc91"/>
      <w:bookmarkEnd w:id="245"/>
      <w:r>
        <w:rPr>
          <w:rtl w:val="true"/>
        </w:rPr>
        <w:t>القسم الحادي والعشرون</w:t>
      </w:r>
      <w:r>
        <w:rPr>
          <w:rtl w:val="true"/>
        </w:rPr>
        <w:t>:</w:t>
      </w:r>
      <w:bookmarkEnd w:id="246"/>
    </w:p>
    <w:p>
      <w:pPr>
        <w:pStyle w:val="Heading5"/>
        <w:numPr>
          <w:ilvl w:val="4"/>
          <w:numId w:val="1"/>
        </w:numPr>
        <w:rPr/>
      </w:pPr>
      <w:bookmarkStart w:id="247" w:name="__RefHeading___Toc1190635_1051229030"/>
      <w:bookmarkStart w:id="248" w:name="_Toc92"/>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إذا كان الجلد في يد المسلم الغير المستحلّ أيضًا، لكن في السوق المشترك بين المسلمين والكفّار مع مغلوبيّتهم و غلبة أهل الإسلام، مع إخباره بالتذكية والظنّ بكونه من ذبيحة المسلمين </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190637_1051229030"/>
      <w:bookmarkStart w:id="250" w:name="_Toc93"/>
      <w:bookmarkEnd w:id="249"/>
      <w:r>
        <w:rPr>
          <w:rtl w:val="true"/>
        </w:rPr>
        <w:t>الظاهر من بعض الكتب جواز الاستعمال</w:t>
      </w:r>
      <w:bookmarkEnd w:id="2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المعتبر والمنتهى والتذكرة و نهاية الإحكام والتحرير والبيان والذكرى والدروس والجعفريّة والروض جواز الاستعمال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غير البيان ممّا تقدّم عليه فظاهر، لما عرفت من أنّ المصرّح به فيها أنّه يكفي في الحكم بذكاة ما لم يعلم أنّه ميتة وجوده في يد مسلم، أو في سوق المسلمين، أو </w:t>
      </w:r>
    </w:p>
    <w:p>
      <w:pPr>
        <w:pStyle w:val="BookText"/>
        <w:rPr/>
      </w:pPr>
      <w:r>
        <w:rPr>
          <w:rFonts w:ascii="Amiri" w:hAnsi="Amiri" w:eastAsia="Amiri" w:cs="Amiri"/>
          <w:color w:val="111111"/>
          <w:sz w:val="28"/>
          <w:sz w:val="28"/>
          <w:szCs w:val="28"/>
          <w:rtl w:val="true"/>
          <w:lang w:bidi="ar-SA"/>
        </w:rPr>
        <w:t xml:space="preserve">في البلد الغالب فيه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واستفادة المرام منه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يد مسلم، لا سيّما بعد المقابلة بما في سوق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البلد الغالب فيه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البيان فغير مفتقر إلى البيان، إذ استفادة المرام منه أيضًا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الحصر، لوضوح أنّ الظاهر من كلامه السالف حصر الجلد المحكوم بكونه من الميتة في ثلاثة، و جعل منها ما في دار الكفر ؛ و ظاهر الإضافة الاختصاص، فلا يشمل ما نحن فيه، فلا يكون هو من جملة الثلاثة، فيجوز الاستعمال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الفحوى،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في دار الكفر ميتة إلاّ أن يعلم المسلم بعينه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بناءً على أنّه لو جاز استعمال الجلد الموجود في يد المسلم في البلد المختصّ بالكفر، ففي المشترك مع غلبة المسلمين بطريق أولى كما لايخفى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الكتب المذكورة بعد البيان فلحصرهم الجلد الّذي له حكم الميتة فيما يوجد في يد كافر، أو في سوق الكفّار، أو مطروحًا ؛ و ما نحن فيه لم يكن منها، مضافًا إلى التصريح بالجواز في بعضها </w:t>
      </w:r>
      <w:r>
        <w:rPr>
          <w:rFonts w:eastAsia="Amiri" w:cs="Amiri" w:ascii="Amiri" w:hAnsi="Amiri"/>
          <w:color w:val="111111"/>
          <w:sz w:val="28"/>
          <w:szCs w:val="28"/>
          <w:rtl w:val="true"/>
          <w:lang w:bidi="ar-SA"/>
        </w:rPr>
        <w:t xml:space="preserve">. </w:t>
      </w:r>
      <w:bookmarkStart w:id="251" w:name="pg7350_54564"/>
    </w:p>
    <w:p>
      <w:pPr>
        <w:pStyle w:val="Heading5"/>
        <w:numPr>
          <w:ilvl w:val="4"/>
          <w:numId w:val="1"/>
        </w:numPr>
        <w:rPr/>
      </w:pPr>
      <w:bookmarkStart w:id="252" w:name="__RefHeading___Toc1190639_1051229030"/>
      <w:bookmarkStart w:id="253" w:name="_Toc94"/>
      <w:bookmarkEnd w:id="251"/>
      <w:bookmarkEnd w:id="252"/>
      <w:r>
        <w:rPr>
          <w:rtl w:val="true"/>
        </w:rPr>
        <w:t>الظاهر من المبسوط والنهاية عدم الجواز</w:t>
      </w:r>
      <w:bookmarkEnd w:id="253"/>
    </w:p>
    <w:p>
      <w:pPr>
        <w:pStyle w:val="BookText"/>
        <w:rPr/>
      </w:pPr>
      <w:r>
        <w:rPr>
          <w:rFonts w:ascii="Amiri" w:hAnsi="Amiri" w:eastAsia="Amiri" w:cs="Amiri"/>
          <w:color w:val="111111"/>
          <w:sz w:val="28"/>
          <w:sz w:val="28"/>
          <w:szCs w:val="28"/>
          <w:rtl w:val="true"/>
          <w:lang w:bidi="ar-SA"/>
        </w:rPr>
        <w:t xml:space="preserve">و لعلّ الظاهر من المبسوط والنهاية هنا أيضًا عدم الجواز </w:t>
      </w:r>
      <w:r>
        <w:rPr>
          <w:rStyle w:val="FootnoteAnchor"/>
          <w:rtl w:val="true"/>
        </w:rPr>
        <w:footnoteReference w:id="322"/>
      </w:r>
      <w:r>
        <w:rPr>
          <w:rFonts w:ascii="Amiri" w:hAnsi="Amiri" w:eastAsia="Amiri" w:cs="Amiri"/>
          <w:color w:val="111111"/>
          <w:sz w:val="28"/>
          <w:sz w:val="28"/>
          <w:szCs w:val="28"/>
          <w:rtl w:val="true"/>
          <w:lang w:bidi="ar-SA"/>
        </w:rPr>
        <w:t xml:space="preserve">، لما عرفت مرارًا من أنّ الظاهر منهما اختصاص الجواز بما يؤخذ من أسواق المسلمين، والمفروض أخذه من السوق المشترك، لكن مع غلبة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مراده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مختصًّا بهم، أو يكون أكثرهم المسلمين، فلا يكون قائلاً بالمنع، قال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سوق الإسلام أغلبيّة المسلمين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190641_1051229030"/>
      <w:bookmarkStart w:id="255" w:name="_Toc95"/>
      <w:bookmarkEnd w:id="254"/>
      <w:r>
        <w:rPr>
          <w:rtl w:val="true"/>
        </w:rPr>
        <w:t>مختار المؤلّف قدس‌سره و دليله</w:t>
      </w:r>
      <w:bookmarkEnd w:id="255"/>
    </w:p>
    <w:p>
      <w:pPr>
        <w:pStyle w:val="BookText"/>
        <w:rPr/>
      </w:pPr>
      <w:r>
        <w:rPr>
          <w:rFonts w:ascii="Amiri" w:hAnsi="Amiri" w:eastAsia="Amiri" w:cs="Amiri"/>
          <w:color w:val="111111"/>
          <w:sz w:val="28"/>
          <w:sz w:val="28"/>
          <w:szCs w:val="28"/>
          <w:rtl w:val="true"/>
          <w:lang w:bidi="ar-SA"/>
        </w:rPr>
        <w:t xml:space="preserve">و كيف كان، انّ القول بالمنع على تقدير تحقّقه ضعيف جدًّا، فالمختار هوالجواز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فيه 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إذا كان في سوق المسلمين ولا تسأل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الفقيه </w:t>
      </w:r>
      <w:r>
        <w:rPr>
          <w:rStyle w:val="FootnoteAnchor"/>
          <w:rtl w:val="true"/>
        </w:rPr>
        <w:footnoteReference w:id="3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إذا كان ذلك و لاتسأل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بناءً على أنّه إذا اكتفى في صدق سوق المسلمين بأغلبيّة المسلمين يكون الصحيح، و إلاّ على المدّعى بالمنطوق، و إلاّ فبمفهوم المخالفة، بل بمفهوم الموافقة</w:t>
      </w:r>
    </w:p>
    <w:p>
      <w:pPr>
        <w:pStyle w:val="BookText"/>
        <w:rPr/>
      </w:pPr>
      <w:r>
        <w:rPr>
          <w:rFonts w:ascii="Amiri" w:hAnsi="Amiri" w:eastAsia="Amiri" w:cs="Amiri"/>
          <w:color w:val="111111"/>
          <w:sz w:val="28"/>
          <w:sz w:val="28"/>
          <w:szCs w:val="28"/>
          <w:rtl w:val="true"/>
          <w:lang w:bidi="ar-SA"/>
        </w:rPr>
        <w:t xml:space="preserve">أيضًا من وجه، لما مرّ مرارًا من أنّ مقتضى المفهوم منه انتفاء الجواز في غير سوق المسلمين من غير مسألة، والمفروض تحقّقها واستفادة الظنّ منها، فيجوز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إطلاق هذا المفهوم ثبوت الجواز مع المسألة الموجبة لحصول المظنّة في السوق المختصّ بالكفرة، ففي المشترك سيّما مع أغلبيّة المسلمين بطريق أولى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ابن بكير المتكرّرة، و خصوص موثّقة إسحاق بن عمّار السالفة،</w:t>
      </w:r>
    </w:p>
    <w:p>
      <w:pPr>
        <w:pStyle w:val="BookText"/>
        <w:rPr/>
      </w:pPr>
      <w:r>
        <w:rPr>
          <w:rFonts w:ascii="Amiri" w:hAnsi="Amiri" w:eastAsia="Amiri" w:cs="Amiri"/>
          <w:color w:val="111111"/>
          <w:sz w:val="28"/>
          <w:sz w:val="28"/>
          <w:szCs w:val="28"/>
          <w:rtl w:val="true"/>
          <w:lang w:bidi="ar-SA"/>
        </w:rPr>
        <w:t>لقوله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الفرو </w:t>
      </w:r>
      <w:r>
        <w:rPr>
          <w:rStyle w:val="FootnoteAnchor"/>
          <w:rtl w:val="true"/>
        </w:rPr>
        <w:footnoteReference w:id="326"/>
      </w:r>
      <w:r>
        <w:rPr>
          <w:rFonts w:ascii="Amiri" w:hAnsi="Amiri" w:eastAsia="Amiri" w:cs="Amiri"/>
          <w:color w:val="111111"/>
          <w:sz w:val="28"/>
          <w:sz w:val="28"/>
          <w:szCs w:val="28"/>
          <w:rtl w:val="true"/>
          <w:lang w:bidi="ar-SA"/>
        </w:rPr>
        <w:t>اليمانيّ و في ما صنع في أرض الإسلام،قلت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327"/>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كلام الأصحاب ما يعرف به سوق الإسلام من غيره، فكان الرجوع فيه إلى العرف ؛ و في موثّقة إسحاق بن عمّار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بعد إيراد متن الحديث </w:t>
      </w:r>
      <w:r>
        <w:rPr>
          <w:rFonts w:eastAsia="Amiri" w:cs="Amiri" w:ascii="Amiri" w:hAnsi="Amiri"/>
          <w:color w:val="111111"/>
          <w:sz w:val="28"/>
          <w:szCs w:val="28"/>
          <w:rtl w:val="true"/>
          <w:lang w:bidi="ar-SA"/>
        </w:rPr>
        <w:t xml:space="preserve">: </w:t>
      </w:r>
      <w:bookmarkStart w:id="256" w:name="pg7350_54568"/>
    </w:p>
    <w:p>
      <w:pPr>
        <w:pStyle w:val="BookText"/>
        <w:rPr/>
      </w:pPr>
      <w:bookmarkEnd w:id="256"/>
      <w:r>
        <w:rPr>
          <w:rFonts w:ascii="Amiri" w:hAnsi="Amiri" w:eastAsia="Amiri" w:cs="Amiri"/>
          <w:color w:val="111111"/>
          <w:sz w:val="28"/>
          <w:sz w:val="28"/>
          <w:szCs w:val="28"/>
          <w:rtl w:val="true"/>
          <w:lang w:bidi="ar-SA"/>
        </w:rPr>
        <w:t xml:space="preserve">و على هذا ينبغي أن يكون العمل، و هو غير مناف للعرف أيضًا، فيميز </w:t>
      </w:r>
      <w:r>
        <w:rPr>
          <w:rStyle w:val="FootnoteAnchor"/>
          <w:rtl w:val="true"/>
        </w:rPr>
        <w:footnoteReference w:id="329"/>
      </w:r>
      <w:r>
        <w:rPr>
          <w:rFonts w:ascii="Amiri" w:hAnsi="Amiri" w:eastAsia="Amiri" w:cs="Amiri"/>
          <w:color w:val="111111"/>
          <w:sz w:val="28"/>
          <w:sz w:val="28"/>
          <w:szCs w:val="28"/>
          <w:rtl w:val="true"/>
          <w:lang w:bidi="ar-SA"/>
        </w:rPr>
        <w:t xml:space="preserve">سوق الإسلام بأغلبيّة المسلمين فيه، سواء كان حاكمهم مسلمًا وحكمهم نافذًا، أم لا، عملاً بالعموم، انتهى كلامه رفع مقامه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الحال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صدق سوق المسلمين حقيقة ولو مع اشتراك غيرهم معهم فيه، لكن إذا كان نادرًا ؛ و أمّا مع عدم الندرة ولو مع أكثريّة</w:t>
      </w:r>
    </w:p>
    <w:p>
      <w:pPr>
        <w:pStyle w:val="BookText"/>
        <w:rPr/>
      </w:pPr>
      <w:r>
        <w:rPr>
          <w:rFonts w:ascii="Amiri" w:hAnsi="Amiri" w:eastAsia="Amiri" w:cs="Amiri"/>
          <w:color w:val="111111"/>
          <w:sz w:val="28"/>
          <w:sz w:val="28"/>
          <w:szCs w:val="28"/>
          <w:rtl w:val="true"/>
          <w:lang w:bidi="ar-SA"/>
        </w:rPr>
        <w:t xml:space="preserve">المسلمين منهم يكون الإطلاق لايخلو عن إشكال، إذ الظاهر من الإضافة الاختصاص، والمفروض شركة الكفّار معهم في السوق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يفرق بين كون الأرض أرض الإسلام و أرض الكفر ؛ و مشاركة الكفّار مع المسلمين في السكنى في الأوّل لايخرجها عن كونها أرض الإسلام، كما أنّ مشاركة المسلمين مع الكفّار في ذلك لايخرجها عن كونها أرض الكفر ؛ ولعلّنا نتعرّض لهذا المرام فيما بعد </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90643_1051229030"/>
      <w:bookmarkStart w:id="258" w:name="_Toc96"/>
      <w:bookmarkEnd w:id="257"/>
      <w:r>
        <w:rPr>
          <w:rtl w:val="true"/>
        </w:rPr>
        <w:t>القسم الثاني والعشرون</w:t>
      </w:r>
      <w:r>
        <w:rPr>
          <w:rtl w:val="true"/>
        </w:rPr>
        <w:t>:</w:t>
      </w:r>
      <w:bookmarkEnd w:id="258"/>
    </w:p>
    <w:p>
      <w:pPr>
        <w:pStyle w:val="Heading5"/>
        <w:numPr>
          <w:ilvl w:val="4"/>
          <w:numId w:val="1"/>
        </w:numPr>
        <w:rPr/>
      </w:pPr>
      <w:bookmarkStart w:id="259" w:name="__RefHeading___Toc1190645_1051229030"/>
      <w:bookmarkStart w:id="260" w:name="_Toc97"/>
      <w:bookmarkEnd w:id="259"/>
      <w:r>
        <w:rPr>
          <w:rtl w:val="true"/>
        </w:rPr>
        <w:t>اشارة</w:t>
      </w:r>
      <w:bookmarkEnd w:id="26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بالتذكية، فيكون الجلد في يد المسلم الغير المستحلّ في السوق المشترك مع غلبة المسلمين والظنّ بكونه من ذبيحة المسلمين </w:t>
      </w:r>
      <w:r>
        <w:rPr>
          <w:rFonts w:eastAsia="Amiri" w:cs="Amiri" w:ascii="Amiri" w:hAnsi="Amiri"/>
          <w:color w:val="111111"/>
          <w:sz w:val="28"/>
          <w:szCs w:val="28"/>
          <w:rtl w:val="true"/>
          <w:lang w:bidi="ar-SA"/>
        </w:rPr>
        <w:t xml:space="preserve">. </w:t>
      </w:r>
      <w:bookmarkStart w:id="261" w:name="pg7350_54570"/>
    </w:p>
    <w:p>
      <w:pPr>
        <w:pStyle w:val="BookText"/>
        <w:rPr/>
      </w:pPr>
      <w:bookmarkEnd w:id="261"/>
      <w:r>
        <w:rPr>
          <w:rFonts w:ascii="Amiri" w:hAnsi="Amiri" w:eastAsia="Amiri" w:cs="Amiri"/>
          <w:color w:val="111111"/>
          <w:sz w:val="28"/>
          <w:sz w:val="28"/>
          <w:szCs w:val="28"/>
          <w:rtl w:val="true"/>
          <w:lang w:bidi="ar-SA"/>
        </w:rPr>
        <w:t xml:space="preserve">والحكم هنا أيضًا الجواز، لما بيّناه في نظيره في السوق المختصّ، بل بطريق أولى، وفاقًا للمعتبر والمنتهى والتذكرة ونهاية الإحكام والتحرير والبيان والدروس والذكرى والجعفريّة والروض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في كلام المبسوط والنهاية </w:t>
      </w:r>
      <w:r>
        <w:rPr>
          <w:rStyle w:val="FootnoteAnchor"/>
          <w:rtl w:val="true"/>
        </w:rPr>
        <w:footnoteReference w:id="332"/>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190647_1051229030"/>
      <w:bookmarkStart w:id="263" w:name="_Toc98"/>
      <w:bookmarkEnd w:id="262"/>
      <w:r>
        <w:rPr>
          <w:rtl w:val="true"/>
        </w:rPr>
        <w:t>المستند في المنع مع الجواب عنه</w:t>
      </w:r>
      <w:bookmarkEnd w:id="263"/>
    </w:p>
    <w:p>
      <w:pPr>
        <w:pStyle w:val="BookText"/>
        <w:rPr/>
      </w:pPr>
      <w:r>
        <w:rPr>
          <w:rFonts w:ascii="Amiri" w:hAnsi="Amiri" w:eastAsia="Amiri" w:cs="Amiri"/>
          <w:color w:val="111111"/>
          <w:sz w:val="28"/>
          <w:sz w:val="28"/>
          <w:szCs w:val="28"/>
          <w:rtl w:val="true"/>
          <w:lang w:bidi="ar-SA"/>
        </w:rPr>
        <w:t xml:space="preserve">والمستند في المنع المفهوم في صحيحة الفضلاء، بناءً على ما مرّ مرارًا من أنّ مقتضى المفهوم منه انتفاء الإباحة عند انتفاء المسألة فيما إذا لم يكن من أسواق المسلمين ؛ و هو أعمّ من أن يكون مختصًّا بالكفّار، أو مشتركًا بين الفريقين معغلبة المسلمين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معارضٌ بالمنطوق في موثّقة إسحاق بن عمّار،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333"/>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أعمّ من أن يتحقّق المسألة، أم لا، فيجب الرجوع إلى الترجيح، و هو </w:t>
      </w:r>
    </w:p>
    <w:p>
      <w:pPr>
        <w:pStyle w:val="BookText"/>
        <w:rPr/>
      </w:pPr>
      <w:r>
        <w:rPr>
          <w:rFonts w:ascii="Amiri" w:hAnsi="Amiri" w:eastAsia="Amiri" w:cs="Amiri"/>
          <w:color w:val="111111"/>
          <w:sz w:val="28"/>
          <w:sz w:val="28"/>
          <w:szCs w:val="28"/>
          <w:rtl w:val="true"/>
          <w:lang w:bidi="ar-SA"/>
        </w:rPr>
        <w:t xml:space="preserve">متحقّق في الطرفين، أمّا في مفهوم الصحيحة فللصحّة في السند والكثرة في العدد وإطباق المشايخ الثلاثة على إيرادها، والاعتضاد بأصالة عدم التذكية و بقاعدة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الموثّقة فلكون الدلالة فيها بالمنطوق، والاعتضاد بموثّقة ابن بكير، وبأصالة الطهارة والبراءة، و بعمل أكثر عظماء الطائفة، والقوّة في الدلالة، حتّى يمكن أن يدّعى أنّ التعارض بينهما من تعارض العموم والخصوص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الموثّقة دليل على أنّ مراده عليه‌السلام جواز الصلاة من غير حاجة إلى السؤال، و ذلك لأنّه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الفرو </w:t>
      </w:r>
      <w:r>
        <w:rPr>
          <w:rStyle w:val="FootnoteAnchor"/>
          <w:rtl w:val="true"/>
        </w:rPr>
        <w:footnoteReference w:id="335"/>
      </w:r>
      <w:r>
        <w:rPr>
          <w:rFonts w:ascii="Amiri" w:hAnsi="Amiri" w:eastAsia="Amiri" w:cs="Amiri"/>
          <w:color w:val="111111"/>
          <w:sz w:val="28"/>
          <w:sz w:val="28"/>
          <w:szCs w:val="28"/>
          <w:rtl w:val="true"/>
          <w:lang w:bidi="ar-SA"/>
        </w:rPr>
        <w:t xml:space="preserve">اليمانيّ وفيما صنع في أرض الإسلام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معلومٌ أنّ جواز الصلاة في المصنوع في أرض الإسلام غير متوقّف على السؤال ؛ و يظهر منه أنّ الجواز المتحقّق في صورة الغلبة أيضًا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أيضًا رواية إسماعيل بن عيسى السالفة،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 تسألوا عنه إذا رأيتم المشركين يبيعون ذلك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لوضوح أنّ مقتضى المفهوم منه عدم لزوم السؤال فيما إذا لم يكن المشرك بائعًا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أنّا بيّنا الجواز في نظير المسألة في السوق المختصّ بالكفرة، و في صورة الاشتراك مع غلبة المسلمين أولى، فلاحظ ما احتججنا به لإثبات المرام هناك، فإنّه ينفعك في هذا المقام </w:t>
      </w:r>
      <w:r>
        <w:rPr>
          <w:rFonts w:eastAsia="Amiri" w:cs="Amiri" w:ascii="Amiri" w:hAnsi="Amiri"/>
          <w:color w:val="111111"/>
          <w:sz w:val="28"/>
          <w:szCs w:val="28"/>
          <w:rtl w:val="true"/>
          <w:lang w:bidi="ar-SA"/>
        </w:rPr>
        <w:t xml:space="preserve">. </w:t>
      </w:r>
      <w:bookmarkStart w:id="264" w:name="pg7350_54574"/>
    </w:p>
    <w:p>
      <w:pPr>
        <w:pStyle w:val="Heading4"/>
        <w:numPr>
          <w:ilvl w:val="3"/>
          <w:numId w:val="1"/>
        </w:numPr>
        <w:rPr/>
      </w:pPr>
      <w:bookmarkStart w:id="265" w:name="__RefHeading___Toc1190649_1051229030"/>
      <w:bookmarkStart w:id="266" w:name="_Toc99"/>
      <w:bookmarkEnd w:id="264"/>
      <w:bookmarkEnd w:id="265"/>
      <w:r>
        <w:rPr>
          <w:rtl w:val="true"/>
        </w:rPr>
        <w:t>القسم الثالث والعشرون</w:t>
      </w:r>
      <w:r>
        <w:rPr>
          <w:rtl w:val="true"/>
        </w:rPr>
        <w:t>:</w:t>
      </w:r>
      <w:bookmarkEnd w:id="266"/>
    </w:p>
    <w:p>
      <w:pPr>
        <w:pStyle w:val="Heading5"/>
        <w:numPr>
          <w:ilvl w:val="4"/>
          <w:numId w:val="1"/>
        </w:numPr>
        <w:rPr/>
      </w:pPr>
      <w:bookmarkStart w:id="267" w:name="__RefHeading___Toc1190651_1051229030"/>
      <w:bookmarkStart w:id="268" w:name="_Toc100"/>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الثالث والعشرون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الغير المستبيح أيضًا في السوق المشترك مع غلبة المسلمين و إخبار ذي اليد بالتذكية، لكن مع انتفاء المظنّة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أكثر الكتب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كالمعتبر والمنتهى والتحرير والبيان والذكرى والدروس والجعفريّة والروض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الاستعمال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التذكرة و نهاية الإحكام المنع، لما عرفت مرارًا من أنّ الظاهرمنهما أنّ المناط في استعمال الجلود الظنّ بالتذكية ؛ و قد عرفت أيضًا أنّه يمكن أن يجعل كلامه فيهما دليلاً لحمل كلامه في المنتهى والتحرير على ذلك أيضًا، مضافًا إلى ما عرفت من المنتهى ما يؤيّده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في كلام المبسوط والنهاية </w:t>
      </w:r>
      <w:r>
        <w:rPr>
          <w:rStyle w:val="FootnoteAnchor"/>
          <w:rtl w:val="true"/>
        </w:rPr>
        <w:footnoteReference w:id="340"/>
      </w:r>
      <w:r>
        <w:rPr>
          <w:rFonts w:ascii="Amiri" w:hAnsi="Amiri" w:eastAsia="Amiri" w:cs="Amiri"/>
          <w:color w:val="111111"/>
          <w:sz w:val="28"/>
          <w:sz w:val="28"/>
          <w:szCs w:val="28"/>
          <w:rtl w:val="true"/>
          <w:lang w:bidi="ar-SA"/>
        </w:rPr>
        <w:t xml:space="preserve">هنا كما تقدّم </w:t>
      </w:r>
      <w:r>
        <w:rPr>
          <w:rFonts w:eastAsia="Amiri" w:cs="Amiri" w:ascii="Amiri" w:hAnsi="Amiri"/>
          <w:color w:val="111111"/>
          <w:sz w:val="28"/>
          <w:szCs w:val="28"/>
          <w:rtl w:val="true"/>
          <w:lang w:bidi="ar-SA"/>
        </w:rPr>
        <w:t xml:space="preserve">. </w:t>
      </w:r>
      <w:bookmarkStart w:id="269" w:name="pg7350_54576"/>
    </w:p>
    <w:p>
      <w:pPr>
        <w:pStyle w:val="Heading5"/>
        <w:numPr>
          <w:ilvl w:val="4"/>
          <w:numId w:val="1"/>
        </w:numPr>
        <w:rPr/>
      </w:pPr>
      <w:bookmarkStart w:id="270" w:name="__RefHeading___Toc1190653_1051229030"/>
      <w:bookmarkStart w:id="271" w:name="_Toc101"/>
      <w:bookmarkEnd w:id="269"/>
      <w:bookmarkEnd w:id="270"/>
      <w:r>
        <w:rPr>
          <w:rtl w:val="true"/>
        </w:rPr>
        <w:t>المستند للجواز</w:t>
      </w:r>
      <w:bookmarkEnd w:id="271"/>
    </w:p>
    <w:p>
      <w:pPr>
        <w:pStyle w:val="BookText"/>
        <w:rPr/>
      </w:pPr>
      <w:r>
        <w:rPr>
          <w:rFonts w:ascii="Amiri" w:hAnsi="Amiri" w:eastAsia="Amiri" w:cs="Amiri"/>
          <w:color w:val="111111"/>
          <w:sz w:val="28"/>
          <w:sz w:val="28"/>
          <w:szCs w:val="28"/>
          <w:rtl w:val="true"/>
          <w:lang w:bidi="ar-SA"/>
        </w:rPr>
        <w:t xml:space="preserve">و لعلّ المستند للجواز عموم قوله عليه‌السلام في الموثّق السالف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341"/>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اعتبار الغلبة إنّما هو لإلحاق المشتبه الحال بالمسلم، والمفروض معلوميّة المسلم و وجود الجلد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الظاهر من الحديث أنّ المناط في استعمال الجلود في البلد المشترك غلبة المسلمين على غيرهم، والمفروض تحقّقها، فينبغي الحكم بالجواز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المتكثّرة السالفة الدالّة على جواز استعمال الجلود المأخوذة من الأسواق بعنوان الإطلاق، كصحيحة سليمان بن جعفر الجعفريّ أنّه سأل العبدالصالح موسى بن جعفر عليهماالسلام عن الرجل يأتي السوق، فيشتري جبّة فراء لايدري أذكيّة هي أم غير ذكيّة، أيصلّي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إنّ أبا جعفر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لجهالتهم </w:t>
      </w:r>
      <w:r>
        <w:rPr>
          <w:rStyle w:val="FootnoteAnchor"/>
          <w:rtl w:val="true"/>
        </w:rPr>
        <w:footnoteReference w:id="343"/>
      </w:r>
      <w:r>
        <w:rPr>
          <w:rFonts w:ascii="Amiri" w:hAnsi="Amiri" w:eastAsia="Amiri" w:cs="Amiri"/>
          <w:color w:val="111111"/>
          <w:sz w:val="28"/>
          <w:sz w:val="28"/>
          <w:szCs w:val="28"/>
          <w:rtl w:val="true"/>
          <w:lang w:bidi="ar-SA"/>
        </w:rPr>
        <w:t xml:space="preserve">، إنّ الدين أوسع من ذلك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عبداللّه</w:t>
      </w:r>
    </w:p>
    <w:p>
      <w:pPr>
        <w:pStyle w:val="BookText"/>
        <w:rPr/>
      </w:pPr>
      <w:r>
        <w:rPr>
          <w:rFonts w:ascii="Amiri" w:hAnsi="Amiri" w:eastAsia="Amiri" w:cs="Amiri"/>
          <w:color w:val="111111"/>
          <w:sz w:val="28"/>
          <w:sz w:val="28"/>
          <w:szCs w:val="28"/>
          <w:rtl w:val="true"/>
          <w:lang w:bidi="ar-SA"/>
        </w:rPr>
        <w:t>عليه‌السلام عن الخفاف الّتي تباع في السوق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 صلّ فيها حتّى تعلم أنّها ميّت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ممّا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المذكورة و نحوها يقتضي جواز الصلاة في الجلود المأخوذة من الأسواق بعنوان الإطلاق و لو كانت مشتركة، سيّما بعد ترك الاستفصال المقتضي لثبوت الحكم في جميع محتملات السؤال، خصوصًا بعد ملاحظة أنّ تحقّق الاشتراك بين المسلمين و غيرهم لم يكن من الأمور النادرة، لتحقّقها في بغداد و شام و نحوهما ؛ و لا يبعد أن يكون الأمر كذلك في زمان صدور الأخبار عن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الملك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أيضًا صحيحة عبد الرّحمن بن الحجّاج السالفة، إذ مقتضى ترك الاستفصال فيها بين كون ذلك في البلد المشترك و غيره واستفادة الظنّ و عدمهثبوت الحكم في الجميع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رواية إسماعيل بن عيسى المتقدّمة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جلود الفراء يشتريها الرجل في سوق من أسواق الجيل، أيسأل عن ذكاته إذا كان البائع مسلمًا غير عارف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Style w:val="FootnoteAnchor"/>
          <w:rtl w:val="true"/>
        </w:rPr>
        <w:footnoteReference w:id="346"/>
      </w:r>
      <w:r>
        <w:rPr>
          <w:rFonts w:ascii="Amiri" w:hAnsi="Amiri" w:eastAsia="Amiri" w:cs="Amiri"/>
          <w:color w:val="111111"/>
          <w:sz w:val="28"/>
          <w:sz w:val="28"/>
          <w:szCs w:val="28"/>
          <w:rtl w:val="true"/>
          <w:lang w:bidi="ar-SA"/>
        </w:rPr>
        <w:t xml:space="preserve">أن تسألوا عنه إذا رأيتم المشركين يبيعون ذلك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272" w:name="pg7350_54580"/>
    </w:p>
    <w:p>
      <w:pPr>
        <w:pStyle w:val="BookText"/>
        <w:rPr/>
      </w:pPr>
      <w:bookmarkEnd w:id="272"/>
      <w:r>
        <w:rPr>
          <w:rFonts w:ascii="Amiri" w:hAnsi="Amiri" w:eastAsia="Amiri" w:cs="Amiri"/>
          <w:color w:val="111111"/>
          <w:sz w:val="28"/>
          <w:sz w:val="28"/>
          <w:szCs w:val="28"/>
          <w:rtl w:val="true"/>
          <w:lang w:bidi="ar-SA"/>
        </w:rPr>
        <w:t xml:space="preserve">وجه الدلالة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التقرير، حيث يظهر من تخصيص السؤال عن الذكاة بما إذا كان البائع مسلمًا غير عارف أنّه اعتقد عدم الافتقار إلى السؤال فيما إذا كان البائع</w:t>
      </w:r>
    </w:p>
    <w:p>
      <w:pPr>
        <w:pStyle w:val="BookText"/>
        <w:rPr/>
      </w:pPr>
      <w:r>
        <w:rPr>
          <w:rFonts w:ascii="Amiri" w:hAnsi="Amiri" w:eastAsia="Amiri" w:cs="Amiri"/>
          <w:color w:val="111111"/>
          <w:sz w:val="28"/>
          <w:sz w:val="28"/>
          <w:szCs w:val="28"/>
          <w:rtl w:val="true"/>
          <w:lang w:bidi="ar-SA"/>
        </w:rPr>
        <w:t xml:space="preserve">عارفًا ؛ والمراد بالمسلم العارف هو الإثنى عشريّ، كما يظهر من تتبّع الأخبار وقرّره عليه‌السلام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مفهوم الشرط حيث انّ المستفاد منه أنّ لزوم السؤال إنّما هو إذا كان البائع مشركًا دون غيره ؛ و معلومٌ أنّ المقصود عدم توقّف الاستعمال على السؤال و جوازه مع عدمه </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1190655_1051229030"/>
      <w:bookmarkStart w:id="274" w:name="_Toc102"/>
      <w:bookmarkEnd w:id="273"/>
      <w:r>
        <w:rPr>
          <w:rtl w:val="true"/>
        </w:rPr>
        <w:t>المستند في عدم الجواز مع الجواب عنه</w:t>
      </w:r>
      <w:bookmarkEnd w:id="274"/>
    </w:p>
    <w:p>
      <w:pPr>
        <w:pStyle w:val="BookText"/>
        <w:rPr/>
      </w:pPr>
      <w:r>
        <w:rPr>
          <w:rFonts w:ascii="Amiri" w:hAnsi="Amiri" w:eastAsia="Amiri" w:cs="Amiri"/>
          <w:color w:val="111111"/>
          <w:sz w:val="28"/>
          <w:sz w:val="28"/>
          <w:szCs w:val="28"/>
          <w:rtl w:val="true"/>
          <w:lang w:bidi="ar-SA"/>
        </w:rPr>
        <w:t xml:space="preserve">و لعلّ المستند في عدم الجواز موثّقة ابن بكير المتكرّرة، بناءً على ما مرّ غيرمرّة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بأنّ التعارض بينها و بين النصوص المتكثّرة الدالّة على جواز الصلاة في الجلود المأخوذة من الأسواق بعنوان الإطلاق عموم من وجه، لافتراقها عن مفهوم الموثّقة في الجلود المأخوذة من الأسواق في صورة المظنّة، لأنّها داخلة في مدلول النصوص المذكورة ولم يدخل في مفهوم الموثّقة ؛ وافتراق مفهوم الموثّقة عنها في غير صورة المظنّة في غير السوق ؛ واجتماعهما في غير صورة المظنّة في السوق </w:t>
      </w:r>
      <w:r>
        <w:rPr>
          <w:rFonts w:eastAsia="Amiri" w:cs="Amiri" w:ascii="Amiri" w:hAnsi="Amiri"/>
          <w:color w:val="111111"/>
          <w:sz w:val="28"/>
          <w:szCs w:val="28"/>
          <w:rtl w:val="true"/>
          <w:lang w:bidi="ar-SA"/>
        </w:rPr>
        <w:t xml:space="preserve">. </w:t>
      </w:r>
      <w:bookmarkStart w:id="275" w:name="pg7350_54582"/>
    </w:p>
    <w:p>
      <w:pPr>
        <w:pStyle w:val="Heading5"/>
        <w:numPr>
          <w:ilvl w:val="4"/>
          <w:numId w:val="1"/>
        </w:numPr>
        <w:rPr/>
      </w:pPr>
      <w:bookmarkStart w:id="276" w:name="__RefHeading___Toc1190657_1051229030"/>
      <w:bookmarkStart w:id="277" w:name="_Toc103"/>
      <w:bookmarkEnd w:id="275"/>
      <w:bookmarkEnd w:id="276"/>
      <w:r>
        <w:rPr>
          <w:rtl w:val="true"/>
        </w:rPr>
        <w:t>مختار المؤلّف قدس‌سره و دليله</w:t>
      </w:r>
      <w:bookmarkEnd w:id="277"/>
    </w:p>
    <w:p>
      <w:pPr>
        <w:pStyle w:val="BookText"/>
        <w:rPr/>
      </w:pPr>
      <w:r>
        <w:rPr>
          <w:rFonts w:ascii="Amiri" w:hAnsi="Amiri" w:eastAsia="Amiri" w:cs="Amiri"/>
          <w:color w:val="111111"/>
          <w:sz w:val="28"/>
          <w:sz w:val="28"/>
          <w:szCs w:val="28"/>
          <w:rtl w:val="true"/>
          <w:lang w:bidi="ar-SA"/>
        </w:rPr>
        <w:t xml:space="preserve">فمقتضى النصوص المذكورة جواز الصلاة، و مقتضى مفهوم الموثّقة عدمه، فلابدّ من الرجوع إلى الترجيح، و هو مع تلك النصوص، لأكثريّة العدد وأصحيّة السند، و كون المضمون ممّا أطبقت المشايخ العظام على روايته، والموافقة بما يظهر من ظاهر الأكثر، والقوّة في الدلالة، والاعتضاد بالقاعدة الناطقة على حمل أفعال المسلمين على الصحّة، والمناسبة للشريعة السهلة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آلاف 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التعليل في صحيحين من النصوص المذكورة بأنّ الدين أوسع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الاستعمال وإن كان الاجتناب في صورة الإمكان أقربللوصول إلى دار الجنان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190659_1051229030"/>
      <w:bookmarkStart w:id="279" w:name="_Toc104"/>
      <w:bookmarkEnd w:id="278"/>
      <w:r>
        <w:rPr>
          <w:rtl w:val="true"/>
        </w:rPr>
        <w:t>القسم الرابع والعشرون</w:t>
      </w:r>
      <w:r>
        <w:rPr>
          <w:rtl w:val="true"/>
        </w:rPr>
        <w:t>:</w:t>
      </w:r>
      <w:bookmarkEnd w:id="279"/>
    </w:p>
    <w:p>
      <w:pPr>
        <w:pStyle w:val="Heading5"/>
        <w:numPr>
          <w:ilvl w:val="4"/>
          <w:numId w:val="1"/>
        </w:numPr>
        <w:rPr/>
      </w:pPr>
      <w:bookmarkStart w:id="280" w:name="__RefHeading___Toc1190661_1051229030"/>
      <w:bookmarkStart w:id="281" w:name="_Toc105"/>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 انتفاء الإخبار أيضًا بأن يكون الجلد في يد المسلم الغير المستحلّ في السوق المشترك مع غلبة المسلمين، لكن مع انتفاء الإخبار والظنّ بكونه من ذبيحة المسلمين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المعتبر والذكرى والدروس والبيان والجعفريّة والروض </w:t>
      </w:r>
      <w:bookmarkStart w:id="282" w:name="pg7350_54584"/>
    </w:p>
    <w:p>
      <w:pPr>
        <w:pStyle w:val="BookText"/>
        <w:rPr/>
      </w:pPr>
      <w:bookmarkEnd w:id="282"/>
      <w:r>
        <w:rPr>
          <w:rFonts w:ascii="Amiri" w:hAnsi="Amiri" w:eastAsia="Amiri" w:cs="Amiri"/>
          <w:color w:val="111111"/>
          <w:sz w:val="28"/>
          <w:sz w:val="28"/>
          <w:szCs w:val="28"/>
          <w:rtl w:val="true"/>
          <w:lang w:bidi="ar-SA"/>
        </w:rPr>
        <w:t xml:space="preserve">والمسالك والمدارك والذخيرة </w:t>
      </w:r>
      <w:r>
        <w:rPr>
          <w:rStyle w:val="FootnoteAnchor"/>
          <w:rtl w:val="true"/>
        </w:rPr>
        <w:footnoteReference w:id="348"/>
      </w:r>
      <w:r>
        <w:rPr>
          <w:rFonts w:ascii="Amiri" w:hAnsi="Amiri" w:eastAsia="Amiri" w:cs="Amiri"/>
          <w:color w:val="111111"/>
          <w:sz w:val="28"/>
          <w:sz w:val="28"/>
          <w:szCs w:val="28"/>
          <w:rtl w:val="true"/>
          <w:lang w:bidi="ar-SA"/>
        </w:rPr>
        <w:t xml:space="preserve">جواز الاستعمال أيضًا من وجهين في بعض، ومن وجه في آخر على ما نبّهنا عليه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الظاهر من المبسوط والنهاية والتذكرة و نهاية الإحكام العدم </w:t>
      </w:r>
      <w:r>
        <w:rPr>
          <w:rStyle w:val="FootnoteAnchor"/>
          <w:rtl w:val="true"/>
        </w:rPr>
        <w:footnoteReference w:id="349"/>
      </w:r>
      <w:r>
        <w:rPr>
          <w:rFonts w:ascii="IRNazanin" w:hAnsi="IRNazanin" w:eastAsia="IRNazanin"/>
          <w:color w:val="111111"/>
          <w:sz w:val="28"/>
          <w:sz w:val="28"/>
          <w:szCs w:val="28"/>
          <w:rtl w:val="true"/>
          <w:lang w:bidi="fa-IR"/>
        </w:rPr>
        <w:t xml:space="preserve">، لما علم مرارًا </w:t>
      </w:r>
      <w:r>
        <w:rPr>
          <w:rFonts w:eastAsia="IRNazanin" w:cs="IRNazanin"/>
          <w:color w:val="111111"/>
          <w:sz w:val="28"/>
          <w:szCs w:val="28"/>
          <w:rtl w:val="true"/>
          <w:lang w:bidi="fa-IR"/>
        </w:rPr>
        <w:t>.</w:t>
      </w:r>
    </w:p>
    <w:p>
      <w:pPr>
        <w:pStyle w:val="Heading5"/>
        <w:numPr>
          <w:ilvl w:val="4"/>
          <w:numId w:val="1"/>
        </w:numPr>
        <w:rPr/>
      </w:pPr>
      <w:bookmarkStart w:id="283" w:name="__RefHeading___Toc1190663_1051229030"/>
      <w:bookmarkStart w:id="284" w:name="_Toc106"/>
      <w:bookmarkEnd w:id="283"/>
      <w:r>
        <w:rPr>
          <w:rtl w:val="true"/>
        </w:rPr>
        <w:t>المستند في الجواز</w:t>
      </w:r>
      <w:bookmarkEnd w:id="284"/>
    </w:p>
    <w:p>
      <w:pPr>
        <w:pStyle w:val="BookText"/>
        <w:rPr/>
      </w:pPr>
      <w:r>
        <w:rPr>
          <w:rFonts w:ascii="Amiri" w:hAnsi="Amiri" w:eastAsia="Amiri" w:cs="Amiri"/>
          <w:color w:val="111111"/>
          <w:sz w:val="28"/>
          <w:sz w:val="28"/>
          <w:szCs w:val="28"/>
          <w:rtl w:val="true"/>
          <w:lang w:bidi="ar-SA"/>
        </w:rPr>
        <w:t xml:space="preserve">والمستند في الجواز يظهر ممّا سلف من موثّقة إسحاق بن عمّار، والنصوص المعتبرة الدالّة على جواز الصلاة فيما يؤخذ من الأسواق بعنوان الإطلاق إلاّ بعد العلم من كونه غير المذكّى، و رواية إسماعيل بن عيسى على ما يعرف من الصورة السابقة </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190665_1051229030"/>
      <w:bookmarkStart w:id="286" w:name="_Toc107"/>
      <w:bookmarkEnd w:id="285"/>
      <w:r>
        <w:rPr>
          <w:rtl w:val="true"/>
        </w:rPr>
        <w:t>المستند في المنع مع الجواب عنه</w:t>
      </w:r>
      <w:bookmarkEnd w:id="28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في موثّقة ابن بكير </w:t>
      </w:r>
    </w:p>
    <w:p>
      <w:pPr>
        <w:pStyle w:val="BookText"/>
        <w:rPr/>
      </w:pPr>
      <w:r>
        <w:rPr>
          <w:rFonts w:ascii="Amiri" w:hAnsi="Amiri" w:eastAsia="Amiri" w:cs="Amiri"/>
          <w:color w:val="111111"/>
          <w:sz w:val="28"/>
          <w:sz w:val="28"/>
          <w:szCs w:val="28"/>
          <w:rtl w:val="true"/>
          <w:lang w:bidi="ar-SA"/>
        </w:rPr>
        <w:t xml:space="preserve">المتكرّرة، و مفهوم صحيحة الفضلاء، لما عرفت من أنّ مقتضاه انتفاء الإباحة و وجوب السؤال فيما إذا لم يكن السوق من أسواق المسلمين ؛ و مقتضى عموم المفهوم ثبوته و لو في السوق المشترك مع الغلبة، كما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والثاني يظهر ممّا سلف، و أمّا عن الثالث أمّا على ما بنى عليه شيخنا الشهيد الثاني في المسالك من حمله النهي فيها على الكراهة،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يجوز شراء اللحم والجلد من سوق الإسلام، لايلزم البحث عنه هل ذابحه مسلم أم </w:t>
      </w:r>
      <w:r>
        <w:rPr>
          <w:rStyle w:val="FootnoteAnchor"/>
          <w:rtl w:val="true"/>
        </w:rPr>
        <w:footnoteReference w:id="350"/>
      </w:r>
      <w:r>
        <w:rPr>
          <w:rFonts w:ascii="Amiri" w:hAnsi="Amiri" w:eastAsia="Amiri" w:cs="Amiri"/>
          <w:color w:val="111111"/>
          <w:sz w:val="28"/>
          <w:sz w:val="28"/>
          <w:szCs w:val="28"/>
          <w:rtl w:val="true"/>
          <w:lang w:bidi="ar-SA"/>
        </w:rPr>
        <w:t xml:space="preserve">لا ؟ و أنّه هل سمّى واستقبل بذبيحته القبلة أم لا ؟ بل ولا يستحبّ ؛ و لو قيل بالكراهة كان وجهًا، للنهي عنه في الخبر السابق الّذي أقلّ مراتبه الكراهة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ظاهر، إذ مقتضى المفهوم حينئذٍ انتفاء كراهة السؤال في غير أسواق المسلمين ؛ و أين ذلك من دلالته على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على ما ذكره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كمثله الفائز بدرجة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الاكتفاء في صدق سوق المسلمين بأغلبيّة المسلمين، بل الأمر حينئذٍ أظهر، لاندراج ما نحن فيه حينئذٍ تحت المنطوق، لا المفهوم كما لايخفى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ما نبّهنا عليه من كون النهي فيها واردًا موهم توهّم الوجوب وأنّه لايفيد إلاّ نفي الوجوب وأنّ مطلق الغلبة لايكفي للصدق على الحقيقة، فالأمر </w:t>
      </w:r>
    </w:p>
    <w:p>
      <w:pPr>
        <w:pStyle w:val="BookText"/>
        <w:rPr/>
      </w:pPr>
      <w:r>
        <w:rPr>
          <w:rFonts w:ascii="Amiri" w:hAnsi="Amiri" w:eastAsia="Amiri" w:cs="Amiri"/>
          <w:color w:val="111111"/>
          <w:sz w:val="28"/>
          <w:sz w:val="28"/>
          <w:szCs w:val="28"/>
          <w:rtl w:val="true"/>
          <w:lang w:bidi="ar-SA"/>
        </w:rPr>
        <w:t xml:space="preserve">مشكل، إذ مقتضى المفهوم ما عرفت، فيكون التعارض حينئذٍ بينه و بين النصوص المسوّغة لاستعمال الجلود المأخوذة في الأسواق من تعارض العموم والخصوص مطلقًا، لكون السوق في النصوص المذكورة أعمّ من أن يكون مختصًّا بالمسلمين أو لا، والمفهوم في الصحيحة يدلّ على انتفاء الإباحة حين انتفاء المسألة فيما إذا لم يكن السوق سوق المسلمين، فلابدّ من حمل المطلق على المقيّد والعامّ على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بين المفهوم في الصحيحة والمفهوم من رواية إسماعيل بن عيسى، إذ المفهوم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 تسئلوا عنه إذا رأيتم المشركين يبيعون ذلك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انتفاء وجوب المسألة عند انتفاء كون البائع مشركًا، و هو أعمّمن أن يكون في سوق المسلمين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أنّ مقتضى المفهوم في صحيحة الفضلاء وجوب المسألة فيما إذا لم يكن في سوق المسلمين، فلابدّ من حمل المفهوم في الرواية المذكورة على ما إذا كان ذلك في سوق المسلمين، مضافًا إلى ضعف سند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عنه بأنّ ذلك إنّما هو إذا كان التعارض بين مفهوم صحيحة الفضلاء والنصوص المذكورة من تعارض المطلق والمقيّد، أو العموم والخصوص مطلقًا ؛ و هو غير مسلّم، بل الظاهر أنّ التعارض بينهما من تعارض الظاهرين والعموم من وجه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الحال في ذلك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مفهوم صحيحة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bookmarkStart w:id="287" w:name="pg7350_54590"/>
    </w:p>
    <w:p>
      <w:pPr>
        <w:pStyle w:val="BookText"/>
        <w:rPr/>
      </w:pPr>
      <w:bookmarkEnd w:id="287"/>
      <w:r>
        <w:rPr>
          <w:rFonts w:ascii="Amiri" w:hAnsi="Amiri" w:eastAsia="Amiri" w:cs="Amiri"/>
          <w:color w:val="111111"/>
          <w:sz w:val="28"/>
          <w:sz w:val="28"/>
          <w:szCs w:val="28"/>
          <w:rtl w:val="true"/>
          <w:lang w:bidi="ar-SA"/>
        </w:rPr>
        <w:t xml:space="preserve">كان السوق غير سوق المسلمين وجب عليك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اتّجه احتمال العموم والخصوص مطلقًا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صحيح ؛ إذ الظاهر أنّ المفهوم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في أسواق المسلمين فكل و لاتسأل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إذا لم يكن اللحم في أسواق المسلمين فلا تأكل من غير سؤال، بل لابدّ لك من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بينه و بين النصوص المسوّغة لجواز الاستعمال في الجلود المأخوذة من الأسواق بعنوان الإطلاق عموم من وجه، لافتراق المفهوم المذكور عنها في غير الأسواق، لكونه مندرجًا تحته دون النصوص المذكورة ؛ وافتراقها عنه في الأسواق المختصّة بالمسلمين ؛ واجتماعهما في محلّ الكلام و نحوه </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190667_1051229030"/>
      <w:bookmarkStart w:id="289" w:name="_Toc108"/>
      <w:bookmarkEnd w:id="288"/>
      <w:r>
        <w:rPr>
          <w:rtl w:val="true"/>
        </w:rPr>
        <w:t>مختار المؤلّف قدس‌سره و دليله</w:t>
      </w:r>
      <w:bookmarkEnd w:id="289"/>
    </w:p>
    <w:p>
      <w:pPr>
        <w:pStyle w:val="BookText"/>
        <w:rPr/>
      </w:pPr>
      <w:r>
        <w:rPr>
          <w:rFonts w:ascii="Amiri" w:hAnsi="Amiri" w:eastAsia="Amiri" w:cs="Amiri"/>
          <w:color w:val="111111"/>
          <w:sz w:val="28"/>
          <w:sz w:val="28"/>
          <w:szCs w:val="28"/>
          <w:rtl w:val="true"/>
          <w:lang w:bidi="ar-SA"/>
        </w:rPr>
        <w:t xml:space="preserve">فالمفهوم يقتضي عدم الجواز من غير مسألة، والنصوص اقتضت الجواز من غيرها، فلابدّ من الرجوع إلى التراجيح، و هي مع النصوص المذكورة للوجوه المرجّحة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الدلالة فيها بالمنطوق، و هو أقوى من المفهوم، فالترجيح لمذهب المجوّزين وإن كان الاحتياط مع المانعين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حقًّا، لكنّه مبنيّ على أنّ المفهوم في صحيحة الفضلاء ما ذكر ثانيًا، و هو غير مسلّم، لأنّ ذلك إنّما كان وجيهًا إذا لم يذكر السوق في </w:t>
      </w:r>
      <w:bookmarkStart w:id="290" w:name="pg7350_54592"/>
    </w:p>
    <w:p>
      <w:pPr>
        <w:pStyle w:val="BookText"/>
        <w:rPr/>
      </w:pPr>
      <w:bookmarkEnd w:id="290"/>
      <w:r>
        <w:rPr>
          <w:rFonts w:ascii="Amiri" w:hAnsi="Amiri" w:eastAsia="Amiri" w:cs="Amiri"/>
          <w:color w:val="111111"/>
          <w:sz w:val="28"/>
          <w:sz w:val="28"/>
          <w:szCs w:val="28"/>
          <w:rtl w:val="true"/>
          <w:lang w:bidi="ar-SA"/>
        </w:rPr>
        <w:t xml:space="preserve">السؤال ؛ و هو مذكور فيه، لما عرفت من أنّه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سألوا أبا جعفر عليه‌السلام عن شراء اللحم من الأسواق و لايدرى ما يصنع القصّابون،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إذا كان ذلك في أسواق المسلمين و لاتسأل عنه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فالمشار إليه لاسم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السوق، فيكون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السوق غير سوق المسلمين فلا تأكل واسأل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كان وجيهًا إذا لم يذكر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في أسواق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معه فلا، كما لا يخفى على المتأمّل، بل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المشار إليه لاسم الإشارة أو مرجع الضمير هو اللحم المذكور فيالسؤال، والتقدير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اللحم في أسواق المسلمين فكل ولا تسأل، فالمفهوم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اللحم في أسواق المسلمين فلا تأكل، و هو ما بنينا عليه الكلام، والحمد للّه في الفاتحة والختام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190669_1051229030"/>
      <w:bookmarkStart w:id="292" w:name="_Toc109"/>
      <w:bookmarkEnd w:id="291"/>
      <w:r>
        <w:rPr>
          <w:rtl w:val="true"/>
        </w:rPr>
        <w:t>القسم الخامس والعشرون</w:t>
      </w:r>
      <w:r>
        <w:rPr>
          <w:rtl w:val="true"/>
        </w:rPr>
        <w:t>:</w:t>
      </w:r>
      <w:bookmarkEnd w:id="292"/>
    </w:p>
    <w:p>
      <w:pPr>
        <w:pStyle w:val="Heading5"/>
        <w:numPr>
          <w:ilvl w:val="4"/>
          <w:numId w:val="1"/>
        </w:numPr>
        <w:rPr/>
      </w:pPr>
      <w:bookmarkStart w:id="293" w:name="__RefHeading___Toc1190671_1051229030"/>
      <w:bookmarkStart w:id="294" w:name="_Toc110"/>
      <w:bookmarkEnd w:id="293"/>
      <w:r>
        <w:rPr>
          <w:rtl w:val="true"/>
        </w:rPr>
        <w:t>اشارة</w:t>
      </w:r>
      <w:bookmarkEnd w:id="2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من ذي اليد المسلم الغير المستحلّ بكونه من غير المذكّى </w:t>
      </w:r>
      <w:r>
        <w:rPr>
          <w:rFonts w:eastAsia="Amiri" w:cs="Amiri" w:ascii="Amiri" w:hAnsi="Amiri"/>
          <w:color w:val="111111"/>
          <w:sz w:val="28"/>
          <w:szCs w:val="28"/>
          <w:rtl w:val="true"/>
          <w:lang w:bidi="ar-SA"/>
        </w:rPr>
        <w:t xml:space="preserve">. </w:t>
      </w:r>
      <w:bookmarkStart w:id="295" w:name="pg7350_54594"/>
    </w:p>
    <w:p>
      <w:pPr>
        <w:pStyle w:val="BookText"/>
        <w:rPr/>
      </w:pPr>
      <w:bookmarkEnd w:id="295"/>
      <w:r>
        <w:rPr>
          <w:rFonts w:ascii="Amiri" w:hAnsi="Amiri" w:eastAsia="Amiri" w:cs="Amiri"/>
          <w:color w:val="111111"/>
          <w:sz w:val="28"/>
          <w:sz w:val="28"/>
          <w:szCs w:val="28"/>
          <w:rtl w:val="true"/>
          <w:lang w:bidi="ar-SA"/>
        </w:rPr>
        <w:t xml:space="preserve">و مقتضى إطلاق المعتبر والذكرى والبيان والدروس والجعفريّة والروض </w:t>
      </w:r>
      <w:r>
        <w:rPr>
          <w:rStyle w:val="FootnoteAnchor"/>
          <w:rtl w:val="true"/>
        </w:rPr>
        <w:footnoteReference w:id="354"/>
      </w:r>
      <w:r>
        <w:rPr>
          <w:rFonts w:ascii="Amiri" w:hAnsi="Amiri" w:eastAsia="Amiri" w:cs="Amiri"/>
          <w:color w:val="111111"/>
          <w:sz w:val="28"/>
          <w:sz w:val="28"/>
          <w:szCs w:val="28"/>
          <w:rtl w:val="true"/>
          <w:lang w:bidi="ar-SA"/>
        </w:rPr>
        <w:t>وإن كان الجواز هنا أيضًا، لكنّ الظاهر أنّه ليس مراد، لتصريح كثير منهم بأنّ ذا اليد</w:t>
      </w:r>
    </w:p>
    <w:p>
      <w:pPr>
        <w:pStyle w:val="BookText"/>
        <w:rPr/>
      </w:pPr>
      <w:r>
        <w:rPr>
          <w:rFonts w:ascii="Amiri" w:hAnsi="Amiri" w:eastAsia="Amiri" w:cs="Amiri"/>
          <w:color w:val="111111"/>
          <w:sz w:val="28"/>
          <w:sz w:val="28"/>
          <w:szCs w:val="28"/>
          <w:rtl w:val="true"/>
          <w:lang w:bidi="ar-SA"/>
        </w:rPr>
        <w:t xml:space="preserve">إذا أخبر بكونه من غير المذكّى يقبل قوله ؛ والظاهر منهم تسليم ذلك و لو كان في السوق المختصّ بالمسلمين، فضلاً عن المشترك بين الفريقين </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90673_1051229030"/>
      <w:bookmarkStart w:id="297" w:name="_Toc111"/>
      <w:bookmarkEnd w:id="296"/>
      <w:r>
        <w:rPr>
          <w:rtl w:val="true"/>
        </w:rPr>
        <w:t>المستند في قبول الإخبار</w:t>
      </w:r>
      <w:bookmarkEnd w:id="297"/>
    </w:p>
    <w:p>
      <w:pPr>
        <w:pStyle w:val="BookText"/>
        <w:rPr/>
      </w:pPr>
      <w:r>
        <w:rPr>
          <w:rFonts w:ascii="Amiri" w:hAnsi="Amiri" w:eastAsia="Amiri" w:cs="Amiri"/>
          <w:color w:val="111111"/>
          <w:sz w:val="28"/>
          <w:sz w:val="28"/>
          <w:szCs w:val="28"/>
          <w:rtl w:val="true"/>
          <w:lang w:bidi="ar-SA"/>
        </w:rPr>
        <w:t xml:space="preserve">والمستند في قبول الإخبار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الظاهر أنّه ممّا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الكافي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الخفافعندنا في السوق نشتريها، فما ترى في الصلاة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حتّى يقال لك إنّها ميتة بعينه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السوق في الحديث إن كان المختصّ بالمسلمين فيدلّ على القبول والاجتناب فيما نحن فيه بطريق أولى ؛ و إن كان أعمّ فيدلّ عليه بالمنطوق، بل الفحوى أيضًا، كما لا يخفى على المتأمّل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الاجتناب في محلّ الكلام ممّا لاينبغي التأمّل فيه، سواء استفاد الظنّ من قوله، أم لا، إلاّ إذا كان خلافه مظنونًا، فحينئذٍ وقع التعارض بين </w:t>
      </w:r>
      <w:bookmarkStart w:id="298" w:name="pg7350_54597"/>
    </w:p>
    <w:p>
      <w:pPr>
        <w:pStyle w:val="BookText"/>
        <w:rPr/>
      </w:pPr>
      <w:bookmarkEnd w:id="298"/>
      <w:r>
        <w:rPr>
          <w:rFonts w:ascii="Amiri" w:hAnsi="Amiri" w:eastAsia="Amiri" w:cs="Amiri"/>
          <w:color w:val="111111"/>
          <w:sz w:val="28"/>
          <w:sz w:val="28"/>
          <w:szCs w:val="28"/>
          <w:rtl w:val="true"/>
          <w:lang w:bidi="ar-SA"/>
        </w:rPr>
        <w:t xml:space="preserve">المنطوق في موثّقة ابن بكير والمفهوم في صحيحة الفضلاء، لوضوح أنّ مقتضى المنطوق جواز الاستعمال مع الظنّ بالتذكية، والمفروض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المفهوم خلافه، لما عرفت من أنّ محصّله أنّه إذا لم يكن في سوق المسلمين يتوقّف الجواز على المسألة ؛ و مقتضاه أنّه إذا أخبر بالتذكية يقبل كما لايخفى، فإذا جاز التعويل على الإخبار بالتذكية الّتي هي مخالفة للأصل، فعلى الإخبار بالعدم الّذي هو موافقٌ للأصل بطريق أولى، و هو أعمّ من أن يكون خلاف الخبر مظنونًا،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موثّقة ابن بكير جواز الاستعمال مع الظنّ بالتذكية، سواء أخبر ذواليد بخلافه، أم لا ؛ و مقتضى المفهوم في الصحيحة عدم الجواز مع الإخبار بعدم التذكية، سواء كان خلافه مظنونًا، أم لا، فبينهما عموم من وجه </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190675_1051229030"/>
      <w:bookmarkStart w:id="300" w:name="_Toc112"/>
      <w:bookmarkEnd w:id="299"/>
      <w:r>
        <w:rPr>
          <w:rtl w:val="true"/>
        </w:rPr>
        <w:t>مختار المؤلّف قدس‌سره و دليله</w:t>
      </w:r>
      <w:bookmarkEnd w:id="3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والترجيح لموثّقة ابن بكير، لكون الدلالة فيها بالمنطوق، والاعتضاد بالنصوص المتكثّرة المعتبرة المسوّغة لاستعمال الجلود المأخوذة من الأسواق، وأصالتي الطهارة والإباحة، والمناسبة بالشريعة السهلة السمحة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آلاف 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على الجواز إلاّ مع العلم بكونه 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تعلم أنّه ميتة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و نحوه ممّا تقدّمت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وهن شمول المفهوم للصورة المفروضة، لكونها من الفروض النادرة، كما لايخفى </w:t>
      </w:r>
      <w:bookmarkStart w:id="301" w:name="pg7350_54599"/>
    </w:p>
    <w:p>
      <w:pPr>
        <w:pStyle w:val="BookText"/>
        <w:rPr/>
      </w:pPr>
      <w:bookmarkEnd w:id="301"/>
      <w:r>
        <w:rPr>
          <w:rFonts w:ascii="Amiri" w:hAnsi="Amiri" w:eastAsia="Amiri" w:cs="Amiri"/>
          <w:color w:val="111111"/>
          <w:sz w:val="28"/>
          <w:sz w:val="28"/>
          <w:szCs w:val="28"/>
          <w:rtl w:val="true"/>
          <w:lang w:bidi="ar-SA"/>
        </w:rPr>
        <w:t xml:space="preserve">على ذي فطنة و دراية ؛ و منه يظهر الحال في التمسّك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يقال لك إنّها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كلمات أصحابنا الناطقة بلزوم الاجتناب حال الإخبار بعدم التذكية </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190677_1051229030"/>
      <w:bookmarkStart w:id="303" w:name="_Toc113"/>
      <w:bookmarkEnd w:id="302"/>
      <w:r>
        <w:rPr>
          <w:rtl w:val="true"/>
        </w:rPr>
        <w:t xml:space="preserve">القسم السادس والعشرون </w:t>
      </w:r>
      <w:r>
        <w:rPr>
          <w:rtl w:val="true"/>
        </w:rPr>
        <w:t>:</w:t>
      </w:r>
      <w:bookmarkEnd w:id="303"/>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الجلد في يد المسلم الغير المستحلّ في البلد المشترك مع الإخبار والظنّ بالتذكية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الاستعمال، وفاقًا للمعتبر والمنتهى والتذكرة و نهاية الإحكام والسرائر والبيان والذكرى والدروس والجعفريّة والروض و غيرهم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مفهومًا على التحقيق و منطوقًا على غيره ؛ وموثّقتا ابن بكير وإسحاق ؛ و صحيحة عبد الرّحمن بن الحجّاج ؛ و رواية إسماعيل بن عيسى، لدلالتها على جواز الاستعمال من غير إخبار، فمعه بطريق أولى ؛ والسؤال وإن وقع في شراء الفراء في بعض الأسواق، لكنّ العبرة بعموم الجواب، فلا يضرّه خصوصيّة السؤال </w:t>
      </w:r>
      <w:r>
        <w:rPr>
          <w:rFonts w:eastAsia="Amiri" w:cs="Amiri" w:ascii="Amiri" w:hAnsi="Amiri"/>
          <w:color w:val="111111"/>
          <w:sz w:val="28"/>
          <w:szCs w:val="28"/>
          <w:rtl w:val="true"/>
          <w:lang w:bidi="ar-SA"/>
        </w:rPr>
        <w:t xml:space="preserve">. </w:t>
      </w:r>
      <w:bookmarkStart w:id="304" w:name="pg7350_54601"/>
    </w:p>
    <w:p>
      <w:pPr>
        <w:pStyle w:val="BookText"/>
        <w:rPr/>
      </w:pPr>
      <w:bookmarkEnd w:id="304"/>
      <w:r>
        <w:rPr>
          <w:rFonts w:ascii="Amiri" w:hAnsi="Amiri" w:eastAsia="Amiri" w:cs="Amiri"/>
          <w:color w:val="111111"/>
          <w:sz w:val="28"/>
          <w:sz w:val="28"/>
          <w:szCs w:val="28"/>
          <w:rtl w:val="true"/>
          <w:lang w:bidi="ar-SA"/>
        </w:rPr>
        <w:t xml:space="preserve">و لعلّ الظاهر من شيخ الطائفة في الكتابين خلافه، كما مرّ مرارًا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أن يكون المستند فيه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المتكرّرة و رواية</w:t>
      </w:r>
    </w:p>
    <w:p>
      <w:pPr>
        <w:pStyle w:val="BookText"/>
        <w:rPr/>
      </w:pPr>
      <w:r>
        <w:rPr>
          <w:rFonts w:ascii="Amiri" w:hAnsi="Amiri" w:eastAsia="Amiri" w:cs="Amiri"/>
          <w:color w:val="111111"/>
          <w:sz w:val="28"/>
          <w:sz w:val="28"/>
          <w:szCs w:val="28"/>
          <w:rtl w:val="true"/>
          <w:lang w:bidi="ar-SA"/>
        </w:rPr>
        <w:t xml:space="preserve">أبي حمزة السالفة، لكنّك قد عرفت الجواب عنه غير مرّة، فلا افتقار إلى الإعادة </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90679_1051229030"/>
      <w:bookmarkStart w:id="306" w:name="_Toc114"/>
      <w:bookmarkEnd w:id="305"/>
      <w:r>
        <w:rPr>
          <w:rtl w:val="true"/>
        </w:rPr>
        <w:t xml:space="preserve">القسم السابع والعشرون </w:t>
      </w:r>
      <w:r>
        <w:rPr>
          <w:rtl w:val="true"/>
        </w:rPr>
        <w:t>:</w:t>
      </w:r>
      <w:bookmarkEnd w:id="306"/>
    </w:p>
    <w:p>
      <w:pPr>
        <w:pStyle w:val="Heading5"/>
        <w:numPr>
          <w:ilvl w:val="4"/>
          <w:numId w:val="1"/>
        </w:numPr>
        <w:rPr/>
      </w:pPr>
      <w:bookmarkStart w:id="307" w:name="__RefHeading___Toc1190681_1051229030"/>
      <w:bookmarkStart w:id="308" w:name="_Toc11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الكتب المذكورة هنا أيضًا جواز الاستعمال من وجهين في بعض و وجه في آخر على ما نبّهنا عليه فيما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الموثّقتان المذكورتان، و صحيحة جعفر بن محمّد بن يونس السالفة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كتب إلى أبي الحسن عليه‌السلام يسأله عن الفرو والخفّ ألبسه وأصلّى فيه و لا أعلم أنّه ذكيّ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ترك استفصاله في صورة الإخبار بالتذكية و عدمه مع حكمه بالجواز دليل ثبوت الحكم في الصورتين، ككونه في البلد المختصّ أو المشترك أو السوق، و غيره ؛ و رواية إسماعيل بن عيسى </w:t>
      </w:r>
      <w:r>
        <w:rPr>
          <w:rFonts w:eastAsia="Amiri" w:cs="Amiri" w:ascii="Amiri" w:hAnsi="Amiri"/>
          <w:color w:val="111111"/>
          <w:sz w:val="28"/>
          <w:szCs w:val="28"/>
          <w:rtl w:val="true"/>
          <w:lang w:bidi="ar-SA"/>
        </w:rPr>
        <w:t xml:space="preserve">. </w:t>
      </w:r>
      <w:bookmarkStart w:id="309" w:name="pg7350_54603"/>
    </w:p>
    <w:p>
      <w:pPr>
        <w:pStyle w:val="Heading5"/>
        <w:numPr>
          <w:ilvl w:val="4"/>
          <w:numId w:val="1"/>
        </w:numPr>
        <w:rPr/>
      </w:pPr>
      <w:bookmarkStart w:id="310" w:name="__RefHeading___Toc1190683_1051229030"/>
      <w:bookmarkStart w:id="311" w:name="_Toc116"/>
      <w:bookmarkEnd w:id="309"/>
      <w:bookmarkEnd w:id="310"/>
      <w:r>
        <w:rPr>
          <w:rtl w:val="true"/>
        </w:rPr>
        <w:t>الظاهر من شيخ الطائفة عدم الجواز</w:t>
      </w:r>
      <w:bookmarkEnd w:id="311"/>
    </w:p>
    <w:p>
      <w:pPr>
        <w:pStyle w:val="BookText"/>
        <w:rPr/>
      </w:pPr>
      <w:r>
        <w:rPr>
          <w:rFonts w:ascii="Amiri" w:hAnsi="Amiri" w:eastAsia="Amiri" w:cs="Amiri"/>
          <w:color w:val="111111"/>
          <w:sz w:val="28"/>
          <w:sz w:val="28"/>
          <w:szCs w:val="28"/>
          <w:rtl w:val="true"/>
          <w:lang w:bidi="ar-SA"/>
        </w:rPr>
        <w:t xml:space="preserve">والظاهر من شيخ الطائفة في الكتابين عدم الجواز، و لعلّ 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صحيحة الفضلاء، بناءً على ما عرفت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يظهر ممّا مرّ أيضًا، لكون التعارض بينه و بين المنطوق في موثّقة إسحاق بن عمّار من تعارض الظاهرين والعموم من وجه، لأنّ مقتضى المنطوق مع الظنّ بالتذكية، سواء تحقّق الاستخبار والإخبار، أم لا ؛ و مقتضى المفهوم توقّف الجواز على الاستخبار والإخبار، سواء ظنّ بالتذكية، أم لا </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1190685_1051229030"/>
      <w:bookmarkStart w:id="313" w:name="_Toc117"/>
      <w:bookmarkEnd w:id="312"/>
      <w:r>
        <w:rPr>
          <w:rtl w:val="true"/>
        </w:rPr>
        <w:t>مختار المؤلّف قدس‌سره و دليله</w:t>
      </w:r>
      <w:bookmarkEnd w:id="313"/>
    </w:p>
    <w:p>
      <w:pPr>
        <w:pStyle w:val="BookText"/>
        <w:rPr/>
      </w:pPr>
      <w:r>
        <w:rPr>
          <w:rFonts w:ascii="Amiri" w:hAnsi="Amiri" w:eastAsia="Amiri" w:cs="Amiri"/>
          <w:color w:val="111111"/>
          <w:sz w:val="28"/>
          <w:sz w:val="28"/>
          <w:szCs w:val="28"/>
          <w:rtl w:val="true"/>
          <w:lang w:bidi="ar-SA"/>
        </w:rPr>
        <w:t xml:space="preserve">والوجوه المرجّحة متحقّقة في الجانبين،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فللصحّة في السند وكون المضمون ممّا أطبقت المشايخ الثلاثة على إيراده ؛ والاعتضاد بأصالة عدم التذكية و بقاعدة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الموثّقة فلكون الدلالة فيها بالمنطوق ؛ والاعتضاد بموثّقة ابن بكير وصحيحة جعفر بن محمّد بن يونس، و برواية إسماعيل بن عيسى، و بأصالتي الطهارة والإباحة، والمناسبة بالشريعة السهلة السمحة، و بالموافقة بما يظهر من أكثر عظماء الطائفة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القوّة في الدلالة حتّى يمكن أن يدّعي أنّ التعارض بينهما من تعارض العموم والخصوص مطلقًا على ما نبّهنا عليه فيما سلف </w:t>
      </w:r>
      <w:r>
        <w:rPr>
          <w:rFonts w:eastAsia="Amiri" w:cs="Amiri" w:ascii="Amiri" w:hAnsi="Amiri"/>
          <w:color w:val="111111"/>
          <w:sz w:val="28"/>
          <w:szCs w:val="28"/>
          <w:rtl w:val="true"/>
          <w:lang w:bidi="ar-SA"/>
        </w:rPr>
        <w:t xml:space="preserve">. </w:t>
      </w:r>
      <w:bookmarkStart w:id="314" w:name="pg7350_54605"/>
    </w:p>
    <w:p>
      <w:pPr>
        <w:pStyle w:val="BookText"/>
        <w:rPr/>
      </w:pPr>
      <w:bookmarkEnd w:id="314"/>
      <w:r>
        <w:rPr>
          <w:rFonts w:ascii="Amiri" w:hAnsi="Amiri" w:eastAsia="Amiri" w:cs="Amiri"/>
          <w:color w:val="111111"/>
          <w:sz w:val="28"/>
          <w:sz w:val="28"/>
          <w:szCs w:val="28"/>
          <w:rtl w:val="true"/>
          <w:lang w:bidi="ar-SA"/>
        </w:rPr>
        <w:t xml:space="preserve">فالترجيح للجواز وإن كان الاجتناب حال الإمكان أوفق بطريق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مبنيّ على تسليم كون المورد في موثّقة إسحاق صورة المظنّة، بناءً على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الغالب عليها المسلمين </w:t>
      </w:r>
      <w:r>
        <w:rPr>
          <w:rStyle w:val="FootnoteAnchor"/>
          <w:rtl w:val="true"/>
        </w:rPr>
        <w:footnoteReference w:id="360"/>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 مستلزم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أبيت عن ذلك، فصوّر المقال بين موثّقة ابن بكير بعد حمل العلم فيها على الظنّ و بين المفهوم في صحيحة الفضلاء على النحو المذكور، فاجعل المنطوق في موثّقة إسحاق بن عمّار من المرجّحات كسائر الأمور المرجّحة المذكورة، فتأمّل </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90687_1051229030"/>
      <w:bookmarkStart w:id="316" w:name="_Toc118"/>
      <w:bookmarkEnd w:id="315"/>
      <w:r>
        <w:rPr>
          <w:rtl w:val="true"/>
        </w:rPr>
        <w:t xml:space="preserve">القسم الثامن والعشرون </w:t>
      </w:r>
      <w:r>
        <w:rPr>
          <w:rtl w:val="true"/>
        </w:rPr>
        <w:t>:</w:t>
      </w:r>
      <w:bookmarkEnd w:id="316"/>
    </w:p>
    <w:p>
      <w:pPr>
        <w:pStyle w:val="Heading5"/>
        <w:numPr>
          <w:ilvl w:val="4"/>
          <w:numId w:val="1"/>
        </w:numPr>
        <w:rPr/>
      </w:pPr>
      <w:bookmarkStart w:id="317" w:name="__RefHeading___Toc1190689_1051229030"/>
      <w:bookmarkStart w:id="318" w:name="_Toc119"/>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المظنّة بأن يكون الجلد في يد المسلم الغير المستحلّ في البلد المشترك مع غلبة المسلمين مع الإخبار من ذي اليد بالتذكية، لكن من غير استفادة الظنّ من قوله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ظاهر المعتبر والبيان والذكرى والدروس والجعفريّة والروض </w:t>
      </w:r>
      <w:r>
        <w:rPr>
          <w:rStyle w:val="FootnoteAnchor"/>
          <w:rtl w:val="true"/>
        </w:rPr>
        <w:footnoteReference w:id="362"/>
      </w:r>
      <w:r>
        <w:rPr>
          <w:rFonts w:ascii="Amiri" w:hAnsi="Amiri" w:eastAsia="Amiri" w:cs="Amiri"/>
          <w:color w:val="111111"/>
          <w:sz w:val="28"/>
          <w:sz w:val="28"/>
          <w:szCs w:val="28"/>
          <w:rtl w:val="true"/>
          <w:lang w:bidi="ar-SA"/>
        </w:rPr>
        <w:t xml:space="preserve">جواز الاستعمال أيضًا من وجهين في الأوّلين، و من وجه في غيرهما </w:t>
      </w:r>
    </w:p>
    <w:p>
      <w:pPr>
        <w:pStyle w:val="BookText"/>
        <w:rPr/>
      </w:pPr>
      <w:r>
        <w:rPr>
          <w:rFonts w:ascii="Amiri" w:hAnsi="Amiri" w:eastAsia="Amiri" w:cs="Amiri"/>
          <w:color w:val="111111"/>
          <w:sz w:val="28"/>
          <w:sz w:val="28"/>
          <w:szCs w:val="28"/>
          <w:rtl w:val="true"/>
          <w:lang w:bidi="ar-SA"/>
        </w:rPr>
        <w:t xml:space="preserve">على ما علمت في بعض المباحث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يجعل الذكرى مشاركًا مع الأوّلين في الدلالة من وجهين، لتصريحه بالقبول فيما إذا أخبر المسلم المستحلّ بالتذكية، ففي المسلم الغير المستحلّ بطريق أولى ؛ قال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 في يد مستحلّ بالدبغ، ففيه صور ثلاث،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ميتة فليجتنب، لاعتضاده بالأصل من عدم الذكاة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مذكّى، فالأقرب القبول، لأنّه الأغلب و لكونه ذا يد عليه، فيقبل قوله فيه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الحال في بعض المباحث السالفة، فعلى هذا يكون دلالة البيان على الجواز في محلّ الكلام من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الوجهان السابقان و تصريحه بالقبول من إخبار المسلم المستحلّ، ففي غير المستحلّ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أوردنا عبارته في القسم الخامس من الأقسام المذكورة، و منه يتقوّي دلالته على الجواز في بعض المباحث السالفة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المبسوط والنهاية عدم الجواز </w:t>
      </w:r>
      <w:r>
        <w:rPr>
          <w:rStyle w:val="FootnoteAnchor"/>
          <w:rtl w:val="true"/>
        </w:rPr>
        <w:footnoteReference w:id="364"/>
      </w:r>
      <w:r>
        <w:rPr>
          <w:rFonts w:ascii="Amiri" w:hAnsi="Amiri" w:eastAsia="Amiri" w:cs="Amiri"/>
          <w:color w:val="111111"/>
          <w:sz w:val="28"/>
          <w:sz w:val="28"/>
          <w:szCs w:val="28"/>
          <w:rtl w:val="true"/>
          <w:lang w:bidi="ar-SA"/>
        </w:rPr>
        <w:t>، و لعلّه الظاهر من التذكرة ونهاية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الإحكام على ما عرفت مرارًا، بل المنتهى والتحرير على الاحتمال المتقدّم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والمستند في الجواز هو المفهوم في صحيحة الفضلاء، لوضوح أنّ المسألة الّتي جعلها عليه‌السلام مناطًا في جواز الأكل إنّما هو لأجل الإخبار بكونه من ذبيحة المسلمين والمفروض تحقّقه ؛ وإن شئت فافرض تحقّق الاستخبار أيضًا، إذ ليس المفروض في محلّ الكلام اعتبار عدمه، بل عدم اعتباره، فلا ينافي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إسماعيل بن عيسى، لما بيّنا من أنّ مقتضى تعليق وجوب المسألة على ما إذا كان البائع مشركًا انتفاؤه عند انتفائه كما هو المفروض، إذ الكلام فيما إذا كان</w:t>
      </w:r>
    </w:p>
    <w:p>
      <w:pPr>
        <w:pStyle w:val="BookText"/>
        <w:rPr/>
      </w:pPr>
      <w:r>
        <w:rPr>
          <w:rFonts w:ascii="Amiri" w:hAnsi="Amiri" w:eastAsia="Amiri" w:cs="Amiri"/>
          <w:color w:val="111111"/>
          <w:sz w:val="28"/>
          <w:sz w:val="28"/>
          <w:szCs w:val="28"/>
          <w:rtl w:val="true"/>
          <w:lang w:bidi="ar-SA"/>
        </w:rPr>
        <w:t xml:space="preserve">الجلد في يد المسلم، و قد نبّهنا مرارًا أنّ العبرة بعموم اللفظ، فلا يفيد تخصيصه خصوصيّة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صحيحة عبد الرّحمن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الفراء اشتريه منالرجل الّذي لعلّي لا أثق به </w:t>
      </w:r>
      <w:r>
        <w:rPr>
          <w:rStyle w:val="FootnoteAnchor"/>
          <w:rtl w:val="true"/>
        </w:rPr>
        <w:footnoteReference w:id="366"/>
      </w:r>
      <w:r>
        <w:rPr>
          <w:rFonts w:ascii="Amiri" w:hAnsi="Amiri" w:eastAsia="Amiri" w:cs="Amiri"/>
          <w:color w:val="111111"/>
          <w:sz w:val="28"/>
          <w:sz w:val="28"/>
          <w:szCs w:val="28"/>
          <w:rtl w:val="true"/>
          <w:lang w:bidi="ar-SA"/>
        </w:rPr>
        <w:t>، فيبيعني على أنّها ذكيّة أبيعها على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لاتثق به فلا تبعها على أنّها ذكيّة،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انّها ذكيّة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ترك الاستفصال بين كون الرجل في السؤال مسلمًا مستحلاًّ أو غير مستحلّ يفيد ثبوت الحكم في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المسلم الغير المستحلّ متيقّن الإرادة، إذ لو كان هو المراد من السؤال فالأمر ظاهر ؛ و إن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ثبوت الحكم في غير المستحلّ بطريق أولى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 يظهر الحال في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استفصاله عليه‌السلام بين كون الرجل في البلد المختصّ بالمسلمين أو المشترك بين الفريقين و حكمه بما يدلّ على الجواز يفيد ثبوت الحكم في الحالين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في ترك تفرقته عليه‌السلام بين استفادة الظنّ من قول المخبر بالتذكية و غيره، فإنّه يدلّ على ثبوت الحكم في القسمين، فيتمّ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جعفر بن محمّد بن يونس السالفة، بناءً على ما يظهر ممّا قدّمنا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عليه‌السلام في موثّقة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 المسلمين </w:t>
      </w:r>
      <w:r>
        <w:rPr>
          <w:rStyle w:val="FootnoteAnchor"/>
          <w:rtl w:val="true"/>
        </w:rPr>
        <w:footnoteReference w:id="368"/>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بناءً على ما عرفت فيما سلف من أنّ الظاهر أنّ اعتبار الغلبة إنّما هو لإلحاق المشتبه الحال بالمسلم، فيحكم بجواز الاستعمال لذلك، والمفروض معلوميّة الإسلام من ذي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انّ المستفاد من الحديث أنّ المناط في استعمال الجلود في البلد المشترك غلبة المسلمين، والمفروض تحقّقها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به في المقام، لكن يمكن 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معارض بموثّقة ابن بكير المتكرّرة، إذ مقتضى المفهوم منها بعد حمل العلم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على الظنّ عدم جواز الصلاة في الجلود مع انتفاء المظنّة بالتذكية، سواء تحقّق الإخبار بها أم لا ؛ و مقتضى المفهوم في صحيحة الفضلاء الجواز في صورة </w:t>
      </w:r>
    </w:p>
    <w:p>
      <w:pPr>
        <w:pStyle w:val="BookText"/>
        <w:rPr/>
      </w:pPr>
      <w:r>
        <w:rPr>
          <w:rFonts w:ascii="IRNazanin" w:hAnsi="IRNazanin" w:eastAsia="IRNazanin"/>
          <w:color w:val="111111"/>
          <w:sz w:val="28"/>
          <w:sz w:val="28"/>
          <w:szCs w:val="28"/>
          <w:rtl w:val="true"/>
          <w:lang w:bidi="fa-IR"/>
        </w:rPr>
        <w:t xml:space="preserve">الإخبار، استفاد الظنّ منه أو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الترجيح لموثّقة ابن بكير، للقوّة في الدلالة، والاعتضاد بأصالة عدم التذكية والاحتياط في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في الصحيحة غير صالح للمعارضة، أمّا على ما بنى عليه شيخنا الشهيد الثاني من حمل النهي فيها على الكراهة فالأمر ظاهر، إذ مقتضى المفهوم حينئذٍ انتفاء كراهة السؤال في غير أسواق المسلمين ؛ و أين ذلك من الدلالة على الجواز بعد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ما بنينا عليه فلما نبّهنا عليه في بعض المباحث السالفة من كون المفروض من الفروض النادرة الّتي لايكاد ينصرف إليها إطلاق المفهوم، فيكون ظاهرًا في غيره ؛ و على فرض الإغماض عن دعوى الظهور فلا أقلّ من الشكّ في الشمول، و معه كيف يمكن أن يعارض به الموثّقة الظاهرة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رواية إسماعيل بن عيسى، فلأنّ التعارض بين المفهوم فيها والمفهوم في موثّقة ابن بكير من تعارض المطلق والمقيّد، إذ غاية ما يستفاد منه عدم لزوم المسألة فيما إذا لم يكن البائع من الكفرة ؛ و جواز الاستعمال حينئذٍ من غير المسألة، و هو أعمّ من أن يحصل الظنّ بالتذكية أم لا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المفهوم في موثّقة ابن بكير عدم جواز الاستعمال مع انتفاء المظنّة، فلابدّ من حمل المفهوم في الرواية على صورة المظنّة، أو على الجلود المأخوذة من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ضعف سندها يقدح في الركون إليها في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يظهر الجواب عمّا لو قرّر التعارض بينهما من تعارض الظاهرين والعموم من وجه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المفهوم في موثّقة ابن بكير عدم الجواز عند انتفاء الظنّ بالتذكية، سواء كان الجلد في يد المسلم أو غيره ؛ و مقتضى مفهوم الرواية هو الجواز فيما إذا كان في يد المسلم، سواء ظنّ بالتذكية أم لا ؛ و لمّا كان السند فيها</w:t>
      </w:r>
    </w:p>
    <w:p>
      <w:pPr>
        <w:pStyle w:val="BookText"/>
        <w:rPr/>
      </w:pPr>
      <w:r>
        <w:rPr>
          <w:rFonts w:ascii="Amiri" w:hAnsi="Amiri" w:eastAsia="Amiri" w:cs="Amiri"/>
          <w:color w:val="111111"/>
          <w:sz w:val="28"/>
          <w:sz w:val="28"/>
          <w:szCs w:val="28"/>
          <w:rtl w:val="true"/>
          <w:lang w:bidi="ar-SA"/>
        </w:rPr>
        <w:t xml:space="preserve">ضعيفًا لا يصلح أن يتمسّك بها في مقام المعارضة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استبان الجواب عمّا لو تمسّك متمسّك بفهموم الرواية في مقامالمعارضة لمفهوم الصحيحة المذكورة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المفهوم في الصحيحةلزوم السؤال فيما إذا لم يكن في سوق المسلمين ؛ و هو أعمّ من أن يكون ذواليد كافرًا أو مسلمًا، و مفهوم الرواية اقتضى عدم لزوم السؤال فيما إذا كان ذواليد مسلمًا، فلابدّ من حمل المفهوم في الصحيحة على ما إذا كان ذواليد كافرًا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الجواب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المفهوم في الرواية وإن كان ذلك، لكنّه أعمّ من أن يكون في أسواق المسلمين و غيرها، فبينهما عموم من وجه، لا مطلقًا، لأنّ المفهوم في الصحيحة وإن كان أعمّ من أن يكون ذواليد كافرًا أو مسلمًا، لكنّه أخصّ باعتبار أنّ الموضوع فيه غير أسواق المسلمين ؛ والمفهوم في الرواية وإن كان أخصّ باعتبار أنّ الموضوع فيه المسلم، لكنّه أعمّ باعتبار شموله لسوق المسلمين و غيره، والترجيح لجانب الصحيح من وجوه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نقول بعد تسليم انّ التعارض بينهما من تعارض العموم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والخصوص مطلقًا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المذكورة غير صالحة للمعارضة، لعدم </w:t>
      </w:r>
    </w:p>
    <w:p>
      <w:pPr>
        <w:pStyle w:val="BookText"/>
        <w:rPr/>
      </w:pPr>
      <w:r>
        <w:rPr>
          <w:rFonts w:ascii="Amiri" w:hAnsi="Amiri" w:eastAsia="Amiri" w:cs="Amiri"/>
          <w:color w:val="111111"/>
          <w:sz w:val="28"/>
          <w:sz w:val="28"/>
          <w:szCs w:val="28"/>
          <w:rtl w:val="true"/>
          <w:lang w:bidi="ar-SA"/>
        </w:rPr>
        <w:t xml:space="preserve">استجماعها لشرائط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صحيحة عبدالرّحمن بن الحجّاج، فيظهر ممّا ذكر أيضًا ؛ و ذلك لأنّ مقتضى عموم الصحيحة وإن كان جواز الاستعمال مطلقًا ولو مع انتفاء الظنّ بالتذكية، لكنّها مخصّصة بصورة المظنّة للمفهوم في الموثّقة المذكورة، أو بالجلود المأخوذة من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الحديث على النحو المرويّ في الكافي عن عبدالرّحمن المذكور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سوق المسلمين أعني هذا الخلق الّذي </w:t>
      </w:r>
      <w:r>
        <w:rPr>
          <w:rStyle w:val="FootnoteAnchor"/>
          <w:rtl w:val="true"/>
        </w:rPr>
        <w:footnoteReference w:id="370"/>
      </w:r>
      <w:r>
        <w:rPr>
          <w:rFonts w:ascii="Amiri" w:hAnsi="Amiri" w:eastAsia="Amiri" w:cs="Amiri"/>
          <w:color w:val="111111"/>
          <w:sz w:val="28"/>
          <w:sz w:val="28"/>
          <w:szCs w:val="28"/>
          <w:rtl w:val="true"/>
          <w:lang w:bidi="ar-SA"/>
        </w:rPr>
        <w:t xml:space="preserve">يدعون الإسلام، فأشتري منهم الفراء للتجارة، فأقول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ذكيّة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لي أن أبيعها على أنّها ذكيّة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لابأس أن تبيعها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لي الّذي أشتريتها منه أنّه </w:t>
      </w:r>
      <w:r>
        <w:rPr>
          <w:rStyle w:val="FootnoteAnchor"/>
          <w:rtl w:val="true"/>
        </w:rPr>
        <w:footnoteReference w:id="371"/>
      </w:r>
      <w:r>
        <w:rPr>
          <w:rFonts w:ascii="Amiri" w:hAnsi="Amiri" w:eastAsia="Amiri" w:cs="Amiri"/>
          <w:color w:val="111111"/>
          <w:sz w:val="28"/>
          <w:sz w:val="28"/>
          <w:szCs w:val="28"/>
          <w:rtl w:val="true"/>
          <w:lang w:bidi="ar-SA"/>
        </w:rPr>
        <w:t xml:space="preserve">ذكيّة، الحديث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عن صحيحة جعفر بن محمّد بن يونس، فلعين ما ذكر، بناءً على أنّ التعارض بينها و بين المفهوم في موثّقة ابن بكير من تعارض العموم والخصوص مطلقًا، لأنّ مقتضى الصحيحة جواز الاستعمال و لو مع عدم الظنّ بالتذكية، فلابدّ من تقييدها بصورة المظنّة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نبّهنا عليه في المباحث السالفة من لزوم حملها على صورة المظنّة، لكونها نصًّا في عدم اعتبار العلم، و ظاهرةً في جواز الاستعمال و لو مع </w:t>
      </w:r>
    </w:p>
    <w:p>
      <w:pPr>
        <w:pStyle w:val="BookText"/>
        <w:rPr/>
      </w:pPr>
      <w:r>
        <w:rPr>
          <w:rFonts w:ascii="Amiri" w:hAnsi="Amiri" w:eastAsia="Amiri" w:cs="Amiri"/>
          <w:color w:val="111111"/>
          <w:sz w:val="28"/>
          <w:sz w:val="28"/>
          <w:szCs w:val="28"/>
          <w:rtl w:val="true"/>
          <w:lang w:bidi="ar-SA"/>
        </w:rPr>
        <w:t xml:space="preserve">عدم المظنّة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موثّقة ابن بكير بالعكس، فهي ظاهرةٌ في اشتراط العلم، و صريحةٌ في اعتبار الرجحان، فلابدّ من رفع اليد عن ظاهر كلّ منهما لملاحظة النصّ في الآخر، فعلى هذا لايصحّ التمسّك بها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موثّقة إسحاق بن عمّار، فقد عرفت أنّ اعتبار الغلبة فيها إنّما هو لتحصيل المظنّة، والمفروض انتفاؤها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تحقيق الحال في الموثّقة المذكورة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الغلبةفيها إمّا الأكثريّة بحسب الوجود، أو التسلّط ؛ والنسبة بينهما عموم من وجه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الثاني، و يرشدك إليه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بعد كون المذكور في كلام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w:t>
      </w:r>
    </w:p>
    <w:p>
      <w:pPr>
        <w:pStyle w:val="BookText"/>
        <w:rPr/>
      </w:pPr>
      <w:r>
        <w:rPr>
          <w:rFonts w:ascii="Amiri" w:hAnsi="Amiri" w:eastAsia="Amiri" w:cs="Amiri"/>
          <w:color w:val="111111"/>
          <w:sz w:val="28"/>
          <w:sz w:val="28"/>
          <w:szCs w:val="28"/>
          <w:rtl w:val="true"/>
          <w:lang w:bidi="ar-SA"/>
        </w:rPr>
        <w:t xml:space="preserve">هذا ما ذكره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فيتعيّن سوق الإسلام بأغلبيّة المسلمين فيه، سواء كان حاكمهم مسلمًا وحكمهم نافذًا، أم لا، عملاً بالعموم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على ما ينبغي، لأنّ معنى الحديث 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المسلّط عليها المسلمين فلا بأس ؛ و ذلك لايتمّ إلاّ على تقدير كون الحاكم منهم و نفوذ حكمهم كما لا يخفى، فأين العموم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لكنّه مستلزم لتقدير مضاف في العبارة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المسلّط على أهل تلك الأرض مسلمين فلا بأس ؛ و جعل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مخالفًا للظاهر، لكنّه مجاز، وهو أولى من الإضمار، فيرجّح عليه عند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الاستلزام ممنوع، لوضوح شيوع الاستعمال منضمًّا إلى البلد،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مسلّط على مملكته، أو على تلك البلدة، إلاّ أنّ ذلك لايضرّ فيما نحن بصدده، إذ الظاهر أنّ اعتبار التسلّط إنّما هو للمظنّة بكون الجلد المشكوك فيه من ذبيحةالمسلمين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التسلّط منضمًّا إلى البلد وإن كان متداولاً، لكنّ المذكور في الحديث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يعهد استعماله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غلب على عدوّه، و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على تلك الأرض أو البلدة ؛ وإرجاع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أهل الإسلام ينافيه ظاهر السياق و إتيان الضمير للمؤنّث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القدر يكفي في ترجيح التجوّز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بعد ملاحظة فهم جماعة من فحول الأصحاب، كالمحقّق والعلاّمة والشهيدين و غيرهم، فلاحظ عباراتهم السالفة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لا يجدي فيما نحن فيه، لما عرفت مرارًا من أنّ الظاهر أنّ اعتبار الغلبة والكثرة إنّما هو لحصول المظنّة، لوضوح أنّ المظنون إلحاق المشتبه بالأغلب، فالمظنون في الجلود المشتبهة الموجودة في أرض الإسلام الّتي يكون غير أهل الإسلام فيها قليلاً أنّها معمولة على ما يقتضيه قواعد الإسلام، والظاهر أنّه </w:t>
      </w:r>
      <w:bookmarkStart w:id="319" w:name="pg7350_54617"/>
    </w:p>
    <w:p>
      <w:pPr>
        <w:pStyle w:val="BookText"/>
        <w:rPr/>
      </w:pPr>
      <w:bookmarkEnd w:id="319"/>
      <w:r>
        <w:rPr>
          <w:rFonts w:ascii="Amiri" w:hAnsi="Amiri" w:eastAsia="Amiri" w:cs="Amiri"/>
          <w:color w:val="111111"/>
          <w:sz w:val="28"/>
          <w:sz w:val="28"/>
          <w:szCs w:val="28"/>
          <w:rtl w:val="true"/>
          <w:lang w:bidi="ar-SA"/>
        </w:rPr>
        <w:t xml:space="preserve">الوجه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التمسّك به في إثبات الكلّيّة الّتي ذكرها الشهيد الثاني في غير محلّه، لوضوح أنّ المعهود في أرض الإسلام الّتي يكون الغالب فيها المسلمين أن يكون حاكمهم مسلمًا و حكمهم نافذًا على المشركين، فينصرف إطلاق الحديث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راجعٌ إلى مطلق الأرض، لا في المضافة إلى الإسلام، لكنّه مخالف للظاهر، فلاداعي لارتكابه كما لايخفى، فدقّق النظر فيما أبرزناه في هذا المقام، فإنّه نافعكفي كثير من مباحث الجلود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تبيّن أنّ التمسّك بموثّقة إسحاق بن عمّار في عدم الجواز في محلّ الكلام أولى من التمسّك به في الجواز </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190691_1051229030"/>
      <w:bookmarkStart w:id="321" w:name="_Toc120"/>
      <w:bookmarkEnd w:id="320"/>
      <w:r>
        <w:rPr>
          <w:rtl w:val="true"/>
        </w:rPr>
        <w:t>مختار المؤلّف قدس‌سره و دليله</w:t>
      </w:r>
      <w:bookmarkEnd w:id="321"/>
    </w:p>
    <w:p>
      <w:pPr>
        <w:pStyle w:val="BookText"/>
        <w:rPr/>
      </w:pPr>
      <w:r>
        <w:rPr>
          <w:rFonts w:ascii="Amiri" w:hAnsi="Amiri" w:eastAsia="Amiri" w:cs="Amiri"/>
          <w:color w:val="111111"/>
          <w:sz w:val="28"/>
          <w:sz w:val="28"/>
          <w:szCs w:val="28"/>
          <w:rtl w:val="true"/>
          <w:lang w:bidi="ar-SA"/>
        </w:rPr>
        <w:t xml:space="preserve">فالمختار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و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موثّقة ابن بكير المتكرّرة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90693_1051229030"/>
      <w:bookmarkStart w:id="323" w:name="_Toc121"/>
      <w:bookmarkEnd w:id="322"/>
      <w:r>
        <w:rPr>
          <w:rtl w:val="true"/>
        </w:rPr>
        <w:t xml:space="preserve">القسم التاسع والعشرون </w:t>
      </w:r>
      <w:r>
        <w:rPr>
          <w:rtl w:val="true"/>
        </w:rPr>
        <w:t>:</w:t>
      </w:r>
      <w:bookmarkEnd w:id="3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 انتفاء الإخبار أيضًا، فيكون الجلد في يد المسلم </w:t>
      </w:r>
    </w:p>
    <w:p>
      <w:pPr>
        <w:pStyle w:val="BookText"/>
        <w:rPr/>
      </w:pPr>
      <w:r>
        <w:rPr>
          <w:rFonts w:ascii="Amiri" w:hAnsi="Amiri" w:eastAsia="Amiri" w:cs="Amiri"/>
          <w:color w:val="111111"/>
          <w:sz w:val="28"/>
          <w:sz w:val="28"/>
          <w:szCs w:val="28"/>
          <w:rtl w:val="true"/>
          <w:lang w:bidi="ar-SA"/>
        </w:rPr>
        <w:t xml:space="preserve">الغير المستحلّ في البلد المشترك مع أغلبيّة المسلمين، لكن من غير إخبار ولا ظنّ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والبيان والذكرى والدروس والجعفريّة والروض </w:t>
      </w:r>
      <w:r>
        <w:rPr>
          <w:rStyle w:val="FootnoteAnchor"/>
          <w:rtl w:val="true"/>
        </w:rPr>
        <w:footnoteReference w:id="374"/>
      </w:r>
      <w:r>
        <w:rPr>
          <w:rFonts w:ascii="Amiri" w:hAnsi="Amiri" w:eastAsia="Amiri" w:cs="Amiri"/>
          <w:color w:val="111111"/>
          <w:sz w:val="28"/>
          <w:sz w:val="28"/>
          <w:szCs w:val="28"/>
          <w:rtl w:val="true"/>
          <w:lang w:bidi="ar-SA"/>
        </w:rPr>
        <w:t xml:space="preserve">جواز الاستعمال من وجهين في الأوّلين أيضًا، و من وجه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الظاهر من شيخ الطائفة في الكتابين المتقدّم ذكرهما العدم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الظاهر من التذكرة و نهاية الإحكام لما مرّ مرارًا، واحتمله المنتهى والتحرير لما تقدّم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في كلّ من الجواز والمنع يظهر ممّا مرّ، بل المنع هنا أقوى من السابق، لأنّه يدلّ عليه هنا كما دلّ عليه هناك، و يدلّ عليه هنا بعض ما لم يدلّ عليه هناك،</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كالمفهوم في صحيحة الفضلاء </w:t>
      </w:r>
      <w:r>
        <w:rPr>
          <w:rFonts w:eastAsia="Amiri" w:cs="Amiri" w:ascii="Amiri" w:hAnsi="Amiri"/>
          <w:color w:val="111111"/>
          <w:sz w:val="28"/>
          <w:szCs w:val="28"/>
          <w:rtl w:val="true"/>
          <w:lang w:bidi="ar-SA"/>
        </w:rPr>
        <w:t xml:space="preserve">. </w:t>
      </w:r>
      <w:bookmarkStart w:id="324" w:name="pg7350_54619"/>
    </w:p>
    <w:p>
      <w:pPr>
        <w:pStyle w:val="Heading4"/>
        <w:numPr>
          <w:ilvl w:val="3"/>
          <w:numId w:val="1"/>
        </w:numPr>
        <w:rPr/>
      </w:pPr>
      <w:bookmarkStart w:id="325" w:name="__RefHeading___Toc1190695_1051229030"/>
      <w:bookmarkStart w:id="326" w:name="_Toc122"/>
      <w:bookmarkEnd w:id="324"/>
      <w:bookmarkEnd w:id="325"/>
      <w:r>
        <w:rPr>
          <w:rtl w:val="true"/>
        </w:rPr>
        <w:t xml:space="preserve">القسم الثلاثون </w:t>
      </w:r>
      <w:r>
        <w:rPr>
          <w:rtl w:val="true"/>
        </w:rPr>
        <w:t>:</w:t>
      </w:r>
      <w:bookmarkEnd w:id="326"/>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من ذي اليد بكونه من غير ذبيحة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يعلم ممّا سلف في نظيره من غير افتقار إلى الذكر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190697_1051229030"/>
      <w:bookmarkStart w:id="328" w:name="_Toc123"/>
      <w:bookmarkEnd w:id="327"/>
      <w:r>
        <w:rPr>
          <w:rtl w:val="true"/>
        </w:rPr>
        <w:t xml:space="preserve">القسم الحادي والثلاثون </w:t>
      </w:r>
      <w:r>
        <w:rPr>
          <w:rtl w:val="true"/>
        </w:rPr>
        <w:t>:</w:t>
      </w:r>
      <w:bookmarkEnd w:id="328"/>
    </w:p>
    <w:p>
      <w:pPr>
        <w:pStyle w:val="Heading5"/>
        <w:numPr>
          <w:ilvl w:val="4"/>
          <w:numId w:val="1"/>
        </w:numPr>
        <w:rPr/>
      </w:pPr>
      <w:bookmarkStart w:id="329" w:name="__RefHeading___Toc1190699_1051229030"/>
      <w:bookmarkStart w:id="330" w:name="_Toc124"/>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الغير المستحلّ أيضًا، لكن في السوق المشترك مع المساوات بين الفريقين والإخبار والظنّ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والمنتهى و نهاية الإحكام والتذكرة والتحرير والذكرى والبيان والدروس والجعفريّة والروض جواز الاستعمال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شيخ الطائفة في الكتابين عدم الجواز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331" w:name="pg7350_54620"/>
    </w:p>
    <w:p>
      <w:pPr>
        <w:pStyle w:val="Heading5"/>
        <w:numPr>
          <w:ilvl w:val="4"/>
          <w:numId w:val="1"/>
        </w:numPr>
        <w:rPr/>
      </w:pPr>
      <w:bookmarkStart w:id="332" w:name="__RefHeading___Toc1190701_1051229030"/>
      <w:bookmarkStart w:id="333" w:name="_Toc125"/>
      <w:bookmarkEnd w:id="331"/>
      <w:bookmarkEnd w:id="332"/>
      <w:r>
        <w:rPr>
          <w:rtl w:val="true"/>
        </w:rPr>
        <w:t>المستند في الجواز</w:t>
      </w:r>
      <w:bookmarkEnd w:id="333"/>
    </w:p>
    <w:p>
      <w:pPr>
        <w:pStyle w:val="BookText"/>
        <w:rPr/>
      </w:pPr>
      <w:r>
        <w:rPr>
          <w:rFonts w:ascii="Amiri" w:hAnsi="Amiri" w:eastAsia="Amiri" w:cs="Amiri"/>
          <w:color w:val="111111"/>
          <w:sz w:val="28"/>
          <w:sz w:val="28"/>
          <w:szCs w:val="28"/>
          <w:rtl w:val="true"/>
          <w:lang w:bidi="ar-SA"/>
        </w:rPr>
        <w:t xml:space="preserve">والمستند في الجواز قوله عليه‌السلام في الموثّق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بعد ما علمت مرارًا من لزوم حمل العلم فيها على الظنّ ؛ و قد نبّهنا على أنّ الظاهر</w:t>
      </w:r>
    </w:p>
    <w:p>
      <w:pPr>
        <w:pStyle w:val="BookText"/>
        <w:rPr/>
      </w:pPr>
      <w:r>
        <w:rPr>
          <w:rFonts w:ascii="Amiri" w:hAnsi="Amiri" w:eastAsia="Amiri" w:cs="Amiri"/>
          <w:color w:val="111111"/>
          <w:sz w:val="28"/>
          <w:sz w:val="28"/>
          <w:szCs w:val="28"/>
          <w:rtl w:val="true"/>
          <w:lang w:bidi="ar-SA"/>
        </w:rPr>
        <w:t xml:space="preserve">من سياقها أنّ مقصوده عليه‌السلام إعطاء القاعدة الكلّيّة،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بالتذكية يكفي في جواز الاستعمال مطلقًا، والمفروض تحقّقه ؛ والمفهوم في صحيحة الفضلاء على ما نبّهنا عليه غير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صحيحة عبدالرّحمن السابقة، لترك استفصاله عليه‌السلام فيها بين كون الرجل البائع الغير الموثوق به في السوق المختصّ بالمسلمين و غيره ؛ و قد نبّهنا على أنّ المسلم الغير المستحلّ هو متيقّن الإرادة من الحديث، لدلالته إمّا بالمنطوق أو بالمفهوم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جعفر بن محمّد بن يونس المذكورة، لترك استفصاله عليه‌السلام فيها بين كون الخفّ مثلاً مأخوذًا من السوق المختصّ، أو المشترك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إسماعيل بن عيسى، لما بيّنا من أنّ مقتضى تعليقه عليه‌السلام وجوب المسألة على ما إذا كان البائع مشركًا انتفاؤه عند انتفائه ؛ و قد عرفت أنّ العبرة لعموم اللفظ، فلا يخصّصه الخصوصيّة في السؤال، فمقتضاها جواز الاستعمال من غير مسألة وإخبار، فمع الإخبار بطريق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والمستند في المنع قوله عليه‌السلام في موثّقة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الغالب عليهاالمسلمين </w:t>
      </w:r>
      <w:r>
        <w:rPr>
          <w:rStyle w:val="FootnoteAnchor"/>
          <w:rtl w:val="true"/>
        </w:rPr>
        <w:footnoteReference w:id="380"/>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أنّه عليه‌السلام جعل المناط في جواز الاستعمال غلبة المسلمين، والمفروض انتفاؤها ؛ و تحقّق البأس وإن لم يستلزم عدم الجواز في نفسه، لكنّ الإنصاف أنّه في بعض المقامات بمعونة القرائن يظهر أنّ المراد منه الحرمة، كما حقّقناه في مطالع الأنوار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القول بأنّ ما نحن فيه من ذلك، لوضوح أنّ الحرمة هي المتوهّمة في صورة عدم معلوميّة الذابح، لأصالة عدم التذكية، فالبأس المنفيّ ينصرف إليها، فكذلك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الصحيح المرويّ في الكافي عن الحلبي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Style w:val="FootnoteAnchor"/>
          <w:rtl w:val="true"/>
        </w:rPr>
        <w:footnoteReference w:id="383"/>
      </w:r>
      <w:r>
        <w:rPr>
          <w:rFonts w:ascii="Amiri" w:hAnsi="Amiri" w:eastAsia="Amiri" w:cs="Amiri"/>
          <w:color w:val="111111"/>
          <w:sz w:val="28"/>
          <w:sz w:val="28"/>
          <w:szCs w:val="28"/>
          <w:rtl w:val="true"/>
          <w:lang w:bidi="ar-SA"/>
        </w:rPr>
        <w:t xml:space="preserve">الصلاة في الفراء إلاّ ما صنع في أرض الحجاز، أو ما علمت منه أنّه </w:t>
      </w:r>
      <w:r>
        <w:rPr>
          <w:rStyle w:val="FootnoteAnchor"/>
          <w:rtl w:val="true"/>
        </w:rPr>
        <w:footnoteReference w:id="384"/>
      </w:r>
      <w:r>
        <w:rPr>
          <w:rFonts w:ascii="Amiri" w:hAnsi="Amiri" w:eastAsia="Amiri" w:cs="Amiri"/>
          <w:color w:val="111111"/>
          <w:sz w:val="28"/>
          <w:sz w:val="28"/>
          <w:szCs w:val="28"/>
          <w:rtl w:val="true"/>
          <w:lang w:bidi="ar-SA"/>
        </w:rPr>
        <w:t xml:space="preserve">ذكاة </w:t>
      </w:r>
      <w:r>
        <w:rPr>
          <w:rStyle w:val="FootnoteAnchor"/>
          <w:rtl w:val="true"/>
        </w:rPr>
        <w:footnoteReference w:id="385"/>
      </w:r>
      <w:r>
        <w:rPr>
          <w:rFonts w:ascii="Amiri" w:hAnsi="Amiri" w:eastAsia="Amiri" w:cs="Amiri"/>
          <w:color w:val="111111"/>
          <w:sz w:val="28"/>
          <w:sz w:val="28"/>
          <w:szCs w:val="28"/>
          <w:rtl w:val="true"/>
          <w:lang w:bidi="ar-SA"/>
        </w:rPr>
        <w:t xml:space="preserve">؛ كما لا يخفى على المتأمّل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عنه بما مرّ مرارًا من أنّ الظاهر أنّ اعتبار الغلبة فيها إنّما هو لحصول المظنّة بكونه من ذبيحة المسلمين، والمفروض تحقّقها فيما نحن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أبيت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بينها و بين موثّقة ابن بكير من تعارضالعموم من وجه، لافتراق المفهوم في موثّقة إسحاق بن عمّار عن منطوقها في غير صورة المظنّة ؛ وافتراق منطوقها عنه في بلد الإسلام في صورة المظنّة ؛ واجتماعهما في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فالمنطوق يقتضي الجواز والمفهوم عدمه ؛ والترجيح لجانب المنطوق، للقوّة في الدلالة والسند، لما عرفت من اشتماله على اثنين ممّن ادّعي في حقّهم إجماع الطائفة، والذكر في الكافي والتهذيب و إن كان نقلاً عنه، بخلاف موثّقة إسحاق 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والاعتضاد بما يظهر من عمل أكثر عظماء الطائفة ؛ و بأصالتي الطهارة والإباحة ؛ والأنسبيّة بالشريعة السهلة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آلاف 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بالمفهوم في صحيحة الفضلاء المتكرّرة، لما عرفت غير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بالتعليل في الصحيحة المتقدّمة و غيرها بأنّ الدين أوسع من ذلك، و غير ذلك من الأحاديث المذكورة ؛ و بما تستدعيه القاعدة المتلقّاة بالقبول لدى الطائفة من حمل أفعال المسلمين على الصحّة ؛ والنصوص المسوّغة لاستعمال الجلود المأخوذة من الأسواق، لكونها مطلقة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فالترجيح للجواز، سيّما بعد ما اخترناه في السوق المنفيّ فيه الاشتراك، وإن كان الاجتناب حال الإمكان أقرب بسبيل النجاة </w:t>
      </w:r>
      <w:r>
        <w:rPr>
          <w:rFonts w:eastAsia="Amiri" w:cs="Amiri" w:ascii="Amiri" w:hAnsi="Amiri"/>
          <w:color w:val="111111"/>
          <w:sz w:val="28"/>
          <w:szCs w:val="28"/>
          <w:rtl w:val="true"/>
          <w:lang w:bidi="ar-SA"/>
        </w:rPr>
        <w:t xml:space="preserve">. </w:t>
      </w:r>
      <w:bookmarkStart w:id="334" w:name="pg7350_54623"/>
    </w:p>
    <w:p>
      <w:pPr>
        <w:pStyle w:val="Heading4"/>
        <w:numPr>
          <w:ilvl w:val="3"/>
          <w:numId w:val="1"/>
        </w:numPr>
        <w:rPr/>
      </w:pPr>
      <w:bookmarkStart w:id="335" w:name="__RefHeading___Toc1190703_1051229030"/>
      <w:bookmarkStart w:id="336" w:name="_Toc126"/>
      <w:bookmarkEnd w:id="334"/>
      <w:bookmarkEnd w:id="335"/>
      <w:r>
        <w:rPr>
          <w:rtl w:val="true"/>
        </w:rPr>
        <w:t xml:space="preserve">القسم الثاني والثلاثون </w:t>
      </w:r>
      <w:r>
        <w:rPr>
          <w:rtl w:val="true"/>
        </w:rPr>
        <w:t>:</w:t>
      </w:r>
      <w:bookmarkEnd w:id="336"/>
    </w:p>
    <w:p>
      <w:pPr>
        <w:pStyle w:val="BookText"/>
        <w:rPr/>
      </w:pPr>
      <w:r>
        <w:rPr>
          <w:rFonts w:ascii="Amiri" w:hAnsi="Amiri" w:eastAsia="Amiri" w:cs="Amiri"/>
          <w:color w:val="111111"/>
          <w:sz w:val="28"/>
          <w:sz w:val="28"/>
          <w:szCs w:val="28"/>
          <w:rtl w:val="true"/>
          <w:lang w:bidi="ar-SA"/>
        </w:rPr>
        <w:t xml:space="preserve">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الكتب السالفة هنا أيضًا الجواز، و كلام المدارك والذخيرة </w:t>
      </w:r>
      <w:r>
        <w:rPr>
          <w:rStyle w:val="FootnoteAnchor"/>
          <w:rtl w:val="true"/>
        </w:rPr>
        <w:footnoteReference w:id="386"/>
      </w:r>
      <w:r>
        <w:rPr>
          <w:rFonts w:ascii="Amiri" w:hAnsi="Amiri" w:eastAsia="Amiri" w:cs="Amiri"/>
          <w:color w:val="111111"/>
          <w:sz w:val="28"/>
          <w:sz w:val="28"/>
          <w:szCs w:val="28"/>
          <w:rtl w:val="true"/>
          <w:lang w:bidi="ar-SA"/>
        </w:rPr>
        <w:t xml:space="preserve">أظهر في الدلالة على الجواز من غيرهما ؛ و من الكتابين لشيخ الطائفة هو العدم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المفهوم في 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المفهوم في صحيحة الفضلاء، لما مرّ من أنّ الظاهر أنّ المسألة الّتي جعلها عليه‌السلام مناطًا في الجواز والإباحة إنّما هو لأجل الإخبار، والمفروض انتفاؤه، وانتفاء الموقوف عليه يستلزم انتفاء الموقوف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الموثّقة فيظهر ممّا مرّ آنفًا ؛ و أمّا عن المفهوم في الصحيحة فهو وإن يظهر ممّا مرّ في بعض المباحث السالفة أيضًا، لكنّا لا نكتفي بذلك للتنبيه على بعض الفوائد،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بينه و بين المنطوق في موثّقة ابن بكير من تعارض العموم والخصوص من وجه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خصوصيّة المنطوق فباعتبار اشتماله على المظنّة بعد حمل العلم فيها عليها ؛ وأمّا عمومه فلأنّه يشمل صورتي الإخبار بالتذكية و عدمه، أمّا خصوصيّة المفهوم </w:t>
      </w:r>
      <w:bookmarkStart w:id="337" w:name="pg7350_54624"/>
    </w:p>
    <w:p>
      <w:pPr>
        <w:pStyle w:val="BookText"/>
        <w:rPr/>
      </w:pPr>
      <w:bookmarkEnd w:id="337"/>
      <w:r>
        <w:rPr>
          <w:rFonts w:ascii="Amiri" w:hAnsi="Amiri" w:eastAsia="Amiri" w:cs="Amiri"/>
          <w:color w:val="111111"/>
          <w:sz w:val="28"/>
          <w:sz w:val="28"/>
          <w:szCs w:val="28"/>
          <w:rtl w:val="true"/>
          <w:lang w:bidi="ar-SA"/>
        </w:rPr>
        <w:t xml:space="preserve">فلأنّ مقتضاه توقّف الجواز على الإخبار، و أمّا عمومه فلأنّه أعمّ من أن يتحقّق الظنّ بالتذكية،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تقرير العموم من وجه بينهما من وجه آخر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عموميّة المنطوق فلكونه أعمّ من أن يكون في بلاد المسلمين و غيرها، و خصوصيّته لما ذكر ؛ و أمّا خصوصيّة المفهوم فلكونه في غير سوق المسلمين، و أمّا عمومه فلما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والترجيح للمنطوق للقوّة في الدلالة، لكون الدلالة هنا بالمنطوق و هناك بالمفهوم، لا سيّما مثل هذا المفهوم و غيرها ممّا يظهر من المباحث السالفة ؛ و منه الاعتضاد بالمفهوم في رواية إسماعيل بن عيسى </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90705_1051229030"/>
      <w:bookmarkStart w:id="339" w:name="_Toc127"/>
      <w:bookmarkEnd w:id="338"/>
      <w:r>
        <w:rPr>
          <w:rtl w:val="true"/>
        </w:rPr>
        <w:t xml:space="preserve">القسم الثالث والثلاثون </w:t>
      </w:r>
      <w:r>
        <w:rPr>
          <w:rtl w:val="true"/>
        </w:rPr>
        <w:t>:</w:t>
      </w:r>
      <w:bookmarkEnd w:id="339"/>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لكن من غير ظنّ بالتذكية بأن يكون الجلد في يد المسلم الغير المستحلّ في السوق المشترك مع المساوات والإخبار من ذي اليد بالتذكية، لكن من غير استفادة المظنّة من قوله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المعتبر والذكرى والبيان والدروس والجعفريّة والروض والمدارك والذخيرة </w:t>
      </w:r>
      <w:r>
        <w:rPr>
          <w:rStyle w:val="FootnoteAnchor"/>
          <w:rtl w:val="true"/>
        </w:rPr>
        <w:footnoteReference w:id="388"/>
      </w:r>
      <w:r>
        <w:rPr>
          <w:rFonts w:ascii="Amiri" w:hAnsi="Amiri" w:eastAsia="Amiri" w:cs="Amiri"/>
          <w:color w:val="111111"/>
          <w:sz w:val="28"/>
          <w:sz w:val="28"/>
          <w:szCs w:val="28"/>
          <w:rtl w:val="true"/>
          <w:lang w:bidi="ar-SA"/>
        </w:rPr>
        <w:t xml:space="preserve">جواز الاستعمال من وجهين من الذكرى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حصره المبطل للصلاة في أربعة لم يكن ما نحن فيه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تصريحه بالقبول إذا أخبر ذو اليد في كلّ من المسلم الغير المستحلّ والمسلم المستحلّ، فله دلالة على القبول فيما نحن فيه بالمنطوق والفحوى، فمن هذه الجهة إن جعلت الذكرى دالّة على الجواز في محلّ الكلام و نحوه من ثلاثة أوجه يمكنك ذلك، كما أنّ الأمر في البيان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فيه على ما يظهر من كلام الذكرى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إخبار تحقّق من ذي اليد فيقبل ؛ والصغرى فيه مفروضة، و إنّما الكلام في كلّيّة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إثباتها من قوله عليه‌السلام في صحيحة الحلبي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فيها حتّى يقال لك إنّها ميتة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بناءً على أنّ جواز التعويل على قول المخبر في كونه من غير المذكّى يدلّ على جواز التعويل عليه في كونه من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قياسٌ منهدم الأساس، لا سيّما بعد تحقّق الفارق،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جواز التعويل على قول المخبر في عدم التذكية، لكونه موافقًا للأصل، فلا يوجد في التذكية الّتي هي مخالفة للأصل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يتمسّك في إثبات الكلّيّة المذكورة بما مرّ مرارًا من المفهوم في صحيحة الفضلاء، لما نبّهنا عليه فيما سلف من أنّ المسألة الّتي جعلها عليه‌السلام مناطًا في جواز الأكل إنّما هو لأجل الإخبار ؛ و معلومٌ أنّ ذلك إنّما يتمّ إذا جاز العمل بقول </w:t>
      </w:r>
    </w:p>
    <w:p>
      <w:pPr>
        <w:pStyle w:val="BookText"/>
        <w:rPr/>
      </w:pPr>
      <w:r>
        <w:rPr>
          <w:rFonts w:ascii="IRNazanin" w:hAnsi="IRNazanin" w:eastAsia="IRNazanin"/>
          <w:color w:val="111111"/>
          <w:sz w:val="28"/>
          <w:sz w:val="28"/>
          <w:szCs w:val="28"/>
          <w:rtl w:val="true"/>
          <w:lang w:bidi="fa-IR"/>
        </w:rPr>
        <w:t xml:space="preserve">المخبر، و هو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بالمفهوم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 تسألوا عنه إذا رأيتم المشركين يبيعون ذلك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بناءً على أنّ السؤال إنّما يجدي إذا جاز العمل بقول المسئول، فإذا جاز التعويل على قول المشرك في التذكية، ففي قول المسلم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بصحيحة عبدالرّحمن بن الحجّاج،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عبداللّه عليه‌السلام عن الفراء اشتريه من الرجل الّذي لعلّي لا أثق به </w:t>
      </w:r>
      <w:r>
        <w:rPr>
          <w:rStyle w:val="FootnoteAnchor"/>
          <w:rtl w:val="true"/>
        </w:rPr>
        <w:footnoteReference w:id="391"/>
      </w:r>
      <w:r>
        <w:rPr>
          <w:rFonts w:ascii="Amiri" w:hAnsi="Amiri" w:eastAsia="Amiri" w:cs="Amiri"/>
          <w:color w:val="111111"/>
          <w:sz w:val="28"/>
          <w:sz w:val="28"/>
          <w:szCs w:val="28"/>
          <w:rtl w:val="true"/>
          <w:lang w:bidi="ar-SA"/>
        </w:rPr>
        <w:t xml:space="preserve">، فيبيعني على أنّها ذكيّة، أبيعها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مرّ من أنّ الظاهر منه أنّه اعتقد جواز البيع والشراء عند إخبار ذي اليد بكونه من المذكّى، و قد عرفت أنّه بالإضافة إلى المسلم الغير المستحلّ قطعيّ الشمول، و قرّره عليه‌السلام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مضمونًا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الفرو يشترى من السوق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والظاهر 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البائع ذكاته،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 من الثلاثة الأخيرة نظر، أمّا في الأوّل منها فلأنّ التمسّك به على النحوالمسطور إنّما يتمّ إذا كان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تسألوا البائع المشرك عنه ؛ و هو </w:t>
      </w:r>
    </w:p>
    <w:p>
      <w:pPr>
        <w:pStyle w:val="BookText"/>
        <w:rPr/>
      </w:pPr>
      <w:r>
        <w:rPr>
          <w:rFonts w:ascii="Amiri" w:hAnsi="Amiri" w:eastAsia="Amiri" w:cs="Amiri"/>
          <w:color w:val="111111"/>
          <w:sz w:val="28"/>
          <w:sz w:val="28"/>
          <w:szCs w:val="28"/>
          <w:rtl w:val="true"/>
          <w:lang w:bidi="ar-SA"/>
        </w:rPr>
        <w:t xml:space="preserve">ممنوع، لاحتمال أن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تسألوا عن حال الجلد غير المشركين، بل هذا هو الظاهر، فإذا قام الاحتمال بطل الاستدلال، لا سيّما بعد ما كان غير ما بنى عليه الاستدلال أظهر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توجيه الاستدلال بنحو آخر تقريره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عليه‌السلام أوجب السؤال عن حال الجلد فيما إذا كان المتصدّي للبيع مشركًا ؛ و ظاهر أنّ ذلك إنّما هو لجواز العمل بقول المخبر، فإذا جاز التعويل على قول غير ذي اليد ففي ذي اليد أيضًا كذلك، إمّا لانتفاء الفارق، أو بطريق أولى ؛ هذا غاية توجيه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جواز الاستعمال فيما إذا لم يكن البائع مشركًا مع انتفاء الإخبار، فمع الإخبار بطريق أولى، لكن ضعف سنده يقدح الركون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الثاني فظاهر، إذ غاية ما يظهر منه أنّه اعتقد جواز الاستعمال حال تحقّق الإخبار من ذي اليد بالتذكية، وأمّا كونه لذلك فلا،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سياقه خلافه وإن ذكر الإخبار بالتذكية ليعلم أنّه هل يجوز الإخبار بها حين المبايعة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الثالث فمن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السند بالإرسال و غيره، فلا يمكن التعويل عليه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متروك الظاهر، لما عرفت مرارًا في المباحث السالفة من أنّ استعمال الجلود الموجودة في أسواق المسلمين و بلادهم غير متوقّف على المسألة، فلابدّ إمّا من حمل السوق على غير سوقهم، أو حمل البأس المنفيّ الّذيعلّق على ما إذا كان مضمونًا على مطلق المرجوحيّة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الأوّل وإن صحّ التمسّك به في المقام، لكنّه تقييد ؛ و هو ليس أولى من تقييد السوق بما إذا كان من الأسواق المختصّة بالمسلمين أو المشتركة مع غلبتهم و حمل البأس المنفيّ على مطلق المرجوحيّة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منه انتفاء المرجوحيّة ولو كراهة في استعمال الجلود المأخوذة من تلك الأسواق في تلك الصورة، فعلى هذا ينبغي حمل الصحيح المرويّ في الكافي عن الحلبي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Style w:val="FootnoteAnchor"/>
          <w:rtl w:val="true"/>
        </w:rPr>
        <w:footnoteReference w:id="394"/>
      </w:r>
      <w:r>
        <w:rPr>
          <w:rFonts w:ascii="Amiri" w:hAnsi="Amiri" w:eastAsia="Amiri" w:cs="Amiri"/>
          <w:color w:val="111111"/>
          <w:sz w:val="28"/>
          <w:sz w:val="28"/>
          <w:szCs w:val="28"/>
          <w:rtl w:val="true"/>
          <w:lang w:bidi="ar-SA"/>
        </w:rPr>
        <w:t>الصلاة في الفراء إلاّ ما صنع في</w:t>
      </w:r>
    </w:p>
    <w:p>
      <w:pPr>
        <w:pStyle w:val="BookText"/>
        <w:rPr/>
      </w:pPr>
      <w:r>
        <w:rPr>
          <w:rFonts w:ascii="Amiri" w:hAnsi="Amiri" w:eastAsia="Amiri" w:cs="Amiri"/>
          <w:color w:val="111111"/>
          <w:sz w:val="28"/>
          <w:sz w:val="28"/>
          <w:szCs w:val="28"/>
          <w:rtl w:val="true"/>
          <w:lang w:bidi="ar-SA"/>
        </w:rPr>
        <w:t xml:space="preserve">أرض الحجاز، أو ما علمت منه ذكاة </w:t>
      </w:r>
      <w:r>
        <w:rPr>
          <w:rStyle w:val="FootnoteAnchor"/>
          <w:rtl w:val="true"/>
        </w:rPr>
        <w:footnoteReference w:id="395"/>
      </w:r>
      <w:r>
        <w:rPr>
          <w:rFonts w:ascii="Amiri" w:hAnsi="Amiri" w:eastAsia="Amiri" w:cs="Amiri"/>
          <w:color w:val="111111"/>
          <w:sz w:val="28"/>
          <w:sz w:val="28"/>
          <w:szCs w:val="28"/>
          <w:rtl w:val="true"/>
          <w:lang w:bidi="ar-SA"/>
        </w:rPr>
        <w:t xml:space="preserve">؛ على غير صورة الإخبار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الصلاة في الفرو إلاّ فيما إذا علم أنّه من ذبيحة المسلمين، أو كان مصنوعًا في أرض الحجاز، أو تحقّق الإخبار من ذي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لكنّه غير مضرّ لصحّة الاستدلال، بل مؤيّد له، لوضوح أنّ ذلك إنّما هو إذا جاز التعويل على الإخبار، و ليس الكلام إلاّ في ذلك، إلاّ أن يقال بالتفرقة بين التعويل في انتفاء الكراهة والحرمة، والكلام إنّما هو في</w:t>
      </w:r>
    </w:p>
    <w:p>
      <w:pPr>
        <w:pStyle w:val="BookText"/>
        <w:rPr/>
      </w:pPr>
      <w:r>
        <w:rPr>
          <w:rFonts w:ascii="Amiri" w:hAnsi="Amiri" w:eastAsia="Amiri" w:cs="Amiri"/>
          <w:color w:val="111111"/>
          <w:sz w:val="28"/>
          <w:sz w:val="28"/>
          <w:szCs w:val="28"/>
          <w:rtl w:val="true"/>
          <w:lang w:bidi="ar-SA"/>
        </w:rPr>
        <w:t xml:space="preserve">الثاني، و قد يجوز التعويل على شيء في انتفاء الكراهة ولا يجوز في انتفاء الحرمة، فلم يبق إلاّ المفهوم في 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قوله في الصحيحين المتقدّمين، و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عليكمالمسألة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الظاهر منه جواز التعويل على الجواب والإخبار عند تحقّق السؤال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معارض بالمفهوم في موثّقة ابن بكير السالفة، و تعارضهما </w:t>
      </w:r>
      <w:bookmarkStart w:id="340" w:name="pg7350_54629"/>
    </w:p>
    <w:p>
      <w:pPr>
        <w:pStyle w:val="BookText"/>
        <w:rPr/>
      </w:pPr>
      <w:bookmarkEnd w:id="340"/>
      <w:r>
        <w:rPr>
          <w:rFonts w:ascii="Amiri" w:hAnsi="Amiri" w:eastAsia="Amiri" w:cs="Amiri"/>
          <w:color w:val="111111"/>
          <w:sz w:val="28"/>
          <w:sz w:val="28"/>
          <w:szCs w:val="28"/>
          <w:rtl w:val="true"/>
          <w:lang w:bidi="ar-SA"/>
        </w:rPr>
        <w:t xml:space="preserve">من تعارض العموم من وجه ؛ والترجيح لجانب الموثّقة، للقوّة في الدلالة، لما مرّ مرارًا من عدم معلوميّة شمول المفهوم في صحيحة الفضلاء لمحلّ الكلام، لكون المفروض من الفروض النادرة ؛ والاعتضاد بأصالة عدم التذكية ؛ والاحتياط اللائق مراعاته لدى أرباب البصيرة، فالترجيح لقول شيخ الطائفة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أحلّهما اللّه تعالى محلّ الكرامة </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190707_1051229030"/>
      <w:bookmarkStart w:id="342" w:name="_Toc128"/>
      <w:bookmarkEnd w:id="341"/>
      <w:r>
        <w:rPr>
          <w:rtl w:val="true"/>
        </w:rPr>
        <w:t xml:space="preserve">القسم الرابع والثلاثون </w:t>
      </w:r>
      <w:r>
        <w:rPr>
          <w:rtl w:val="true"/>
        </w:rPr>
        <w:t>:</w:t>
      </w:r>
      <w:bookmarkEnd w:id="342"/>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 انتفاء الإخبار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والذكرى والدروس والبيان والجعفريّة والروض والمدارك والذخيرة هنا أيضًا جواز الاستعمال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من المبسوط والنهاية و نهاية الإحكام والتذكرة خلافه </w:t>
      </w:r>
      <w:r>
        <w:rPr>
          <w:rStyle w:val="FootnoteAnchor"/>
          <w:rtl w:val="true"/>
        </w:rPr>
        <w:footnoteReference w:id="397"/>
      </w:r>
      <w:r>
        <w:rPr>
          <w:rFonts w:ascii="Amiri" w:hAnsi="Amiri" w:eastAsia="Amiri" w:cs="Amiri"/>
          <w:color w:val="111111"/>
          <w:sz w:val="28"/>
          <w:sz w:val="28"/>
          <w:szCs w:val="28"/>
          <w:rtl w:val="true"/>
          <w:lang w:bidi="ar-SA"/>
        </w:rPr>
        <w:t xml:space="preserve">؛و هذا هو المختار، بل المنع هنا أقوى من السابق، إذ المقتضي للجواز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المفهوم في 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عدمه هنا، كما لايخفى على أولى النهى </w:t>
      </w:r>
      <w:r>
        <w:rPr>
          <w:rFonts w:eastAsia="Amiri" w:cs="Amiri" w:ascii="Amiri" w:hAnsi="Amiri"/>
          <w:color w:val="111111"/>
          <w:sz w:val="28"/>
          <w:szCs w:val="28"/>
          <w:rtl w:val="true"/>
          <w:lang w:bidi="ar-SA"/>
        </w:rPr>
        <w:t xml:space="preserve">. </w:t>
      </w:r>
      <w:bookmarkStart w:id="343" w:name="pg7350_54630"/>
    </w:p>
    <w:p>
      <w:pPr>
        <w:pStyle w:val="Heading4"/>
        <w:numPr>
          <w:ilvl w:val="3"/>
          <w:numId w:val="1"/>
        </w:numPr>
        <w:rPr/>
      </w:pPr>
      <w:bookmarkStart w:id="344" w:name="__RefHeading___Toc1190709_1051229030"/>
      <w:bookmarkStart w:id="345" w:name="_Toc129"/>
      <w:bookmarkEnd w:id="343"/>
      <w:bookmarkEnd w:id="344"/>
      <w:r>
        <w:rPr>
          <w:rtl w:val="true"/>
        </w:rPr>
        <w:t xml:space="preserve">القسم الخامس والثلاثون </w:t>
      </w:r>
      <w:r>
        <w:rPr>
          <w:rtl w:val="true"/>
        </w:rPr>
        <w:t>:</w:t>
      </w:r>
      <w:bookmarkEnd w:id="345"/>
    </w:p>
    <w:p>
      <w:pPr>
        <w:pStyle w:val="BookText"/>
        <w:rPr/>
      </w:pPr>
      <w:r>
        <w:rPr>
          <w:rFonts w:ascii="Amiri" w:hAnsi="Amiri" w:eastAsia="Amiri" w:cs="Amiri"/>
          <w:color w:val="111111"/>
          <w:sz w:val="28"/>
          <w:sz w:val="28"/>
          <w:szCs w:val="28"/>
          <w:rtl w:val="true"/>
          <w:lang w:bidi="ar-SA"/>
        </w:rPr>
        <w:t xml:space="preserve">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من كونه من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هنا أقوى ممّا سلف، سواء استفاد الظنّ من قوله، أم لا، إلاّ إذا فرض الظنّ على خلافه، فكما سلف لما أسلفناه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190711_1051229030"/>
      <w:bookmarkStart w:id="347" w:name="_Toc130"/>
      <w:bookmarkEnd w:id="346"/>
      <w:r>
        <w:rPr>
          <w:rtl w:val="true"/>
        </w:rPr>
        <w:t xml:space="preserve">القسم السادس والثلاثون </w:t>
      </w:r>
      <w:r>
        <w:rPr>
          <w:rtl w:val="true"/>
        </w:rPr>
        <w:t>:</w:t>
      </w:r>
      <w:bookmarkEnd w:id="347"/>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الجلد في البلد المشترك مع المساواة مأخوذًا من يد المسلم الغير المستحلّ مع الإخبار بكونه من ذبيحة المسلمين والظنّ بها </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90713_1051229030"/>
      <w:bookmarkStart w:id="349" w:name="_Toc131"/>
      <w:bookmarkEnd w:id="348"/>
      <w:r>
        <w:rPr>
          <w:rtl w:val="true"/>
        </w:rPr>
        <w:t xml:space="preserve">القسم السابع والثلاثون </w:t>
      </w:r>
      <w:r>
        <w:rPr>
          <w:rtl w:val="true"/>
        </w:rPr>
        <w:t>:</w:t>
      </w:r>
      <w:bookmarkEnd w:id="349"/>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 هذين القسمين جواز الاستعمال ؛ والمستند فيه يظهر ممّا حرّرناه، فلا افتقار إلى الإعادة </w:t>
      </w:r>
      <w:r>
        <w:rPr>
          <w:rFonts w:eastAsia="Amiri" w:cs="Amiri" w:ascii="Amiri" w:hAnsi="Amiri"/>
          <w:color w:val="111111"/>
          <w:sz w:val="28"/>
          <w:szCs w:val="28"/>
          <w:rtl w:val="true"/>
          <w:lang w:bidi="ar-SA"/>
        </w:rPr>
        <w:t xml:space="preserve">. </w:t>
      </w:r>
      <w:bookmarkStart w:id="350" w:name="pg7350_54631"/>
    </w:p>
    <w:p>
      <w:pPr>
        <w:pStyle w:val="Heading4"/>
        <w:numPr>
          <w:ilvl w:val="3"/>
          <w:numId w:val="1"/>
        </w:numPr>
        <w:rPr/>
      </w:pPr>
      <w:bookmarkStart w:id="351" w:name="__RefHeading___Toc1190715_1051229030"/>
      <w:bookmarkStart w:id="352" w:name="_Toc132"/>
      <w:bookmarkEnd w:id="350"/>
      <w:bookmarkEnd w:id="351"/>
      <w:r>
        <w:rPr>
          <w:rtl w:val="true"/>
        </w:rPr>
        <w:t xml:space="preserve">القسم الثامن والثلاثون </w:t>
      </w:r>
      <w:r>
        <w:rPr>
          <w:rtl w:val="true"/>
        </w:rPr>
        <w:t>:</w:t>
      </w:r>
      <w:bookmarkEnd w:id="352"/>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إلاّ في المظنّة </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190717_1051229030"/>
      <w:bookmarkStart w:id="354" w:name="_Toc133"/>
      <w:bookmarkEnd w:id="353"/>
      <w:r>
        <w:rPr>
          <w:rtl w:val="true"/>
        </w:rPr>
        <w:t xml:space="preserve">القسم التاسع والثلاثون </w:t>
      </w:r>
      <w:r>
        <w:rPr>
          <w:rtl w:val="true"/>
        </w:rPr>
        <w:t>:</w:t>
      </w:r>
      <w:bookmarkEnd w:id="354"/>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مع انتفاء المظنّة والإخبار </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190719_1051229030"/>
      <w:bookmarkStart w:id="356" w:name="_Toc134"/>
      <w:bookmarkEnd w:id="355"/>
      <w:r>
        <w:rPr>
          <w:rtl w:val="true"/>
        </w:rPr>
        <w:t xml:space="preserve">القسم الأربعون </w:t>
      </w:r>
      <w:r>
        <w:rPr>
          <w:rtl w:val="true"/>
        </w:rPr>
        <w:t>:</w:t>
      </w:r>
      <w:bookmarkEnd w:id="356"/>
    </w:p>
    <w:p>
      <w:p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بكونه من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 هذه الثلاثة عدم جواز الاستعمال، لما نبّهنا فيما سلف، إلاّ في الأخير مع الظنّ بالتذكية فكما مرّ </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90721_1051229030"/>
      <w:bookmarkStart w:id="358" w:name="_Toc135"/>
      <w:bookmarkEnd w:id="357"/>
      <w:r>
        <w:rPr>
          <w:rtl w:val="true"/>
        </w:rPr>
        <w:t xml:space="preserve">القسم الحادي والأربعون </w:t>
      </w:r>
      <w:r>
        <w:rPr>
          <w:rtl w:val="true"/>
        </w:rPr>
        <w:t>:</w:t>
      </w:r>
      <w:bookmarkEnd w:id="3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الجلد في يد المسلم الغير المستحلّ في السوق المشترك مع غلبة الكفّار مع الإخبار بكونه من ذبيحة المسلمين والظنّ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جواز استعماله، وفاقًا لما يظهر من المعتبر والمنتهى و نهاية الإحكام والتذكرة والتحرير والبيان والمدارك والذخيرة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المتكرّرة ؛ والمفهوم في صحيحة الفضلاء، و صحيحة جعفر بن محمّد بن يونس السالفة، و صحيحة عبدالرّحمن بن الحجّاج المذكورة ؛ والمفهوم في رواية إسماعيل بن عيسى، بناءً على ما مرّ غير مرّة، إذ مقتضاه جواز الاستعمال من غير إخبار، فمعه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شيخ الطائفة في الكتابين </w:t>
      </w:r>
      <w:r>
        <w:rPr>
          <w:rStyle w:val="FootnoteAnchor"/>
          <w:rtl w:val="true"/>
        </w:rPr>
        <w:footnoteReference w:id="399"/>
      </w:r>
      <w:r>
        <w:rPr>
          <w:rFonts w:ascii="IRNazanin" w:hAnsi="IRNazanin" w:eastAsia="IRNazanin"/>
          <w:color w:val="111111"/>
          <w:sz w:val="28"/>
          <w:sz w:val="28"/>
          <w:szCs w:val="28"/>
          <w:rtl w:val="true"/>
          <w:lang w:bidi="fa-IR"/>
        </w:rPr>
        <w:t xml:space="preserve">عدم جواز الاستعمال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يجعل الذكرى والدروس والجعفريّة والروض من ذلك </w:t>
      </w:r>
      <w:r>
        <w:rPr>
          <w:rStyle w:val="FootnoteAnchor"/>
          <w:rtl w:val="true"/>
        </w:rPr>
        <w:footnoteReference w:id="400"/>
      </w:r>
      <w:r>
        <w:rPr>
          <w:rFonts w:ascii="Amiri" w:hAnsi="Amiri" w:eastAsia="Amiri" w:cs="Amiri"/>
          <w:color w:val="111111"/>
          <w:sz w:val="28"/>
          <w:sz w:val="28"/>
          <w:szCs w:val="28"/>
          <w:rtl w:val="true"/>
          <w:lang w:bidi="ar-SA"/>
        </w:rPr>
        <w:t xml:space="preserve">، إذ اكتفى في صدق سوق الكفر بأغلبيّة الكفّار، كما صرّح به الشهيدان السعيدان في سوقالمسلمين في الذكرى والمسالك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أوردنا عبارتهما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أمكنت المناقشة في دلالة عبارة الذكرى، لما نبّهنا عليه في بعض المباحث السالفة،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يمنع من استعمال الجلد المأخوذ من سوق الكفّار مطلقًا، بل مع الشكّ في التذكية، والمفروض فيما نحن فيه المظنّة، فلاحظ عبارته السالفة </w:t>
      </w:r>
      <w:r>
        <w:rPr>
          <w:rFonts w:eastAsia="Amiri" w:cs="Amiri" w:ascii="Amiri" w:hAnsi="Amiri"/>
          <w:color w:val="111111"/>
          <w:sz w:val="28"/>
          <w:szCs w:val="28"/>
          <w:rtl w:val="true"/>
          <w:lang w:bidi="ar-SA"/>
        </w:rPr>
        <w:t xml:space="preserve">. </w:t>
      </w:r>
      <w:bookmarkStart w:id="359" w:name="pg7350_54633"/>
    </w:p>
    <w:p>
      <w:pPr>
        <w:pStyle w:val="BookText"/>
        <w:rPr/>
      </w:pPr>
      <w:bookmarkEnd w:id="359"/>
      <w:r>
        <w:rPr>
          <w:rFonts w:ascii="Amiri" w:hAnsi="Amiri" w:eastAsia="Amiri" w:cs="Amiri"/>
          <w:color w:val="111111"/>
          <w:sz w:val="28"/>
          <w:sz w:val="28"/>
          <w:szCs w:val="28"/>
          <w:rtl w:val="true"/>
          <w:lang w:bidi="ar-SA"/>
        </w:rPr>
        <w:t xml:space="preserve">و لعلّ المستند في المنع المفهوم في موثّقة إسحاق،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الغالب عليها المسلمين </w:t>
      </w:r>
      <w:r>
        <w:rPr>
          <w:rStyle w:val="FootnoteAnchor"/>
          <w:rtl w:val="true"/>
        </w:rPr>
        <w:footnoteReference w:id="402"/>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 لوضوح أنّ مقتضى تعليق نفي البأس على صورة غلبة المسلمين تحقّقه عند انتفائها، والمفروض غلبة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اعتبار الغلبة ليحصل الظنّ بكونه من ذبيحة المسلمين، والمفروض تحقّقه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الإغماض عنه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هذا المفهوم والمنطوق في موثّقة ابن بكير من تعارض الظاهرين والعموم من وجه، إذ مقتضى المنطوق جواز الاستعمال مع الظنّ بالتذكية، سواء كان في محلّ الكلام و غيره ؛ و مقتضى المفهوم في موثّقة إسحاق بن عمّار عدم جواز الاستعمال فيما إذا لم يتحقّق غلبة الإسلام، سواء حصل الظنّ بالتذكية،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والترجيح مع موثّقة ابن بكير من وجوه متكرّرة، كما لايخفى على من أحاط خبرًا بما أبرزناه في المباحث السالفة </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90723_1051229030"/>
      <w:bookmarkStart w:id="361" w:name="_Toc136"/>
      <w:bookmarkEnd w:id="360"/>
      <w:r>
        <w:rPr>
          <w:rtl w:val="true"/>
        </w:rPr>
        <w:t xml:space="preserve">القسم الثاني والأربعون </w:t>
      </w:r>
      <w:r>
        <w:rPr>
          <w:rtl w:val="true"/>
        </w:rPr>
        <w:t>:</w:t>
      </w:r>
      <w:bookmarkEnd w:id="3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من غير إخبار بالتذكية </w:t>
      </w:r>
      <w:r>
        <w:rPr>
          <w:rFonts w:eastAsia="Amiri" w:cs="Amiri" w:ascii="Amiri" w:hAnsi="Amiri"/>
          <w:color w:val="111111"/>
          <w:sz w:val="28"/>
          <w:szCs w:val="28"/>
          <w:rtl w:val="true"/>
          <w:lang w:bidi="ar-SA"/>
        </w:rPr>
        <w:t xml:space="preserve">. </w:t>
      </w:r>
      <w:bookmarkStart w:id="362" w:name="pg7350_54634"/>
    </w:p>
    <w:p>
      <w:pPr>
        <w:pStyle w:val="BookText"/>
        <w:rPr/>
      </w:pPr>
      <w:bookmarkEnd w:id="362"/>
      <w:r>
        <w:rPr>
          <w:rFonts w:ascii="Amiri" w:hAnsi="Amiri" w:eastAsia="Amiri" w:cs="Amiri"/>
          <w:color w:val="111111"/>
          <w:sz w:val="28"/>
          <w:sz w:val="28"/>
          <w:szCs w:val="28"/>
          <w:rtl w:val="true"/>
          <w:lang w:bidi="ar-SA"/>
        </w:rPr>
        <w:t xml:space="preserve">والقائل بالجواز والمنع يظهر من الصورة السابقة، و كذا المستند، إلاّ أنّ احتمال المنع هنا أقوى من السابق، لإمكان استناد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المفهوم في صحيحة الفضلاء، لانتفاء الإخبار، لما مرّ مرارًا من أنّ مقتضاه توقّف الإباحة على الاستخبار والمسألة في غير أسواق المسلمين، لكنّك قد عرفت الجواب عنه غير مرّة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90725_1051229030"/>
      <w:bookmarkStart w:id="364" w:name="_Toc137"/>
      <w:bookmarkEnd w:id="363"/>
      <w:r>
        <w:rPr>
          <w:rtl w:val="true"/>
        </w:rPr>
        <w:t xml:space="preserve">القسم الثالث والأربعون </w:t>
      </w:r>
      <w:r>
        <w:rPr>
          <w:rtl w:val="true"/>
        </w:rPr>
        <w:t>:</w:t>
      </w:r>
      <w:bookmarkEnd w:id="364"/>
    </w:p>
    <w:p>
      <w:pPr>
        <w:pStyle w:val="BookText"/>
        <w:rPr/>
      </w:pPr>
      <w:r>
        <w:rPr>
          <w:rFonts w:ascii="Amiri" w:hAnsi="Amiri" w:eastAsia="Amiri" w:cs="Amiri"/>
          <w:color w:val="111111"/>
          <w:sz w:val="28"/>
          <w:sz w:val="28"/>
          <w:szCs w:val="28"/>
          <w:rtl w:val="true"/>
          <w:lang w:bidi="ar-SA"/>
        </w:rPr>
        <w:t xml:space="preserve">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إلاّ في المظنّة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بالجواز والمنع يظهر أيضًا من السابق، إلاّ أنّ الظاهر من العلاّمة في التذكرة و نهاية الإحكام </w:t>
      </w:r>
      <w:r>
        <w:rPr>
          <w:rStyle w:val="FootnoteAnchor"/>
          <w:rtl w:val="true"/>
        </w:rPr>
        <w:footnoteReference w:id="404"/>
      </w:r>
      <w:r>
        <w:rPr>
          <w:rFonts w:ascii="IRNazanin" w:hAnsi="IRNazanin" w:eastAsia="IRNazanin"/>
          <w:color w:val="111111"/>
          <w:sz w:val="28"/>
          <w:sz w:val="28"/>
          <w:szCs w:val="28"/>
          <w:rtl w:val="true"/>
          <w:lang w:bidi="fa-IR"/>
        </w:rPr>
        <w:t xml:space="preserve">هنا عدم الجواز لما عرفت مرارًا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الاحتمال السالف المانع عن نسبة المنع إلى الذكرى غير متحقّق فيما نحنفيه، إذ المفروض فيه انتفاء المظنّة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المفهوم في صحيحة الفضلاء الجواز، كما أنّ مقتضى المفهوم في موثّقة ابن بكير خلافه ؛ و بينهما عمومٌ من وجه، لكنّ الترجيح في جانب الموثّقة على ما نبّهنا عليه في المباحث السالفة </w:t>
      </w:r>
      <w:r>
        <w:rPr>
          <w:rFonts w:eastAsia="Amiri" w:cs="Amiri" w:ascii="Amiri" w:hAnsi="Amiri"/>
          <w:color w:val="111111"/>
          <w:sz w:val="28"/>
          <w:szCs w:val="28"/>
          <w:rtl w:val="true"/>
          <w:lang w:bidi="ar-SA"/>
        </w:rPr>
        <w:t xml:space="preserve">. </w:t>
      </w:r>
      <w:bookmarkStart w:id="365" w:name="pg7350_54635"/>
    </w:p>
    <w:p>
      <w:pPr>
        <w:pStyle w:val="Heading4"/>
        <w:numPr>
          <w:ilvl w:val="3"/>
          <w:numId w:val="1"/>
        </w:numPr>
        <w:rPr/>
      </w:pPr>
      <w:bookmarkStart w:id="366" w:name="__RefHeading___Toc1190727_1051229030"/>
      <w:bookmarkStart w:id="367" w:name="_Toc138"/>
      <w:bookmarkEnd w:id="365"/>
      <w:bookmarkEnd w:id="366"/>
      <w:r>
        <w:rPr>
          <w:rtl w:val="true"/>
        </w:rPr>
        <w:t xml:space="preserve">القسم الرابع والأربعون </w:t>
      </w:r>
      <w:r>
        <w:rPr>
          <w:rtl w:val="true"/>
        </w:rPr>
        <w:t>:</w:t>
      </w:r>
      <w:bookmarkEnd w:id="367"/>
    </w:p>
    <w:p>
      <w:pPr>
        <w:pStyle w:val="BookText"/>
        <w:rPr/>
      </w:pPr>
      <w:r>
        <w:rPr>
          <w:rFonts w:ascii="Amiri" w:hAnsi="Amiri" w:eastAsia="Amiri" w:cs="Amiri"/>
          <w:color w:val="111111"/>
          <w:sz w:val="28"/>
          <w:sz w:val="28"/>
          <w:szCs w:val="28"/>
          <w:rtl w:val="true"/>
          <w:lang w:bidi="ar-SA"/>
        </w:rPr>
        <w:t xml:space="preserve">والرابع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السوق المشترك مع غلبة الكفّار في يد المسلم الغير المستحلّ، لكن من غير إخبار بالتذكية و لا الظنّ بها </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190729_1051229030"/>
      <w:bookmarkStart w:id="369" w:name="_Toc139"/>
      <w:bookmarkEnd w:id="368"/>
      <w:r>
        <w:rPr>
          <w:rtl w:val="true"/>
        </w:rPr>
        <w:t xml:space="preserve">القسم الخامس والأربعون </w:t>
      </w:r>
      <w:r>
        <w:rPr>
          <w:rtl w:val="true"/>
        </w:rPr>
        <w:t>:</w:t>
      </w:r>
      <w:bookmarkEnd w:id="369"/>
    </w:p>
    <w:p>
      <w:pPr>
        <w:pStyle w:val="BookText"/>
        <w:rPr/>
      </w:pPr>
      <w:r>
        <w:rPr>
          <w:rFonts w:ascii="Amiri" w:hAnsi="Amiri" w:eastAsia="Amiri" w:cs="Amiri"/>
          <w:color w:val="111111"/>
          <w:sz w:val="28"/>
          <w:sz w:val="28"/>
          <w:szCs w:val="28"/>
          <w:rtl w:val="true"/>
          <w:lang w:bidi="ar-SA"/>
        </w:rPr>
        <w:t xml:space="preserve">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بكونه من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فيهما عدم جواز الاستعمال، و يظهر وجهه ممّا سلف، إلاّ في الأخير مع الظنّ بالتذكية، فكما تقدّم لما تقدّم </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90731_1051229030"/>
      <w:bookmarkStart w:id="371" w:name="_Toc140"/>
      <w:bookmarkEnd w:id="370"/>
      <w:r>
        <w:rPr>
          <w:rtl w:val="true"/>
        </w:rPr>
        <w:t xml:space="preserve">القسم السادس والأربعون </w:t>
      </w:r>
      <w:r>
        <w:rPr>
          <w:rtl w:val="true"/>
        </w:rPr>
        <w:t>:</w:t>
      </w:r>
      <w:bookmarkEnd w:id="371"/>
    </w:p>
    <w:p>
      <w:pPr>
        <w:pStyle w:val="BookText"/>
        <w:rPr/>
      </w:pPr>
      <w:r>
        <w:rPr>
          <w:rFonts w:ascii="Amiri" w:hAnsi="Amiri" w:eastAsia="Amiri" w:cs="Amiri"/>
          <w:color w:val="111111"/>
          <w:sz w:val="28"/>
          <w:sz w:val="28"/>
          <w:szCs w:val="28"/>
          <w:rtl w:val="true"/>
          <w:lang w:bidi="ar-SA"/>
        </w:rPr>
        <w:t xml:space="preserve">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الغير المستحلّ في البلد المشترك مع غلبة الكفّار مع الإخبار والظنّ بالتذكية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جواز الاستعمال، وفاقًا لما يظهر من المعتبر والمنتهى و نهاية الإحكام والتذكرة والتحرير والذكرى والدروس والبيان والجعفريّة والروض والمدارك </w:t>
      </w:r>
      <w:bookmarkStart w:id="372" w:name="pg7350_54636"/>
    </w:p>
    <w:p>
      <w:pPr>
        <w:pStyle w:val="BookText"/>
        <w:rPr/>
      </w:pPr>
      <w:bookmarkEnd w:id="372"/>
      <w:r>
        <w:rPr>
          <w:rFonts w:ascii="Amiri" w:hAnsi="Amiri" w:eastAsia="Amiri" w:cs="Amiri"/>
          <w:color w:val="111111"/>
          <w:sz w:val="28"/>
          <w:sz w:val="28"/>
          <w:szCs w:val="28"/>
          <w:rtl w:val="true"/>
          <w:lang w:bidi="ar-SA"/>
        </w:rPr>
        <w:t xml:space="preserve">والذخيرة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شيخ الطائفة في الكتابين خلافه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والمستند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أصالتي الطهارة والبراءة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المتكرّرة ؛ والمفهوم في صحيحة الفضلاء ؛ و رواية إسماعيل بن عيسى، لما عرفت من أنّ مقتضاه الجواز من غير إخبار بالتذكية و معه بالفحوى والأولويّة ؛ و صحيحة عبدالرّحمن بن الحجّاج المتقدّمة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المستند في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المتكرّرة ؛ والجواب عنه يظهر ممّا أسلفناه غير مرّة </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190733_1051229030"/>
      <w:bookmarkStart w:id="374" w:name="_Toc141"/>
      <w:bookmarkEnd w:id="373"/>
      <w:r>
        <w:rPr>
          <w:rtl w:val="true"/>
        </w:rPr>
        <w:t xml:space="preserve">القسم السابع والأربعون </w:t>
      </w:r>
      <w:r>
        <w:rPr>
          <w:rtl w:val="true"/>
        </w:rPr>
        <w:t>:</w:t>
      </w:r>
      <w:bookmarkEnd w:id="374"/>
    </w:p>
    <w:p>
      <w:pPr>
        <w:pStyle w:val="Heading5"/>
        <w:numPr>
          <w:ilvl w:val="4"/>
          <w:numId w:val="1"/>
        </w:numPr>
        <w:rPr/>
      </w:pPr>
      <w:bookmarkStart w:id="375" w:name="__RefHeading___Toc1190735_1051229030"/>
      <w:bookmarkStart w:id="376" w:name="_Toc142"/>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بالجواز والعدم يظهر ممّا ذكر </w:t>
      </w:r>
      <w:r>
        <w:rPr>
          <w:rFonts w:eastAsia="Amiri" w:cs="Amiri" w:ascii="Amiri" w:hAnsi="Amiri"/>
          <w:color w:val="111111"/>
          <w:sz w:val="28"/>
          <w:szCs w:val="28"/>
          <w:rtl w:val="true"/>
          <w:lang w:bidi="ar-SA"/>
        </w:rPr>
        <w:t xml:space="preserve">. </w:t>
      </w:r>
      <w:bookmarkStart w:id="377" w:name="pg7350_54637"/>
    </w:p>
    <w:p>
      <w:pPr>
        <w:pStyle w:val="Heading5"/>
        <w:numPr>
          <w:ilvl w:val="4"/>
          <w:numId w:val="1"/>
        </w:numPr>
        <w:rPr/>
      </w:pPr>
      <w:bookmarkStart w:id="378" w:name="__RefHeading___Toc1190737_1051229030"/>
      <w:bookmarkStart w:id="379" w:name="_Toc143"/>
      <w:bookmarkEnd w:id="377"/>
      <w:bookmarkEnd w:id="378"/>
      <w:r>
        <w:rPr>
          <w:rtl w:val="true"/>
        </w:rPr>
        <w:t>المستند في المنع مع الجواب عنه</w:t>
      </w:r>
      <w:bookmarkEnd w:id="379"/>
    </w:p>
    <w:p>
      <w:pPr>
        <w:pStyle w:val="BookText"/>
        <w:rPr/>
      </w:pPr>
      <w:r>
        <w:rPr>
          <w:rFonts w:ascii="Amiri" w:hAnsi="Amiri" w:eastAsia="Amiri" w:cs="Amiri"/>
          <w:color w:val="111111"/>
          <w:sz w:val="28"/>
          <w:sz w:val="28"/>
          <w:szCs w:val="28"/>
          <w:rtl w:val="true"/>
          <w:lang w:bidi="ar-SA"/>
        </w:rPr>
        <w:t xml:space="preserve">والمستند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التذكية و 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صحيحة الفضلاء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هو ما سلف، إذ التعارض بينه و بين المنطوق في موثّقة ابن بكير من تعارض العموم من وجه، إذ مقتضى المفهوم انتفاء الإباحة عند انتفاء المسألة فيما إذا لم يكن من أسواق المسلمين، سواء حصل الظنّ بالتذكية، أم لا ؛ و مقتضى المنطوق جواز الاستعمال مع المظنّة، سواء كان في أسواق المسلمين و غيرها </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190739_1051229030"/>
      <w:bookmarkStart w:id="381" w:name="_Toc144"/>
      <w:bookmarkEnd w:id="380"/>
      <w:r>
        <w:rPr>
          <w:rtl w:val="true"/>
        </w:rPr>
        <w:t>مختار المؤلّف قدس‌سره و دليله</w:t>
      </w:r>
      <w:bookmarkEnd w:id="381"/>
    </w:p>
    <w:p>
      <w:pPr>
        <w:pStyle w:val="BookText"/>
        <w:rPr/>
      </w:pPr>
      <w:r>
        <w:rPr>
          <w:rFonts w:ascii="Amiri" w:hAnsi="Amiri" w:eastAsia="Amiri" w:cs="Amiri"/>
          <w:color w:val="111111"/>
          <w:sz w:val="28"/>
          <w:sz w:val="28"/>
          <w:szCs w:val="28"/>
          <w:rtl w:val="true"/>
          <w:lang w:bidi="ar-SA"/>
        </w:rPr>
        <w:t xml:space="preserve">والترجيح في جانب الموثّقة، للقوّة في الدلالة، والاعتضاد بأصالتي الطهارة والبراءة، والعمومات السالفة، والعمل من أكثر عظماء الطائفة، والدين السهلة السمحة، و غير ذلك ممّا يظهر من المباحث السالفة، فالترجيح للجواز وإن كان الاجتناب حال الإمكان أقرب إلى الاحتياط </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90741_1051229030"/>
      <w:bookmarkStart w:id="383" w:name="_Toc145"/>
      <w:bookmarkEnd w:id="382"/>
      <w:r>
        <w:rPr>
          <w:rtl w:val="true"/>
        </w:rPr>
        <w:t xml:space="preserve">القسم الثامن والأربعون </w:t>
      </w:r>
      <w:r>
        <w:rPr>
          <w:rtl w:val="true"/>
        </w:rPr>
        <w:t>:</w:t>
      </w:r>
      <w:bookmarkEnd w:id="383"/>
    </w:p>
    <w:p>
      <w:pPr>
        <w:pStyle w:val="Heading5"/>
        <w:numPr>
          <w:ilvl w:val="4"/>
          <w:numId w:val="1"/>
        </w:numPr>
        <w:rPr/>
      </w:pPr>
      <w:bookmarkStart w:id="384" w:name="__RefHeading___Toc1190743_1051229030"/>
      <w:bookmarkStart w:id="385" w:name="_Toc146"/>
      <w:bookmarkEnd w:id="384"/>
      <w:r>
        <w:rPr>
          <w:rtl w:val="true"/>
        </w:rPr>
        <w:t>اشارة</w:t>
      </w:r>
      <w:bookmarkEnd w:id="3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لكن من غير الظنّ بالتذكية </w:t>
      </w:r>
      <w:r>
        <w:rPr>
          <w:rFonts w:eastAsia="Amiri" w:cs="Amiri" w:ascii="Amiri" w:hAnsi="Amiri"/>
          <w:color w:val="111111"/>
          <w:sz w:val="28"/>
          <w:szCs w:val="28"/>
          <w:rtl w:val="true"/>
          <w:lang w:bidi="ar-SA"/>
        </w:rPr>
        <w:t xml:space="preserve">. </w:t>
      </w:r>
      <w:bookmarkStart w:id="386" w:name="pg7350_54638"/>
    </w:p>
    <w:p>
      <w:pPr>
        <w:pStyle w:val="BookText"/>
        <w:rPr/>
      </w:pPr>
      <w:bookmarkEnd w:id="386"/>
      <w:r>
        <w:rPr>
          <w:rFonts w:ascii="Amiri" w:hAnsi="Amiri" w:eastAsia="Amiri" w:cs="Amiri"/>
          <w:color w:val="111111"/>
          <w:sz w:val="28"/>
          <w:sz w:val="28"/>
          <w:szCs w:val="28"/>
          <w:rtl w:val="true"/>
          <w:lang w:bidi="ar-SA"/>
        </w:rPr>
        <w:t xml:space="preserve">والجواز يظهر من المعتبر والذكرى والبيان والدروس والجعفريّة والروض والمدارك والذخيرة </w:t>
      </w:r>
      <w:r>
        <w:rPr>
          <w:rStyle w:val="FootnoteAnchor"/>
          <w:rtl w:val="true"/>
        </w:rPr>
        <w:footnoteReference w:id="407"/>
      </w:r>
      <w:r>
        <w:rPr>
          <w:rFonts w:ascii="Amiri" w:hAnsi="Amiri" w:eastAsia="Amiri" w:cs="Amiri"/>
          <w:color w:val="111111"/>
          <w:sz w:val="28"/>
          <w:sz w:val="28"/>
          <w:szCs w:val="28"/>
          <w:rtl w:val="true"/>
          <w:lang w:bidi="ar-SA"/>
        </w:rPr>
        <w:t xml:space="preserve">؛ والعدم من المبسوط و النهاية والتذكرة و نهاية الإحكام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190745_1051229030"/>
      <w:bookmarkStart w:id="388" w:name="_Toc147"/>
      <w:bookmarkEnd w:id="387"/>
      <w:r>
        <w:rPr>
          <w:rtl w:val="true"/>
        </w:rPr>
        <w:t>المستند في الجواز</w:t>
      </w:r>
      <w:bookmarkEnd w:id="388"/>
    </w:p>
    <w:p>
      <w:pPr>
        <w:pStyle w:val="BookText"/>
        <w:rPr/>
      </w:pPr>
      <w:r>
        <w:rPr>
          <w:rFonts w:ascii="Amiri" w:hAnsi="Amiri" w:eastAsia="Amiri" w:cs="Amiri"/>
          <w:color w:val="111111"/>
          <w:sz w:val="28"/>
          <w:sz w:val="28"/>
          <w:szCs w:val="28"/>
          <w:rtl w:val="true"/>
          <w:lang w:bidi="ar-SA"/>
        </w:rPr>
        <w:t xml:space="preserve">والمستند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صحيحة الفضلاء، بناءً على ما نبّهنا عليه غير مرّة، و رواية إسماعيل بن عيسى السالفة، و صحيحة عبدالرّحمن المذكورة، و صحيحة جعفر بن يونس المتكرّرة </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190747_1051229030"/>
      <w:bookmarkStart w:id="390" w:name="_Toc148"/>
      <w:bookmarkEnd w:id="389"/>
      <w:r>
        <w:rPr>
          <w:rtl w:val="true"/>
        </w:rPr>
        <w:t>المستند في عدم الجواز مع الجواب عنه</w:t>
      </w:r>
      <w:bookmarkEnd w:id="390"/>
    </w:p>
    <w:p>
      <w:pPr>
        <w:pStyle w:val="BookText"/>
        <w:rPr/>
      </w:pPr>
      <w:r>
        <w:rPr>
          <w:rFonts w:ascii="Amiri" w:hAnsi="Amiri" w:eastAsia="Amiri" w:cs="Amiri"/>
          <w:color w:val="111111"/>
          <w:sz w:val="28"/>
          <w:sz w:val="28"/>
          <w:szCs w:val="28"/>
          <w:rtl w:val="true"/>
          <w:lang w:bidi="ar-SA"/>
        </w:rPr>
        <w:t xml:space="preserve">و في العدم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موثّقة ابن بكير المتكرّرة، و موثّقة إسحاق السابقة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يظهر ممّا تقدّم، إذ مقتضى المفهوم في موثّقة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الصلاة في المصنوع في غير أرض الإسلام عند انتفاء غلبة المسلمين، سواء أخبر ذو اليد بالتذكية، أم لا </w:t>
      </w:r>
      <w:r>
        <w:rPr>
          <w:rFonts w:eastAsia="Amiri" w:cs="Amiri" w:ascii="Amiri" w:hAnsi="Amiri"/>
          <w:color w:val="111111"/>
          <w:sz w:val="28"/>
          <w:szCs w:val="28"/>
          <w:rtl w:val="true"/>
          <w:lang w:bidi="ar-SA"/>
        </w:rPr>
        <w:t xml:space="preserve">. </w:t>
      </w:r>
      <w:bookmarkStart w:id="391" w:name="pg7350_54639"/>
    </w:p>
    <w:p>
      <w:pPr>
        <w:pStyle w:val="BookText"/>
        <w:rPr/>
      </w:pPr>
      <w:bookmarkEnd w:id="391"/>
      <w:r>
        <w:rPr>
          <w:rFonts w:ascii="Amiri" w:hAnsi="Amiri" w:eastAsia="Amiri" w:cs="Amiri"/>
          <w:color w:val="111111"/>
          <w:sz w:val="28"/>
          <w:sz w:val="28"/>
          <w:szCs w:val="28"/>
          <w:rtl w:val="true"/>
          <w:lang w:bidi="ar-SA"/>
        </w:rPr>
        <w:t xml:space="preserve">و مقتضى المفهوم في صحيحة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في صورة الإخبار فيما إذا كان ذلك في غير سوق المسلمين، سواء تحقّقت غلبة المسلمين،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فافتراق المفهوم في الصحيحة عن مفهوم الموثّقة في البلد المختصّ بالمسلمين، وافتراق المفهوم في الموثّقة عنه في غير صورة الإخبار بالتذكية ؛ واجتماعهما في البلدة الّتي يغلب فيها الكفّار مع الإخبار ؛ والموثّقة يقتضي عدم الجواز والصحيحة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بين المفهوم في موثّقة ابن بكير والمفهوم في الصحيحة، إذ مفهوم الموثّقة يقتضي عدم الجواز عند انتفاء الظنّ بالتذكية، سواء تحقّق الإخبار بالتذكية،</w:t>
      </w:r>
    </w:p>
    <w:p>
      <w:pPr>
        <w:pStyle w:val="BookText"/>
        <w:rPr/>
      </w:pPr>
      <w:r>
        <w:rPr>
          <w:rFonts w:ascii="Amiri" w:hAnsi="Amiri" w:eastAsia="Amiri" w:cs="Amiri"/>
          <w:color w:val="111111"/>
          <w:sz w:val="28"/>
          <w:sz w:val="28"/>
          <w:szCs w:val="28"/>
          <w:rtl w:val="true"/>
          <w:lang w:bidi="ar-SA"/>
        </w:rPr>
        <w:t xml:space="preserve">أم لا ؛ و سواء كان في غير سوق المسلمين، أم لا ؛ و مفهوم الصحيحة يستدعي الجواز في غير سوق المسلمين عند الإخبار، سواء تحقّق الظنّ بالتذكية، أم لا </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190749_1051229030"/>
      <w:bookmarkStart w:id="393" w:name="_Toc149"/>
      <w:bookmarkEnd w:id="392"/>
      <w:r>
        <w:rPr>
          <w:rtl w:val="true"/>
        </w:rPr>
        <w:t>مختار المؤلّف قدس‌سره و دليله</w:t>
      </w:r>
      <w:bookmarkEnd w:id="39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الرجوع إلى التراجيح، و هي في جانب العدم من وجوه متعدّدة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في الدلالة ؛ و غيرها ممّا يظهر من المباحث السالفة، فالترجيحلجانب العدم </w:t>
      </w:r>
      <w:r>
        <w:rPr>
          <w:rFonts w:eastAsia="Amiri" w:cs="Amiri" w:ascii="Amiri" w:hAnsi="Amiri"/>
          <w:color w:val="111111"/>
          <w:sz w:val="28"/>
          <w:szCs w:val="28"/>
          <w:rtl w:val="true"/>
          <w:lang w:bidi="ar-SA"/>
        </w:rPr>
        <w:t xml:space="preserve">. </w:t>
      </w:r>
      <w:bookmarkStart w:id="394" w:name="pg7350_54640"/>
    </w:p>
    <w:p>
      <w:pPr>
        <w:pStyle w:val="Heading4"/>
        <w:numPr>
          <w:ilvl w:val="3"/>
          <w:numId w:val="1"/>
        </w:numPr>
        <w:rPr/>
      </w:pPr>
      <w:bookmarkStart w:id="395" w:name="__RefHeading___Toc1190751_1051229030"/>
      <w:bookmarkStart w:id="396" w:name="_Toc150"/>
      <w:bookmarkEnd w:id="394"/>
      <w:bookmarkEnd w:id="395"/>
      <w:r>
        <w:rPr>
          <w:rtl w:val="true"/>
        </w:rPr>
        <w:t xml:space="preserve">القسم التاسع والأربعون </w:t>
      </w:r>
      <w:r>
        <w:rPr>
          <w:rtl w:val="true"/>
        </w:rPr>
        <w:t>:</w:t>
      </w:r>
      <w:bookmarkEnd w:id="396"/>
    </w:p>
    <w:p>
      <w:pPr>
        <w:pStyle w:val="BookText"/>
        <w:rPr/>
      </w:pPr>
      <w:r>
        <w:rPr>
          <w:rFonts w:ascii="Amiri" w:hAnsi="Amiri" w:eastAsia="Amiri" w:cs="Amiri"/>
          <w:color w:val="111111"/>
          <w:sz w:val="28"/>
          <w:sz w:val="28"/>
          <w:szCs w:val="28"/>
          <w:rtl w:val="true"/>
          <w:lang w:bidi="ar-SA"/>
        </w:rPr>
        <w:t xml:space="preserve">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الجلد في يد المسلم الغير المستحلّ في البلد المشترك مع غلبة الكفّار من غير إخبار بالتذكية و لا الظنّ بها </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90753_1051229030"/>
      <w:bookmarkStart w:id="398" w:name="_Toc151"/>
      <w:bookmarkEnd w:id="397"/>
      <w:r>
        <w:rPr>
          <w:rtl w:val="true"/>
        </w:rPr>
        <w:t xml:space="preserve">القسم الخمسون </w:t>
      </w:r>
      <w:r>
        <w:rPr>
          <w:rtl w:val="true"/>
        </w:rPr>
        <w:t>:</w:t>
      </w:r>
      <w:bookmarkEnd w:id="398"/>
    </w:p>
    <w:p>
      <w:pPr>
        <w:pStyle w:val="Heading5"/>
        <w:numPr>
          <w:ilvl w:val="4"/>
          <w:numId w:val="1"/>
        </w:numPr>
        <w:rPr/>
      </w:pPr>
      <w:bookmarkStart w:id="399" w:name="__RefHeading___Toc1190755_1051229030"/>
      <w:bookmarkStart w:id="400" w:name="_Toc152"/>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بكونه من غير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إلاّ في الأخير مع الظنّ بالتذكية فكما تقدّم </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190757_1051229030"/>
      <w:bookmarkStart w:id="402" w:name="_Toc153"/>
      <w:bookmarkEnd w:id="401"/>
      <w:r>
        <w:rPr>
          <w:rtl w:val="true"/>
        </w:rPr>
        <w:t>الكلام فيما إذا كان الجلد في يد المسلم المستحلّ مع جميع الاحتمالات المذكورة</w:t>
      </w:r>
      <w:bookmarkEnd w:id="402"/>
    </w:p>
    <w:p>
      <w:pPr>
        <w:pStyle w:val="Heading6"/>
        <w:numPr>
          <w:ilvl w:val="5"/>
          <w:numId w:val="1"/>
        </w:numPr>
        <w:rPr/>
      </w:pPr>
      <w:bookmarkStart w:id="403" w:name="__RefHeading___Toc1190759_1051229030"/>
      <w:bookmarkStart w:id="404" w:name="_Toc154"/>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ثمّ لا يخفى أنّ المفروض في الأقسام المذكورة بأسرها أن يكون الجلد في يد المسلم الغير المستحلّ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إذا كان في يد المسلم المستحلّ مع جميع الاحتمالات </w:t>
      </w:r>
    </w:p>
    <w:p>
      <w:pPr>
        <w:pStyle w:val="BookText"/>
        <w:rPr/>
      </w:pPr>
      <w:r>
        <w:rPr>
          <w:rFonts w:ascii="Amiri" w:hAnsi="Amiri" w:eastAsia="Amiri" w:cs="Amiri"/>
          <w:color w:val="111111"/>
          <w:sz w:val="28"/>
          <w:sz w:val="28"/>
          <w:szCs w:val="28"/>
          <w:rtl w:val="true"/>
          <w:lang w:bidi="ar-SA"/>
        </w:rPr>
        <w:t xml:space="preserve">المذكورة، فيرتقي الأقسام إلى مائة ؛ والبحث عن تفصيلها إنّما يحتاج إذا قلنابجواز أخذ الجلود من المسلم المستحلّ ؛ و أمّا مع العدم فلا،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فالمهمّ في هذا المقام هو البحث عن هذا المرام،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ذلك، فالمنع هو مختار المبسوط والنهاية والتذكرة و نهاية الإحكام والتحرير والمنتهى والذكرى والدروس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اشترى جلدًا على أنّه مذكّى، جاز أن يصلّى فيه، وإن لم يكن كذلك إذا اشترى ذلك من أسواق </w:t>
      </w:r>
      <w:r>
        <w:rPr>
          <w:rStyle w:val="FootnoteAnchor"/>
          <w:rtl w:val="true"/>
        </w:rPr>
        <w:footnoteReference w:id="409"/>
      </w:r>
      <w:r>
        <w:rPr>
          <w:rFonts w:ascii="Amiri" w:hAnsi="Amiri" w:eastAsia="Amiri" w:cs="Amiri"/>
          <w:color w:val="111111"/>
          <w:sz w:val="28"/>
          <w:sz w:val="28"/>
          <w:szCs w:val="28"/>
          <w:rtl w:val="true"/>
          <w:lang w:bidi="ar-SA"/>
        </w:rPr>
        <w:t>المسلمين ممّن لا يستحلّ الميتة،</w:t>
      </w:r>
    </w:p>
    <w:p>
      <w:pPr>
        <w:pStyle w:val="BookText"/>
        <w:rPr/>
      </w:pPr>
      <w:r>
        <w:rPr>
          <w:rFonts w:ascii="Amiri" w:hAnsi="Amiri" w:eastAsia="Amiri" w:cs="Amiri"/>
          <w:color w:val="111111"/>
          <w:sz w:val="28"/>
          <w:sz w:val="28"/>
          <w:szCs w:val="28"/>
          <w:rtl w:val="true"/>
          <w:lang w:bidi="ar-SA"/>
        </w:rPr>
        <w:t xml:space="preserve">ولايجوز شراؤها ممّن يستحلّ ذلك، أو كان متّهمًا فيه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بالصلاة في السنجاب والحواصل و في وبر كلّ شيء يؤكل لحمه إذا ذكى و دبغ ؛ فإن لم يعلم أنّه مذكّى، فلا بأس بشرائه من أسواق المسلمين ممّن لايستحلّ الميتة، ولا يجوز شراؤها ممّن يستحلّ ذلك، أو كان متّهمًا فيه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في الحكم بالتذكية انتفاء العلم بموته، و وجوده في يد مسلم </w:t>
      </w:r>
    </w:p>
    <w:p>
      <w:pPr>
        <w:pStyle w:val="BookText"/>
        <w:rPr/>
      </w:pPr>
      <w:r>
        <w:rPr>
          <w:rFonts w:ascii="Amiri" w:hAnsi="Amiri" w:eastAsia="Amiri" w:cs="Amiri"/>
          <w:color w:val="111111"/>
          <w:sz w:val="28"/>
          <w:sz w:val="28"/>
          <w:szCs w:val="28"/>
          <w:rtl w:val="true"/>
          <w:lang w:bidi="ar-SA"/>
        </w:rPr>
        <w:t xml:space="preserve">لايستبيح جلد الميتة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نبّهنا فيما سلف أنّ الواو فيه بمعنى 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نهاية الإحكام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الحكم بالتذكية عدم العلم بموته و وجوده في يد مسلم لايستحلّ جلد الميتة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بمثله قال في التحرير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عبارة المنتهى و إن كان في الأوّل يقتضي للاكتفاء في الحكم بالتذكية بوجوده في يد مسلم بعنوان الإطلاق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يكتفى في العلم بالتذكية وجوده في يد مسلم، إلى آخره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صرّح فيما بعد بما يقيّده بالمسلم الغير المستحلّ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وجد الجلد مع من يستحلّ الميتة لم يحكم بتذكيته وإن أخبره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يشترى في سوق الإسلام، فيحكم عليه بالذكاة إذا لم يعلم كون </w:t>
      </w:r>
    </w:p>
    <w:p>
      <w:pPr>
        <w:pStyle w:val="BookText"/>
        <w:rPr/>
      </w:pPr>
      <w:r>
        <w:rPr>
          <w:rFonts w:ascii="Amiri" w:hAnsi="Amiri" w:eastAsia="Amiri" w:cs="Amiri"/>
          <w:color w:val="111111"/>
          <w:sz w:val="28"/>
          <w:sz w:val="28"/>
          <w:szCs w:val="28"/>
          <w:rtl w:val="true"/>
          <w:lang w:bidi="ar-SA"/>
        </w:rPr>
        <w:t xml:space="preserve">البائع مستحلاًّ، عملاً بالظاهر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كلامه قبله و بعده لايخلو من اضطراب في الحكم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في سوق الإسلام، أو مع مسلم غير مستحلّ، أو مجهول الحال في الاستحلال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كلامه قبله دالاًّ على تزلزله في ذلك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لايجوز </w:t>
      </w:r>
      <w:r>
        <w:rPr>
          <w:rStyle w:val="FootnoteAnchor"/>
          <w:rtl w:val="true"/>
        </w:rPr>
        <w:footnoteReference w:id="420"/>
      </w:r>
      <w:r>
        <w:rPr>
          <w:rFonts w:ascii="Amiri" w:hAnsi="Amiri" w:eastAsia="Amiri" w:cs="Amiri"/>
          <w:color w:val="111111"/>
          <w:sz w:val="28"/>
          <w:sz w:val="28"/>
          <w:szCs w:val="28"/>
          <w:rtl w:val="true"/>
          <w:lang w:bidi="ar-SA"/>
        </w:rPr>
        <w:t xml:space="preserve">الصلاة في جلد الميتة و لو دبغ سبعين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حكمه ما يوجد مطروحًا، أو يؤخذ من كافر، أو من سوق الكفّار، أو مستحلّ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بالدباغ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على قول، إلاّ أن يخبر بالتذكية فيقبل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مقتضى كلام جماعة من قدماء الأصحاب، قال في الوسيلة ما حاصله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يجوز الصلاة فيه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والكتان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وجلود ما يؤكل لحمه إذا كان مذكّى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منه إذا حصل العلم بذكاته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المراسم مثله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من شعر ما يؤكل لحمه عن الحيوان، أو صوفه، أو وبره، وكذا جلده إذا كان مذكّى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الصلاة في ثمانية أجناس من اللباس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والصوف والشعر والوبر إذا كان ممّا يؤكل لحمه، سواء كان مذكّى ما أخذ منه، أو غير مذكّى، و جلد ما يؤكل لحمه إذا كان مذكّى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هذه الكلمات حصول العلم بالتذكية ؛ و ليس فيها ما يوجب صرفها عن ظاهرها، فكلّما دلّ الإجماع على خروجه منه فلا كلام، وكلّما لم يدلّ عليه ينبغي الحكم باندراجه تحتها، و ما نحن فيه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من المعتبر والشرائع والنافع والجعفريّة، بل المصرّح به في كلمات جماعة من المتأخّرين هو الجواز </w:t>
      </w:r>
      <w:r>
        <w:rPr>
          <w:rStyle w:val="FootnoteAnchor"/>
          <w:rtl w:val="true"/>
        </w:rPr>
        <w:footnoteReference w:id="427"/>
      </w:r>
      <w:r>
        <w:rPr>
          <w:rFonts w:ascii="Amiri" w:hAnsi="Amiri" w:eastAsia="Amiri" w:cs="Amiri"/>
          <w:color w:val="111111"/>
          <w:sz w:val="28"/>
          <w:sz w:val="28"/>
          <w:szCs w:val="28"/>
          <w:rtl w:val="true"/>
          <w:lang w:bidi="ar-SA"/>
        </w:rPr>
        <w:t xml:space="preserve">؛ و في كلام شهيدنا الثاني نسبته إلىالاشتهار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فالجواز هو الظاهر من المعتبر والشرائع والنافع والجعفريّة، والمصرّح به في البيان والروض والمسالك والمدارك والذخيرة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الحكم بذكاة </w:t>
      </w:r>
      <w:r>
        <w:rPr>
          <w:rStyle w:val="FootnoteAnchor"/>
          <w:rtl w:val="true"/>
        </w:rPr>
        <w:footnoteReference w:id="429"/>
      </w:r>
      <w:r>
        <w:rPr>
          <w:rFonts w:ascii="Amiri" w:hAnsi="Amiri" w:eastAsia="Amiri" w:cs="Amiri"/>
          <w:color w:val="111111"/>
          <w:sz w:val="28"/>
          <w:sz w:val="28"/>
          <w:szCs w:val="28"/>
          <w:rtl w:val="true"/>
          <w:lang w:bidi="ar-SA"/>
        </w:rPr>
        <w:t xml:space="preserve">ما لم يعلم انّه ميتة وجوده في يد مسلم، أو في سوق المسلمين، أو في بلد الغالب فيه المسلمون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فيه ما أوجب تقييده بالمسلم الغير المستحلّ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الأخذ من مسلم يعلم منه استحلال الميتة بالدباغ وجه بالمنع، إلاّ أن يخبر بالذكاة فيقبل على الأقرب، و أقوى في الجواز إذا جهل حاله في الاستحلال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منه إباحة ذبيحة الكتابيّ، فظاهرٌ أنّه كالعلم </w:t>
      </w:r>
    </w:p>
    <w:p>
      <w:pPr>
        <w:pStyle w:val="BookText"/>
        <w:rPr/>
      </w:pPr>
      <w:r>
        <w:rPr>
          <w:rFonts w:ascii="Amiri" w:hAnsi="Amiri" w:eastAsia="Amiri" w:cs="Amiri"/>
          <w:color w:val="111111"/>
          <w:sz w:val="28"/>
          <w:sz w:val="28"/>
          <w:szCs w:val="28"/>
          <w:rtl w:val="true"/>
          <w:lang w:bidi="ar-SA"/>
        </w:rPr>
        <w:t xml:space="preserve">باستحلال المدبوغ من الميتة ؛ والوجه الحكم بالطهارة مطلقًا، إلاّ أن يخبر </w:t>
      </w:r>
      <w:r>
        <w:rPr>
          <w:rStyle w:val="FootnoteAnchor"/>
          <w:rtl w:val="true"/>
        </w:rPr>
        <w:footnoteReference w:id="431"/>
      </w:r>
      <w:r>
        <w:rPr>
          <w:rFonts w:ascii="Amiri" w:hAnsi="Amiri" w:eastAsia="Amiri" w:cs="Amiri"/>
          <w:color w:val="111111"/>
          <w:sz w:val="28"/>
          <w:sz w:val="28"/>
          <w:szCs w:val="28"/>
          <w:rtl w:val="true"/>
          <w:lang w:bidi="ar-SA"/>
        </w:rPr>
        <w:t xml:space="preserve">ذو اليد بعدم التذكية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إلحاق ما يوجد في يد مستحلّ الميتة بالدبغ بها وإن أخبر بالتذكيةفي </w:t>
      </w:r>
      <w:r>
        <w:rPr>
          <w:rStyle w:val="FootnoteAnchor"/>
          <w:rtl w:val="true"/>
        </w:rPr>
        <w:footnoteReference w:id="433"/>
      </w:r>
      <w:r>
        <w:rPr>
          <w:rFonts w:ascii="Amiri" w:hAnsi="Amiri" w:eastAsia="Amiri" w:cs="Amiri"/>
          <w:color w:val="111111"/>
          <w:sz w:val="28"/>
          <w:sz w:val="28"/>
          <w:szCs w:val="28"/>
          <w:rtl w:val="true"/>
          <w:lang w:bidi="ar-SA"/>
        </w:rPr>
        <w:t xml:space="preserve">يد المخالف مطلقًا من غير الفِرَق المحكوم بكفرها وجهان ؛ والمشهور في الفتاوي والأخبار طهارتها و جواز الصلاة فيها وإن لم يخبر ذو اليد بالتذكية، فلو أخبر يثبت </w:t>
      </w:r>
      <w:r>
        <w:rPr>
          <w:rStyle w:val="FootnoteAnchor"/>
          <w:rtl w:val="true"/>
        </w:rPr>
        <w:footnoteReference w:id="434"/>
      </w:r>
      <w:r>
        <w:rPr>
          <w:rFonts w:ascii="Amiri" w:hAnsi="Amiri" w:eastAsia="Amiri" w:cs="Amiri"/>
          <w:color w:val="111111"/>
          <w:sz w:val="28"/>
          <w:sz w:val="28"/>
          <w:szCs w:val="28"/>
          <w:rtl w:val="true"/>
          <w:lang w:bidi="ar-SA"/>
        </w:rPr>
        <w:t xml:space="preserve">الحكم بطريق أولى وإن كان التنزّه عنه أفضل مطلقًا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بعد عنوان كلام المحقّق الدالّ على جواز شراء ما يباع في أسواق المسلمين،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ما يوجد بيد رجل معلوم الإسلام و مجهوله، و لا في المسلم بين كونه ممّن يستحلّ ذبيحة الكتابيّ و غيره، على أصحّ القولين، عملاً بعموم النصوص والفتاوي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يكفي في الحكم بذكاة الجلد الّذي لايعلم كونه ميتة وجوده في يد مسلم، أو في سوق المسلمين، سواء أخبر ذو اليد بالتذكية أم لا ؛ و سواءكان ممّن يستحلّ الميتة بالدبغ، أو ذباحة أهل الكتاب، أم لا </w:t>
      </w:r>
      <w:r>
        <w:rPr>
          <w:rStyle w:val="FootnoteAnchor"/>
          <w:rtl w:val="true"/>
        </w:rPr>
        <w:footnoteReference w:id="437"/>
      </w:r>
      <w:r>
        <w:rPr>
          <w:rFonts w:ascii="Amiri" w:hAnsi="Amiri" w:eastAsia="Amiri" w:cs="Amiri"/>
          <w:color w:val="111111"/>
          <w:sz w:val="28"/>
          <w:sz w:val="28"/>
          <w:szCs w:val="28"/>
          <w:rtl w:val="true"/>
          <w:lang w:bidi="ar-SA"/>
        </w:rPr>
        <w:t xml:space="preserve">؛ و هوظاهر اختيار المصنّف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 العلاّمة في التذكرة والمنتهى من تناول ما يوجد في يد مستحلّ الميتة بالدبغ وإن أخبر بالتذكية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منه ما ذكره في الذخيرة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405" w:name="pg7350_54648"/>
    </w:p>
    <w:p>
      <w:pPr>
        <w:pStyle w:val="Heading6"/>
        <w:numPr>
          <w:ilvl w:val="5"/>
          <w:numId w:val="1"/>
        </w:numPr>
        <w:rPr/>
      </w:pPr>
      <w:bookmarkStart w:id="406" w:name="__RefHeading___Toc1190761_1051229030"/>
      <w:bookmarkStart w:id="407" w:name="_Toc155"/>
      <w:bookmarkEnd w:id="405"/>
      <w:bookmarkEnd w:id="406"/>
      <w:r>
        <w:rPr>
          <w:rtl w:val="true"/>
        </w:rPr>
        <w:t>مستند المانعين</w:t>
      </w:r>
      <w:bookmarkEnd w:id="407"/>
    </w:p>
    <w:p>
      <w:pPr>
        <w:pStyle w:val="BookText"/>
        <w:rPr/>
      </w:pPr>
      <w:r>
        <w:rPr>
          <w:rFonts w:ascii="Amiri" w:hAnsi="Amiri" w:eastAsia="Amiri" w:cs="Amiri"/>
          <w:color w:val="111111"/>
          <w:sz w:val="28"/>
          <w:sz w:val="28"/>
          <w:szCs w:val="28"/>
          <w:rtl w:val="true"/>
          <w:lang w:bidi="ar-SA"/>
        </w:rPr>
        <w:t xml:space="preserve">والمستند للمانعين ما رواه في الكافي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w:t>
      </w:r>
    </w:p>
    <w:p>
      <w:pPr>
        <w:pStyle w:val="BookText"/>
        <w:rPr/>
      </w:pPr>
      <w:r>
        <w:rPr>
          <w:rFonts w:ascii="Amiri" w:hAnsi="Amiri" w:eastAsia="Amiri" w:cs="Amiri"/>
          <w:color w:val="111111"/>
          <w:sz w:val="28"/>
          <w:sz w:val="28"/>
          <w:szCs w:val="28"/>
          <w:rtl w:val="true"/>
          <w:lang w:bidi="ar-SA"/>
        </w:rPr>
        <w:t xml:space="preserve">عن الصلاة في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صررًا </w:t>
      </w:r>
      <w:r>
        <w:rPr>
          <w:rStyle w:val="FootnoteAnchor"/>
          <w:rtl w:val="true"/>
        </w:rPr>
        <w:footnoteReference w:id="440"/>
      </w:r>
      <w:r>
        <w:rPr>
          <w:rFonts w:ascii="Amiri" w:hAnsi="Amiri" w:eastAsia="Amiri" w:cs="Amiri"/>
          <w:color w:val="111111"/>
          <w:sz w:val="28"/>
          <w:sz w:val="28"/>
          <w:szCs w:val="28"/>
          <w:rtl w:val="true"/>
          <w:lang w:bidi="ar-SA"/>
        </w:rPr>
        <w:t xml:space="preserve">لا يدفئه </w:t>
      </w:r>
      <w:r>
        <w:rPr>
          <w:rStyle w:val="FootnoteAnchor"/>
          <w:rtl w:val="true"/>
        </w:rPr>
        <w:footnoteReference w:id="441"/>
      </w:r>
      <w:r>
        <w:rPr>
          <w:rFonts w:ascii="IRNazanin" w:hAnsi="IRNazanin" w:eastAsia="IRNazanin"/>
          <w:color w:val="111111"/>
          <w:sz w:val="28"/>
          <w:sz w:val="28"/>
          <w:szCs w:val="28"/>
          <w:rtl w:val="true"/>
          <w:lang w:bidi="fa-IR"/>
        </w:rPr>
        <w:t xml:space="preserve">فراء الحجاز، لأنّ دباغها </w:t>
      </w:r>
      <w:r>
        <w:rPr>
          <w:rStyle w:val="FootnoteAnchor"/>
          <w:rtl w:val="true"/>
        </w:rPr>
        <w:footnoteReference w:id="442"/>
      </w:r>
      <w:r>
        <w:rPr>
          <w:rFonts w:ascii="Amiri" w:hAnsi="Amiri" w:eastAsia="Amiri" w:cs="Amiri"/>
          <w:color w:val="111111"/>
          <w:sz w:val="28"/>
          <w:sz w:val="28"/>
          <w:szCs w:val="28"/>
          <w:rtl w:val="true"/>
          <w:lang w:bidi="ar-SA"/>
        </w:rPr>
        <w:t xml:space="preserve">بالقَرَظ، فكان يبعث إلى العراق فيؤتى ممّا في قبلكم </w:t>
      </w:r>
      <w:r>
        <w:rPr>
          <w:rStyle w:val="FootnoteAnchor"/>
          <w:rtl w:val="true"/>
        </w:rPr>
        <w:footnoteReference w:id="443"/>
      </w:r>
      <w:r>
        <w:rPr>
          <w:rFonts w:ascii="Amiri" w:hAnsi="Amiri" w:eastAsia="Amiri" w:cs="Amiri"/>
          <w:color w:val="111111"/>
          <w:sz w:val="28"/>
          <w:sz w:val="28"/>
          <w:szCs w:val="28"/>
          <w:rtl w:val="true"/>
          <w:lang w:bidi="ar-SA"/>
        </w:rPr>
        <w:t xml:space="preserve">بالفرو فيلبسه، فإذا حضرت الصلاة ألقاه وألقى القميص الّذي تحته الّذي يليه، فكان يسأل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يستحلّون لباسالجلود الميتة و يزعمون أنّ دباغه ذكاته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المفتوحة والراء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يجد البرد سريعًا ؛ والإدفاء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التسخين ؛ والقَرَظ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السلم يدبغ به الأديم ؛ و قد بيّنا في مطالع الأنوار </w:t>
      </w:r>
      <w:r>
        <w:rPr>
          <w:rStyle w:val="FootnoteAnchor"/>
          <w:rtl w:val="true"/>
        </w:rPr>
        <w:footnoteReference w:id="445"/>
      </w:r>
      <w:r>
        <w:rPr>
          <w:rFonts w:ascii="Amiri" w:hAnsi="Amiri" w:eastAsia="Amiri" w:cs="Amiri"/>
          <w:color w:val="111111"/>
          <w:sz w:val="28"/>
          <w:sz w:val="28"/>
          <w:szCs w:val="28"/>
          <w:rtl w:val="true"/>
          <w:lang w:bidi="ar-SA"/>
        </w:rPr>
        <w:t xml:space="preserve">وجه استيجاب الدباغة لعدم الإدفاء، فليلاحظ </w:t>
      </w:r>
      <w:r>
        <w:rPr>
          <w:rFonts w:eastAsia="Amiri" w:cs="Amiri" w:ascii="Amiri" w:hAnsi="Amiri"/>
          <w:color w:val="111111"/>
          <w:sz w:val="28"/>
          <w:szCs w:val="28"/>
          <w:rtl w:val="true"/>
          <w:lang w:bidi="ar-SA"/>
        </w:rPr>
        <w:t xml:space="preserve">. </w:t>
      </w:r>
      <w:bookmarkStart w:id="408" w:name="pg7350_54649"/>
    </w:p>
    <w:p>
      <w:pPr>
        <w:pStyle w:val="BookText"/>
        <w:rPr/>
      </w:pPr>
      <w:bookmarkEnd w:id="408"/>
      <w:r>
        <w:rPr>
          <w:rFonts w:ascii="Amiri" w:hAnsi="Amiri" w:eastAsia="Amiri" w:cs="Amiri"/>
          <w:color w:val="111111"/>
          <w:sz w:val="28"/>
          <w:sz w:val="28"/>
          <w:szCs w:val="28"/>
          <w:rtl w:val="true"/>
          <w:lang w:bidi="ar-SA"/>
        </w:rPr>
        <w:t xml:space="preserve">و ما رواه فيه أيضًا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سوق المسلمين أعني هذا الخلق الّذي </w:t>
      </w:r>
      <w:r>
        <w:rPr>
          <w:rStyle w:val="FootnoteAnchor"/>
          <w:rtl w:val="true"/>
        </w:rPr>
        <w:footnoteReference w:id="446"/>
      </w:r>
      <w:r>
        <w:rPr>
          <w:rFonts w:ascii="Amiri" w:hAnsi="Amiri" w:eastAsia="Amiri" w:cs="Amiri"/>
          <w:color w:val="111111"/>
          <w:sz w:val="28"/>
          <w:sz w:val="28"/>
          <w:szCs w:val="28"/>
          <w:rtl w:val="true"/>
          <w:lang w:bidi="ar-SA"/>
        </w:rPr>
        <w:t xml:space="preserve">يدعون الإسلام، فاشترى منهم الفراء للتجارة، فأقول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هي ذكيّة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فهل يصلح لي أن أبيعها على أنّها ذكيّة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لا بأس أن تبيعها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لي الّذي أشتريتها منه أنّها 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أفسد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أهل العراق للميتة و زعموا أنّ دباغ جلد الميتة ذكاته، ثمّ لم يرضوا أن يكذبوا في ذلك إلاّ علىرسول اللّه صلى‌الله‌عليه‌و‌آله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9" w:name="__RefHeading___Toc1190763_1051229030"/>
      <w:bookmarkStart w:id="410" w:name="_Toc156"/>
      <w:bookmarkEnd w:id="409"/>
      <w:r>
        <w:rPr>
          <w:rtl w:val="true"/>
        </w:rPr>
        <w:t>الجواب عن مستند المانعين</w:t>
      </w:r>
      <w:bookmarkEnd w:id="410"/>
    </w:p>
    <w:p>
      <w:pPr>
        <w:pStyle w:val="BookText"/>
        <w:rPr/>
      </w:pP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مقدوحان سندًا و دلالة،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سند الأوّل مشتملٌ على عبداللّه بن إسحاق العلوي و عيثم بن أسلم النجاشي ؛ و هما غير مذكوران في الرجال ؛ و على محمّد بن سليمان الديلمي، و قد قال النجاشي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جدًّا، لا يعوّل عليه في شيء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سند الثاني مشتملٌ على عبداللّه بن إسحاق العلوي أيضًا، و قد عرفت حاله ؛ و على محمّد بن عبداللّه بن هلال، و هو أيضًا مهمل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دلالة الأوّل على المدّعى غير ظاهرة، إلاّ من جهة اشتماله </w:t>
      </w:r>
    </w:p>
    <w:p>
      <w:pPr>
        <w:pStyle w:val="BookText"/>
        <w:rPr/>
      </w:pPr>
      <w:r>
        <w:rPr>
          <w:rFonts w:ascii="Amiri" w:hAnsi="Amiri" w:eastAsia="Amiri" w:cs="Amiri"/>
          <w:color w:val="111111"/>
          <w:sz w:val="28"/>
          <w:sz w:val="28"/>
          <w:szCs w:val="28"/>
          <w:rtl w:val="true"/>
          <w:lang w:bidi="ar-SA"/>
        </w:rPr>
        <w:t xml:space="preserve">على أنّه عليه‌السلام ألقاه حال الصلاة ؛ و هو معارضٌ بلبسه عليه‌السلام في غير حال الصلاة، و هو صريحٌ في جواز الاستعمال، بخلاف الإلقاء حال الصلاة، لجواز أن يكون ذلك للاحتراز عن الاحتمال الّذي لا يجب الاجتناب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لبسه عليه‌السلام صريحٌ في أنّ الجلود المأخوذة ممّن يستحلّ الميتة ليس لها حكم الميتة، فيكون إلقاؤه عليه‌السلام حال الصلاة دالاًّ على مرجوحيّة الصلاة معه، كما يدلّ عليه الصحيح المرويّ في الكافي عن الحلبي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w:t>
      </w:r>
      <w:r>
        <w:rPr>
          <w:rStyle w:val="FootnoteAnchor"/>
          <w:rtl w:val="true"/>
        </w:rPr>
        <w:footnoteReference w:id="449"/>
      </w:r>
      <w:r>
        <w:rPr>
          <w:rFonts w:ascii="Amiri" w:hAnsi="Amiri" w:eastAsia="Amiri" w:cs="Amiri"/>
          <w:color w:val="111111"/>
          <w:sz w:val="28"/>
          <w:sz w:val="28"/>
          <w:szCs w:val="28"/>
          <w:rtl w:val="true"/>
          <w:lang w:bidi="ar-SA"/>
        </w:rPr>
        <w:t xml:space="preserve">الصلاة في الفراء إلاّ ما صنع في أرض الحجاز، أو ما عملت منهذكاة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المدّعى عدم جواز أخذ الجلود من المستحلّ، لا استعمال الميتة، والحديث صريحٌ في جوازه،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يبعث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فلو لم يجز ذلك كيف يبعث عليه‌السلام إلى العراق مع حكمه عليه‌السلام بأنّ أهل العراق يستحلّون جلود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الحديث الأوّل، و أمّا الثاني فلأنّ الظاهر من كلام الراوي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اشترى الفراء منهم للتجارة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اعتقد جواز شراء الفراء من المستحلّين للميتة،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سؤاله في أنّه هل يجوز له الإخبار بالتذكية اعتمادًا على إخبار ذي اليد ؛ و قرّره عليه‌السلام على اعتقاده، فلو لم يجز أخذ الجلود منهم ردعه عليه‌السلام، و عدمه دليلٌ على الجواز </w:t>
      </w:r>
      <w:r>
        <w:rPr>
          <w:rFonts w:eastAsia="Amiri" w:cs="Amiri" w:ascii="Amiri" w:hAnsi="Amiri"/>
          <w:color w:val="111111"/>
          <w:sz w:val="28"/>
          <w:szCs w:val="28"/>
          <w:rtl w:val="true"/>
          <w:lang w:bidi="ar-SA"/>
        </w:rPr>
        <w:t xml:space="preserve">. </w:t>
      </w:r>
      <w:bookmarkStart w:id="411" w:name="pg7350_54651"/>
    </w:p>
    <w:p>
      <w:pPr>
        <w:pStyle w:val="BookText"/>
        <w:rPr/>
      </w:pPr>
      <w:bookmarkEnd w:id="411"/>
      <w:r>
        <w:rPr>
          <w:rFonts w:ascii="Amiri" w:hAnsi="Amiri" w:eastAsia="Amiri" w:cs="Amiri"/>
          <w:color w:val="111111"/>
          <w:sz w:val="28"/>
          <w:sz w:val="28"/>
          <w:szCs w:val="28"/>
          <w:rtl w:val="true"/>
          <w:lang w:bidi="ar-SA"/>
        </w:rPr>
        <w:t xml:space="preserve">مضافًا إلى تصريحه عليه‌السلام بالجواز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لا بأس أن تبيعها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فلو كانت الجلود الموجودة في يد المستحلّ للميتة محكومة بحكم الميتة لمنع عليه‌السلام عن الشراء والبيع، لعدم جواز بيع الميتة و شرائها </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190765_1051229030"/>
      <w:bookmarkStart w:id="413" w:name="_Toc157"/>
      <w:bookmarkEnd w:id="412"/>
      <w:r>
        <w:rPr>
          <w:rtl w:val="true"/>
        </w:rPr>
        <w:t>مختار المؤلّف قدس‌سره و دليله</w:t>
      </w:r>
      <w:bookmarkEnd w:id="413"/>
    </w:p>
    <w:p>
      <w:pPr>
        <w:pStyle w:val="BookText"/>
        <w:rPr/>
      </w:pPr>
      <w:r>
        <w:rPr>
          <w:rFonts w:ascii="Amiri" w:hAnsi="Amiri" w:eastAsia="Amiri" w:cs="Amiri"/>
          <w:color w:val="111111"/>
          <w:sz w:val="28"/>
          <w:sz w:val="28"/>
          <w:szCs w:val="28"/>
          <w:rtl w:val="true"/>
          <w:lang w:bidi="ar-SA"/>
        </w:rPr>
        <w:t xml:space="preserve">و أنت إذا أحطت خبرًا بما ذكرناه يظهر لك أنّ التمسّك بالحديثين المذكورين في جواز أخذ الجلود منهم أولى بمراتب من التمسّك بهما في إثبات العدم كما لا يخفى، فالترجيح لمذهب المجوّزين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الحديثين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المعتبرة المستفيضة السالفة الدالّة على جواز أخذ الجلود في السوق، كصحيحة سليمان بن جعفر أنّه سأل العبد الصالح موسى بن جعفر عليهماالسلام عن الرجل يأتي السوق، فيشتري جبّة فراء لايدري ذكيّة </w:t>
      </w:r>
      <w:r>
        <w:rPr>
          <w:rStyle w:val="FootnoteAnchor"/>
          <w:rtl w:val="true"/>
        </w:rPr>
        <w:footnoteReference w:id="451"/>
      </w:r>
      <w:r>
        <w:rPr>
          <w:rFonts w:ascii="Amiri" w:hAnsi="Amiri" w:eastAsia="Amiri" w:cs="Amiri"/>
          <w:color w:val="111111"/>
          <w:sz w:val="28"/>
          <w:sz w:val="28"/>
          <w:szCs w:val="28"/>
          <w:rtl w:val="true"/>
          <w:lang w:bidi="ar-SA"/>
        </w:rPr>
        <w:t xml:space="preserve">هي، أم غير ذكيّة، أيصلّي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الحديث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ترك الاستفصال بين كون ذي اليد من المستحلّ و غيره، يدلّ على ثبوت الحكم فيهما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غالب الأسواق في ذلك الزمان كانت مشتركة بين المستحلّ للميتة و غيره، بل المستحلّ كان أغلب، فالنصوص المسوّغة لأخذ الجلود في </w:t>
      </w:r>
    </w:p>
    <w:p>
      <w:pPr>
        <w:pStyle w:val="BookText"/>
        <w:rPr/>
      </w:pPr>
      <w:r>
        <w:rPr>
          <w:rFonts w:ascii="Amiri" w:hAnsi="Amiri" w:eastAsia="Amiri" w:cs="Amiri"/>
          <w:color w:val="111111"/>
          <w:sz w:val="28"/>
          <w:sz w:val="28"/>
          <w:szCs w:val="28"/>
          <w:rtl w:val="true"/>
          <w:lang w:bidi="ar-SA"/>
        </w:rPr>
        <w:t xml:space="preserve">الأسواق بعنوان الإطلاق كالصريحة في جواز أخذ الجلود منهم، و لا معارض لها، فتعيّن 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إسحاق بن عمّار السالفة،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بالصلاة في الفرو اليمانيّ و فيما صنع في أرض الإسلام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مقتضاه جواز الصلاة في كلّ ما صنع في أرض الإسلام، سواء كان ذو اليد من المسلم المستحلّ،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قول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فيها غير أهل الإسلام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 أنّه فهم عموم الحكم بالإضافة إلى جميع أفراد المسلمين، و سأل عمّا إذا كانفيها غير أهل الإسلام، و أجاب عليه‌السلام بما يؤكّد العموم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الغالب عليها المسلمين </w:t>
      </w:r>
      <w:r>
        <w:rPr>
          <w:rStyle w:val="FootnoteAnchor"/>
          <w:rtl w:val="true"/>
        </w:rPr>
        <w:footnoteReference w:id="454"/>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إسماعيل بن عيسى، و ستقف على الكلام في وجه دلالتها و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المسألة ممّا لا إشكال فيها، بل ربّما يمكن دعوى ندرة القائل بالمنع لو لم ندّع إطباق الأصحاب عليه في الجملة، كما ستقف عليه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اخترنا جواز أخذ الجلود من المسلم المستحلّ أيضًا، يلزم بسط الكلام في تحقيق تلك الأقسام، فنقول </w:t>
      </w:r>
      <w:r>
        <w:rPr>
          <w:rFonts w:eastAsia="Amiri" w:cs="Amiri" w:ascii="Amiri" w:hAnsi="Amiri"/>
          <w:color w:val="111111"/>
          <w:sz w:val="28"/>
          <w:szCs w:val="28"/>
          <w:rtl w:val="true"/>
          <w:lang w:bidi="ar-SA"/>
        </w:rPr>
        <w:t xml:space="preserve">: </w:t>
      </w:r>
      <w:bookmarkStart w:id="414" w:name="pg7350_54653"/>
    </w:p>
    <w:p>
      <w:pPr>
        <w:pStyle w:val="Heading4"/>
        <w:numPr>
          <w:ilvl w:val="3"/>
          <w:numId w:val="1"/>
        </w:numPr>
        <w:rPr/>
      </w:pPr>
      <w:bookmarkStart w:id="415" w:name="__RefHeading___Toc1190767_1051229030"/>
      <w:bookmarkStart w:id="416" w:name="_Toc158"/>
      <w:bookmarkEnd w:id="414"/>
      <w:bookmarkEnd w:id="415"/>
      <w:r>
        <w:rPr>
          <w:rtl w:val="true"/>
        </w:rPr>
        <w:t xml:space="preserve">القسم الحادي والخمسون </w:t>
      </w:r>
      <w:r>
        <w:rPr>
          <w:rtl w:val="true"/>
        </w:rPr>
        <w:t>:</w:t>
      </w:r>
      <w:bookmarkEnd w:id="416"/>
    </w:p>
    <w:p>
      <w:pPr>
        <w:pStyle w:val="Heading5"/>
        <w:numPr>
          <w:ilvl w:val="4"/>
          <w:numId w:val="1"/>
        </w:numPr>
        <w:rPr/>
      </w:pPr>
      <w:bookmarkStart w:id="417" w:name="__RefHeading___Toc1190769_1051229030"/>
      <w:bookmarkStart w:id="418" w:name="_Toc159"/>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القسم 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المستحلّ لاستعمال جلد الميتة بالدباغة و ذبائح أهل الكتاب في السوق المختصّ بالمسلم مع إخباره بالتذكية والظنّ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المبسوط والنهاية والمنتهى و نهاية الإحكام والتحرير والتذكرةعدم الجواز </w:t>
      </w:r>
      <w:r>
        <w:rPr>
          <w:rStyle w:val="FootnoteAnchor"/>
          <w:rtl w:val="true"/>
        </w:rPr>
        <w:footnoteReference w:id="456"/>
      </w:r>
      <w:r>
        <w:rPr>
          <w:rFonts w:ascii="Amiri" w:hAnsi="Amiri" w:eastAsia="Amiri" w:cs="Amiri"/>
          <w:color w:val="111111"/>
          <w:sz w:val="28"/>
          <w:sz w:val="28"/>
          <w:szCs w:val="28"/>
          <w:rtl w:val="true"/>
          <w:lang w:bidi="ar-SA"/>
        </w:rPr>
        <w:t xml:space="preserve">؛ و قد سمعت عبارة الجميع، و عبارة المنتهى أصرح، لتصريحه بالعدم ولو مع الإخبار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التحرير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يباع في أسواق المسلمين من الذبائح واللحوم حلال، يجوز شراؤه وأكله، ولا يجب التفتيش عن حاله، سواء كان البائع مؤمنًا أو مخالفًا يعتقد إباحة ذبائح أهل الكتاب على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يوجد في يد المخالف من الجلود و إن كان يعتقد إباحة استعمال جلد الميتة بعد الدبغ على إشكال، أقربه عندي المنع في الموضعين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وجد ذبيحة مطروحة لم يحلّ له أكلها ما لم يعلم أنّها تذكية مسلم، أو </w:t>
      </w:r>
    </w:p>
    <w:p>
      <w:pPr>
        <w:pStyle w:val="BookText"/>
        <w:rPr/>
      </w:pPr>
      <w:r>
        <w:rPr>
          <w:rFonts w:ascii="Amiri" w:hAnsi="Amiri" w:eastAsia="Amiri" w:cs="Amiri"/>
          <w:color w:val="111111"/>
          <w:sz w:val="28"/>
          <w:sz w:val="28"/>
          <w:szCs w:val="28"/>
          <w:rtl w:val="true"/>
          <w:lang w:bidi="ar-SA"/>
        </w:rPr>
        <w:t xml:space="preserve">يوجد </w:t>
      </w:r>
      <w:r>
        <w:rPr>
          <w:rStyle w:val="FootnoteAnchor"/>
          <w:rtl w:val="true"/>
        </w:rPr>
        <w:footnoteReference w:id="457"/>
      </w:r>
      <w:r>
        <w:rPr>
          <w:rFonts w:ascii="Amiri" w:hAnsi="Amiri" w:eastAsia="Amiri" w:cs="Amiri"/>
          <w:color w:val="111111"/>
          <w:sz w:val="28"/>
          <w:sz w:val="28"/>
          <w:szCs w:val="28"/>
          <w:rtl w:val="true"/>
          <w:lang w:bidi="ar-SA"/>
        </w:rPr>
        <w:t xml:space="preserve">في يده، انتهى كلامه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المعتبر </w:t>
      </w:r>
      <w:r>
        <w:rPr>
          <w:rStyle w:val="FootnoteAnchor"/>
          <w:rtl w:val="true"/>
        </w:rPr>
        <w:footnoteReference w:id="459"/>
      </w:r>
      <w:r>
        <w:rPr>
          <w:rFonts w:ascii="Amiri" w:hAnsi="Amiri" w:eastAsia="Amiri" w:cs="Amiri"/>
          <w:color w:val="111111"/>
          <w:sz w:val="28"/>
          <w:sz w:val="28"/>
          <w:szCs w:val="28"/>
          <w:rtl w:val="true"/>
          <w:lang w:bidi="ar-SA"/>
        </w:rPr>
        <w:t xml:space="preserve">الجواز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الجلد في يد المسلم،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وجوده في سوق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الظاهر من الشرائع والنافع، قال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يباع في أسواق المسلمين من الذبائح واللحوم يجوز شراؤه، ولايلزم الفحص </w:t>
      </w:r>
      <w:r>
        <w:rPr>
          <w:rStyle w:val="FootnoteAnchor"/>
          <w:rtl w:val="true"/>
        </w:rPr>
        <w:footnoteReference w:id="460"/>
      </w:r>
      <w:r>
        <w:rPr>
          <w:rFonts w:ascii="IRNazanin" w:hAnsi="IRNazanin" w:eastAsia="IRNazanin"/>
          <w:color w:val="111111"/>
          <w:sz w:val="28"/>
          <w:sz w:val="28"/>
          <w:szCs w:val="28"/>
          <w:rtl w:val="true"/>
          <w:lang w:bidi="fa-IR"/>
        </w:rPr>
        <w:t xml:space="preserve">عن حاله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يباع في أسواق المسلمين يجوز ابتياعه من غير تفحّص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 الإطلاق فيها يعمّ الجلود و غيرها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والجعفريّة أيضًا </w:t>
      </w:r>
      <w:r>
        <w:rPr>
          <w:rStyle w:val="FootnoteAnchor"/>
          <w:rtl w:val="true"/>
        </w:rPr>
        <w:footnoteReference w:id="463"/>
      </w:r>
      <w:r>
        <w:rPr>
          <w:rFonts w:ascii="Amiri" w:hAnsi="Amiri" w:eastAsia="Amiri" w:cs="Amiri"/>
          <w:color w:val="111111"/>
          <w:sz w:val="28"/>
          <w:sz w:val="28"/>
          <w:szCs w:val="28"/>
          <w:rtl w:val="true"/>
          <w:lang w:bidi="ar-SA"/>
        </w:rPr>
        <w:t xml:space="preserve">، لحصره الجلد الّذي له حكم الميتة في أمور ليس ما نحن فيه منها، كما نبّهنا عليه فيما سلف أيضًا </w:t>
      </w:r>
      <w:r>
        <w:rPr>
          <w:rFonts w:eastAsia="Amiri" w:cs="Amiri" w:ascii="Amiri" w:hAnsi="Amiri"/>
          <w:color w:val="111111"/>
          <w:sz w:val="28"/>
          <w:szCs w:val="28"/>
          <w:rtl w:val="true"/>
          <w:lang w:bidi="ar-SA"/>
        </w:rPr>
        <w:t xml:space="preserve">. </w:t>
      </w:r>
      <w:bookmarkStart w:id="419" w:name="pg7350_54655"/>
    </w:p>
    <w:p>
      <w:pPr>
        <w:pStyle w:val="BookText"/>
        <w:rPr/>
      </w:pPr>
      <w:bookmarkEnd w:id="419"/>
      <w:r>
        <w:rPr>
          <w:rFonts w:ascii="Amiri" w:hAnsi="Amiri" w:eastAsia="Amiri" w:cs="Amiri"/>
          <w:color w:val="111111"/>
          <w:sz w:val="28"/>
          <w:sz w:val="28"/>
          <w:szCs w:val="28"/>
          <w:rtl w:val="true"/>
          <w:lang w:bidi="ar-SA"/>
        </w:rPr>
        <w:t xml:space="preserve">و هو المصرّح به في الدروس والبيان والروض والمدارك والذخيرة </w:t>
      </w:r>
      <w:r>
        <w:rPr>
          <w:rStyle w:val="FootnoteAnchor"/>
          <w:rtl w:val="true"/>
        </w:rPr>
        <w:footnoteReference w:id="464"/>
      </w:r>
      <w:r>
        <w:rPr>
          <w:rFonts w:ascii="Amiri" w:hAnsi="Amiri" w:eastAsia="Amiri" w:cs="Amiri"/>
          <w:color w:val="111111"/>
          <w:sz w:val="28"/>
          <w:sz w:val="28"/>
          <w:szCs w:val="28"/>
          <w:rtl w:val="true"/>
          <w:lang w:bidi="ar-SA"/>
        </w:rPr>
        <w:t xml:space="preserve">، فلاحظ عباراتهم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في يد مستحلّ بالدبغ، ففيه صور ثلاث،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ميتة، فليجتنب، لاعتضاده بالأصل من عدم الذكاة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 بأنّه مذكّى، فالأقرب القبول، لأنّه الأغلب، و لكونه ذا يد فيقبل قوله فيه، كمايقبل في تطهير الثوب النجس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المنع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الصلاة في الذمّة بيقين، فلا تزول بدونه </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190771_1051229030"/>
      <w:bookmarkStart w:id="421" w:name="_Toc160"/>
      <w:bookmarkEnd w:id="420"/>
      <w:r>
        <w:rPr>
          <w:rtl w:val="true"/>
        </w:rPr>
        <w:t>مستند المانعين</w:t>
      </w:r>
      <w:bookmarkEnd w:id="421"/>
    </w:p>
    <w:p>
      <w:pPr>
        <w:pStyle w:val="BookText"/>
        <w:rPr/>
      </w:pPr>
      <w:r>
        <w:rPr>
          <w:rFonts w:ascii="Amiri" w:hAnsi="Amiri" w:eastAsia="Amiri" w:cs="Amiri"/>
          <w:color w:val="111111"/>
          <w:sz w:val="28"/>
          <w:sz w:val="28"/>
          <w:szCs w:val="28"/>
          <w:rtl w:val="true"/>
          <w:lang w:bidi="ar-SA"/>
        </w:rPr>
        <w:t xml:space="preserve">و مستند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بنبأ فتبيّنوا </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 أوجب التبيّن والتثبّت عند خبر الفاسق، و هو مستلزم لعدم القبول مطلقًا ؛ و إطلاقه يعمّ ما نحن فيه و غيرها </w:t>
      </w:r>
      <w:r>
        <w:rPr>
          <w:rFonts w:eastAsia="Amiri" w:cs="Amiri" w:ascii="Amiri" w:hAnsi="Amiri"/>
          <w:color w:val="111111"/>
          <w:sz w:val="28"/>
          <w:szCs w:val="28"/>
          <w:rtl w:val="true"/>
          <w:lang w:bidi="ar-SA"/>
        </w:rPr>
        <w:t xml:space="preserve">. </w:t>
      </w:r>
      <w:bookmarkStart w:id="422" w:name="pg7350_54656"/>
    </w:p>
    <w:p>
      <w:pPr>
        <w:pStyle w:val="BookText"/>
        <w:rPr/>
      </w:pPr>
      <w:bookmarkEnd w:id="422"/>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عبدالرّحمن بن الحجّاج المذكورة، و مثلها صحيحته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المتكرّرة،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فالصلاة في وبره و شعره و بوله و روثه و ألبانه و كلّ شيء منه جائز إذا علمت أنّه ذكيّ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عليّ بن أبي حمزة السالفة،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و أبا الحسن عليهماالسلام عن لباس الفراء والصلاة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فيها إلاّ فيما كان منه ذكيًّا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190773_1051229030"/>
      <w:bookmarkStart w:id="424" w:name="_Toc161"/>
      <w:bookmarkEnd w:id="423"/>
      <w:r>
        <w:rPr>
          <w:rtl w:val="true"/>
        </w:rPr>
        <w:t>مستند المجوّزين</w:t>
      </w:r>
      <w:bookmarkEnd w:id="424"/>
    </w:p>
    <w:p>
      <w:pPr>
        <w:pStyle w:val="BookText"/>
        <w:rPr/>
      </w:pPr>
      <w:r>
        <w:rPr>
          <w:rFonts w:ascii="Amiri" w:hAnsi="Amiri" w:eastAsia="Amiri" w:cs="Amiri"/>
          <w:color w:val="111111"/>
          <w:sz w:val="28"/>
          <w:sz w:val="28"/>
          <w:szCs w:val="28"/>
          <w:rtl w:val="true"/>
          <w:lang w:bidi="ar-SA"/>
        </w:rPr>
        <w:t xml:space="preserve">و مستند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أصالتي الطهارة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لما عرفت من أنّ الظاهر عدم الفرق بين جواز أكل اللحم واستعمال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في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استحلال الجلد بالدباغة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في اللحم، لعدم استحلالهم أكل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ذبائح أهل الكتاب يكفى في ذلك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المعتبرة المستفيضة السالفة المسوّغة لأخذ الجلود في أسواق المسلمين بقول مطلق، كصحيحة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يأتي </w:t>
      </w:r>
    </w:p>
    <w:p>
      <w:pPr>
        <w:pStyle w:val="BookText"/>
        <w:rPr/>
      </w:pPr>
      <w:r>
        <w:rPr>
          <w:rFonts w:ascii="Amiri" w:hAnsi="Amiri" w:eastAsia="Amiri" w:cs="Amiri"/>
          <w:color w:val="111111"/>
          <w:sz w:val="28"/>
          <w:sz w:val="28"/>
          <w:szCs w:val="28"/>
          <w:rtl w:val="true"/>
          <w:lang w:bidi="ar-SA"/>
        </w:rPr>
        <w:t>السوق، فيشتري جبّة فراء لا يدري أذكيّة هي أم غير ذكيّة، أيصلّي فيها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إنّ أبا جعفر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لجهالتهم </w:t>
      </w:r>
      <w:r>
        <w:rPr>
          <w:rStyle w:val="FootnoteAnchor"/>
          <w:rtl w:val="true"/>
        </w:rPr>
        <w:footnoteReference w:id="469"/>
      </w:r>
      <w:r>
        <w:rPr>
          <w:rFonts w:ascii="Amiri" w:hAnsi="Amiri" w:eastAsia="Amiri" w:cs="Amiri"/>
          <w:color w:val="111111"/>
          <w:sz w:val="28"/>
          <w:sz w:val="28"/>
          <w:szCs w:val="28"/>
          <w:rtl w:val="true"/>
          <w:lang w:bidi="ar-SA"/>
        </w:rPr>
        <w:t xml:space="preserve">، إنّ الدين أوسع من ذلك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أجرينا الكلام في وجه دلالتها على المرام بحيث لا يبقى للتأمّل 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المذكورة، و قد نبّهنا على وجه الدلالة بحيث لايبقى شكّ ولا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رواية أبي بصير السالفة المشتملة على أنّه عليه‌السلام كان يبعث إلىالعراق لأخذ الفرو عن أهلها، مع تصريحه عليه‌السلام بأنّ أهل العراق يستحلّون لباس جلود الميتة بالدباغة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إسماعيل بن عيسى أنّه سأل أبا الحسن الرضا عليه‌السلام عن الجلود والفراء يشتريه الرجل في سوق من أسواق الجبل، أيسأل عن ذكاته إذا كان البائع مسلمًا غير عارف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أن تسألوا عنه إذا رأيتم المشركون يبيعون ذلك، و إذا رأيتموهم يصلّون فلا تسألوا عنه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طريقه إليه صحيح، لأنّه قال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فيه عن إسماعيل بن عيسى فقد رويته عن محمّد بن موسى بن </w:t>
      </w:r>
    </w:p>
    <w:p>
      <w:pPr>
        <w:pStyle w:val="BookText"/>
        <w:rPr/>
      </w:pPr>
      <w:r>
        <w:rPr>
          <w:rFonts w:ascii="Amiri" w:hAnsi="Amiri" w:eastAsia="Amiri" w:cs="Amiri"/>
          <w:color w:val="111111"/>
          <w:sz w:val="28"/>
          <w:sz w:val="28"/>
          <w:szCs w:val="28"/>
          <w:rtl w:val="true"/>
          <w:lang w:bidi="ar-SA"/>
        </w:rPr>
        <w:t>المتوكّل</w:t>
      </w:r>
    </w:p>
    <w:p>
      <w:pPr>
        <w:pStyle w:val="BookText"/>
        <w:rPr/>
      </w:pPr>
      <w:r>
        <w:rPr>
          <w:rFonts w:ascii="IRNazanin" w:hAnsi="IRNazanin" w:eastAsia="IRNazanin"/>
          <w:color w:val="111111"/>
          <w:sz w:val="28"/>
          <w:sz w:val="28"/>
          <w:szCs w:val="28"/>
          <w:rtl w:val="true"/>
          <w:lang w:bidi="fa-IR"/>
        </w:rPr>
        <w:t xml:space="preserve">رضى‌الله‌عنه </w:t>
      </w:r>
      <w:r>
        <w:rPr>
          <w:rStyle w:val="FootnoteAnchor"/>
          <w:rtl w:val="true"/>
        </w:rPr>
        <w:footnoteReference w:id="473"/>
      </w:r>
      <w:r>
        <w:rPr>
          <w:rFonts w:ascii="Amiri" w:hAnsi="Amiri" w:eastAsia="Amiri" w:cs="Amiri"/>
          <w:color w:val="111111"/>
          <w:sz w:val="28"/>
          <w:sz w:val="28"/>
          <w:szCs w:val="28"/>
          <w:rtl w:val="true"/>
          <w:lang w:bidi="ar-SA"/>
        </w:rPr>
        <w:t xml:space="preserve">، عن عليّ بن إبراهيم، عن أبيه، عن إسماعيل بن عيسى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فحال الحديث يتوقّف على حال الراوي المذكور،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يذكر فيكتب الرجال، لكن يظهر من طريق الصدوق إليه أنّه ممّن يعوّل عليه عنده، و لذا حسّنه العلاّمة السميّ المجلسيّ رحمه‌الله ؛ و يؤيّده رواية إبراهيم بن هاشم عنه، وكذا رواية أحمد بن محمّد بن عيسى عنه، مع ما هو المعروف من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ذلك ممّا رواه ثقة الإسلام في باب النوادر من الكافي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في مسائل إسماعيل بن عيسى عن الأخير في مملوك يعصى صاحبه أيحلّ ضربه أم 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لايحلّ </w:t>
      </w:r>
      <w:r>
        <w:rPr>
          <w:rStyle w:val="FootnoteAnchor"/>
          <w:rtl w:val="true"/>
        </w:rPr>
        <w:footnoteReference w:id="475"/>
      </w:r>
      <w:r>
        <w:rPr>
          <w:rFonts w:ascii="Amiri" w:hAnsi="Amiri" w:eastAsia="Amiri" w:cs="Amiri"/>
          <w:color w:val="111111"/>
          <w:sz w:val="28"/>
          <w:sz w:val="28"/>
          <w:szCs w:val="28"/>
          <w:rtl w:val="true"/>
          <w:lang w:bidi="ar-SA"/>
        </w:rPr>
        <w:t xml:space="preserve">أن تضربه، إن وافقك فأمسكه وإلاّ فخل عنه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 على كونه ممّن يعوّل عليه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محمّد بن عيسى عنه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صاحب مسائل يعتني بنقلها و ضبطها المشايخ، كثقة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فالحديث حسن </w:t>
      </w:r>
      <w:r>
        <w:rPr>
          <w:rFonts w:eastAsia="Amiri" w:cs="Amiri" w:ascii="Amiri" w:hAnsi="Amiri"/>
          <w:color w:val="111111"/>
          <w:sz w:val="28"/>
          <w:szCs w:val="28"/>
          <w:rtl w:val="true"/>
          <w:lang w:bidi="ar-SA"/>
        </w:rPr>
        <w:t xml:space="preserve">. </w:t>
      </w:r>
      <w:bookmarkStart w:id="425" w:name="pg7350_54659"/>
    </w:p>
    <w:p>
      <w:pPr>
        <w:pStyle w:val="BookText"/>
        <w:rPr/>
      </w:pPr>
      <w:bookmarkEnd w:id="425"/>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 xml:space="preserve">ضبط المحدّث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والياء المثنّاة التحتانيّة، و فسّره بصنف من الناس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الجيل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من الناس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الصحاح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جيل من الناس صنف </w:t>
      </w:r>
      <w:r>
        <w:rPr>
          <w:rStyle w:val="FootnoteAnchor"/>
          <w:rtl w:val="true"/>
        </w:rPr>
        <w:footnoteReference w:id="479"/>
      </w:r>
      <w:r>
        <w:rPr>
          <w:rFonts w:ascii="Amiri" w:hAnsi="Amiri" w:eastAsia="Amiri" w:cs="Amiri"/>
          <w:color w:val="111111"/>
          <w:sz w:val="28"/>
          <w:sz w:val="28"/>
          <w:szCs w:val="28"/>
          <w:rtl w:val="true"/>
          <w:lang w:bidi="ar-SA"/>
        </w:rPr>
        <w:t xml:space="preserve">، الترك جيل، والروم جيل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بالباء الموحّدة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 w:name="__RefHeading___Toc1190775_1051229030"/>
      <w:bookmarkStart w:id="427" w:name="_Toc162"/>
      <w:bookmarkEnd w:id="426"/>
      <w:r>
        <w:rPr>
          <w:rtl w:val="true"/>
        </w:rPr>
        <w:t>وجه دلالة الحديث</w:t>
      </w:r>
      <w:bookmarkEnd w:id="4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المراد من المسلم الغير العارف الوارد في الأخبار هو المخالف على ما يظهر من تصفّح النصوص، فعلى هذا مراد السائل أنّه إذا وجد الجلد في يد المخالف هل يجوز شراؤه من غير سؤال عن ذكاته، أم لا بل يتوقّف عن السؤال عنها ؟ و أجاب عليه‌السلام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 تسألوا عنه إذا رأيتم </w:t>
      </w:r>
    </w:p>
    <w:p>
      <w:pPr>
        <w:pStyle w:val="BookText"/>
        <w:rPr/>
      </w:pPr>
      <w:r>
        <w:rPr>
          <w:rFonts w:ascii="Amiri" w:hAnsi="Amiri" w:eastAsia="Amiri" w:cs="Amiri"/>
          <w:color w:val="111111"/>
          <w:sz w:val="28"/>
          <w:sz w:val="28"/>
          <w:szCs w:val="28"/>
          <w:rtl w:val="true"/>
          <w:lang w:bidi="ar-SA"/>
        </w:rPr>
        <w:t xml:space="preserve">المشركين يبيعون ذلك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السؤال فيما إذا لم يكن البائع مشركًا ؛ والمفروض فيما نحن فيه أن يكون ذو اليد فيه مسلمًا، فمقتضاه جواز الأخذ عن المسلم المستحلّ من غير سؤال، بل هو بمعونة السؤال صريحٌ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رأيتموهم يصلّون، فلا تسألوا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معناه أنّ المتصدّين للبيع إذا كانوا من أهل الصلاة فلا تسألوا عنه، والمخالفون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هذا الكلام على هذا المعنى مخالفٌ للظاهر، إذ الظاهرأنّ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المشركين، إذ الظاهر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رأيتموهم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تعبيرٌ عن المفهوم، و مقتضاه أن يكون النفي والإثبات واردًا على شيء واحد، فعلى هذا يكون المراد من المشركين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المشركين عليهم و إن كان مخالفًا للظاهر، لكنّه كما يكون خلاف الظاهر كذا يكون إرجاع الضمير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المتصدّين للبيع غير المشركين مخالفًا للظاهر كما لا يخفى، فإذا قام الاحتمال بطل الاستدلال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المذكور مخالفٌ للظاهر أيضًا، فالظاهر أنّ مقصوده عليه‌السلام التفرقة بين الجلد الّذي رأيتم صلاة المخالفين فيه و غيره، فإن كان </w:t>
      </w:r>
    </w:p>
    <w:p>
      <w:pPr>
        <w:pStyle w:val="BookText"/>
        <w:rPr/>
      </w:pPr>
      <w:r>
        <w:rPr>
          <w:rFonts w:ascii="Amiri" w:hAnsi="Amiri" w:eastAsia="Amiri" w:cs="Amiri"/>
          <w:color w:val="111111"/>
          <w:sz w:val="28"/>
          <w:sz w:val="28"/>
          <w:szCs w:val="28"/>
          <w:rtl w:val="true"/>
          <w:lang w:bidi="ar-SA"/>
        </w:rPr>
        <w:t xml:space="preserve">الأوّل يجوز استعماله من غير سؤال، و إلاّ فلا ؛ و يؤيّده الحديث على النحو المرويّ في باب ما يجوز الصلاة فيه من اللباس والمكان من زيادات التهذيب، وهو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يصلّون فيه فلا تسألوا عنه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ذكر تبيّن عدم تماميّة الاستدلال و لو كان الضمير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ما ذكر في السؤال، إذ حاصل المعنى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رأيتم أنّ المخالفين يصلّون في الجلد، فلا يجب عليكم السؤال عنه، و إلاّ فيجب ؛ فالتمسّك بالحديث في أخذ الجلود من المسلم المستحلّ على سبيل الإطلاق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يتّجه الاستدلال منه في جواز التعويل على إخبارهم في التذكية و جواز الاستعمال حينئذٍ لا على سبيل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التفصيل وإن كان هو الظاهر من الحديث، لكنّه يتوقّف على تحقّقه في المخالفين إن جوّزوا استعمال الميتة في غير الصلاة، لا فيها ؛ و هو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محكيّ عن المالك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بأنّ جلد الميتة لا يطهّر بالدباغة و دعوى إطباق علمائنا عليه والاستدلال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Style w:val="FootnoteAnchor"/>
          <w:rtl w:val="true"/>
        </w:rPr>
        <w:footnoteReference w:id="484"/>
      </w:r>
      <w:r>
        <w:rPr>
          <w:rFonts w:ascii="Amiri" w:hAnsi="Amiri" w:eastAsia="Amiri" w:cs="Amiri"/>
          <w:color w:val="111111"/>
          <w:sz w:val="28"/>
          <w:sz w:val="28"/>
          <w:szCs w:val="28"/>
          <w:rtl w:val="true"/>
          <w:lang w:bidi="ar-SA"/>
        </w:rPr>
        <w:t xml:space="preserve">بالدباغ إلاّ جلد الكلب والخنزير </w:t>
      </w:r>
      <w:r>
        <w:rPr>
          <w:rFonts w:eastAsia="Amiri" w:cs="Amiri" w:ascii="Amiri" w:hAnsi="Amiri"/>
          <w:color w:val="111111"/>
          <w:sz w:val="28"/>
          <w:szCs w:val="28"/>
          <w:rtl w:val="true"/>
          <w:lang w:bidi="ar-SA"/>
        </w:rPr>
        <w:t xml:space="preserve">. </w:t>
      </w:r>
      <w:bookmarkStart w:id="428" w:name="pg7350_54662"/>
    </w:p>
    <w:p>
      <w:pPr>
        <w:pStyle w:val="BookText"/>
        <w:rPr/>
      </w:pPr>
      <w:bookmarkEnd w:id="428"/>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ظاهره دون باطنه، فيصلّى عليه لا </w:t>
      </w:r>
      <w:r>
        <w:rPr>
          <w:rStyle w:val="FootnoteAnchor"/>
          <w:rtl w:val="true"/>
        </w:rPr>
        <w:footnoteReference w:id="485"/>
      </w:r>
      <w:r>
        <w:rPr>
          <w:rFonts w:ascii="Amiri" w:hAnsi="Amiri" w:eastAsia="Amiri" w:cs="Amiri"/>
          <w:color w:val="111111"/>
          <w:sz w:val="28"/>
          <w:sz w:val="28"/>
          <w:szCs w:val="28"/>
          <w:rtl w:val="true"/>
          <w:lang w:bidi="ar-SA"/>
        </w:rPr>
        <w:t xml:space="preserve">فيه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190777_1051229030"/>
      <w:bookmarkStart w:id="430" w:name="_Toc163"/>
      <w:bookmarkEnd w:id="429"/>
      <w:r>
        <w:rPr>
          <w:rtl w:val="true"/>
        </w:rPr>
        <w:t>المتحصّل ممّا ذكر</w:t>
      </w:r>
      <w:bookmarkEnd w:id="430"/>
    </w:p>
    <w:p>
      <w:pPr>
        <w:pStyle w:val="BookText"/>
        <w:rPr/>
      </w:pPr>
      <w:r>
        <w:rPr>
          <w:rFonts w:ascii="Amiri" w:hAnsi="Amiri" w:eastAsia="Amiri" w:cs="Amiri"/>
          <w:color w:val="111111"/>
          <w:sz w:val="28"/>
          <w:sz w:val="28"/>
          <w:szCs w:val="28"/>
          <w:rtl w:val="true"/>
          <w:lang w:bidi="ar-SA"/>
        </w:rPr>
        <w:t xml:space="preserve">والمتحصّل ممّا ذكر أنّه وإن لم يصحّ الاستدلال بالحديث في جواز أخذ الجلود من المسلم المستحلّ على وجه الإطلاق، لكنّه يصحّ في صورة إخباره بالتذكية، إذمقتضى المفهوم وجوب السؤال فيما إذا لم ير صلاتهم فيه ؛ و معلومٌ أنّ السؤال إنّماهو يثمر إذا جاز التعويل على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بالحديث في محلّ الكلام و نحوه وإن لم يصحّ على الإطلاق، إلاّ أن يناقش ذلك بمثل ما نبّهنا عليه في بعض المباحث السالفة، حاصله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مبنيّ على أن يكون المراد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 تسألوا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السؤال عن ذي اليد، و قد عرفت منعه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الحال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رأيتم يصلّون فيه فلا تسألوا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الاستدلال إنّما يتمّ إذا كان المراد من مفهومه أنّه إذا ما رأيتم صلاتهم فيه يجب عليكم السؤال عن حال الجلد من ذي اليد ؛ و هو ممنوع، لجواز أن يكون المراد هو السؤال عن حال الجلد من غيره </w:t>
      </w:r>
      <w:r>
        <w:rPr>
          <w:rFonts w:eastAsia="Amiri" w:cs="Amiri" w:ascii="Amiri" w:hAnsi="Amiri"/>
          <w:color w:val="111111"/>
          <w:sz w:val="28"/>
          <w:szCs w:val="28"/>
          <w:rtl w:val="true"/>
          <w:lang w:bidi="ar-SA"/>
        </w:rPr>
        <w:t xml:space="preserve">. </w:t>
      </w:r>
      <w:bookmarkStart w:id="431" w:name="pg7350_54663"/>
    </w:p>
    <w:p>
      <w:pPr>
        <w:pStyle w:val="BookText"/>
        <w:rPr/>
      </w:pPr>
      <w:bookmarkEnd w:id="431"/>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منه لزوم السؤال فيما إذا لم يظهر صلاتهم فيه، وهو أعمّ من أن يكون السؤال من ذي اليد و غيره ؛ و أيّ منهما كان يتأتّي الامتثال، فقد دلّ على جواز التعويل على الإخبار من ذي اليد، و هو المطلوب </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190779_1051229030"/>
      <w:bookmarkStart w:id="433" w:name="_Toc164"/>
      <w:bookmarkEnd w:id="432"/>
      <w:r>
        <w:rPr>
          <w:rtl w:val="true"/>
        </w:rPr>
        <w:t>الجواب عن مستند المنع</w:t>
      </w:r>
      <w:bookmarkEnd w:id="433"/>
    </w:p>
    <w:p>
      <w:pPr>
        <w:pStyle w:val="BookText"/>
        <w:rPr/>
      </w:pPr>
      <w:r>
        <w:rPr>
          <w:rFonts w:ascii="Amiri" w:hAnsi="Amiri" w:eastAsia="Amiri" w:cs="Amiri"/>
          <w:color w:val="111111"/>
          <w:sz w:val="28"/>
          <w:sz w:val="28"/>
          <w:szCs w:val="28"/>
          <w:rtl w:val="true"/>
          <w:lang w:bidi="ar-SA"/>
        </w:rPr>
        <w:t xml:space="preserve">بقي الكلام في الجواب عن مستند المنع،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آية النبأ فبأنّها محمولة</w:t>
      </w:r>
    </w:p>
    <w:p>
      <w:pPr>
        <w:pStyle w:val="BookText"/>
        <w:rPr/>
      </w:pPr>
      <w:r>
        <w:rPr>
          <w:rFonts w:ascii="Amiri" w:hAnsi="Amiri" w:eastAsia="Amiri" w:cs="Amiri"/>
          <w:color w:val="111111"/>
          <w:sz w:val="28"/>
          <w:sz w:val="28"/>
          <w:szCs w:val="28"/>
          <w:rtl w:val="true"/>
          <w:lang w:bidi="ar-SA"/>
        </w:rPr>
        <w:t xml:space="preserve">على غير ما نحن فيه، للنصوص المتقدّمة الدالّة على جواز أخذ الجلود من السوق، لما عرفت من أنّها كالصريحة في جواز أخذ الجلود من يد المخالفين من غير إخبار بالتذكية، فمعه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صحيحة الفضلاء الصريحة في الإباحة من غير حاجة إلى المسألة ؛ وإلى رواية أبي بصير الصريحة في أنّه عليه‌السلام يبعث إلى العراق لأخذ الفرو منهم مع تصريحه عليه‌السلام بأنّ أهل العراق يستحلّون جلود الميتة بالدباغة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رواية عبدالرّحمن فقد عرفت أنّ مقتضاها الجواز لا العدم، وأنّ التمسّك بها في إثبات الجواز أولى ؛ و منه يظهر الحال في صحيحته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موثّقة ابن بكير و غيرها فبما مرّ مرارًا من لزوم الحمل على المظنّة، والمفروض تحقّقها، فالظاهر أنّ المسألة ممّا لا ينبغي التأمّل فيها، مضافًا إلى ندرة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بالمنع، كما ستقف على تحقيق الحال في ذلك في المسألة الآتية بعون اللّه تعالى</w:t>
      </w:r>
      <w:r>
        <w:rPr>
          <w:rFonts w:eastAsia="Amiri" w:cs="Amiri" w:ascii="Amiri" w:hAnsi="Amiri"/>
          <w:color w:val="111111"/>
          <w:sz w:val="28"/>
          <w:szCs w:val="28"/>
          <w:rtl w:val="true"/>
          <w:lang w:bidi="ar-SA"/>
        </w:rPr>
        <w:t xml:space="preserve">. </w:t>
      </w:r>
      <w:bookmarkStart w:id="434" w:name="pg7350_54664"/>
    </w:p>
    <w:p>
      <w:pPr>
        <w:pStyle w:val="Heading4"/>
        <w:numPr>
          <w:ilvl w:val="3"/>
          <w:numId w:val="1"/>
        </w:numPr>
        <w:rPr/>
      </w:pPr>
      <w:bookmarkStart w:id="435" w:name="__RefHeading___Toc1190781_1051229030"/>
      <w:bookmarkStart w:id="436" w:name="_Toc165"/>
      <w:bookmarkEnd w:id="434"/>
      <w:bookmarkEnd w:id="435"/>
      <w:r>
        <w:rPr>
          <w:rtl w:val="true"/>
        </w:rPr>
        <w:t xml:space="preserve">القسم الثاني والخمسون </w:t>
      </w:r>
      <w:r>
        <w:rPr>
          <w:rtl w:val="true"/>
        </w:rPr>
        <w:t>:</w:t>
      </w:r>
      <w:bookmarkEnd w:id="436"/>
    </w:p>
    <w:p>
      <w:pPr>
        <w:pStyle w:val="Heading5"/>
        <w:numPr>
          <w:ilvl w:val="4"/>
          <w:numId w:val="1"/>
        </w:numPr>
        <w:rPr/>
      </w:pPr>
      <w:bookmarkStart w:id="437" w:name="__RefHeading___Toc1190783_1051229030"/>
      <w:bookmarkStart w:id="438" w:name="_Toc166"/>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بالتذكية، فيكون الجلد في يد المسلم المستحلّ في السوق المختصّ بالمسلمين مع الظنّ بالتذكية من غير إخبار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المبسوط والنهاية والمنتهى و نهاية الإحكام والتذكرة والتحرير </w:t>
      </w:r>
      <w:r>
        <w:rPr>
          <w:rStyle w:val="FootnoteAnchor"/>
          <w:rtl w:val="true"/>
        </w:rPr>
        <w:footnoteReference w:id="487"/>
      </w:r>
      <w:r>
        <w:rPr>
          <w:rFonts w:ascii="Amiri" w:hAnsi="Amiri" w:eastAsia="Amiri" w:cs="Amiri"/>
          <w:color w:val="111111"/>
          <w:sz w:val="28"/>
          <w:sz w:val="28"/>
          <w:szCs w:val="28"/>
          <w:rtl w:val="true"/>
          <w:lang w:bidi="ar-SA"/>
        </w:rPr>
        <w:t xml:space="preserve">هنا أيضًا عدم الجواز، بل قال هنا بعض مَن لم يقل به هناك، كشيخنا الشهيد في الذكرى والدروس، لما عرفت من أنّه قال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يشترى من سوق الإسلام، فيحكم عليه بالذكاة إذا لم يعلم كون البائع مستحلاًّ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في سوق الإسلام، أو مع مسلم غير مستحلّ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المعتبر والشرائع والنافع والجعفريّة و صريح البيان والروض </w:t>
      </w:r>
      <w:bookmarkStart w:id="439" w:name="pg7350_54665"/>
    </w:p>
    <w:p>
      <w:pPr>
        <w:pStyle w:val="BookText"/>
        <w:rPr/>
      </w:pPr>
      <w:bookmarkEnd w:id="439"/>
      <w:r>
        <w:rPr>
          <w:rFonts w:ascii="Amiri" w:hAnsi="Amiri" w:eastAsia="Amiri" w:cs="Amiri"/>
          <w:color w:val="111111"/>
          <w:sz w:val="28"/>
          <w:sz w:val="28"/>
          <w:szCs w:val="28"/>
          <w:rtl w:val="true"/>
          <w:lang w:bidi="ar-SA"/>
        </w:rPr>
        <w:t xml:space="preserve">والمسالك والمدارك والذخيرة الجواز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190785_1051229030"/>
      <w:bookmarkStart w:id="441" w:name="_Toc167"/>
      <w:bookmarkEnd w:id="440"/>
      <w:r>
        <w:rPr>
          <w:rtl w:val="true"/>
        </w:rPr>
        <w:t>مختار المؤلّف قدس‌سره و دليله</w:t>
      </w:r>
      <w:bookmarkEnd w:id="441"/>
    </w:p>
    <w:p>
      <w:pPr>
        <w:pStyle w:val="BookText"/>
        <w:rPr/>
      </w:pPr>
      <w:r>
        <w:rPr>
          <w:rFonts w:ascii="Amiri" w:hAnsi="Amiri" w:eastAsia="Amiri" w:cs="Amiri"/>
          <w:color w:val="111111"/>
          <w:sz w:val="28"/>
          <w:sz w:val="28"/>
          <w:szCs w:val="28"/>
          <w:rtl w:val="true"/>
          <w:lang w:bidi="ar-SA"/>
        </w:rPr>
        <w:t xml:space="preserve">والمستند في الطرفين يظهر ممّا فصّلناه في السابق، والمختار هنا أيضًا هوالمختار في السابق، فلا يتوقّف الاستعمال على الاستخبار والإخبار، لعين ماقرّرنا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المشهور بين الأصحاب، بل يمكن أن يدّعى ندرة القائل بالمنع لو لم يدّع إطباق الأصحاب على الجواز، لأنّ القائلين بالمنع لهم كلماتٌ أخر دالّة على الجواز، إذ من جملتهم شيخ الطائفة، و هو و إن ذكر في كتاب الصلاة من النهاية ما تقدّم نقله منه، لكنّه قال في كتاب الصيد والذباحة منه ما هذا 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في أسواق المسلمين جاز شراؤه، و ليس على من يبتاعه التفتيش عنه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في باب الذبائح من التهذيب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يباع في أسواق المسلمين فلا بأس بأكله، وإن لم يعلم </w:t>
      </w:r>
      <w:r>
        <w:rPr>
          <w:rStyle w:val="FootnoteAnchor"/>
          <w:rtl w:val="true"/>
        </w:rPr>
        <w:footnoteReference w:id="494"/>
      </w:r>
      <w:r>
        <w:rPr>
          <w:rFonts w:ascii="IRNazanin" w:hAnsi="IRNazanin" w:eastAsia="IRNazanin"/>
          <w:color w:val="111111"/>
          <w:sz w:val="28"/>
          <w:sz w:val="28"/>
          <w:szCs w:val="28"/>
          <w:rtl w:val="true"/>
          <w:lang w:bidi="fa-IR"/>
        </w:rPr>
        <w:t xml:space="preserve">مَن الذابح 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كتاب الصيد والذباحة من المبسوط وإن لم يحضرني حال الكتابة، لكنّ المظنون الإتيان بمثله هناك أيضًا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العلاّمة فهو وإن ذكر في الكتب المذكورة ما تقدّم نقله عنها، بل صرّح في ذبائح التحرير بعدم جواز أخذ اللحوم والجلود من المخالف، لكنّه قال في 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يباع في أسواق </w:t>
      </w:r>
      <w:r>
        <w:rPr>
          <w:rStyle w:val="FootnoteAnchor"/>
          <w:rtl w:val="true"/>
        </w:rPr>
        <w:footnoteReference w:id="497"/>
      </w:r>
      <w:r>
        <w:rPr>
          <w:rFonts w:ascii="Amiri" w:hAnsi="Amiri" w:eastAsia="Amiri" w:cs="Amiri"/>
          <w:color w:val="111111"/>
          <w:sz w:val="28"/>
          <w:sz w:val="28"/>
          <w:szCs w:val="28"/>
          <w:rtl w:val="true"/>
          <w:lang w:bidi="ar-SA"/>
        </w:rPr>
        <w:t xml:space="preserve">المسلمين فهو ذكيّ حلال إذا لم يعلم حاله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شراء ما يوجد في أسواق المسلمين من اللحوم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يوجد في يد مسلم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يباع في أسواق المسلمين من الذبائح واللحوم حلال لايجب </w:t>
      </w:r>
    </w:p>
    <w:p>
      <w:pPr>
        <w:pStyle w:val="BookText"/>
        <w:rPr/>
      </w:pPr>
      <w:r>
        <w:rPr>
          <w:rFonts w:ascii="IRNazanin" w:hAnsi="IRNazanin" w:eastAsia="IRNazanin"/>
          <w:color w:val="111111"/>
          <w:sz w:val="28"/>
          <w:sz w:val="28"/>
          <w:szCs w:val="28"/>
          <w:rtl w:val="true"/>
          <w:lang w:bidi="fa-IR"/>
        </w:rPr>
        <w:t xml:space="preserve">الفحص عنه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شيخنا الشهيد فهو وإن أتى في الذكرى والدروس بما حكيناه عنهما، لكنّه في كتاب التذكية من الدروس المتأخّر من الذكرى صرّح بخلاف ذلك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ويحلّ أكل ما يباع في سوق الإسلام من اللحم وإن جهل </w:t>
      </w:r>
      <w:r>
        <w:rPr>
          <w:rStyle w:val="FootnoteAnchor"/>
          <w:rtl w:val="true"/>
        </w:rPr>
        <w:footnoteReference w:id="501"/>
      </w:r>
      <w:r>
        <w:rPr>
          <w:rFonts w:ascii="Amiri" w:hAnsi="Amiri" w:eastAsia="Amiri" w:cs="Amiri"/>
          <w:color w:val="111111"/>
          <w:sz w:val="28"/>
          <w:sz w:val="28"/>
          <w:szCs w:val="28"/>
          <w:rtl w:val="true"/>
          <w:lang w:bidi="ar-SA"/>
        </w:rPr>
        <w:t xml:space="preserve">حاله، ولايجب السؤال، بل ولا يستحبّ وإن كان البائع غير معتقد للحقّ، ولوعلم منه استحلال ذبائح الكتابيّين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العظام الّذين عثرنا على التصريح بمنع الأخذ من المسلم المستحلّ في كلماتهم، قد ظهر منهم العدول عمّا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العلاّمة في الكتب المتقدّمة و إن صرّح بعدم الأخذ من المسلم المستحلّ، لكن يظهر من تعليله في التذكرة و نهاية الإحكام أنّ مراده غير صورة المظنّة، كما نبّهنا عليه غير مرّة ؛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اعتبرنا في المسلم انتفاء استباحته للميتة، ليحصل الظنّ بالتذكية، إذ لا فرق في انتفاء الظنّ بين المستبيح من المسلم والكافر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نهاية الإحكام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شرطنا في المسلم عدم استباحته للميتة، ليحصل الظنّ بالتذكية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منهما أنّ المناط عنده في استعمال الجلود هو الظنّ بالتذكية، والمفروض تحقّقه في هذين القسمين، فلا يكون منعه شاملاً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استحالة الظنّ بالتذكية مع كون ذي اليد من المسلم المستحلّ، فممّا لاشبهة في فسادها، فالقول بالمنع مع ضعفه شاذّ لو لم يدّع إطباق الأصحاب على خلافه، على ما عرفت وجهه ممّا بيّناه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هذه الدعوى مع أنّ جماعة من قدماء الأصحاب قضوا بعدم حلّيّة ذبائح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المحكيّ عن ابن البرّاج وابن إدريس </w:t>
      </w:r>
      <w:r>
        <w:rPr>
          <w:rStyle w:val="FootnoteAnchor"/>
          <w:rtl w:val="true"/>
        </w:rPr>
        <w:footnoteReference w:id="505"/>
      </w:r>
      <w:r>
        <w:rPr>
          <w:rFonts w:ascii="Amiri" w:hAnsi="Amiri" w:eastAsia="Amiri" w:cs="Amiri"/>
          <w:color w:val="111111"/>
          <w:sz w:val="28"/>
          <w:sz w:val="28"/>
          <w:szCs w:val="28"/>
          <w:rtl w:val="true"/>
          <w:lang w:bidi="ar-SA"/>
        </w:rPr>
        <w:t xml:space="preserve">،فاللازم من هذا القول عدم جواز استعمال جلود ذبائحهم كما لايخفى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جواز استعمال جلود ذبائحهم غير مستلزم لعدم جواز أخذ الجلود من أيديهم إذا لم يعلم أنّها من ذبيحتهم، أو حصل الظنّ بأنّها من ذبيحة أهل الحقّ كما لا يخفى، فتأمّل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أخذ الجلود من أيديهم في القسمين المذكورين ممّا لاينبغي التأمّل فيه </w:t>
      </w:r>
      <w:r>
        <w:rPr>
          <w:rFonts w:eastAsia="Amiri" w:cs="Amiri" w:ascii="Amiri" w:hAnsi="Amiri"/>
          <w:color w:val="111111"/>
          <w:sz w:val="28"/>
          <w:szCs w:val="28"/>
          <w:rtl w:val="true"/>
          <w:lang w:bidi="ar-SA"/>
        </w:rPr>
        <w:t xml:space="preserve">. </w:t>
      </w:r>
      <w:bookmarkStart w:id="442" w:name="pg7350_54669"/>
    </w:p>
    <w:p>
      <w:pPr>
        <w:pStyle w:val="Heading4"/>
        <w:numPr>
          <w:ilvl w:val="3"/>
          <w:numId w:val="1"/>
        </w:numPr>
        <w:rPr/>
      </w:pPr>
      <w:bookmarkStart w:id="443" w:name="__RefHeading___Toc1190787_1051229030"/>
      <w:bookmarkStart w:id="444" w:name="_Toc168"/>
      <w:bookmarkEnd w:id="442"/>
      <w:bookmarkEnd w:id="443"/>
      <w:r>
        <w:rPr>
          <w:rtl w:val="true"/>
        </w:rPr>
        <w:t xml:space="preserve">القسم الثالث والخمسون </w:t>
      </w:r>
      <w:r>
        <w:rPr>
          <w:rtl w:val="true"/>
        </w:rPr>
        <w:t>:</w:t>
      </w:r>
      <w:bookmarkEnd w:id="444"/>
    </w:p>
    <w:p>
      <w:pPr>
        <w:pStyle w:val="Heading5"/>
        <w:numPr>
          <w:ilvl w:val="4"/>
          <w:numId w:val="1"/>
        </w:numPr>
        <w:rPr/>
      </w:pPr>
      <w:bookmarkStart w:id="445" w:name="__RefHeading___Toc1190789_1051229030"/>
      <w:bookmarkStart w:id="446" w:name="_Toc169"/>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الثالث و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لكن من غير الظنّ بالتذكية، فيكون الجلد في يد المسلم المستحلّ في السوق المختصّ بالمسلمين مع الإخبار بكونه من ذبيحة المسلمين، لكن من غير الظنّ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والدروس والبيان والذكرى والجعفريّة والروض والمدارك والذخيرة جواز الاستعمال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الظاهر من الشرائع والنافع والقواعد والإرشاد والتبصرة أيضًا، كما علمت من عباراتهم السالفة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 كلماتهم المذكورة جواز شراء اللحوم الموجودة من أسواق المسلمين و أكلها و لو كانت مأخوذة من يد المخالفين، ولايلزم منه جواز استعمال الجلود الموجودة في أياديهم ؛ و من ادّعى الاستلزام فعليه بالبيان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في أخذ الجلود منهم تسويغهم استعمال جلود الميتة بالدباغة، و هو غير متحقّق في اللحوم، فيمكن أن يكون تجويزهم أكل اللحوم المأخوذة منهم لذلك، فلا يلزم من تسويغ أكل اللحوم الموجودة في أيديهم تسويغ الجلود الموجودة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ذكر اللحم في كلماتهم، كما علمت من كلام الدروس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 أكل ما يباع في سوق الإسلام من اللحم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يكون 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مقتضى أصالة عدم التذكية لزوم الاجتناب عمّا لم يعلم تذكيته، وجب المصير إلى ذلك، إلاّ فيما دلّ الدليل على خلافه ؛ و قد دلّت صحيحة الفضلاء على جواز أكل اللحم الموجود في أسواق المسلمين من غير افتقار إلى فحص و نظر، فبقي غيره تحت الأصل، فيجب العمل بمقتضاه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صحيحة الفضلاء دلّت على جواز أخذ اللحوم من سوق المسلمين، و بها يخرج عن مقتضى أصالة عدم التذكية، فقد دلّت النصوص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صحيحتا البزنطي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الخفّ والفراء من السوق أيضًا من غير حاجة إلى فحص و نظر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احتمال الجلد الموجود في أيديهم من الميتة مانعًا عن الاستعمال، فليكن احتمال كون اللحم الموجود في أيديهم من ذبيحةأهل الكتاب مانعًا عن الأكل من غير تفرقة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ما هناك أنّ في الجلد احتمالين،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الميتة، لمصيرهم إلى طهارته بالدباغة،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ذبيحة أهل الكتاب، لما عرفت من استحلالهم ذبائحهم ؛ و في اللحم احتمالٌ واحد، و كثرة الاحتمال و قلّته لا يجدي نفعًا في أمثال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كلماتهم في الذبائح والتذكية غير مختصّة باللحم، بل عامّة، فلاحظ كلام التبصرة و 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يباع في أسواق المسلمين، فهو ذكيّ حلال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شموله للجلود ممّا لا ينبغي التأمّل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الحال في كلام الإرشاد، فإنّ اللحم فيه و إن كان موهمًا للاختصاص، لكن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يوجد في يد مسلم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في الآخر يقتضي التعميم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عبارة النافع فاستفادة التعميم منها ممّا لا يخفى، كالشرائع والقواعد </w:t>
      </w:r>
      <w:r>
        <w:rPr>
          <w:rStyle w:val="FootnoteAnchor"/>
          <w:rtl w:val="true"/>
        </w:rPr>
        <w:footnoteReference w:id="511"/>
      </w:r>
      <w:r>
        <w:rPr>
          <w:rFonts w:ascii="Amiri" w:hAnsi="Amiri" w:eastAsia="Amiri" w:cs="Amiri"/>
          <w:color w:val="111111"/>
          <w:sz w:val="28"/>
          <w:sz w:val="28"/>
          <w:szCs w:val="28"/>
          <w:rtl w:val="true"/>
          <w:lang w:bidi="ar-SA"/>
        </w:rPr>
        <w:t xml:space="preserve">، إذ الذبائح فيهما يشمل غير اللحم أيضًا، لا سيّما بعد عطف اللحوم فيهما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عبارة الدروس فإنّها و إن كانت موهمة للاختصاص، لكنّه لمّا جعلالعنوان في الأكل خصّ اللحم بالذكر، لعدم معهوديّة أكل الجلود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تأمّل، إذ كلامه في الدروس والذكرى صريحٌ في عدم جواز الصلاة مثلاً </w:t>
      </w:r>
    </w:p>
    <w:p>
      <w:pPr>
        <w:pStyle w:val="BookText"/>
        <w:rPr/>
      </w:pPr>
      <w:r>
        <w:rPr>
          <w:rFonts w:ascii="Amiri" w:hAnsi="Amiri" w:eastAsia="Amiri" w:cs="Amiri"/>
          <w:color w:val="111111"/>
          <w:sz w:val="28"/>
          <w:sz w:val="28"/>
          <w:szCs w:val="28"/>
          <w:rtl w:val="true"/>
          <w:lang w:bidi="ar-SA"/>
        </w:rPr>
        <w:t xml:space="preserve">في الجلود المأخوذة من يد المسلم المستحلّ، لما عرفت من أنّه قال في الأوّل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يشترى من سوق الإسلام، فيحكم عليه بالذكاة إذا لم يعلم كون البائع مستحلاًّ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الصلاة فيما كان في سوق الإسلام، أو مع مسلم غير مستحلّ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غاية ما يظهره ممّا ذكره في كتاب التذكية من الدروس جواز أكل اللحم المأخوذ من المخالف ؛ و لا يلزم منه جواز الصلاة في الجلد الموجود من أيديهم واستعماله حتّى يجعل ذلك دليلاً على العدول عمّا ذكره في كتاب الصلاة، إلاّ أن يدّعى انتفاء القائل بالتفرقة، كما أومأنا إليه فيما سلف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يمكن منع دلالة عبارة الدروس على العدم، إذ مقتضى حكمه بجواز الصلاة فيما كان في سوق الإسلام جوازها مطلقًا ولو كان ذو اليد من المخالف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مع مسلم غير مستحلّ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للتقييد، إذ مقتضى العطف بأو أنّه إذا لم يكن في سوق الإسلام يكون جواز الصلاة فيه متوقّفًا على كونه مع مسلمٍغير المستحلّ </w:t>
      </w:r>
      <w:r>
        <w:rPr>
          <w:rFonts w:eastAsia="Amiri" w:cs="Amiri" w:ascii="Amiri" w:hAnsi="Amiri"/>
          <w:color w:val="111111"/>
          <w:sz w:val="28"/>
          <w:szCs w:val="28"/>
          <w:rtl w:val="true"/>
          <w:lang w:bidi="ar-SA"/>
        </w:rPr>
        <w:t xml:space="preserve">. </w:t>
      </w:r>
      <w:bookmarkStart w:id="447" w:name="pg7350_54673"/>
    </w:p>
    <w:p>
      <w:pPr>
        <w:pStyle w:val="BookText"/>
        <w:rPr/>
      </w:pPr>
      <w:bookmarkEnd w:id="447"/>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دلالته على التقييد غير مسلّمة، إذ لو كان المراد ذلك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في سوق الإسلام مع مسلم غير مستحلّ ؛ و لا يخفى عليك أنّ هذا إنّما يفتقر إليه في صورة عدم الإخبار بالتذكية، و أمّا مع الإخبار بها فلا، لما عرفت</w:t>
      </w:r>
    </w:p>
    <w:p>
      <w:pPr>
        <w:pStyle w:val="BookText"/>
        <w:rPr/>
      </w:pPr>
      <w:r>
        <w:rPr>
          <w:rFonts w:ascii="Amiri" w:hAnsi="Amiri" w:eastAsia="Amiri" w:cs="Amiri"/>
          <w:color w:val="111111"/>
          <w:sz w:val="28"/>
          <w:sz w:val="28"/>
          <w:szCs w:val="28"/>
          <w:rtl w:val="true"/>
          <w:lang w:bidi="ar-SA"/>
        </w:rPr>
        <w:t xml:space="preserve">من تصريحه بالقبول في الكتابين في صورة الإخبار </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190791_1051229030"/>
      <w:bookmarkStart w:id="449" w:name="_Toc170"/>
      <w:bookmarkEnd w:id="448"/>
      <w:r>
        <w:rPr>
          <w:rtl w:val="true"/>
        </w:rPr>
        <w:t>مختار المؤلّف قدس‌سره و دليله</w:t>
      </w:r>
      <w:bookmarkEnd w:id="449"/>
    </w:p>
    <w:p>
      <w:pPr>
        <w:pStyle w:val="BookText"/>
        <w:rPr/>
      </w:pPr>
      <w:r>
        <w:rPr>
          <w:rFonts w:ascii="Amiri" w:hAnsi="Amiri" w:eastAsia="Amiri" w:cs="Amiri"/>
          <w:color w:val="111111"/>
          <w:sz w:val="28"/>
          <w:sz w:val="28"/>
          <w:szCs w:val="28"/>
          <w:rtl w:val="true"/>
          <w:lang w:bidi="ar-SA"/>
        </w:rPr>
        <w:t xml:space="preserve">و كيف كان، انّ المختار هو الجواز، وفاقًا لظاهر المعتبر من وجهين والشرائع والنافع والقواعد والإرشاد والتبصرة والذكرى والبيان والدروس والجعفريّة والروض والمدارك والذخيرة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فيه كثيرٌ من النصوص السالفة، كموثّقة إسحاق بن عمّار، إذ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لابأس بالصلاة في الفرو </w:t>
      </w:r>
      <w:r>
        <w:rPr>
          <w:rStyle w:val="FootnoteAnchor"/>
          <w:rtl w:val="true"/>
        </w:rPr>
        <w:footnoteReference w:id="517"/>
      </w:r>
      <w:r>
        <w:rPr>
          <w:rFonts w:ascii="Amiri" w:hAnsi="Amiri" w:eastAsia="Amiri" w:cs="Amiri"/>
          <w:color w:val="111111"/>
          <w:sz w:val="28"/>
          <w:sz w:val="28"/>
          <w:szCs w:val="28"/>
          <w:rtl w:val="true"/>
          <w:lang w:bidi="ar-SA"/>
        </w:rPr>
        <w:t xml:space="preserve">اليمانيّ و فيما صنع في أرض الإسلام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 يدلّ على الجواز في المصنوع في أرض الإسلام على سبيل الإطلاق، و هو بمعونة ذيله كالتصريح في جواز الصلاة في ما يؤخذ من المسلم المخالف، كما نبّهنا عليه فيما </w:t>
      </w:r>
    </w:p>
    <w:p>
      <w:pPr>
        <w:pStyle w:val="BookText"/>
        <w:rPr/>
      </w:pPr>
      <w:r>
        <w:rPr>
          <w:rFonts w:ascii="Amiri" w:hAnsi="Amiri" w:eastAsia="Amiri" w:cs="Amiri"/>
          <w:color w:val="111111"/>
          <w:sz w:val="28"/>
          <w:sz w:val="28"/>
          <w:szCs w:val="28"/>
          <w:rtl w:val="true"/>
          <w:lang w:bidi="ar-SA"/>
        </w:rPr>
        <w:t xml:space="preserve">قبل الحادي والخمسين فليلاحظ، فتأمّل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صحيحة جعفر بن محمّد بن يونس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كتب إلى أبي الحسن عليه‌السلام يسأله عن الفرو والخفّ ألبسه و أصلّي فيه و لا أعلم أنّه ذكيّ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الاستفصال بين كون الفرو مأخوذًا من المسلم المستحلّ و غيره، دليلٌ ثبوت الحكم في القسمين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يظهر وجهه ممّا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الفراء اشتريه من الرجل الّذي لعلّي لا أثق به </w:t>
      </w:r>
      <w:r>
        <w:rPr>
          <w:rStyle w:val="FootnoteAnchor"/>
          <w:rtl w:val="true"/>
        </w:rPr>
        <w:footnoteReference w:id="521"/>
      </w:r>
      <w:r>
        <w:rPr>
          <w:rFonts w:ascii="Amiri" w:hAnsi="Amiri" w:eastAsia="Amiri" w:cs="Amiri"/>
          <w:color w:val="111111"/>
          <w:sz w:val="28"/>
          <w:sz w:val="28"/>
          <w:szCs w:val="28"/>
          <w:rtl w:val="true"/>
          <w:lang w:bidi="ar-SA"/>
        </w:rPr>
        <w:t>، فيبيعني على أنّها ذكيّة، أبيعها على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لاتثق به فلا تبعها على أنّها ذكيّة،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أنّها ذكيّة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المرادُ من الرجل الغير الموثوق به خصوصَ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روايته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ظاهر ؛ و إلاّ فالاستدلال من جهة ترك الاستفصال،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جواز الاستعمال في صورة انتفاء الإخبار بالتذكية، فيدلّ في صورة الإخبار بالفحوى والإطلاق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التمسّك في المقام بالنصوص المعتبرة السوقيّة السالفة، كصحيحةالحلبي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الخفاف الّتي تباع في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 صلّ فيها حتّى تعلم أنّه ميّت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صحيحة البزنطي عن مولانا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الخفاف يأتي السوق فيشتري الخفّ لايدرى أذكيّ هو أم لا، ما تقول في الصلاة فيه و هو لايدري أيصلّي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أشتري الخفّ من السوق و يصنع لي و أصلّي فيه، وليس عليكم المسألة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صحيحته الأخرى مثله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مثلهما صحيحة سليمان بن جعفر الجعفريّ، و صحيحة الفضلاء السالفة، و رواية محمّد بن الحسين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جعفر الثاني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الفرو يشترى من السوق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مضمونًا فلا بأس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النصوص المذكورة وإن كانت ذلك، لكنّ المستفاد من موثّقة ابن بكير المتكرّرة خلافه، إذ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ممّا يؤكل لحمه فالصلاة في وبره و بوله و شعره و روثه و ألبانه و كلّ شيء منه جائز إذا علمت أنّه ذكيّ </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يقتضي توقّف الصلاة في الجلود على العلم بكونها من المذكّى ؛ و بعد الإغماض عن ظاهر العلم فلابدّ من حمله على الظنّ، و مقتضاه توقّف الصلاة في الجلود علىالظنّ بكونها من المذكّى، والمفروض انتفاؤه في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الموثّقة المذكورة و إن كان توقّف الصلاة على العلم بالتذكية، لكن يعارضها صحيحة جعفر بن محمّد بن يونس و غيرها ممّا يضاهيها في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تفاوت بينهما في المورد، إذ كما أنّ الموثّقة المذكورة أعمّ من كون الجلد في السوق و غيره، كذلك الحال في الصحيحة، لظهور أن ليس فيها ما يدلّ على أنّ مراد السائل خصوص ما يؤخذ من السوق، فهي أيضًا أعمّ من السوق و غيره، لا سيّما بعد ترك الاستفصال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مدلولٌ نصيّ و ظاهريّ، أمّا صحيحة جعفر بن محمّد بن يونس فإنّها صريحةٌ في عدم توقّف الاستعمال على العلم بالتذكية، إذ فرض السؤال فيها في صورة عدم العلم،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أعلم أنّه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ظاهرةٌ في عدم</w:t>
      </w:r>
    </w:p>
    <w:p>
      <w:pPr>
        <w:pStyle w:val="BookText"/>
        <w:rPr/>
      </w:pPr>
      <w:r>
        <w:rPr>
          <w:rFonts w:ascii="Amiri" w:hAnsi="Amiri" w:eastAsia="Amiri" w:cs="Amiri"/>
          <w:color w:val="111111"/>
          <w:sz w:val="28"/>
          <w:sz w:val="28"/>
          <w:szCs w:val="28"/>
          <w:rtl w:val="true"/>
          <w:lang w:bidi="ar-SA"/>
        </w:rPr>
        <w:t xml:space="preserve">اعتبار المظنّة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موثّقة ابن بكير فهي صريحةٌ في اعتبار المظنّة و ظاهرةٌ في اعتبار العلم، لوضوح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فيما يمنع النقيض و صريحٌ في الاعتقاد الراجح، فلابدّ من رفع اليد عن ظاهر كلٍّ منهما لملاحظة النصّ في الآخر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ذلك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w:t>
      </w:r>
    </w:p>
    <w:p>
      <w:pPr>
        <w:pStyle w:val="BookText"/>
        <w:rPr/>
      </w:pPr>
      <w:r>
        <w:rPr>
          <w:rFonts w:ascii="Amiri" w:hAnsi="Amiri" w:eastAsia="Amiri" w:cs="Amiri"/>
          <w:color w:val="111111"/>
          <w:sz w:val="28"/>
          <w:sz w:val="28"/>
          <w:szCs w:val="28"/>
          <w:rtl w:val="true"/>
          <w:lang w:bidi="ar-SA"/>
        </w:rPr>
        <w:t xml:space="preserve">أنّه ذكيّ ؛ 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أنّه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علىصورة الظنّ بالتذكية، فكأنّه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أنّه ذكيّ في الأوّل ؛ و لا بأس مع الظنّ بالتذكية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ذلك و إن كان توقّف الصلاة في الجلود واستعمالها على الظنّ مطلقًا و لو كانت مأخوذة من الأسواق، لكن يعارضه النصوص السوقيّة المذكورة ؛ والتعارض بين النصوص من الطرفين من تعارض الظاهرين والعموم من وجه، أمّا الخصوص في الموثّقة فباعتبار المظنّة على ما أوضحنا بيانه، وأمّا العموم فيها فلكونها أعمّ من السوق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النصوص السوقيّة متعاكس، فإنّ خصوصيّتها باعتبار أنّ موردها في السوق و عمومها باعتبار أنّها أعمّ من صورة الظنّ بالتذكية و غيرها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في تعارض الظاهرين الرجوع إلى ما يرجّح أحدهما على الآخر في البين ؛ والترجيح فيما نحن فيه في جانب النصوص السوقيّة، لكونها أكثر عددًا، وأصحّ سندًا، و أوفق عملاً، لأنّ إطلاقها موافقٌ بما يظهر من أكثر الأصحاب، وأنسب بالدين السهلة السمحة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على آله آلاف الثناء والسلام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بأصالة الإباحة، والقاعدة المسلّمة من حمل أفعال المسلمين على الصحّة، والأوضحيّة في الدلالة، لوضوح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 و صلّ فيها حتّى تعلم أنّه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جواز الاستعمال مع انتفاء الظنّ بالتذكية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سليمان بن جعفر حيث سأل عن الرجل يأتي السوق فيشتري جبّة فراء لايدري أذكيّة هي أم غير ذكيّة، أيصلّي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w:t>
      </w:r>
    </w:p>
    <w:p>
      <w:pPr>
        <w:pStyle w:val="BookText"/>
        <w:rPr/>
      </w:pPr>
      <w:r>
        <w:rPr>
          <w:rFonts w:ascii="Amiri" w:hAnsi="Amiri" w:eastAsia="Amiri" w:cs="Amiri"/>
          <w:color w:val="111111"/>
          <w:sz w:val="28"/>
          <w:sz w:val="28"/>
          <w:szCs w:val="28"/>
          <w:rtl w:val="true"/>
          <w:lang w:bidi="ar-SA"/>
        </w:rPr>
        <w:t xml:space="preserve">المسألة، إنّ أبا جعفر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لجهالتهم </w:t>
      </w:r>
      <w:r>
        <w:rPr>
          <w:rStyle w:val="FootnoteAnchor"/>
          <w:rtl w:val="true"/>
        </w:rPr>
        <w:footnoteReference w:id="529"/>
      </w:r>
      <w:r>
        <w:rPr>
          <w:rFonts w:ascii="Amiri" w:hAnsi="Amiri" w:eastAsia="Amiri" w:cs="Amiri"/>
          <w:color w:val="111111"/>
          <w:sz w:val="28"/>
          <w:sz w:val="28"/>
          <w:szCs w:val="28"/>
          <w:rtl w:val="true"/>
          <w:lang w:bidi="ar-SA"/>
        </w:rPr>
        <w:t xml:space="preserve">،إنّ الدين أوسع من ذلك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التعليل فيه و في مثله يقتضي التوسعة في الرخصة، إلاّ مع العلم بكونه من الميتة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شيخ الطائفة في المبسوط والنهاية عدم الجواز لقوله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لايجوز شراؤها ممّن يستحلّ ذلك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لوضوح أنّ مقتضى إطلاقه عدم الجواز ولو مع الإخبار بالتذكية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الظاهر من التذكرة و نهاية الإحكام والمنتهى والتحرير، مع إمكان المناقشة في الدلالة، لأنّه قال في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يكتفى في العلم بالتذكية وجوده في يد مسلم لايستحلّ جلد الميتة، أو في سوق المسلمين، إلى آخره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العطف بأو أن يكون ذلك الاشتراط في غير سوق المسلمين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دفعها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المعطوف والمعطوف عليه عمومًا من وجه، </w:t>
      </w:r>
    </w:p>
    <w:p>
      <w:pPr>
        <w:pStyle w:val="BookText"/>
        <w:rPr/>
      </w:pPr>
      <w:r>
        <w:rPr>
          <w:rFonts w:ascii="Amiri" w:hAnsi="Amiri" w:eastAsia="Amiri" w:cs="Amiri"/>
          <w:color w:val="111111"/>
          <w:sz w:val="28"/>
          <w:sz w:val="28"/>
          <w:szCs w:val="28"/>
          <w:rtl w:val="true"/>
          <w:lang w:bidi="ar-SA"/>
        </w:rPr>
        <w:t xml:space="preserve">لوضوح أنّ مقتضى ما ذكره أوّلاً عدم جواز استعمال ما يوجد من </w:t>
      </w:r>
      <w:r>
        <w:rPr>
          <w:rStyle w:val="FootnoteAnchor"/>
          <w:rtl w:val="true"/>
        </w:rPr>
        <w:footnoteReference w:id="533"/>
      </w:r>
      <w:r>
        <w:rPr>
          <w:rFonts w:ascii="Amiri" w:hAnsi="Amiri" w:eastAsia="Amiri" w:cs="Amiri"/>
          <w:color w:val="111111"/>
          <w:sz w:val="28"/>
          <w:sz w:val="28"/>
          <w:szCs w:val="28"/>
          <w:rtl w:val="true"/>
          <w:lang w:bidi="ar-SA"/>
        </w:rPr>
        <w:t xml:space="preserve">يد المسلمالمستحلّ، سواء كان في سوق المسلمين و غيره ؛ و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سوقالمسلمين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ما يوجد من سوقهم، سواء كان ذو اليد مستحلاًّ أم لا، فيمكن تخصيص كلّ منهما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الظاهر من العبارة تخصيص الأوّل بأن يكون المنع من استعمال الجلود المأخوذة من يد المسلم الغير المستحلّ مختصًّا بما إذا لم يؤخذ من أسواق المسلمين، إذ هذا المعنى هو مقتضى العطف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الظاهر أنّه ليس بمراد في المقام، بل الظاهر أنّ المراد تعميم المنع و لو في أسواقهم، فالتخصيص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ذكره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حكم لجواز استعمال الجلود المأخوذة من يد المسلم أو في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وجد الجلد مع من يستحلّ الميتة لم يحكم بتذكيته وإن أخبره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في التذكرة و نهاية الإحكام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اعتبرنا في المسلم انتفاء استباحته للميتة، ليحصل الظنّ بالتذكية، إذ لا فرق في انتفاء الظنّ بين المستبيح من المسلم والكافر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كلامه في ذبائح التحرير صريحٌ في ذلك كما علمت ؛ و لعلّه لذلك نسب </w:t>
      </w:r>
      <w:bookmarkStart w:id="450" w:name="pg7350_54680"/>
    </w:p>
    <w:p>
      <w:pPr>
        <w:pStyle w:val="BookText"/>
        <w:rPr/>
      </w:pPr>
      <w:bookmarkEnd w:id="450"/>
      <w:r>
        <w:rPr>
          <w:rFonts w:ascii="Amiri" w:hAnsi="Amiri" w:eastAsia="Amiri" w:cs="Amiri"/>
          <w:color w:val="111111"/>
          <w:sz w:val="28"/>
          <w:sz w:val="28"/>
          <w:szCs w:val="28"/>
          <w:rtl w:val="true"/>
          <w:lang w:bidi="ar-SA"/>
        </w:rPr>
        <w:t xml:space="preserve">جماعة من المتأخّرين القول بعدم الجواز إليه بعنوان الإطلاق، ولم يقيّدوه بصورةالأخذ من غير أسواق المسلمين </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190793_1051229030"/>
      <w:bookmarkStart w:id="452" w:name="_Toc171"/>
      <w:bookmarkEnd w:id="451"/>
      <w:r>
        <w:rPr>
          <w:rtl w:val="true"/>
        </w:rPr>
        <w:t>مستند المانعين مع الجواب عنه</w:t>
      </w:r>
      <w:bookmarkEnd w:id="452"/>
    </w:p>
    <w:p>
      <w:pPr>
        <w:pStyle w:val="BookText"/>
        <w:rPr/>
      </w:pPr>
      <w:r>
        <w:rPr>
          <w:rFonts w:ascii="Amiri" w:hAnsi="Amiri" w:eastAsia="Amiri" w:cs="Amiri"/>
          <w:color w:val="111111"/>
          <w:sz w:val="28"/>
          <w:sz w:val="28"/>
          <w:szCs w:val="28"/>
          <w:rtl w:val="true"/>
          <w:lang w:bidi="ar-SA"/>
        </w:rPr>
        <w:t xml:space="preserve">و مستندهم مع الجواب عنه يظهر ممّا سلف، مضافًا إلى ما عرفت من أنّ لكلّ من الشيخ والعلاّمة في باب الذبائح كلامًا مقتضاه الجواز ولو كان المسلم مستحلاًّ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ما ذكراه في المقامين من تعارض المطلق والمقيّد، لأنّ قول شيخ الطائفة في ذبائح النهاية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في أسواق المسلمين جاز شراؤه، و ليس على من يبتاعه التفتيش عنه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ذو اليد مستحلاًّ، أم لا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في كتاب الصلاة منه صريحٌ في عدم جواز شرائه من المستحلّ، فلابدّ من حمل المطلق على المقيّد، فجعل ما ذكره في باب الذبائح دليلاً على العدول عمّا ذكره في كتاب الصلاة لا يخلو من إشكال </w:t>
      </w:r>
      <w:r>
        <w:rPr>
          <w:rFonts w:eastAsia="Amiri" w:cs="Amiri" w:ascii="Amiri" w:hAnsi="Amiri"/>
          <w:color w:val="111111"/>
          <w:sz w:val="28"/>
          <w:szCs w:val="28"/>
          <w:rtl w:val="true"/>
          <w:lang w:bidi="ar-SA"/>
        </w:rPr>
        <w:t xml:space="preserve">. </w:t>
      </w:r>
      <w:bookmarkStart w:id="453" w:name="pg7350_54681"/>
    </w:p>
    <w:p>
      <w:pPr>
        <w:pStyle w:val="Heading4"/>
        <w:numPr>
          <w:ilvl w:val="3"/>
          <w:numId w:val="1"/>
        </w:numPr>
        <w:rPr/>
      </w:pPr>
      <w:bookmarkStart w:id="454" w:name="__RefHeading___Toc1190795_1051229030"/>
      <w:bookmarkStart w:id="455" w:name="_Toc172"/>
      <w:bookmarkEnd w:id="453"/>
      <w:bookmarkEnd w:id="454"/>
      <w:r>
        <w:rPr>
          <w:rtl w:val="true"/>
        </w:rPr>
        <w:t xml:space="preserve">القسم الرابع والخمسون </w:t>
      </w:r>
      <w:r>
        <w:rPr>
          <w:rtl w:val="true"/>
        </w:rPr>
        <w:t>:</w:t>
      </w:r>
      <w:bookmarkEnd w:id="455"/>
    </w:p>
    <w:p>
      <w:pPr>
        <w:pStyle w:val="Heading5"/>
        <w:numPr>
          <w:ilvl w:val="4"/>
          <w:numId w:val="1"/>
        </w:numPr>
        <w:rPr/>
      </w:pPr>
      <w:bookmarkStart w:id="456" w:name="__RefHeading___Toc1190797_1051229030"/>
      <w:bookmarkStart w:id="457" w:name="_Toc173"/>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الرابع و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المستحلّ في السوق المختصّ بالمسلمين من غير الظنّ والإخبار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والشرائع والنافع والقواعد والتبصرة والإرشاد والجعفريّة والروض والمسالك والمدارك والذخيرة الجواز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المطبوع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المحقّق الكركي وآثاره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مسالك الأفهام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مدارك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ذخيرة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روض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تبصرة المتعلّمين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إرشاد الأذهان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قواعد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 قد سمعت عبارة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النهاية والمبسوط والتذكرة والمنتهى و نهاية الإحكام والتحرير المنع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مقتضى الذكرى أيضًا حيث 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يشترى في سوق الإسلام، فيحكم عليه بالذكاة إذا لم يعلم كون البائع مستحلاًّ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458" w:name="pg7350_54682"/>
    </w:p>
    <w:p>
      <w:pPr>
        <w:pStyle w:val="BookText"/>
        <w:rPr/>
      </w:pPr>
      <w:bookmarkEnd w:id="458"/>
      <w:r>
        <w:rPr>
          <w:rFonts w:ascii="Amiri" w:hAnsi="Amiri" w:eastAsia="Amiri" w:cs="Amiri"/>
          <w:color w:val="111111"/>
          <w:sz w:val="28"/>
          <w:sz w:val="28"/>
          <w:szCs w:val="28"/>
          <w:rtl w:val="true"/>
          <w:lang w:bidi="ar-SA"/>
        </w:rPr>
        <w:t xml:space="preserve">و يحتمله كلام الدروس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في سوق الإسلام، أو مع مسلم غير مستحلّ، إلى آخر ما ذكره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190799_1051229030"/>
      <w:bookmarkStart w:id="460" w:name="_Toc174"/>
      <w:bookmarkEnd w:id="459"/>
      <w:r>
        <w:rPr>
          <w:rtl w:val="true"/>
        </w:rPr>
        <w:t>مستند المانعين مع الجواب عنه</w:t>
      </w:r>
      <w:bookmarkEnd w:id="460"/>
    </w:p>
    <w:p>
      <w:pPr>
        <w:pStyle w:val="BookText"/>
        <w:rPr/>
      </w:pPr>
      <w:r>
        <w:rPr>
          <w:rFonts w:ascii="Amiri" w:hAnsi="Amiri" w:eastAsia="Amiri" w:cs="Amiri"/>
          <w:color w:val="111111"/>
          <w:sz w:val="28"/>
          <w:sz w:val="28"/>
          <w:szCs w:val="28"/>
          <w:rtl w:val="true"/>
          <w:lang w:bidi="ar-SA"/>
        </w:rPr>
        <w:t xml:space="preserve">و لعلّ مستندهم في ذلك ما تقدّم من روايتي أبي بصير و عبدالرّحمن بن الحجّاج، و قد عرفت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لهم بما تقدّم من رواية إسماعيل بن عيسى الّتي قد عرفت إمكان جعلها حسنًا، لما عرفت من أنّ أظهر الاحتمالات فيها حمل المشركين على العامّة، فحاصل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عليكم السؤال إذا رأيتم العامّة يبيعون ذلك، إلاّ إذا رأيتم صلاتهم فيه، فحينئذٍ لايجب عليكم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التفصيل المذكور ممّا لم يقل به أحدٌ من الأصحاب، لوضوح أنّ مَن جوّز استعمال الجلود المأخوذة منهم جوّزه مطلقًا، و مَن لم يجوّزه لم يجوّزه كذلك ؛ و كما يمكن القول بالمنع في صورة رؤية صلاتهم فيه أيضًا لعدم القول بالفصل، يمكن القول بالجواز في غير الصورة المذكورة أيضًا لعين ما ذكر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الرواية المذكورة غير صالحة لمعارضة إطلاقات النصوص </w:t>
      </w:r>
      <w:bookmarkStart w:id="461" w:name="pg7350_54683"/>
    </w:p>
    <w:p>
      <w:pPr>
        <w:pStyle w:val="BookText"/>
        <w:rPr/>
      </w:pPr>
      <w:bookmarkEnd w:id="461"/>
      <w:r>
        <w:rPr>
          <w:rFonts w:ascii="Amiri" w:hAnsi="Amiri" w:eastAsia="Amiri" w:cs="Amiri"/>
          <w:color w:val="111111"/>
          <w:sz w:val="28"/>
          <w:sz w:val="28"/>
          <w:szCs w:val="28"/>
          <w:rtl w:val="true"/>
          <w:lang w:bidi="ar-SA"/>
        </w:rPr>
        <w:t xml:space="preserve">السوقيّة الّتي قد صرّح في جملة منها بأنّه ليس عليكم المسألة، مع أنّ المعلوم أنّغالب أهل السوق في ذلك الأوان كانوا من المخالفين، فهو كالنصّ في عدم افتقار استعمال الجلود المأخوذة منهم إلى السؤال، لا سيّما بعد التعليل المذكور في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المذكور غير صالح للمعارضة، لا سيّما بعد اعتضاد الإطلاق في النصوص المذكورة بما يظهر من عمل أكثر عظماء الطائفة، و بأصالة الطهارة والإباحة، و غير ذلك ممّا يظهر من المباحث السالفة، فلابدّ من حمل الحديث على الاستحباب </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90801_1051229030"/>
      <w:bookmarkStart w:id="463" w:name="_Toc175"/>
      <w:bookmarkEnd w:id="462"/>
      <w:r>
        <w:rPr>
          <w:rtl w:val="true"/>
        </w:rPr>
        <w:t xml:space="preserve">القسم الخامس والخمسون </w:t>
      </w:r>
      <w:r>
        <w:rPr>
          <w:rtl w:val="true"/>
        </w:rPr>
        <w:t>:</w:t>
      </w:r>
      <w:bookmarkEnd w:id="463"/>
    </w:p>
    <w:p>
      <w:pPr>
        <w:pStyle w:val="Heading5"/>
        <w:numPr>
          <w:ilvl w:val="4"/>
          <w:numId w:val="1"/>
        </w:numPr>
        <w:rPr/>
      </w:pPr>
      <w:bookmarkStart w:id="464" w:name="__RefHeading___Toc1190803_1051229030"/>
      <w:bookmarkStart w:id="465" w:name="_Toc176"/>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من ذي اليد المسلم المستحلّ بكونه من غير المذكّى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لزوم الاجتناب حينئذٍ ممّا لا تأمّل فيه، و إن كان الظاهر من بعض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المعتبر و غيره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الاستعمال، إلاّ أنّ الظاهر أنّ ذلك ليس بمراد </w:t>
      </w:r>
      <w:r>
        <w:rPr>
          <w:rFonts w:eastAsia="Amiri" w:cs="Amiri" w:ascii="Amiri" w:hAnsi="Amiri"/>
          <w:color w:val="111111"/>
          <w:sz w:val="28"/>
          <w:szCs w:val="28"/>
          <w:rtl w:val="true"/>
          <w:lang w:bidi="ar-SA"/>
        </w:rPr>
        <w:t xml:space="preserve">. </w:t>
      </w:r>
      <w:bookmarkStart w:id="466" w:name="pg7350_54684"/>
    </w:p>
    <w:p>
      <w:pPr>
        <w:pStyle w:val="Heading5"/>
        <w:numPr>
          <w:ilvl w:val="4"/>
          <w:numId w:val="1"/>
        </w:numPr>
        <w:rPr/>
      </w:pPr>
      <w:bookmarkStart w:id="467" w:name="__RefHeading___Toc1190805_1051229030"/>
      <w:bookmarkStart w:id="468" w:name="_Toc177"/>
      <w:bookmarkEnd w:id="466"/>
      <w:bookmarkEnd w:id="467"/>
      <w:r>
        <w:rPr>
          <w:rtl w:val="true"/>
        </w:rPr>
        <w:t>المستند في لزوم الاجتناب</w:t>
      </w:r>
      <w:bookmarkEnd w:id="468"/>
    </w:p>
    <w:p>
      <w:pPr>
        <w:pStyle w:val="BookText"/>
        <w:rPr/>
      </w:pPr>
      <w:r>
        <w:rPr>
          <w:rFonts w:ascii="Amiri" w:hAnsi="Amiri" w:eastAsia="Amiri" w:cs="Amiri"/>
          <w:color w:val="111111"/>
          <w:sz w:val="28"/>
          <w:sz w:val="28"/>
          <w:szCs w:val="28"/>
          <w:rtl w:val="true"/>
          <w:lang w:bidi="ar-SA"/>
        </w:rPr>
        <w:t xml:space="preserve">والمستند في لزوم الاجتناب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السالفة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الخفاف عندنا في السوق نشتريها، فما ترى في الصلاة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حتّى يقال لك انّها ميتة بعينه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المفروض تحقّق القول بكون الجلد من الميتة، فوجب الاجتناب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الصحيحة المذكورة وإن كان ذلك، لكنّه معارض بصحيحته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الخفاف الّتي تباع في السوق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و صلّ فيها حتّى تعلم أنّه ميّت بعينه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مقتضاها عدم وجوب الاجتناب إلاّ بعد العلم بكونها من الميتة، سواء وجد الإخبار من ذي اليد، أم لا، فلابدّ من حمل الصحيحة الأولى على ما إذا حصل العلم عن قول المخبر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نبّهنا فيما سلف أنّ التعارض بينهما من تعارض الظاهرين والعموم من وجه، إذ مقتضى المفهوم في الصحيحة الأولى لزوم الاجتناب فيما إذا تحقّق القول بكون الجلد من الميتة، سواء أفاد العلم، أم لا ؛ و مقتضى المنطوق في الصحيحة الثانية عدم لزوم الاجتناب فيما إذا لم يعلم كون الجلد من الميتة، سواء تحقّق هناك قول بكونه من الميتة، أم لا </w:t>
      </w:r>
      <w:r>
        <w:rPr>
          <w:rFonts w:eastAsia="Amiri" w:cs="Amiri" w:ascii="Amiri" w:hAnsi="Amiri"/>
          <w:color w:val="111111"/>
          <w:sz w:val="28"/>
          <w:szCs w:val="28"/>
          <w:rtl w:val="true"/>
          <w:lang w:bidi="ar-SA"/>
        </w:rPr>
        <w:t xml:space="preserve">. </w:t>
      </w:r>
      <w:bookmarkStart w:id="469" w:name="pg7350_54685"/>
    </w:p>
    <w:p>
      <w:pPr>
        <w:pStyle w:val="Heading5"/>
        <w:numPr>
          <w:ilvl w:val="4"/>
          <w:numId w:val="1"/>
        </w:numPr>
        <w:rPr/>
      </w:pPr>
      <w:bookmarkStart w:id="470" w:name="__RefHeading___Toc1190807_1051229030"/>
      <w:bookmarkStart w:id="471" w:name="_Toc178"/>
      <w:bookmarkEnd w:id="469"/>
      <w:bookmarkEnd w:id="470"/>
      <w:r>
        <w:rPr>
          <w:rtl w:val="true"/>
        </w:rPr>
        <w:t>مختار المؤلّف قدس‌سره و دليله</w:t>
      </w:r>
      <w:bookmarkEnd w:id="471"/>
    </w:p>
    <w:p>
      <w:pPr>
        <w:pStyle w:val="BookText"/>
        <w:rPr/>
      </w:pPr>
      <w:r>
        <w:rPr>
          <w:rFonts w:ascii="Amiri" w:hAnsi="Amiri" w:eastAsia="Amiri" w:cs="Amiri"/>
          <w:color w:val="111111"/>
          <w:sz w:val="28"/>
          <w:sz w:val="28"/>
          <w:szCs w:val="28"/>
          <w:rtl w:val="true"/>
          <w:lang w:bidi="ar-SA"/>
        </w:rPr>
        <w:t xml:space="preserve">واللازم الرجوع إلى الترجيح، و هو مع الدالّ على الاجتناب، لأصالة عدم التذكية، و لكونه مقطوعًا به في جملة من العبارات ؛ و قد أوردناها في القسم الخامس من الأقسام المذكورة، بل الظاهر من بعضها أنّ لزوم الاجتناب مع تحقّق القول من ذي اليد بكون الجلد من الميتة ممّا لا خلاف فيه، فاللازم تقييد المنطوق في الصحيحة الثانية بالمفهوم من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أيضًا برواية إسماعيل بن عيسى السالفة، لأنّ المشركين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أن تسألوا عنه إذا رأيتم المشركين يبيعون ذلك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إمّا أن يكون المراد منه ظاهره، أو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التقديرين يتمّ 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فلوضوح أنّ الأمر بالسؤال إنّما هو إذا جاز العمل بما يقال في جوابه،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العمل بمقتضى الجواب من المشركين، فجوازه بمقتضاه من المخالفين بطريق أولى ؛ و فيه تأمّل،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على ما يظهر ممّا بيّناه في بعض المباحث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الحال فيه ممّا ذكر، لما نبّهنا عليه من أنّ الأمر بالسؤال إنّما يحسن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جاز العمل بما يقال في مقام الجواب، سواء كان مفيدًا للتذكية، أو عدمها </w:t>
      </w:r>
      <w:r>
        <w:rPr>
          <w:rFonts w:eastAsia="Amiri" w:cs="Amiri" w:ascii="Amiri" w:hAnsi="Amiri"/>
          <w:color w:val="111111"/>
          <w:sz w:val="28"/>
          <w:szCs w:val="28"/>
          <w:rtl w:val="true"/>
          <w:lang w:bidi="ar-SA"/>
        </w:rPr>
        <w:t xml:space="preserve">. </w:t>
      </w:r>
      <w:bookmarkStart w:id="472" w:name="pg7350_54686"/>
    </w:p>
    <w:p>
      <w:pPr>
        <w:pStyle w:val="BookText"/>
        <w:rPr/>
      </w:pPr>
      <w:bookmarkEnd w:id="472"/>
      <w:r>
        <w:rPr>
          <w:rFonts w:ascii="Amiri" w:hAnsi="Amiri" w:eastAsia="Amiri" w:cs="Amiri"/>
          <w:color w:val="111111"/>
          <w:sz w:val="28"/>
          <w:sz w:val="28"/>
          <w:szCs w:val="28"/>
          <w:rtl w:val="true"/>
          <w:lang w:bidi="ar-SA"/>
        </w:rPr>
        <w:t xml:space="preserve">مضافًا إلى أنّ جواز التعويل على الإخبار بالتذكية منهم يدلّ على جوازه في عدم التذكية بطريق أولى، فاستفادة التعويل على الإخبار الصادر منهم بعدم التذكية من الحديث من وجهين بالإطلاق والفحوى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لايخفى أنّ الاستدلال يتمّ و لو على تقدير حمل الرواية على الاستحباب، كما لا يخفى على المتأمّل إذا كان من أولى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أيضًا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بقوله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الخوارج ضيّقوا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الضيق إنّما يكون إذا تعيّن العمل بما يقال في مقام الجواب،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المسألة ممّا لاينبغي التأمّل فيه، سواء ظنّ بعدم التذكية، أم لا، إلاّ إذا كان التذكية مظنونة، فلا يبعد الحكم حينئذٍ بعدم لزوم الاجتناب، لموثّقة ابن بكير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ما بيّناه في المباحث السالفة و إن كان حملها على غير السوق، لكنّ التمسّك بها فيما نحن فيه إنّما هو من جهة الفحوى، لوضوح أنّ أمر السوق أسهل من غيره ؛ و لإطلاق النصوص المعتبرة السوقيّة خرج منها غير الصورة المفروضة لما مرّ، و أمّا هي فلا، لكون الظاهر منه خلافها </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190809_1051229030"/>
      <w:bookmarkStart w:id="474" w:name="_Toc179"/>
      <w:bookmarkEnd w:id="473"/>
      <w:r>
        <w:rPr>
          <w:rtl w:val="true"/>
        </w:rPr>
        <w:t xml:space="preserve">القسم السادس والخمسون </w:t>
      </w:r>
      <w:r>
        <w:rPr>
          <w:rtl w:val="true"/>
        </w:rPr>
        <w:t>:</w:t>
      </w:r>
      <w:bookmarkEnd w:id="474"/>
    </w:p>
    <w:p>
      <w:pPr>
        <w:pStyle w:val="Heading5"/>
        <w:numPr>
          <w:ilvl w:val="4"/>
          <w:numId w:val="1"/>
        </w:numPr>
        <w:rPr/>
      </w:pPr>
      <w:bookmarkStart w:id="475" w:name="__RefHeading___Toc1190811_1051229030"/>
      <w:bookmarkStart w:id="476" w:name="_Toc180"/>
      <w:bookmarkEnd w:id="475"/>
      <w:r>
        <w:rPr>
          <w:rtl w:val="true"/>
        </w:rPr>
        <w:t>اشارة</w:t>
      </w:r>
      <w:bookmarkEnd w:id="47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الجلد في يد المسلم المستحلّ في البلد </w:t>
      </w:r>
      <w:bookmarkStart w:id="477" w:name="pg7350_54687"/>
    </w:p>
    <w:p>
      <w:pPr>
        <w:pStyle w:val="BookText"/>
        <w:rPr/>
      </w:pPr>
      <w:bookmarkEnd w:id="477"/>
      <w:r>
        <w:rPr>
          <w:rFonts w:ascii="Amiri" w:hAnsi="Amiri" w:eastAsia="Amiri" w:cs="Amiri"/>
          <w:color w:val="111111"/>
          <w:sz w:val="28"/>
          <w:sz w:val="28"/>
          <w:szCs w:val="28"/>
          <w:rtl w:val="true"/>
          <w:lang w:bidi="ar-SA"/>
        </w:rPr>
        <w:t xml:space="preserve">المختصّ بالمسلمين مع الظنّ والإخبار بالتذكية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المعتبر والبيان والجعفريّة والروض والمدارك والذخيرة جواز الاستعمال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وآثاره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مدارك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ذخيرة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روض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190813_1051229030"/>
      <w:bookmarkStart w:id="479" w:name="_Toc181"/>
      <w:bookmarkEnd w:id="478"/>
      <w:r>
        <w:rPr>
          <w:rtl w:val="true"/>
        </w:rPr>
        <w:t>مستند المجوّزين</w:t>
      </w:r>
      <w:bookmarkEnd w:id="479"/>
    </w:p>
    <w:p>
      <w:pPr>
        <w:pStyle w:val="BookText"/>
        <w:rPr/>
      </w:pPr>
      <w:r>
        <w:rPr>
          <w:rFonts w:ascii="Amiri" w:hAnsi="Amiri" w:eastAsia="Amiri" w:cs="Amiri"/>
          <w:color w:val="111111"/>
          <w:sz w:val="28"/>
          <w:sz w:val="28"/>
          <w:szCs w:val="28"/>
          <w:rtl w:val="true"/>
          <w:lang w:bidi="ar-SA"/>
        </w:rPr>
        <w:t xml:space="preserve">والمستند فيه قوله عليه‌السلام في موثّقة ابن بكير المتكرّرة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ذلك ممّا يؤكل لحمه، فالصلاة في وبره و بوله و شعره و روثه وألبانه وكلّ شيء منه جائز </w:t>
      </w:r>
      <w:r>
        <w:rPr>
          <w:rStyle w:val="FootnoteAnchor"/>
          <w:rtl w:val="true"/>
        </w:rPr>
        <w:footnoteReference w:id="548"/>
      </w:r>
      <w:r>
        <w:rPr>
          <w:rFonts w:ascii="Amiri" w:hAnsi="Amiri" w:eastAsia="Amiri" w:cs="Amiri"/>
          <w:color w:val="111111"/>
          <w:sz w:val="28"/>
          <w:sz w:val="28"/>
          <w:szCs w:val="28"/>
          <w:rtl w:val="true"/>
          <w:lang w:bidi="ar-SA"/>
        </w:rPr>
        <w:t xml:space="preserve">إذا علمت أنّه ذكيّ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على ما علمت من حمل العلم على الظنّ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صحيحة جعفر بن محمّد بن يونس السالفة، لأنّ ترك الاستفصال فيها بين كون متعلّق السؤال في السوق و غيره و كون ذي اليد مخالفًا و غيره، دليلُ ثبوت الحكم في الجميع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موثّقة إسحاق بن عمّار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عبدالرّحمن بن الحجّاج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الفراء </w:t>
      </w:r>
    </w:p>
    <w:p>
      <w:pPr>
        <w:pStyle w:val="BookText"/>
        <w:rPr/>
      </w:pPr>
      <w:r>
        <w:rPr>
          <w:rFonts w:ascii="Amiri" w:hAnsi="Amiri" w:eastAsia="Amiri" w:cs="Amiri"/>
          <w:color w:val="111111"/>
          <w:sz w:val="28"/>
          <w:sz w:val="28"/>
          <w:szCs w:val="28"/>
          <w:rtl w:val="true"/>
          <w:lang w:bidi="ar-SA"/>
        </w:rPr>
        <w:t xml:space="preserve">اشتريه من الرجل الّذي لعلّي لا أثق به </w:t>
      </w:r>
      <w:r>
        <w:rPr>
          <w:rStyle w:val="FootnoteAnchor"/>
          <w:rtl w:val="true"/>
        </w:rPr>
        <w:footnoteReference w:id="550"/>
      </w:r>
      <w:r>
        <w:rPr>
          <w:rFonts w:ascii="Amiri" w:hAnsi="Amiri" w:eastAsia="Amiri" w:cs="Amiri"/>
          <w:color w:val="111111"/>
          <w:sz w:val="28"/>
          <w:sz w:val="28"/>
          <w:szCs w:val="28"/>
          <w:rtl w:val="true"/>
          <w:lang w:bidi="ar-SA"/>
        </w:rPr>
        <w:t xml:space="preserve">، فيبيعني على أنّها ذكيّة، أبيعها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لاتثق به فلا تبعها على أنّها ذكيّة،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قيل لي أنّها ذكيّة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تمّت الرسالة بحمد اللّه تعالى </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7350_54690"/>
      <w:bookmarkStart w:id="481" w:name="pg7350_54690"/>
      <w:bookmarkEnd w:id="481"/>
    </w:p>
    <w:p>
      <w:pPr>
        <w:pStyle w:val="Heading2"/>
        <w:numPr>
          <w:ilvl w:val="1"/>
          <w:numId w:val="1"/>
        </w:numPr>
        <w:rPr/>
      </w:pPr>
      <w:bookmarkStart w:id="482" w:name="pg7350_54690"/>
      <w:bookmarkStart w:id="483" w:name="__RefHeading___Toc1190815_1051229030"/>
      <w:bookmarkStart w:id="484" w:name="_Toc182"/>
      <w:bookmarkEnd w:id="482"/>
      <w:bookmarkEnd w:id="483"/>
      <w:r>
        <w:rPr>
          <w:rtl w:val="true"/>
        </w:rPr>
        <w:t>فهرس مصادر التحقيق</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مجمع الذخائر الإسلامية ، قم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و الشيخ هادي اليوسفي ، نشر الفقيه، تهران،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للحاج السيّد محمّد باقر حجّة الإسلام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السيّد مهدي الرجائي، نشر مكتبة مسجد السيّد باصفهان، مطبعة سيّد الشهداء،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التعليقات على شرح اللمعة الدمشقيّة، للفاضل جمال الدين الخوانساري، منشورات المدرسة الرضويّة،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محمّد الحسّون، منشورات الاحتجاج،</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جمال الدّين حسن بن يوسف</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مؤسسة النشر الإسلامي،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شيخ الطائفة محمّد بن الحسن المعروف</w:t>
      </w:r>
    </w:p>
    <w:p>
      <w:pPr>
        <w:pStyle w:val="BookText"/>
        <w:rPr/>
      </w:pPr>
      <w:r>
        <w:rPr>
          <w:rFonts w:ascii="Amiri" w:hAnsi="Amiri" w:eastAsia="Amiri" w:cs="Amiri"/>
          <w:color w:val="111111"/>
          <w:sz w:val="28"/>
          <w:sz w:val="28"/>
          <w:szCs w:val="28"/>
          <w:rtl w:val="true"/>
          <w:lang w:bidi="ar-SA"/>
        </w:rPr>
        <w:t xml:space="preserve">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الخراساني والسيّد جواد الشهرستاني و 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الفقه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باقر بن محمّد مؤمن السبزواري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نشر مؤسسة آل البيت عليهم‌السلام لإحياء التراث،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شمس الدّين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إبن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الحسن بن علي بن داود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المطبعة الحيدرية، النجف الأشرف،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العبّاس أحمد بن علي بن أحمد بن العبّاس النجاشي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نشر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في دراية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أبوالفضل حافظيان البابلي، دار الحديث،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مؤسسة آل البيت عليهم‌السلام لإحياء التراث،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منصور بن أحمد بن إدريس العجلي</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السيّد صادق الشيرازي، نشر إنتشارات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طرائف المقال في معرفة طبقات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أصغر بن محمّد شفيع الجابلقي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مكتبة آية اللّه المرعشي،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 دار صادر،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شيخ الطائفة محمّد بن الحسن المعروف بالشيخ الطوسي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رضا الأنصاري،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الطهماسبي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عزّالدين الحسين بن عبدالصمد الحارثي العاملي، والد الشيخ البهائي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السيّد جواد المدرّسي، گلبهار، يزد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بابويه القمّي المعروف</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المكتبة الحيدريّة، 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المكارم السيّد حمزة بن عليّ بن زهرة الحسيني، المعروف بإبن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لمؤسّسة الإمام الصادق عليه‌السلام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فتاوي ابن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آية اللّه الشيخ علي پناه الاشتهاردي، مؤسّسة النشر الإسلاميّ،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مجد الدّين محمّد بن يعقوب الفيروزآبادي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الشيخ رضا الأستادي، مكتبة أمير المؤمنين عليه‌السلام، إصفهان،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 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محمّد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التقريب، قاهرة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لجنة التحقيق، مؤسسة النشر الإسلامي التابعة لجماعة المدرسين، قم،</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علي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نشر مؤسسة آل البيت عليهم‌السلام لإحياء التراث،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النبويّة والأحكام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لسلاّر بن عبدالعزيزالديلمي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الحسينيالأميني، نشر المعاونية الثقافية للمجمع العالمي،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بن عليّ بن أحمد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المعارف الإسلامية،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الميرزا حسين المحدّث النوري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تحقيق و نشر مؤسسة آل البيت عليهم‌السلام لإحياء التراث ،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نجم الدّين جعفر بن حسن بن يحيى</w:t>
      </w:r>
    </w:p>
    <w:p>
      <w:pPr>
        <w:pStyle w:val="BookText"/>
        <w:rPr/>
      </w:pPr>
      <w:r>
        <w:rPr>
          <w:rFonts w:ascii="Amiri" w:hAnsi="Amiri" w:eastAsia="Amiri" w:cs="Amiri"/>
          <w:color w:val="111111"/>
          <w:sz w:val="28"/>
          <w:sz w:val="28"/>
          <w:szCs w:val="28"/>
          <w:rtl w:val="true"/>
          <w:lang w:bidi="ar-SA"/>
        </w:rPr>
        <w:t xml:space="preserve">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لجنة التحقيق بإشراف الشيخ ناصر مكارم ، مؤسسة سيّد الشهداء عليه‌السلام،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محمّد بن النعمان البغدادي، المعروف بالشيخالمفيد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w:t>
      </w:r>
    </w:p>
    <w:p>
      <w:pPr>
        <w:pStyle w:val="BookText"/>
        <w:rPr/>
      </w:pPr>
      <w:r>
        <w:rPr>
          <w:rFonts w:ascii="Amiri" w:hAnsi="Amiri" w:eastAsia="Amiri" w:cs="Amiri"/>
          <w:color w:val="111111"/>
          <w:sz w:val="28"/>
          <w:sz w:val="28"/>
          <w:szCs w:val="28"/>
          <w:rtl w:val="true"/>
          <w:lang w:bidi="ar-SA"/>
        </w:rPr>
        <w:t xml:space="preserve">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قسم الفقه في مجمع البحوث الإسلامية، مشهد،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شيخ الطائفة محمّد بن الحسن</w:t>
      </w:r>
    </w:p>
    <w:p>
      <w:pPr>
        <w:pStyle w:val="BookText"/>
        <w:rPr/>
      </w:pPr>
      <w:r>
        <w:rPr>
          <w:rFonts w:ascii="Amiri" w:hAnsi="Amiri" w:eastAsia="Amiri" w:cs="Amiri"/>
          <w:color w:val="111111"/>
          <w:sz w:val="28"/>
          <w:sz w:val="28"/>
          <w:szCs w:val="28"/>
          <w:rtl w:val="true"/>
          <w:lang w:bidi="ar-SA"/>
        </w:rPr>
        <w:t xml:space="preserve">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محسن بن الشاه مرتضى المشهور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ضياء الدين الحسيني الإصفهاني، اصفهان،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الرجال، للعلاّمة محمّد باقر المجلسي، تحقيق محمّد كاظم رحمان ستايش، وزارة الثقافة والارشاد الاسلامي، تهران،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لعماد الدّين أبي جعفر محمّد بن علي الطوسي،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بإبن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 المرعشي،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7350_54700"/>
      <w:bookmarkStart w:id="486" w:name="pg7350_54700"/>
      <w:bookmarkEnd w:id="486"/>
    </w:p>
    <w:p>
      <w:pPr>
        <w:pStyle w:val="Heading2"/>
        <w:numPr>
          <w:ilvl w:val="1"/>
          <w:numId w:val="1"/>
        </w:numPr>
        <w:rPr/>
      </w:pPr>
      <w:bookmarkStart w:id="487" w:name="pg7350_54700"/>
      <w:bookmarkStart w:id="488" w:name="__RefHeading___Toc1190817_1051229030"/>
      <w:bookmarkStart w:id="489" w:name="_Toc183"/>
      <w:bookmarkEnd w:id="487"/>
      <w:bookmarkEnd w:id="488"/>
      <w:r>
        <w:rPr>
          <w:rtl w:val="true"/>
        </w:rPr>
        <w:t>فهرس المحتويات</w:t>
      </w:r>
      <w:bookmarkEnd w:id="489"/>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لمحةٌ من حياة المؤلّف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إقامته الحدود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مشايخ روايته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تآليفه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الكتب والرسائل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الكتب والرسائل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الكتب والرسائل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الكتب والرسائل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الكتب والرسائل المتفرّقة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يدي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منهجنا في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رسالة</w:t>
      </w:r>
    </w:p>
    <w:p>
      <w:pPr>
        <w:pStyle w:val="BookText"/>
        <w:rPr/>
      </w:pPr>
      <w:r>
        <w:rPr>
          <w:rFonts w:ascii="Amiri" w:hAnsi="Amiri" w:eastAsia="Amiri" w:cs="Amiri"/>
          <w:color w:val="111111"/>
          <w:sz w:val="28"/>
          <w:sz w:val="28"/>
          <w:szCs w:val="28"/>
          <w:rtl w:val="true"/>
          <w:lang w:bidi="ar-SA"/>
        </w:rPr>
        <w:t>في حكم الصلاة في جلد الميتة المدبوغ</w:t>
      </w:r>
    </w:p>
    <w:p>
      <w:pPr>
        <w:pStyle w:val="BookText"/>
        <w:rPr/>
      </w:pPr>
      <w:r>
        <w:rPr>
          <w:rFonts w:ascii="Amiri" w:hAnsi="Amiri" w:eastAsia="Amiri" w:cs="Amiri"/>
          <w:color w:val="111111"/>
          <w:sz w:val="28"/>
          <w:sz w:val="28"/>
          <w:szCs w:val="28"/>
          <w:rtl w:val="true"/>
          <w:lang w:bidi="ar-SA"/>
        </w:rPr>
        <w:t>لاتجوز الصلاة في جلد الميتة ولو كانت ممّا يؤكل لحمه و دبغ سبعين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المستند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هنا في أمور 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الصلاة في الجلود مشروطًا بالعلم بكونها من المذكّى المأكول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مختار المؤلّف قدس‌سره و دليله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المستند للقول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الجواب عن المستند للقول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الاحتمالات المتصوّرة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الجلد في يد من علم إسلامه وأنّه ممّن لم يقل</w:t>
      </w:r>
    </w:p>
    <w:p>
      <w:pPr>
        <w:pStyle w:val="BookText"/>
        <w:rPr/>
      </w:pPr>
      <w:r>
        <w:rPr>
          <w:rFonts w:ascii="Amiri" w:hAnsi="Amiri" w:eastAsia="Amiri" w:cs="Amiri"/>
          <w:color w:val="111111"/>
          <w:sz w:val="28"/>
          <w:sz w:val="28"/>
          <w:szCs w:val="28"/>
          <w:rtl w:val="true"/>
          <w:lang w:bidi="ar-SA"/>
        </w:rPr>
        <w:t xml:space="preserve">باستحلال استعمال الميتة بالدباغة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إلاّ في الإخبار من ذي اليد، بمعنى أنّه لم يتحقّق</w:t>
      </w:r>
    </w:p>
    <w:p>
      <w:pPr>
        <w:pStyle w:val="BookText"/>
        <w:rPr/>
      </w:pPr>
      <w:r>
        <w:rPr>
          <w:rFonts w:ascii="Amiri" w:hAnsi="Amiri" w:eastAsia="Amiri" w:cs="Amiri"/>
          <w:color w:val="111111"/>
          <w:sz w:val="28"/>
          <w:sz w:val="28"/>
          <w:szCs w:val="28"/>
          <w:rtl w:val="true"/>
          <w:lang w:bidi="ar-SA"/>
        </w:rPr>
        <w:t>الإخبار منه بأنّه من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الجلد في سوق المسلمين في يد المسلم الّذي علم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لايقول بطهارة الميتة بالدباغة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المستند في عدم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الثالث، لكن مع الإخبار من ذي اليد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سوق المسلمين في يد المسلم الغير</w:t>
      </w:r>
    </w:p>
    <w:p>
      <w:pPr>
        <w:pStyle w:val="BookText"/>
        <w:rPr/>
      </w:pPr>
      <w:r>
        <w:rPr>
          <w:rFonts w:ascii="Amiri" w:hAnsi="Amiri" w:eastAsia="Amiri" w:cs="Amiri"/>
          <w:color w:val="111111"/>
          <w:sz w:val="28"/>
          <w:sz w:val="28"/>
          <w:szCs w:val="28"/>
          <w:rtl w:val="true"/>
          <w:lang w:bidi="ar-SA"/>
        </w:rPr>
        <w:t>المستبيح أيضًا، لكن مع إخبار ذي اليد بكونه من غير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في البلد المختصّ</w:t>
      </w:r>
    </w:p>
    <w:p>
      <w:pPr>
        <w:pStyle w:val="BookText"/>
        <w:rPr/>
      </w:pPr>
      <w:r>
        <w:rPr>
          <w:rFonts w:ascii="Amiri" w:hAnsi="Amiri" w:eastAsia="Amiri" w:cs="Amiri"/>
          <w:color w:val="111111"/>
          <w:sz w:val="28"/>
          <w:sz w:val="28"/>
          <w:szCs w:val="28"/>
          <w:rtl w:val="true"/>
          <w:lang w:bidi="ar-SA"/>
        </w:rPr>
        <w:t>بالمسلم مع الإخبار من ذي اليد بالتذكية والظنّ بها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المستند في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السادس إلاّ في الإخبار من ذي اليد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مختار المؤلّف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في البلد المختصّ</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بالمسلم في غير السوق مع الإخبار من ذي اليد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مع انتفاء الإخبار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المستند في عدم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الجواب عن مستند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إطلاق كلمات جماعة من فحول الأصحاب يستدعي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في غير السوق من</w:t>
      </w:r>
    </w:p>
    <w:p>
      <w:pPr>
        <w:pStyle w:val="BookText"/>
        <w:rPr/>
      </w:pPr>
      <w:r>
        <w:rPr>
          <w:rFonts w:ascii="Amiri" w:hAnsi="Amiri" w:eastAsia="Amiri" w:cs="Amiri"/>
          <w:color w:val="111111"/>
          <w:sz w:val="28"/>
          <w:sz w:val="28"/>
          <w:szCs w:val="28"/>
          <w:rtl w:val="true"/>
          <w:lang w:bidi="ar-SA"/>
        </w:rPr>
        <w:t>بلاد المسلمين مع إخبار ذي اليد بكونه من غير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إلاّ في 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المستند في عدم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المستند للقول بالجواز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القسم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الإخبار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 لكن مع الإخبار من غير مظنّة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المستند في الجواز مع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البحث عن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فعل المسلم الحمل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مختار المؤلّف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الإخبار والظنّ بالتذكية كلاهما منتفيًا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إخبار ذي اليد المسلم بكونه من غير</w:t>
      </w:r>
    </w:p>
    <w:p>
      <w:pPr>
        <w:pStyle w:val="BookText"/>
        <w:rPr/>
      </w:pPr>
      <w:r>
        <w:rPr>
          <w:rFonts w:ascii="Amiri" w:hAnsi="Amiri" w:eastAsia="Amiri" w:cs="Amiri"/>
          <w:color w:val="111111"/>
          <w:sz w:val="28"/>
          <w:sz w:val="28"/>
          <w:szCs w:val="28"/>
          <w:rtl w:val="true"/>
          <w:lang w:bidi="ar-SA"/>
        </w:rPr>
        <w:t>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القسم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أيضًا، لكن</w:t>
      </w:r>
    </w:p>
    <w:p>
      <w:pPr>
        <w:pStyle w:val="BookText"/>
        <w:rPr/>
      </w:pPr>
      <w:r>
        <w:rPr>
          <w:rFonts w:ascii="Amiri" w:hAnsi="Amiri" w:eastAsia="Amiri" w:cs="Amiri"/>
          <w:color w:val="111111"/>
          <w:sz w:val="28"/>
          <w:sz w:val="28"/>
          <w:szCs w:val="28"/>
          <w:rtl w:val="true"/>
          <w:lang w:bidi="ar-SA"/>
        </w:rPr>
        <w:t>في البلد المختصّ بالكفّار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المستند في عدم الجواز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القسم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الإخبار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المستند في المنع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المؤلّف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إلاّ في المظنّة بأن يكون الجلد في يد المسلم الغير</w:t>
      </w:r>
    </w:p>
    <w:p>
      <w:pPr>
        <w:pStyle w:val="BookText"/>
        <w:rPr/>
      </w:pPr>
      <w:r>
        <w:rPr>
          <w:rFonts w:ascii="Amiri" w:hAnsi="Amiri" w:eastAsia="Amiri" w:cs="Amiri"/>
          <w:color w:val="111111"/>
          <w:sz w:val="28"/>
          <w:sz w:val="28"/>
          <w:szCs w:val="28"/>
          <w:rtl w:val="true"/>
          <w:lang w:bidi="ar-SA"/>
        </w:rPr>
        <w:t>المستحلّ في بلد الكفر مع إخباره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المستند للجواز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القسم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انتفاء الإخبار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القسم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لكن مع الإخبار بكونه من غير المذكّى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القسم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الجلد في يد المسلم الغير</w:t>
      </w:r>
    </w:p>
    <w:p>
      <w:pPr>
        <w:pStyle w:val="BookText"/>
        <w:rPr/>
      </w:pPr>
      <w:r>
        <w:rPr>
          <w:rFonts w:ascii="Amiri" w:hAnsi="Amiri" w:eastAsia="Amiri" w:cs="Amiri"/>
          <w:color w:val="111111"/>
          <w:sz w:val="28"/>
          <w:sz w:val="28"/>
          <w:szCs w:val="28"/>
          <w:rtl w:val="true"/>
          <w:lang w:bidi="ar-SA"/>
        </w:rPr>
        <w:t>المستحلّ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الظاهر من بعض الكتب جواز الاستعمال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الظاهر من المبسوط والنهاية عدم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القسم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الإخبار بالتذكية، فيكون الجلد في يد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المستند في المنع مع 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القسم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المستبيح أيضًا في</w:t>
      </w:r>
    </w:p>
    <w:p>
      <w:pPr>
        <w:pStyle w:val="BookText"/>
        <w:rPr/>
      </w:pPr>
      <w:r>
        <w:rPr>
          <w:rFonts w:ascii="Amiri" w:hAnsi="Amiri" w:eastAsia="Amiri" w:cs="Amiri"/>
          <w:color w:val="111111"/>
          <w:sz w:val="28"/>
          <w:sz w:val="28"/>
          <w:szCs w:val="28"/>
          <w:rtl w:val="true"/>
          <w:lang w:bidi="ar-SA"/>
        </w:rPr>
        <w:t>السوق المشترك مع غلبة المسلمين و إخبار ذي اليد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المستند للجواز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المستند في عدم الجواز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القسم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انتفاء الإخبار أيضًا بأن يكون الجلد في يد</w:t>
      </w:r>
    </w:p>
    <w:p>
      <w:pPr>
        <w:pStyle w:val="BookText"/>
        <w:rPr/>
      </w:pPr>
      <w:r>
        <w:rPr>
          <w:rFonts w:ascii="Amiri" w:hAnsi="Amiri" w:eastAsia="Amiri" w:cs="Amiri"/>
          <w:color w:val="111111"/>
          <w:sz w:val="28"/>
          <w:sz w:val="28"/>
          <w:szCs w:val="28"/>
          <w:rtl w:val="true"/>
          <w:lang w:bidi="ar-SA"/>
        </w:rPr>
        <w:t>المسلم الغير المستحلّ في السوق المشترك مع غلبة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المستند في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المستند في المنع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القسم 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الإخبار من ذي اليد المسلم الغير</w:t>
      </w:r>
    </w:p>
    <w:p>
      <w:pPr>
        <w:pStyle w:val="BookText"/>
        <w:rPr/>
      </w:pPr>
      <w:r>
        <w:rPr>
          <w:rFonts w:ascii="Amiri" w:hAnsi="Amiri" w:eastAsia="Amiri" w:cs="Amiri"/>
          <w:color w:val="111111"/>
          <w:sz w:val="28"/>
          <w:sz w:val="28"/>
          <w:szCs w:val="28"/>
          <w:rtl w:val="true"/>
          <w:lang w:bidi="ar-SA"/>
        </w:rPr>
        <w:t xml:space="preserve">المستحلّ بكونه من غير المذكّى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المستند في قبول الإخبار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القسم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الجلد في يد المسلم الغير المستحلّ</w:t>
      </w:r>
    </w:p>
    <w:p>
      <w:pPr>
        <w:pStyle w:val="BookText"/>
        <w:rPr/>
      </w:pPr>
      <w:r>
        <w:rPr>
          <w:rFonts w:ascii="Amiri" w:hAnsi="Amiri" w:eastAsia="Amiri" w:cs="Amiri"/>
          <w:color w:val="111111"/>
          <w:sz w:val="28"/>
          <w:sz w:val="28"/>
          <w:szCs w:val="28"/>
          <w:rtl w:val="true"/>
          <w:lang w:bidi="ar-SA"/>
        </w:rPr>
        <w:t>في البلد المشترك مع الإخبار والظنّ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القسم 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الإخبار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الظاهر من شيخ الطائفة عدم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القسم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w:t>
      </w:r>
    </w:p>
    <w:p>
      <w:pPr>
        <w:pStyle w:val="BookText"/>
        <w:rPr/>
      </w:pPr>
      <w:r>
        <w:rPr>
          <w:rFonts w:ascii="Amiri" w:hAnsi="Amiri" w:eastAsia="Amiri" w:cs="Amiri"/>
          <w:color w:val="111111"/>
          <w:sz w:val="28"/>
          <w:sz w:val="28"/>
          <w:szCs w:val="28"/>
          <w:rtl w:val="true"/>
          <w:lang w:bidi="ar-SA"/>
        </w:rPr>
        <w:t>المظنّة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القسم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انتفاء الإخبار أيضًا، فيكون الجلد في يد</w:t>
      </w:r>
    </w:p>
    <w:p>
      <w:pPr>
        <w:pStyle w:val="BookText"/>
        <w:rPr/>
      </w:pPr>
      <w:r>
        <w:rPr>
          <w:rFonts w:ascii="Amiri" w:hAnsi="Amiri" w:eastAsia="Amiri" w:cs="Amiri"/>
          <w:color w:val="111111"/>
          <w:sz w:val="28"/>
          <w:sz w:val="28"/>
          <w:szCs w:val="28"/>
          <w:rtl w:val="true"/>
          <w:lang w:bidi="ar-SA"/>
        </w:rPr>
        <w:t>المسلم الغير المستحلّ في البلد المشترك مع أغلبيّة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القسم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الإخبار من ذي اليد بكونه من غير ذبيحة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أيضًا،</w:t>
      </w:r>
    </w:p>
    <w:p>
      <w:pPr>
        <w:pStyle w:val="BookText"/>
        <w:rPr/>
      </w:pPr>
      <w:r>
        <w:rPr>
          <w:rFonts w:ascii="Amiri" w:hAnsi="Amiri" w:eastAsia="Amiri" w:cs="Amiri"/>
          <w:color w:val="111111"/>
          <w:sz w:val="28"/>
          <w:sz w:val="28"/>
          <w:szCs w:val="28"/>
          <w:rtl w:val="true"/>
          <w:lang w:bidi="ar-SA"/>
        </w:rPr>
        <w:t>لكن في السوق المشترك مع المساوات بين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المستند في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القسم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الإخبار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القسم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لكن من غير ظنّ بالتذكية بأن يكون الجلد</w:t>
      </w:r>
    </w:p>
    <w:p>
      <w:pPr>
        <w:pStyle w:val="BookText"/>
        <w:rPr/>
      </w:pPr>
      <w:r>
        <w:rPr>
          <w:rFonts w:ascii="Amiri" w:hAnsi="Amiri" w:eastAsia="Amiri" w:cs="Amiri"/>
          <w:color w:val="111111"/>
          <w:sz w:val="28"/>
          <w:sz w:val="28"/>
          <w:szCs w:val="28"/>
          <w:rtl w:val="true"/>
          <w:lang w:bidi="ar-SA"/>
        </w:rPr>
        <w:t>في يد المسلم الغير المستحلّ في السوق 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القسم 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انتفاء الإخبار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القسم الخامس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الإخبار من كونه من غير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القسم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الجلد في البلد المشترك مع</w:t>
      </w:r>
    </w:p>
    <w:p>
      <w:pPr>
        <w:pStyle w:val="BookText"/>
        <w:rPr/>
      </w:pP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في الإخبار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إلاّ في المظنّة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القسم 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مع انتفاء المظنّة والإخبار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القسم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الإخبار بكونه من غير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القسم الحادي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كان الجلد في يد المسلم الغير المستحلّ في</w:t>
      </w:r>
    </w:p>
    <w:p>
      <w:pPr>
        <w:pStyle w:val="BookText"/>
        <w:rPr/>
      </w:pPr>
      <w:r>
        <w:rPr>
          <w:rFonts w:ascii="Amiri" w:hAnsi="Amiri" w:eastAsia="Amiri" w:cs="Amiri"/>
          <w:color w:val="111111"/>
          <w:sz w:val="28"/>
          <w:sz w:val="28"/>
          <w:szCs w:val="28"/>
          <w:rtl w:val="true"/>
          <w:lang w:bidi="ar-SA"/>
        </w:rPr>
        <w:t>السوق المشترك مع غلبة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القسم 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من غير إخبار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القسم الثالث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إلاّ في المظنّة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القسم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السوق المشترك مع غلبة الكفّار في</w:t>
      </w:r>
    </w:p>
    <w:p>
      <w:pPr>
        <w:pStyle w:val="BookText"/>
        <w:rPr/>
      </w:pPr>
      <w:r>
        <w:rPr>
          <w:rFonts w:ascii="Amiri" w:hAnsi="Amiri" w:eastAsia="Amiri" w:cs="Amiri"/>
          <w:color w:val="111111"/>
          <w:sz w:val="28"/>
          <w:sz w:val="28"/>
          <w:szCs w:val="28"/>
          <w:rtl w:val="true"/>
          <w:lang w:bidi="ar-SA"/>
        </w:rPr>
        <w:t>يد المسلم الغير المستحلّ، لكن من غير إخبار بالتذكية و لا الظنّ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الإخبار بكونه من غير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السادس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الغير المستحلّ في</w:t>
      </w:r>
    </w:p>
    <w:p>
      <w:pPr>
        <w:pStyle w:val="BookText"/>
        <w:rPr/>
      </w:pPr>
      <w:r>
        <w:rPr>
          <w:rFonts w:ascii="Amiri" w:hAnsi="Amiri" w:eastAsia="Amiri" w:cs="Amiri"/>
          <w:color w:val="111111"/>
          <w:sz w:val="28"/>
          <w:sz w:val="28"/>
          <w:szCs w:val="28"/>
          <w:rtl w:val="true"/>
          <w:lang w:bidi="ar-SA"/>
        </w:rPr>
        <w:t xml:space="preserve">البلد المشترك مع غلبة الكفّار مع الإخبار والظنّ بالتذكية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القسم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الإخبار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المستند في المنع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القسم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لكن من غير الظنّ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المستند في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المستند في عدم الجواز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القسم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الجلد في يد المسلم الغير المستحلّ في</w:t>
      </w:r>
    </w:p>
    <w:p>
      <w:pPr>
        <w:pStyle w:val="BookText"/>
        <w:rPr/>
      </w:pPr>
      <w:r>
        <w:rPr>
          <w:rFonts w:ascii="Amiri" w:hAnsi="Amiri" w:eastAsia="Amiri" w:cs="Amiri"/>
          <w:color w:val="111111"/>
          <w:sz w:val="28"/>
          <w:sz w:val="28"/>
          <w:szCs w:val="28"/>
          <w:rtl w:val="true"/>
          <w:lang w:bidi="ar-SA"/>
        </w:rPr>
        <w:t>البلد المشترك مع غلبة الكفّار من غير إخبار بالتذكية و لا الظنّ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الإخبار بكونه من غير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فيما إذا كان الجلد في يد المسلم المستحلّ</w:t>
      </w:r>
    </w:p>
    <w:p>
      <w:pPr>
        <w:pStyle w:val="BookText"/>
        <w:rPr/>
      </w:pPr>
      <w:r>
        <w:rPr>
          <w:rFonts w:ascii="Amiri" w:hAnsi="Amiri" w:eastAsia="Amiri" w:cs="Amiri"/>
          <w:color w:val="111111"/>
          <w:sz w:val="28"/>
          <w:sz w:val="28"/>
          <w:szCs w:val="28"/>
          <w:rtl w:val="true"/>
          <w:lang w:bidi="ar-SA"/>
        </w:rPr>
        <w:t xml:space="preserve">مع جميع الاحتمالات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ذكر كلمات المانعين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ذكر كلمات المجوّزين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مستند المانعين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الجواب عن مستند المانعين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مختار المؤلّف قدس‌سره و دليله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القسم القسم الحادي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المستحلّ</w:t>
      </w:r>
    </w:p>
    <w:p>
      <w:pPr>
        <w:pStyle w:val="BookText"/>
        <w:rPr/>
      </w:pPr>
      <w:r>
        <w:rPr>
          <w:rFonts w:ascii="Amiri" w:hAnsi="Amiri" w:eastAsia="Amiri" w:cs="Amiri"/>
          <w:color w:val="111111"/>
          <w:sz w:val="28"/>
          <w:sz w:val="28"/>
          <w:szCs w:val="28"/>
          <w:rtl w:val="true"/>
          <w:lang w:bidi="ar-SA"/>
        </w:rPr>
        <w:t>لاستعمال جلد الميتة بالدباغة و ذبائح أهل الكتاب في السوق المختصّ</w:t>
      </w:r>
    </w:p>
    <w:p>
      <w:pPr>
        <w:pStyle w:val="BookText"/>
        <w:rPr/>
      </w:pPr>
      <w:r>
        <w:rPr>
          <w:rFonts w:ascii="IRNazanin" w:hAnsi="IRNazanin" w:eastAsia="IRNazanin"/>
          <w:color w:val="111111"/>
          <w:sz w:val="28"/>
          <w:sz w:val="28"/>
          <w:szCs w:val="28"/>
          <w:rtl w:val="true"/>
          <w:lang w:bidi="fa-IR"/>
        </w:rPr>
        <w:t>بالمسلم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مستند المانعين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مستند المجوّزين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المتحصّل ممّا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مستند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في الإخبار بالتذكية، فيكون الجلد في يد</w:t>
      </w:r>
    </w:p>
    <w:p>
      <w:pPr>
        <w:pStyle w:val="BookText"/>
        <w:rPr/>
      </w:pPr>
      <w:r>
        <w:rPr>
          <w:rFonts w:ascii="Amiri" w:hAnsi="Amiri" w:eastAsia="Amiri" w:cs="Amiri"/>
          <w:color w:val="111111"/>
          <w:sz w:val="28"/>
          <w:sz w:val="28"/>
          <w:szCs w:val="28"/>
          <w:rtl w:val="true"/>
          <w:lang w:bidi="ar-SA"/>
        </w:rPr>
        <w:t>المسلم المستحلّ في السوق المختصّ بالمسلمين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القسم الثالث و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لكن من غير الظنّ بالتذكية، فيكون الجلد</w:t>
      </w:r>
    </w:p>
    <w:p>
      <w:pPr>
        <w:pStyle w:val="BookText"/>
        <w:rPr/>
      </w:pPr>
      <w:r>
        <w:rPr>
          <w:rFonts w:ascii="Amiri" w:hAnsi="Amiri" w:eastAsia="Amiri" w:cs="Amiri"/>
          <w:color w:val="111111"/>
          <w:sz w:val="28"/>
          <w:sz w:val="28"/>
          <w:szCs w:val="28"/>
          <w:rtl w:val="true"/>
          <w:lang w:bidi="ar-SA"/>
        </w:rPr>
        <w:t>في يد المسلم المستحلّ في السوق المختصّ بالمسلمين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مختار المؤلّف قدس‌سره و دليله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مستند المانعين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القسم الرابع و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المستحلّ في السوق</w:t>
      </w:r>
    </w:p>
    <w:p>
      <w:pPr>
        <w:pStyle w:val="BookText"/>
        <w:rPr/>
      </w:pPr>
      <w:r>
        <w:rPr>
          <w:rFonts w:ascii="Amiri" w:hAnsi="Amiri" w:eastAsia="Amiri" w:cs="Amiri"/>
          <w:color w:val="111111"/>
          <w:sz w:val="28"/>
          <w:sz w:val="28"/>
          <w:szCs w:val="28"/>
          <w:rtl w:val="true"/>
          <w:lang w:bidi="ar-SA"/>
        </w:rPr>
        <w:t>المختصّ بالمسلمين من غير الظنّ والإخبار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مستند المانعين مع 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القسم الخامس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الإخبار من ذي اليد المسلم المستحلّ بكونه من غير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المستند في لزوم الاجتناب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 المؤلّف قدس‌سره و دليله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الجلد في يد المسلم المستحلّ في</w:t>
      </w:r>
    </w:p>
    <w:p>
      <w:pPr>
        <w:pStyle w:val="BookText"/>
        <w:rPr/>
      </w:pPr>
      <w:r>
        <w:rPr>
          <w:rFonts w:ascii="Amiri" w:hAnsi="Amiri" w:eastAsia="Amiri" w:cs="Amiri"/>
          <w:color w:val="111111"/>
          <w:sz w:val="28"/>
          <w:sz w:val="28"/>
          <w:szCs w:val="28"/>
          <w:rtl w:val="true"/>
          <w:lang w:bidi="ar-SA"/>
        </w:rPr>
        <w:t>البلد المختصّ بالمسلمين مع الظنّ والإخبار بالتذكية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مستند المجوّزين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والثاني؛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أعلام الشيعة 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ومشاهير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صاحب الترجمة قدس‌سره 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فزنا بالاستفادة من جنابه في أوائل التحصيل في علم الأصول، و قرأنا عليه من مصنّفاته ما هو مشهور بالفوائد 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نفسه قدس‌سره 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سنة خمس ومائتين بعد الألف، وكان مولانا مولى الكلّ آقا محمّد باقر البهبهاني في الحيات، ثمّ انتقل إلى الفردوس الأعلى في سنة ستّ ومائتين بعد الألف قدّس اللّه تعالى روحه السعيد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قدس‌سره في حاشية بعض إجازاته ما 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ورودي في اصبهان في سنة سبع و مائتين بعد الألف من الهجرة 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المترجم رحمه‌الله 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اتّفق لي في سنة مائتين وخمس عشر بعد الألف الارتحال من اصبهان إلى بلدة قم، و مكثت فيها أربعة أشهر أو أكثر، و كنت مشتغلاً بكتابة هذا المجلّد من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نفسه قدس‌سره في مناسكه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أشار بذلك الميرزا حبيب اللّه نيّر رحمه‌الله ضمن مرثيته للمترجم قدس‌سره معادن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التاريخ معاصره الأديب الفاضل الميرزا محمّد علي الطباطبائي الزوّاري، المتخلّص بوفا 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الّتي جمع فيها بعض من القصائد والمقطّعات الّتي أنشدها الشعراء في مدح حجّة الإسلام قدس‌سرهووصف مسجده الأعظم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محلاّت أصفهان العظيمة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للعلاّمة المحقّق السيّد أسد اللّه الشفتي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قدس‌سره له إجازة كبيرة مبسوطة، تاريخها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عيد الفطر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أوّلها بعد البسملة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أبيه ؛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علماى 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الكرام البررة 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ملّى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وألّف الميرزا أبوالقاسم بن محمّد مهدي النراقي رحمه‌الله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مخطوط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في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العلاّمة السيّد محمّد صادق بن زين</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ضياء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نينوا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مخطوط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حوزه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مضافًا إلى الوجوه الّتي أبرزناها في مقام ترجيح أقرب المجازات على غيره فيما علّقناه في أصول المعالم في مباحث المجمل والمبيّن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الميرزا عبدالوهّاب الشريف ابن محمّد علي القزوينيّ، من أكابر تلامذته والمجازين منه بإجازة كبيرة مبسوطة، ذكر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ألّف أوّلاً رسالة فارسيّة مختصرة، وأخرى عربيّة في مسائل التقليد، ثمّ بعد ما رأى رسالة حجّة الإسلام في التقليد وإيجابه على المقلّد العدول إلى المجتهد الحيّ بعد موت من كان يقلّده، كتب هذه الرسالة ناقلاً لعين عبارات حجّة الإسلام، ثمّ الردّ عليه 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السيّد حجّة الإسلام قدس‌سره في الرسالة الثانية بأنّه كتب في تحقيق أحواله رسالتان، حيث قال في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كتبت في سالف الزمان رسالة في تحقيق الحال في إبراهيم بن هاشم وأغفلت فيها بعض ما ينبغي التنبيه عليه، أبرزت هذه الكلمات في ذلك المرام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الذريعة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اسماعيل الواقع في صدر بعض أسانيد الكافي، للسيّد حجّة الإسلام الاصفهاني،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ثمّ بعد مدّة كتب عليه حاشية منه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كليّة الإلهيّات في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مطابق لما كتبه صاحب الروضات رحمه‌الله في بياضه انظر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مطابق لما كتبه العلاّمة الشيخ محمّد جعفر بن محمّد إبراهيم الكرباسي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ظهر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مخطوطات 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كذلك العالم الفاضل الشاعر 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تأريخ وفاته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فتاوي ابن الجنيد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أنّ الحديث وإن كان مرسلاً، لكنّه غير مضرّ، لكون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الأطعمة والأشربة من الكافي، ولكن في كتاب الصلاة منه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المغيرة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جماعة من المتأخّرين الحكم بضعف الحديث أو التأمّل في صحّته، ولعلّه إمّا من جهة عليّ بن أبي المغيرة، لعدم ثبوت توثيقه، لاختصاص التوثيق الّذي ذكره النجاشي في ترجمة ابنه الحسن به، أو لكون المذكور في سند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المغيرة، كما في التهذيب، وانّه غير مذكور في الرجال بما يرفع جهالته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الجواب أمّا عن الثاني فلأنّ عليّ بن المغيرة هو ابن المغيرة الزبيديّ الكوفيّ، والظاهر اتّحاده مع عليّ بن أبي المغيرة الزبيديّ الكوفيّ، و ذكره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المغيرة، في سند الحديث يدلّ عليه ؛ و علي تقدير اختلاف نسخته بأن يكون أبي مذكورًا في بعضها دون الآخر يدور الأمر بين الزيادة والانتقاص، والثاني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عن الأوّل فيتوقّف علي نقل عبارة النجاشي، و هي هذه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عليّ بن أبي المغيرة الزبيديّ الكوفيّ ثقة هو وأبوه، روى عن أبي جعفر وأبي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احتمالات،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التوثيق مختصًّا بالإبن 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مستأنفًا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يلائمه إفراد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المناسب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كالأوّل إلاّ انّ الاستيناف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التوثيق بالنسبة إليهما، والضمير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هو الظاهر، وكلّ من الأوّلين مخالف له، أمّا الأوّل فلما عرفت، وأمّا الثاني فلعدم الافتقار إلى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المعهود بين أرباب الرجال في ترجمة شخص إذا كان المراد توثيقه فقط الإقتصار علي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أبي المغيرة ثقة أبوه روى، إلى آخره كما لايخفي، لاسيّما في مثل المقام الموهم للخلاف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العلاّمة في الخلاصة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والفاضل الحسن بن داود في رجاله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صرّحا بتوثيقه، وهو يكفي للحكم بصحّة الحديث 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بذكاته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ممّا لا تتمّ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شسع النعل هو السير الّذي يشدّ به في ظهر القدم ؛ 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شسع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كافر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يستحلّ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تجوز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جلود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حيّ أو ميّت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جائزة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قلدت به بدم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يتّخذ من أطراف الجلود يلصق به، و ربّما يعمل من السمك ؛ والغرا كالعصا لغة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والكيمخت بالفتح فالسكون، فسّر بجلد الميتة المملوح،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الصاغري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بجهالتهم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جائزة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للميتة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ميّت بعينه ؛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 بعينه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يؤكل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يدرى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 بعينه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أثق به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ميتة 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والمعتمد جواز استعماله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شرح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شرطنا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للميتة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ميتة 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يتّخذ من أطراف الجلود يلصق به، وربما يعمل من السمك ؛ والغرا كالعصا لغة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والكيمخت بالفتح فالسكون، فسّر بجلد الميتة المملوح،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الصاغري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 والخفّ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أثق به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عبدالرحمن بن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أدخل سوق المسلمين، أعني هذا الخلق الّذين يدعون الإسلام، فأشتري منهم الفراء للتجارة، فأقول لصاحبها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هي ذكيّة ؟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فهل يصلح لي أن أبيعها على أنّها ذكيّة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ولكن لا بأس أن تبيعها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شرط لي الّذي أشتريتها منه أنّها 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أفسد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استحلال أهل العراق للميتة، و زعموا أنّ ذباغ جلد الميتة ذكاته، ثمّ لم يرضوا أن يكذبوا في ذلك إلاّ على رسول اللّه صلى‌الله‌عليه‌و‌آله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بذكاته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يستبيح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بالتذكية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يؤكل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يدرى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بذكاته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أسواق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تعلم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بجهالتهم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يقول بأنّ الإيمان لا يضرّ معه معصية، والقدريّ من يقول بالتفويض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الخارجي، منصوب إلى قرية بالكوفة كانت مجمع الخوارج تسمّى بالحروراء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 و 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و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أنتم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يقرأ في المخطوطة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والد شيخنا البهائيّ قدس‌سره في العقد الحسينيّ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 كافر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فيتميّز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بجهالتهم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ميّت بعينه ؛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عليكم أنتم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أثق به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ميتة 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أثق به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تجوز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بذكاته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يخبر بخلافه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الظاهر من حكاية جماعة من الأصحاب أنّ العامّة مجمعون على استحلال ذبائح أهل الكتاب ؛ قال في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مجمعون على استحلال ذبائح أهل الكتاب واستعمال جلودها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جميع المخالفين يستحلّون ذبائحهم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استحلال جلد الميتة بالدباغة فمحلّ خلاف عندهم، وإن كان أكثرهم ذهبوا إلى ذلك، قال في الخلاف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الميتة نجس لا يطهّر بالدباغ، سواء كان الميتة ممّا يقع عليه الذكاة أو لا يقع، يؤكل لحمه أو لا يؤكل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 عمر وابن عمر و عايشة وأحمد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حيوان طاهر في حال حياته، فجلده إذا مات يطهر بالدباغ، و هو ما عدا الكلب والخنزير و ما يولد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تولد بينهما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الجميع إلاّ جلد الخنزير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الأوزاعي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جلد ما يؤكل لحمه دون ما لا يؤكل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انتهى كلام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حكى في التذكرة عن المالك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يطهر ظاهره دون باطنه، فيصلّى عليه لا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منه دام ظلّه العالي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صردًا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تدفئه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دباغتها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قبلهم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فيه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في وجه استلزام كون الدباغة بالقرظ عدم الإدفاء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القرظ لمّا كان في الدرجة الأولى من البرودة، أو من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التخفيف في تسخين الجلود المدبوغة به 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تكره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أذكيّة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التفحّص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بجهالتهم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موسى بن المتوكّل، وثّقه العلاّمة وابن داود والسميّ المجلسيّ، وذكره الصدوق مترضّيًا يؤكّد الوثاقة ؛ منه دام ظلّه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والوجيزة في الرجال، للعلاّمة المجلسيّ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لك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صنف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تطهر كلّ الجلود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يصلّى فيه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تجوز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تعلم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جهلت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عنهما في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الأوّل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التأمّل هو ما نبّهنا عليه في بعض المباحث السالفة من أنّاعتبار الغلبة في الحديث إنّما هو للمظنّة، والمفروض انتفاؤه ؛ منه دام ظلّه العالي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أثق به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بجهالتهم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والجعفريّة،</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وتجوز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بعينها ؛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والجعفريّة، المطبوع 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المحقّق الكركي</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جائزة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أثق به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39678</Words>
  <Characters>161867</Characters>
  <CharactersWithSpaces>199922</CharactersWithSpaces>
  <Paragraphs>1874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2026-08-27T09:08:09Z</dcterms:created>
  <dc:creator>ghaemiyeh.com</dc:creator>
  <dc:description/>
  <dc:language>en-US</dc:language>
  <cp:lastModifiedBy/>
  <dcterms:modified xsi:type="dcterms:W3CDTF">2026-08-27T12:38:17Z</dcterms:modified>
  <cp:revision>1</cp:revision>
  <dc:subject/>
  <dc:title>رسالة فی حکم الصلاة فی جلد المیتة المدبوغ</dc:title>
</cp:coreProperties>
</file>

<file path=docProps/custom.xml><?xml version="1.0" encoding="utf-8"?>
<Properties xmlns="http://schemas.openxmlformats.org/officeDocument/2006/custom-properties" xmlns:vt="http://schemas.openxmlformats.org/officeDocument/2006/docPropsVTypes"/>
</file>