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5.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5.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3.xml" ContentType="application/vnd.openxmlformats-officedocument.wordprocessingml.footer+xml"/>
  <Override PartName="/word/footer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document.xml" ContentType="application/vnd.openxmlformats-officedocument.wordprocessingml.document.main+xml"/>
  <Override PartName="/word/footer2.xml" ContentType="application/vnd.openxmlformats-officedocument.wordprocessingml.footer+xml"/>
  <Override PartName="/word/footer14.xml" ContentType="application/vnd.openxmlformats-officedocument.wordprocessingml.footer+xml"/>
  <Override PartName="/word/footer12.xml" ContentType="application/vnd.openxmlformats-officedocument.wordprocessingml.footer+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آئین گرامیداشت چهره ماندگار مهدوی علامه آیت الله حاج شیخ علی اکبر نهاوندی قدس سره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75965_37281509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775967_372815092">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775969_372815092">
            <w:r>
              <w:rPr>
                <w:webHidden/>
                <w:rStyle w:val="IndexLink"/>
                <w:rtl w:val="true"/>
              </w:rPr>
              <w:t>مکتب سامرا</w:t>
            </w:r>
            <w:r>
              <w:rPr>
                <w:rStyle w:val="IndexLink"/>
                <w:rtl w:val="true"/>
              </w:rPr>
              <w:tab/>
            </w:r>
            <w:r>
              <w:rPr>
                <w:rStyle w:val="IndexLink"/>
              </w:rPr>
              <w:t>11</w:t>
            </w:r>
          </w:hyperlink>
        </w:p>
        <w:p>
          <w:pPr>
            <w:pStyle w:val="Contents2"/>
            <w:tabs>
              <w:tab w:val="clear" w:pos="8743"/>
              <w:tab w:val="right" w:pos="9026" w:leader="dot"/>
            </w:tabs>
            <w:rPr/>
          </w:pPr>
          <w:hyperlink w:anchor="__RefHeading___Toc1775971_372815092">
            <w:r>
              <w:rPr>
                <w:webHidden/>
                <w:rStyle w:val="IndexLink"/>
                <w:rtl w:val="true"/>
              </w:rPr>
              <w:t>از دیگر اثار ایشان در عرصۀ مهدویت</w:t>
            </w:r>
            <w:r>
              <w:rPr>
                <w:rStyle w:val="IndexLink"/>
                <w:rtl w:val="true"/>
              </w:rPr>
              <w:t>:</w:t>
              <w:tab/>
            </w:r>
            <w:r>
              <w:rPr>
                <w:rStyle w:val="IndexLink"/>
              </w:rPr>
              <w:t>12</w:t>
            </w:r>
          </w:hyperlink>
        </w:p>
        <w:p>
          <w:pPr>
            <w:pStyle w:val="Contents2"/>
            <w:tabs>
              <w:tab w:val="clear" w:pos="8743"/>
              <w:tab w:val="right" w:pos="9026" w:leader="dot"/>
            </w:tabs>
            <w:rPr/>
          </w:pPr>
          <w:hyperlink w:anchor="__RefHeading___Toc1775973_372815092">
            <w:r>
              <w:rPr>
                <w:webHidden/>
                <w:rStyle w:val="IndexLink"/>
                <w:rtl w:val="true"/>
              </w:rPr>
              <w:t>از دیگر آثار ایشان</w:t>
            </w:r>
            <w:r>
              <w:rPr>
                <w:rStyle w:val="IndexLink"/>
                <w:rtl w:val="true"/>
              </w:rPr>
              <w:t>:</w:t>
              <w:tab/>
            </w:r>
            <w:r>
              <w:rPr>
                <w:rStyle w:val="IndexLink"/>
              </w:rPr>
              <w:t>12</w:t>
            </w:r>
          </w:hyperlink>
        </w:p>
        <w:p>
          <w:pPr>
            <w:pStyle w:val="Contents2"/>
            <w:tabs>
              <w:tab w:val="clear" w:pos="8743"/>
              <w:tab w:val="right" w:pos="9026" w:leader="dot"/>
            </w:tabs>
            <w:rPr/>
          </w:pPr>
          <w:hyperlink w:anchor="__RefHeading___Toc1775975_372815092">
            <w:r>
              <w:rPr>
                <w:webHidden/>
                <w:rStyle w:val="IndexLink"/>
                <w:rtl w:val="true"/>
              </w:rPr>
              <w:t>سوانح حیات</w:t>
            </w:r>
            <w:r>
              <w:rPr>
                <w:rStyle w:val="IndexLink"/>
                <w:rtl w:val="true"/>
              </w:rPr>
              <w:tab/>
            </w:r>
            <w:r>
              <w:rPr>
                <w:rStyle w:val="IndexLink"/>
              </w:rPr>
              <w:t>13</w:t>
            </w:r>
          </w:hyperlink>
        </w:p>
        <w:p>
          <w:pPr>
            <w:pStyle w:val="Contents2"/>
            <w:tabs>
              <w:tab w:val="clear" w:pos="8743"/>
              <w:tab w:val="right" w:pos="9026" w:leader="dot"/>
            </w:tabs>
            <w:rPr/>
          </w:pPr>
          <w:hyperlink w:anchor="__RefHeading___Toc1775977_372815092">
            <w:r>
              <w:rPr>
                <w:webHidden/>
                <w:rStyle w:val="IndexLink"/>
                <w:rtl w:val="true"/>
              </w:rPr>
              <w:t>زعامت حوزۀ علمیۀ مشهد مقدس</w:t>
            </w:r>
            <w:r>
              <w:rPr>
                <w:rStyle w:val="IndexLink"/>
                <w:rtl w:val="true"/>
              </w:rPr>
              <w:tab/>
            </w:r>
            <w:r>
              <w:rPr>
                <w:rStyle w:val="IndexLink"/>
              </w:rPr>
              <w:t>15</w:t>
            </w:r>
          </w:hyperlink>
        </w:p>
        <w:p>
          <w:pPr>
            <w:pStyle w:val="Contents2"/>
            <w:tabs>
              <w:tab w:val="clear" w:pos="8743"/>
              <w:tab w:val="right" w:pos="9026" w:leader="dot"/>
            </w:tabs>
            <w:rPr/>
          </w:pPr>
          <w:hyperlink w:anchor="__RefHeading___Toc1775979_372815092">
            <w:r>
              <w:rPr>
                <w:webHidden/>
                <w:rStyle w:val="IndexLink"/>
                <w:rtl w:val="true"/>
              </w:rPr>
              <w:t>مقاومت در برابر رضاخان</w:t>
            </w:r>
            <w:r>
              <w:rPr>
                <w:rStyle w:val="IndexLink"/>
                <w:rtl w:val="true"/>
              </w:rPr>
              <w:tab/>
            </w:r>
            <w:r>
              <w:rPr>
                <w:rStyle w:val="IndexLink"/>
              </w:rPr>
              <w:t>16</w:t>
            </w:r>
          </w:hyperlink>
        </w:p>
        <w:p>
          <w:pPr>
            <w:pStyle w:val="Contents2"/>
            <w:tabs>
              <w:tab w:val="clear" w:pos="8743"/>
              <w:tab w:val="right" w:pos="9026" w:leader="dot"/>
            </w:tabs>
            <w:rPr/>
          </w:pPr>
          <w:hyperlink w:anchor="__RefHeading___Toc1775981_372815092">
            <w:r>
              <w:rPr>
                <w:webHidden/>
                <w:rStyle w:val="IndexLink"/>
                <w:rtl w:val="true"/>
              </w:rPr>
              <w:t>کرامات</w:t>
            </w:r>
            <w:r>
              <w:rPr>
                <w:rStyle w:val="IndexLink"/>
                <w:rtl w:val="true"/>
              </w:rPr>
              <w:tab/>
            </w:r>
            <w:r>
              <w:rPr>
                <w:rStyle w:val="IndexLink"/>
              </w:rPr>
              <w:t>16</w:t>
            </w:r>
          </w:hyperlink>
        </w:p>
        <w:p>
          <w:pPr>
            <w:pStyle w:val="Contents2"/>
            <w:tabs>
              <w:tab w:val="clear" w:pos="8743"/>
              <w:tab w:val="right" w:pos="9026" w:leader="dot"/>
            </w:tabs>
            <w:rPr/>
          </w:pPr>
          <w:hyperlink w:anchor="__RefHeading___Toc1775983_372815092">
            <w:r>
              <w:rPr>
                <w:webHidden/>
                <w:rStyle w:val="IndexLink"/>
                <w:rtl w:val="true"/>
              </w:rPr>
              <w:t>اجتناب از امور شبهه ناک</w:t>
            </w:r>
            <w:r>
              <w:rPr>
                <w:rStyle w:val="IndexLink"/>
                <w:rtl w:val="true"/>
              </w:rPr>
              <w:tab/>
            </w:r>
            <w:r>
              <w:rPr>
                <w:rStyle w:val="IndexLink"/>
              </w:rPr>
              <w:t>17</w:t>
            </w:r>
          </w:hyperlink>
        </w:p>
        <w:p>
          <w:pPr>
            <w:pStyle w:val="Contents2"/>
            <w:tabs>
              <w:tab w:val="clear" w:pos="8743"/>
              <w:tab w:val="right" w:pos="9026" w:leader="dot"/>
            </w:tabs>
            <w:rPr/>
          </w:pPr>
          <w:hyperlink w:anchor="__RefHeading___Toc1775985_372815092">
            <w:r>
              <w:rPr>
                <w:webHidden/>
                <w:rStyle w:val="IndexLink"/>
                <w:rtl w:val="true"/>
              </w:rPr>
              <w:t>جایگاه آیت الله نهاوندی از منظر بزرگان</w:t>
            </w:r>
            <w:r>
              <w:rPr>
                <w:rStyle w:val="IndexLink"/>
                <w:rtl w:val="true"/>
              </w:rPr>
              <w:tab/>
            </w:r>
            <w:r>
              <w:rPr>
                <w:rStyle w:val="IndexLink"/>
              </w:rPr>
              <w:t>18</w:t>
            </w:r>
          </w:hyperlink>
        </w:p>
        <w:p>
          <w:pPr>
            <w:pStyle w:val="Contents2"/>
            <w:tabs>
              <w:tab w:val="clear" w:pos="8743"/>
              <w:tab w:val="right" w:pos="9026" w:leader="dot"/>
            </w:tabs>
            <w:rPr/>
          </w:pPr>
          <w:hyperlink w:anchor="__RefHeading___Toc1775987_372815092">
            <w:r>
              <w:rPr>
                <w:webHidden/>
                <w:rStyle w:val="IndexLink"/>
                <w:rtl w:val="true"/>
              </w:rPr>
              <w:t>کتابخانه آیت الله نهاوندی</w:t>
            </w:r>
            <w:r>
              <w:rPr>
                <w:rStyle w:val="IndexLink"/>
                <w:rtl w:val="true"/>
              </w:rPr>
              <w:tab/>
            </w:r>
            <w:r>
              <w:rPr>
                <w:rStyle w:val="IndexLink"/>
              </w:rPr>
              <w:t>20</w:t>
            </w:r>
          </w:hyperlink>
        </w:p>
        <w:p>
          <w:pPr>
            <w:pStyle w:val="Contents2"/>
            <w:tabs>
              <w:tab w:val="clear" w:pos="8743"/>
              <w:tab w:val="right" w:pos="9026" w:leader="dot"/>
            </w:tabs>
            <w:rPr/>
          </w:pPr>
          <w:hyperlink w:anchor="__RefHeading___Toc1775989_372815092">
            <w:r>
              <w:rPr>
                <w:webHidden/>
                <w:rStyle w:val="IndexLink"/>
                <w:rtl w:val="true"/>
              </w:rPr>
              <w:t>غروب ماه نهاوند</w:t>
            </w:r>
            <w:r>
              <w:rPr>
                <w:rStyle w:val="IndexLink"/>
                <w:rtl w:val="true"/>
              </w:rPr>
              <w:tab/>
            </w:r>
            <w:r>
              <w:rPr>
                <w:rStyle w:val="IndexLink"/>
              </w:rPr>
              <w:t>21</w:t>
            </w:r>
          </w:hyperlink>
        </w:p>
        <w:p>
          <w:pPr>
            <w:pStyle w:val="Contents2"/>
            <w:tabs>
              <w:tab w:val="clear" w:pos="8743"/>
              <w:tab w:val="right" w:pos="9026" w:leader="dot"/>
            </w:tabs>
            <w:rPr/>
          </w:pPr>
          <w:hyperlink w:anchor="__RefHeading___Toc1775991_372815092">
            <w:r>
              <w:rPr>
                <w:webHidden/>
                <w:rStyle w:val="IndexLink"/>
                <w:rtl w:val="true"/>
              </w:rPr>
              <w:t>منابع</w:t>
            </w:r>
            <w:r>
              <w:rPr>
                <w:rStyle w:val="IndexLink"/>
                <w:rtl w:val="true"/>
              </w:rPr>
              <w:t>:</w:t>
              <w:tab/>
            </w:r>
            <w:r>
              <w:rPr>
                <w:rStyle w:val="IndexLink"/>
              </w:rPr>
              <w:t>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922_72309"/>
      <w:bookmarkStart w:id="1" w:name="pg6922_72309"/>
      <w:bookmarkEnd w:id="1"/>
    </w:p>
    <w:p>
      <w:pPr>
        <w:pStyle w:val="Heading2"/>
        <w:numPr>
          <w:ilvl w:val="1"/>
          <w:numId w:val="1"/>
        </w:numPr>
        <w:rPr/>
      </w:pPr>
      <w:bookmarkStart w:id="2" w:name="pg6922_72309"/>
      <w:bookmarkStart w:id="3" w:name="__RefHeading___Toc1775965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آئین گرامیداشت چهره ماندگار مهدوی علامه آیت الله حاج شیخ علی اکبر نهاوندی قدس سره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مهدی پور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75967_37281509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چهره نام آشنا از اصحاب سامرا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آیت الله حاج شیخ علی اکبر نهاوندی یکی از چهره های معروف مکتب سامرا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 سامرا از یادگارهای مرجع عالیقدر تشیع حضرت آیت الله العظمی حاج میرزا محمد حسن شیرازی صاحب فتوای معروف تنباکو، بنیانگذار حوزۀ علمیۀ سامرا، مشهور به میرزای شیرازی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میرزای شیرازی ملقب به میرزای شیرازی یکی از استوارترین استوانه های علمی جهان تشیع می باشد که در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حوزۀ کهنسال نجف اشرف مشرف شد،، از محضر صاحب جواهر به دریافت اجازۀ اجتهاد نائل آمد و در حوزه شیخ انصاری مشار بالبنان گردید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ارتحال شیخ انصاری بسیاری از بزرگان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حسن آشتیانی، میرزا حبیب الله رشتی، حاج آقا حسن تهرانی و میرزا عبدالرحیم نهاوندی به اعلمیت ایشان نظر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سال ها در نجف اشرف تدریس نمود شخصیتهای برجستهای چون صاحب کفایه، صاحب عروه، حاج آقا رضا همدانی، میرزا محمدتقی شیرازی، میرزا اسماعیل شیرازی، حاج آقا حسین قمی و حاج شیخ فضل الله نوری از خرمن علمش خوشه چینی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سامرا هجرت نمود و حوزۀ علمیۀ سامرا را تأسیس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ستارگان فروزان عالم تشیع از اقطار و اکناف جهان بر گرد شمع وجودش گرد آمدند و به تعبیر شیخ آقا بزرگ تهرانی، سامرا جزیرۀ خضرا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تهرانی اسامی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اصحاب سامرا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هدیة الرازی الی المجدد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نموده است که از آن جمله از حضرات آیات عظام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ابراهیم محلاتی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ابوالفضل تهرانی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احمد کربلایی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 باقر اصطهباناتی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محمدتقی آغا نجفی اصفهانی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جواد مشکور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حبیب الله خویی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حبیب الله خراسانی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 حسین اصفهانی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محمدحسین فشارکی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حسین نائینی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رضا هندی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آقا رضا همدانی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صادق روحانی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عبدالکریم حائری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شریبانی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فضل الله نوری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محمد کاظم خراسانی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 کاظم یزدی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سیدمحمد عصار</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محمد تقی تهرانی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کشمیری و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میرزای شیرازی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وفات کرد و پیکر پاکش از سامرا تا نجف اشرف بر دوش ارادتمندانش تشییع گردید</w:t>
      </w:r>
      <w:r>
        <w:rPr>
          <w:rFonts w:eastAsia="IRNazanin" w:cs="IRNazanin"/>
          <w:color w:val="111111"/>
          <w:sz w:val="28"/>
          <w:szCs w:val="28"/>
          <w:rtl w:val="true"/>
          <w:lang w:bidi="fa-IR"/>
        </w:rPr>
        <w:t xml:space="preserve">. </w:t>
      </w:r>
      <w:bookmarkStart w:id="7" w:name="pg6922_72316"/>
    </w:p>
    <w:p>
      <w:pPr>
        <w:pStyle w:val="Heading2"/>
        <w:numPr>
          <w:ilvl w:val="1"/>
          <w:numId w:val="1"/>
        </w:numPr>
        <w:rPr/>
      </w:pPr>
      <w:bookmarkStart w:id="8" w:name="__RefHeading___Toc1775969_372815092"/>
      <w:bookmarkStart w:id="9" w:name="_Toc3"/>
      <w:bookmarkEnd w:id="7"/>
      <w:bookmarkEnd w:id="8"/>
      <w:r>
        <w:rPr>
          <w:rtl w:val="true"/>
        </w:rPr>
        <w:t>مکتب سامرا</w:t>
      </w:r>
      <w:bookmarkEnd w:id="9"/>
    </w:p>
    <w:p>
      <w:pPr>
        <w:pStyle w:val="BookText"/>
        <w:rPr/>
      </w:pPr>
      <w:r>
        <w:rPr>
          <w:rFonts w:ascii="IRNazanin" w:hAnsi="IRNazanin" w:eastAsia="IRNazanin"/>
          <w:color w:val="111111"/>
          <w:sz w:val="28"/>
          <w:sz w:val="28"/>
          <w:szCs w:val="28"/>
          <w:rtl w:val="true"/>
          <w:lang w:bidi="fa-IR"/>
        </w:rPr>
        <w:t>دانش آموخته های مکتب سامرا دو امتیاز مهم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دقت نظر، لذا همۀ آنها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سامرا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حوزههای علمیه شهرت یافتند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سرشار به حضرت ولی عصر ارواحنا فداه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جرأت میتوان گفت که در این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از تأسیس مکتب سامرا می گذرد، در هر نقطه از اقطار جهان تشیع، هرکار مهمی در عرصه مهدویت انجام شده یا توسط اصحاب سامرا انجام یافته و یا توسط یکی از پرورش یافتگان آن مکتب بوده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چهرههای سرشناس این مجموعه آیت الله حاج شیخ علی اکبر نهاوندی می باشد که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ارزشمند از خود به یادگار نهاده که در رأس است که در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جلد و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العبقری الحسان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کتاب کم نظیر رسیده است</w:t>
      </w:r>
      <w:r>
        <w:rPr>
          <w:rFonts w:eastAsia="IRNazanin" w:cs="IRNazanin"/>
          <w:color w:val="111111"/>
          <w:sz w:val="28"/>
          <w:szCs w:val="28"/>
          <w:rtl w:val="true"/>
          <w:lang w:bidi="fa-IR"/>
        </w:rPr>
        <w:t xml:space="preserve">. </w:t>
      </w:r>
      <w:bookmarkStart w:id="10" w:name="pg6922_72317"/>
    </w:p>
    <w:p>
      <w:pPr>
        <w:pStyle w:val="Heading2"/>
        <w:numPr>
          <w:ilvl w:val="1"/>
          <w:numId w:val="1"/>
        </w:numPr>
        <w:rPr/>
      </w:pPr>
      <w:bookmarkStart w:id="11" w:name="__RefHeading___Toc1775971_372815092"/>
      <w:bookmarkStart w:id="12" w:name="_Toc4"/>
      <w:bookmarkEnd w:id="10"/>
      <w:bookmarkEnd w:id="11"/>
      <w:r>
        <w:rPr>
          <w:rtl w:val="true"/>
        </w:rPr>
        <w:t>از دیگر اثار ایشان در عرصۀ مهدویت</w:t>
      </w:r>
      <w:r>
        <w:rPr>
          <w:rtl w:val="true"/>
        </w:rPr>
        <w:t>:</w:t>
      </w:r>
      <w:bookmarkEnd w:id="12"/>
    </w:p>
    <w:p>
      <w:pPr>
        <w:pStyle w:val="BookText"/>
        <w:rPr/>
      </w:pPr>
      <w:r>
        <w:rPr>
          <w:rFonts w:ascii="IRNazanin" w:hAnsi="IRNazanin" w:eastAsia="IRNazanin"/>
          <w:color w:val="111111"/>
          <w:sz w:val="28"/>
          <w:sz w:val="28"/>
          <w:szCs w:val="28"/>
          <w:rtl w:val="true"/>
          <w:lang w:bidi="fa-IR"/>
        </w:rPr>
        <w:t>انوارالمواهب در سه جلد بزرگ که العبقری الحسان جلد دوم آن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الیاقوت الاحمر فی من رأی الحجة المنتظر شامل بیش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w:t>
      </w:r>
    </w:p>
    <w:p>
      <w:pPr>
        <w:pStyle w:val="Heading2"/>
        <w:numPr>
          <w:ilvl w:val="1"/>
          <w:numId w:val="1"/>
        </w:numPr>
        <w:rPr/>
      </w:pPr>
      <w:bookmarkStart w:id="13" w:name="__RefHeading___Toc1775973_372815092"/>
      <w:bookmarkStart w:id="14" w:name="_Toc5"/>
      <w:bookmarkEnd w:id="13"/>
      <w:r>
        <w:rPr>
          <w:rtl w:val="true"/>
        </w:rPr>
        <w:t>از دیگر آثار ایشان</w:t>
      </w:r>
      <w:r>
        <w:rPr>
          <w:rtl w:val="true"/>
        </w:rPr>
        <w:t>:</w:t>
      </w:r>
      <w:bookmarkEnd w:id="14"/>
    </w:p>
    <w:p>
      <w:pPr>
        <w:pStyle w:val="BookText"/>
        <w:rPr/>
      </w:pPr>
      <w:r>
        <w:rPr>
          <w:rFonts w:ascii="IRNazanin" w:hAnsi="IRNazanin" w:eastAsia="IRNazanin"/>
          <w:color w:val="111111"/>
          <w:sz w:val="28"/>
          <w:sz w:val="28"/>
          <w:szCs w:val="28"/>
          <w:rtl w:val="true"/>
          <w:lang w:bidi="fa-IR"/>
        </w:rPr>
        <w:t>در حوزۀ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لمعات الانوار فی حل مشکلات الایات و الاخبار در حوزۀ فقاهت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درس استادش آیت الله سید محمد کاظم یزدی کتاب المواریث، تقریرات درس استادش آیت الله محمد طه نجف مبحث صلاة المسافر در حوزۀ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رسائل و رسالة الحقیقة و المجاز در حوزۀ اعتقادات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رشحة الندی فی مسألة البداء طور سینا در شرح حدیث کساء وسایل العبید در مراحل توحید خزینة الجواهر در اصول دین، فروع دین و اخلاق راحة الروح شرح حدیث مثل اهل بیتی کمثل سفینة نوح </w:t>
      </w:r>
      <w:bookmarkStart w:id="15" w:name="pg6922_72318"/>
    </w:p>
    <w:p>
      <w:pPr>
        <w:pStyle w:val="BookText"/>
        <w:rPr/>
      </w:pPr>
      <w:bookmarkEnd w:id="15"/>
      <w:r>
        <w:rPr>
          <w:rFonts w:ascii="IRNazanin" w:hAnsi="IRNazanin" w:eastAsia="IRNazanin"/>
          <w:color w:val="111111"/>
          <w:sz w:val="28"/>
          <w:sz w:val="28"/>
          <w:szCs w:val="28"/>
          <w:rtl w:val="true"/>
          <w:lang w:bidi="fa-IR"/>
        </w:rPr>
        <w:t>در حوزۀ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نغز و پرمغز در مناجات، اهل بیت و پند و اندرز</w:t>
      </w:r>
    </w:p>
    <w:p>
      <w:pPr>
        <w:pStyle w:val="Heading2"/>
        <w:numPr>
          <w:ilvl w:val="1"/>
          <w:numId w:val="1"/>
        </w:numPr>
        <w:rPr/>
      </w:pPr>
      <w:bookmarkStart w:id="16" w:name="__RefHeading___Toc1775975_372815092"/>
      <w:bookmarkStart w:id="17" w:name="_Toc6"/>
      <w:bookmarkEnd w:id="16"/>
      <w:r>
        <w:rPr>
          <w:rtl w:val="true"/>
        </w:rPr>
        <w:t>سوانح حیات</w:t>
      </w:r>
      <w:bookmarkEnd w:id="17"/>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ولادت در نهاوند در نوجوانی وارد حوزه علمیۀ شهرستان نهاوند شده، دروس مقدماتی را در زادگاهش در محضر شیخ جعفر بروجردی و حاج ملا محمد سره بندی فراگرفته، مهاجرت به بروجرد و تحصیل سطوح در نزد آقا حسین شیخ الاسلام، آقا ابراهیم تویسرکانی، سید ابوطالب و دیگران مهاجرت به مشهد مقدس و سطوح عالیه در محضر شیخ عبدالرحیم بروجردی، سید علی حائری یزدی، شیخ محمدتقی بروجردی مهاجرت به اصفهان و استفاده از محضرعلمای اصفهان مهاجرت به تهران و استفاده از محضر حاج میرزا حسن آشتیانی، میرزا عبدالرحیم نهاوندی و میرزا محمد اندرمانی و فلسفه و علوم عقلی نزد مرحوم جلوه، حیدرخان نهاوندی و میرزا محمد رضا قمشهای مهاجرت به عتبات عالیات و پیوستن به مکتب سامرا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مهاجرت به نجف اشرف و خوشه چینی از محضر آیات عظام آخوند خراسانی، سید محمد کاظم یزدی، شیخ محمد طاها نجف، میرزا حبیب الله رشتی، شیخ الشریعه اصفهانی، شیخ محمد حسن مامقانی و محدث نوری </w:t>
      </w:r>
    </w:p>
    <w:p>
      <w:pPr>
        <w:pStyle w:val="BookText"/>
        <w:rPr/>
      </w:pP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بازگشت به ایران در اثر بیماری، توقف کوتاهی در تبریز سپس عزیمت به نهاوند برای صله ارحام و توقف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تا نیمه ماه ذی الحجة الحرام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مهاجرت به تهران و اقامت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در تهران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مهاجرت به مشهد مقدس و اقامت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در جوار مولا علی بن موسی الرضا علیه السلام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عزیمت به حج از طریق باکو، استانبول و بیروت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شروع به تألیف أنوار المواهب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اتمام خزینة الجواهر فی زینة المنابر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شروع تألیف البنیان الرفیع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اتمام البنیان الرفیع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اتمام الجنة العالیه والجعبة الغالیه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اتمام راحة الروح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خاطره نویسی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و اینکه از اول تحصیل تا به آن روز غذایی با فراغت دل صرف نکرده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زیارت عتبات عالیات </w:t>
      </w:r>
      <w:bookmarkStart w:id="18" w:name="pg6922_72320"/>
    </w:p>
    <w:p>
      <w:pPr>
        <w:pStyle w:val="Heading2"/>
        <w:numPr>
          <w:ilvl w:val="1"/>
          <w:numId w:val="1"/>
        </w:numPr>
        <w:rPr/>
      </w:pPr>
      <w:bookmarkStart w:id="19" w:name="__RefHeading___Toc1775977_372815092"/>
      <w:bookmarkStart w:id="20" w:name="_Toc7"/>
      <w:bookmarkEnd w:id="18"/>
      <w:bookmarkEnd w:id="19"/>
      <w:r>
        <w:rPr>
          <w:rtl w:val="true"/>
        </w:rPr>
        <w:t>زعامت حوزۀ علمیۀ مشهد مقدس</w:t>
      </w:r>
      <w:bookmarkEnd w:id="20"/>
    </w:p>
    <w:p>
      <w:pPr>
        <w:pStyle w:val="BookText"/>
        <w:rPr/>
      </w:pPr>
      <w:r>
        <w:rPr>
          <w:rFonts w:ascii="IRNazanin" w:hAnsi="IRNazanin" w:eastAsia="IRNazanin"/>
          <w:color w:val="111111"/>
          <w:sz w:val="28"/>
          <w:sz w:val="28"/>
          <w:szCs w:val="28"/>
          <w:rtl w:val="true"/>
          <w:lang w:bidi="fa-IR"/>
        </w:rPr>
        <w:t>چهل سال تمام زعامت حوزۀ علمیۀ مشهد مقدس را برعهده داشت، علاوه بر تدریس فقه، اصول و اعتقادات، فضلای حوزه را به سوی حضرت بقیة الله ارواحنا فداه سوق داده و نصایح پدرانه، موعظههای مشفقانه، مقالات سودمند، تالیفات پربار، قولا و عملاً آنها را با شیوۀ انتظار، بلکه تحسّس از یوسف زهرا علیهما السلام تربیت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گذشته از تربیت طلاب، با طبقات مختلف و مذاهب مختلف تعامل عجیبی داشته که یک مورد آن در تاریخ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عده ای از قشریون قصد تهاجم به یکی از مراسم کلیمیان را داشتند که جلسۀ آنها را با ضرب و شتم به هم بریزند، آیتالله نهاوندی مطلع میشود، در محل حضور پیدا می کند و با یک سخنرانی غراء آنها را دعوت به آرامش می کند، شیوۀ برخورد با اقلیتهای مذهبی را تعلیم کرده، از مقام بسیار بالای حضرت موسی علیه السلام سخن میگوید و توضیح می دهد که آن جلسه با الهام از کدام آموزه تورات انجام میشود همۀ کلیمیان تحت تأثیر سخنان نافذ ایشان قرار میگیرند اشکشان جاری می شود و می گویند گویا حضرت موسی رجعت کرده، یک بار دیگر آیات الهی را برای ما تلاوت میکند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ایام اقامت در شهر مقدس مشهد منشأ آثار و خدمات فراوان بوده به مدارس رضوان، ابدال خان، نواب، باقریه، سلیمانیه، میرزا جعفر، عباسقلی خان، پریزاد، </w:t>
      </w:r>
      <w:bookmarkStart w:id="21" w:name="pg6922_72321"/>
    </w:p>
    <w:p>
      <w:pPr>
        <w:pStyle w:val="BookText"/>
        <w:rPr/>
      </w:pPr>
      <w:bookmarkEnd w:id="21"/>
      <w:r>
        <w:rPr>
          <w:rFonts w:ascii="IRNazanin" w:hAnsi="IRNazanin" w:eastAsia="IRNazanin"/>
          <w:color w:val="111111"/>
          <w:sz w:val="28"/>
          <w:sz w:val="28"/>
          <w:szCs w:val="28"/>
          <w:rtl w:val="true"/>
          <w:lang w:bidi="fa-IR"/>
        </w:rPr>
        <w:t>دودرب، حاج حسن و بالاسر خدمترسانی میکرد و مشکلات طلاب را حل می نمود و مقدار معتنابهی به مستمندان و نیازمندان تقدیم می کرد</w:t>
      </w:r>
      <w:r>
        <w:rPr>
          <w:rFonts w:eastAsia="IRNazanin" w:cs="IRNazanin"/>
          <w:color w:val="111111"/>
          <w:sz w:val="28"/>
          <w:szCs w:val="28"/>
          <w:rtl w:val="true"/>
          <w:lang w:bidi="fa-IR"/>
        </w:rPr>
        <w:t>.</w:t>
      </w:r>
    </w:p>
    <w:p>
      <w:pPr>
        <w:pStyle w:val="Heading2"/>
        <w:numPr>
          <w:ilvl w:val="1"/>
          <w:numId w:val="1"/>
        </w:numPr>
        <w:rPr/>
      </w:pPr>
      <w:bookmarkStart w:id="22" w:name="__RefHeading___Toc1775979_372815092"/>
      <w:bookmarkStart w:id="23" w:name="_Toc8"/>
      <w:bookmarkEnd w:id="22"/>
      <w:r>
        <w:rPr>
          <w:rtl w:val="true"/>
        </w:rPr>
        <w:t>مقاومت در برابر رضاخان</w:t>
      </w:r>
      <w:bookmarkEnd w:id="23"/>
    </w:p>
    <w:p>
      <w:pPr>
        <w:pStyle w:val="BookText"/>
        <w:rPr/>
      </w:pPr>
      <w:r>
        <w:rPr>
          <w:rFonts w:ascii="IRNazanin" w:hAnsi="IRNazanin" w:eastAsia="IRNazanin"/>
          <w:color w:val="111111"/>
          <w:sz w:val="28"/>
          <w:sz w:val="28"/>
          <w:szCs w:val="28"/>
          <w:rtl w:val="true"/>
          <w:lang w:bidi="fa-IR"/>
        </w:rPr>
        <w:t>به هنگام تبعید بعضی از بزرگان نجف اشرف به ایران کمیته ای تشکیل می شود با حضور حضرات آیات حاج آقا حسین قمی، سید صدرالدین صدر، حاج ملا هاشم، آقازاده، شیخ محمد نهاوندی، شیخ علی اکبر نهاوندی، شیخ محمد حسن کاظمینی و شیخ مهدی خالصی به امور جاری مملکت نظارت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تلاشهای ضد دینی رضاخان معارضه می شود آیت الله قمی به تهران عزیمت میکند آیت الله نهاوندی در غائله گوهرشاد حضور مییابد و دستگیر می شود</w:t>
      </w:r>
    </w:p>
    <w:p>
      <w:pPr>
        <w:pStyle w:val="Heading2"/>
        <w:numPr>
          <w:ilvl w:val="1"/>
          <w:numId w:val="1"/>
        </w:numPr>
        <w:rPr/>
      </w:pPr>
      <w:bookmarkStart w:id="24" w:name="__RefHeading___Toc1775981_372815092"/>
      <w:bookmarkStart w:id="25" w:name="_Toc9"/>
      <w:bookmarkEnd w:id="24"/>
      <w:r>
        <w:rPr>
          <w:rtl w:val="true"/>
        </w:rPr>
        <w:t>کرامات</w:t>
      </w:r>
      <w:bookmarkEnd w:id="25"/>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توفیقات ایشان در تالیف و تحقیق اداره امور طلاب و سرپرستی حوزه علمیه خود نوعی کرامت است ولی کرامت های جالبی از ایشان مشاهده شده که در نوع خود بی نظیر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مسجد گوهرشاد در شبستانی که به نام ایشان شهرت دارد نماز ظهر را با جماعت انبوهی برگزار می کند، برای نماز عصر مردم را به شبستان دیگر راهنمایی می کند، یک مرتبه زلزله واقع میشود و سقف آن شبستان فرو میریزد که اگر این نقل مکان انجام نمیشد، احیانا هزاران نفر زیر آوار میماندند</w:t>
      </w:r>
      <w:r>
        <w:rPr>
          <w:rFonts w:eastAsia="IRNazanin" w:cs="IRNazanin"/>
          <w:color w:val="111111"/>
          <w:sz w:val="28"/>
          <w:szCs w:val="28"/>
          <w:rtl w:val="true"/>
          <w:lang w:bidi="fa-IR"/>
        </w:rPr>
        <w:t xml:space="preserve">. </w:t>
      </w:r>
      <w:bookmarkStart w:id="26" w:name="pg6922_72322"/>
    </w:p>
    <w:p>
      <w:pPr>
        <w:pStyle w:val="BookText"/>
        <w:rPr/>
      </w:pPr>
      <w:bookmarkEnd w:id="2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ایام اقامتش در نهاوند در سال های </w:t>
      </w:r>
      <w:r>
        <w:rPr>
          <w:rFonts w:eastAsia="IRNazanin" w:cs="IRNazanin"/>
          <w:color w:val="111111"/>
          <w:sz w:val="28"/>
          <w:szCs w:val="28"/>
          <w:rtl w:val="true"/>
          <w:lang w:bidi="fa-IR"/>
        </w:rPr>
        <w:t xml:space="preserve">( </w:t>
      </w:r>
      <w:r>
        <w:rPr>
          <w:rFonts w:eastAsia="IRNazanin" w:cs="IRNazanin"/>
          <w:color w:val="111111"/>
          <w:sz w:val="28"/>
          <w:szCs w:val="28"/>
          <w:lang w:bidi="fa-IR"/>
        </w:rPr>
        <w:t>1319</w:t>
      </w:r>
      <w:r>
        <w:rPr>
          <w:rFonts w:eastAsia="IRNazanin" w:cs="IRNazanin"/>
          <w:color w:val="111111"/>
          <w:sz w:val="28"/>
          <w:szCs w:val="28"/>
          <w:rtl w:val="true"/>
          <w:lang w:bidi="fa-IR"/>
        </w:rPr>
        <w:t xml:space="preserve"> -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جمعیت انبوهی برای زیارت مرقد یکی از علمای شهر به نام مرحوم میرزا آقا حرکت میکند، چون به مدرسه میرزاآقا میرسد توقف میکند و میگوید این مدرسه بر گردن ما خیلی حق دارد آنگاه راه را کج می کند و از کوچه اقا نورمسیر را ادامه میدهد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مسیر خیلی دور است جواب نمیدهد یک مرتبه دیوار مدرسه که بسیار مرتفع بوده فرو میریزد و مردم از این حادثه جان سالم به در میبرند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اثنای جنگ جهانی ایشان به نیابت از حضرت فاطمه زهراء سلام الله علیها عازم حج می شود، یک هفته در باکو توقف نموده، ناگزیر از بازگشت می شود با توسل به صدیقه طاهره در میان بیش از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فقط به ایشان و سه نفر همراهش بلیط داده میشود، به استانبول رفته قبر ابوایوب انصاری را زیارت، در بیروت با نبهانی دیدار نموده، پیش از حج و بعد از حج به مدینه منوره شرفیاب شده، در بازگشت از مسیر عتبات بازگشته، به زیارت نجف، کربلا، کاظمین، سامرا و دیگر مشاهد مشرفه توفیق پیدا میکند</w:t>
      </w:r>
      <w:r>
        <w:rPr>
          <w:rFonts w:eastAsia="IRNazanin" w:cs="IRNazanin"/>
          <w:color w:val="111111"/>
          <w:sz w:val="28"/>
          <w:szCs w:val="28"/>
          <w:rtl w:val="true"/>
          <w:lang w:bidi="fa-IR"/>
        </w:rPr>
        <w:t>.</w:t>
      </w:r>
    </w:p>
    <w:p>
      <w:pPr>
        <w:pStyle w:val="Heading2"/>
        <w:numPr>
          <w:ilvl w:val="1"/>
          <w:numId w:val="1"/>
        </w:numPr>
        <w:rPr/>
      </w:pPr>
      <w:bookmarkStart w:id="27" w:name="__RefHeading___Toc1775983_372815092"/>
      <w:bookmarkStart w:id="28" w:name="_Toc10"/>
      <w:bookmarkEnd w:id="27"/>
      <w:r>
        <w:rPr>
          <w:rtl w:val="true"/>
        </w:rPr>
        <w:t>اجتناب از امور شبهه ناک</w:t>
      </w:r>
      <w:bookmarkEnd w:id="28"/>
    </w:p>
    <w:p>
      <w:pPr>
        <w:pStyle w:val="BookText"/>
        <w:rPr/>
      </w:pPr>
      <w:r>
        <w:rPr>
          <w:rFonts w:ascii="IRNazanin" w:hAnsi="IRNazanin" w:eastAsia="IRNazanin"/>
          <w:color w:val="111111"/>
          <w:sz w:val="28"/>
          <w:sz w:val="28"/>
          <w:szCs w:val="28"/>
          <w:rtl w:val="true"/>
          <w:lang w:bidi="fa-IR"/>
        </w:rPr>
        <w:t>همۀ توفیقات ایشان در پرتو عشق سرشار به خاندان عصمت و طهارت، خداترسی، توسل به اهل بیت، خدمت به خلق، دفاع از حریم تشیع، تکفل زندگی ایتام آل محمد علیهم السلام و پرهیز از امور شبهه ناک می باشد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ایام اقامت در زادگاه خود از خوردن میوه جات برخی از نواحی به شدت پرهیز میکرد، از علتش جویا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منطقه آب نوبتی نیست هر که </w:t>
      </w:r>
      <w:bookmarkStart w:id="29" w:name="pg6922_72323"/>
    </w:p>
    <w:p>
      <w:pPr>
        <w:pStyle w:val="BookText"/>
        <w:rPr/>
      </w:pPr>
      <w:bookmarkEnd w:id="29"/>
      <w:r>
        <w:rPr>
          <w:rFonts w:ascii="IRNazanin" w:hAnsi="IRNazanin" w:eastAsia="IRNazanin"/>
          <w:color w:val="111111"/>
          <w:sz w:val="28"/>
          <w:sz w:val="28"/>
          <w:szCs w:val="28"/>
          <w:rtl w:val="true"/>
          <w:lang w:bidi="fa-IR"/>
        </w:rPr>
        <w:t>زورش بیشتر باشد، او از آب استفاده می کند لذا در بسیاری از اوقات آبرسانی به این باغات، حقوق دیگران ضایع می شود</w:t>
      </w:r>
      <w:r>
        <w:rPr>
          <w:rFonts w:eastAsia="IRNazanin" w:cs="IRNazanin"/>
          <w:color w:val="111111"/>
          <w:sz w:val="28"/>
          <w:szCs w:val="28"/>
          <w:rtl w:val="true"/>
          <w:lang w:bidi="fa-IR"/>
        </w:rPr>
        <w:t>.</w:t>
      </w:r>
    </w:p>
    <w:p>
      <w:pPr>
        <w:pStyle w:val="Heading2"/>
        <w:numPr>
          <w:ilvl w:val="1"/>
          <w:numId w:val="1"/>
        </w:numPr>
        <w:rPr/>
      </w:pPr>
      <w:bookmarkStart w:id="30" w:name="__RefHeading___Toc1775985_372815092"/>
      <w:bookmarkStart w:id="31" w:name="_Toc11"/>
      <w:bookmarkEnd w:id="30"/>
      <w:r>
        <w:rPr>
          <w:rtl w:val="true"/>
        </w:rPr>
        <w:t>جایگاه آیت الله نهاوندی از منظر بزرگان</w:t>
      </w:r>
      <w:bookmarkEnd w:id="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شیخ آقا بزرگ تهرانی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او بر آگاهی وسیع و تبحر او در فقه، اصول، حدیث، تفسیر، تاریخ و علوم دیگر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بعد از نماز مردم را موعظه می کرد، موعظه اش تاثیر شدیدی در نفوس مستمعین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دلیل اخلاص، صدق لهجه، تقوا و التزام به آداب و سنن شرعی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مقید بود که قبل از تعلیم دیگران خود به آنها عمل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البشر،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اردوبادی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معظم له ملاقات و معاشرت نمودم، او را مثال تقوا، منبع علم، بهاء ایمان، نمونه زهد، رمز فهم و دانش و مطابقت قول با عمل 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علمای معاصرین، 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مرعشی نجفی مینویسد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مهارت ویژه در علم حدیث، رجال و درایه داشت و فقیهی اصولی و متکلّمی مفسّر بود </w:t>
      </w:r>
    </w:p>
    <w:p>
      <w:pPr>
        <w:pStyle w:val="BookText"/>
        <w:rPr/>
      </w:pPr>
      <w:r>
        <w:rPr>
          <w:rFonts w:ascii="IRNazanin" w:hAnsi="IRNazanin" w:eastAsia="IRNazanin"/>
          <w:color w:val="111111"/>
          <w:sz w:val="28"/>
          <w:sz w:val="28"/>
          <w:szCs w:val="28"/>
          <w:rtl w:val="true"/>
          <w:lang w:bidi="fa-IR"/>
        </w:rPr>
        <w:t>ایشان هم درس پدرم آیت الله سید محمود مرعشی بود و در درس بسیاری از بزرگان شرکت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المسلسلات فی الاجازات، ص </w:t>
      </w:r>
      <w:r>
        <w:rPr>
          <w:rFonts w:eastAsia="IRNazanin" w:cs="IRNazanin"/>
          <w:color w:val="111111"/>
          <w:sz w:val="28"/>
          <w:szCs w:val="28"/>
          <w:lang w:bidi="fa-IR"/>
        </w:rPr>
        <w:t>1376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شیخ محمد حسین کاشف الغطاء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ایران آمده، به عتبه بوسی حضرت ثامن الحجج مشرف شده،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العبقری الحسان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نموده و می نویسد این کتاب از حسنات عصر، بلکه از افتخارات دهر است، این کتاب نفیس ترین خدمت به ولی امر عجل الله فرجه، از باقیات صالحات، از رشحات قلم مولای اجل حجة الاسلام حاج شیخ ملا علی اکبر نهاوندی میباشد که برکاتش مستدام و افاداتش دائمی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حقیر محمد حسین کاشف الغطاء، در مشهد مقدس که بر شرف افزایش هزار درود و تحیت باد در دوم جمادی الثانی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نوشتم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تصویر دستخط ایشان در جلد اول العبقری الحسان صفحه هشت 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رازی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جماعت در مشهد از نظر کم و کیف، اول نماز جماعت خراسان بلکه ایران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حالات عبادی وخضوع و خشوع مخصوص به خود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کثرت قدس و تقوا معروف، به زهد وورع موصوف برنوادر عصر بود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مسافرت حضرت آیت الله العظمی بروجردی به مشهد مشهد مقدس، جای نمازش را به معظم له تقدیم نمود، خودش با هزاران نفر دیگر از دانشمندان و مردمان به ایشان اقتدا می کرد</w:t>
      </w:r>
      <w:r>
        <w:rPr>
          <w:rFonts w:eastAsia="IRNazanin" w:cs="IRNazanin"/>
          <w:color w:val="111111"/>
          <w:sz w:val="28"/>
          <w:szCs w:val="28"/>
          <w:rtl w:val="true"/>
          <w:lang w:bidi="fa-IR"/>
        </w:rPr>
        <w:t xml:space="preserve">. </w:t>
      </w:r>
      <w:bookmarkStart w:id="32" w:name="pg6922_72325"/>
    </w:p>
    <w:p>
      <w:pPr>
        <w:pStyle w:val="BookText"/>
        <w:rPr/>
      </w:pPr>
      <w:bookmarkEnd w:id="32"/>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نگارنده از مرحوم آیت الله محسنی ملایری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 دومی که آیتالله بروجردی به مشهد مقدس مشرف شدند، مرحوم نهاوندی امامت جماعت مسجد گوهرشاد را به عهدۀ ایشان گذاشت و ماه رمضان ایشان در جای مرحوم نهاوندی اقامه جماعت نمود و بعدا مرحوم نهاوندی به من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چشمم آب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عمل جراحی به تهران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دکترها نوبت طولانی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فرصت استفاده کردم به عتبات مشرف شده در نجف اشرف آیت الله اصفهانی به من امرکردند که در جای ایشان نماز بخوانم و بعد از نماز مغرب در نافله دوم صدایی شنیدم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 مت ولدی فعظ 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بزرگ شمردی، تو را بزرگ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ملایری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به آیت الله بروجردی نقل کردم اشک از چشمانش سرازیر شد</w:t>
      </w:r>
    </w:p>
    <w:p>
      <w:pPr>
        <w:pStyle w:val="Heading2"/>
        <w:numPr>
          <w:ilvl w:val="1"/>
          <w:numId w:val="1"/>
        </w:numPr>
        <w:rPr/>
      </w:pPr>
      <w:bookmarkStart w:id="33" w:name="__RefHeading___Toc1775987_372815092"/>
      <w:bookmarkStart w:id="34" w:name="_Toc12"/>
      <w:bookmarkEnd w:id="33"/>
      <w:r>
        <w:rPr>
          <w:rtl w:val="true"/>
        </w:rPr>
        <w:t>کتابخانه آیت الله نهاوندی</w:t>
      </w:r>
      <w:bookmarkEnd w:id="34"/>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نهاوندی در طول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اقامتش در مشهد مقدس کتابخانه غنی و با عظمتی فراهم کرده، آثار خطی، سنگی و حروفی فراوان در آن جای داده بود، که شیخ آقا بزرگ تهرانی در جای جای الذریعه،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از نسخ خطی موجود در کتابخانه ایشان را معرفی کرده است</w:t>
      </w:r>
      <w:r>
        <w:rPr>
          <w:rFonts w:eastAsia="IRNazanin" w:cs="IRNazanin"/>
          <w:color w:val="111111"/>
          <w:sz w:val="28"/>
          <w:szCs w:val="28"/>
          <w:rtl w:val="true"/>
          <w:lang w:bidi="fa-IR"/>
        </w:rPr>
        <w:t xml:space="preserve">. </w:t>
      </w:r>
      <w:bookmarkStart w:id="35" w:name="pg6922_72326"/>
    </w:p>
    <w:p>
      <w:pPr>
        <w:pStyle w:val="BookText"/>
        <w:rPr/>
      </w:pPr>
      <w:bookmarkEnd w:id="35"/>
      <w:r>
        <w:rPr>
          <w:rFonts w:ascii="IRNazanin" w:hAnsi="IRNazanin" w:eastAsia="IRNazanin"/>
          <w:color w:val="111111"/>
          <w:sz w:val="28"/>
          <w:sz w:val="28"/>
          <w:szCs w:val="28"/>
          <w:rtl w:val="true"/>
          <w:lang w:bidi="fa-IR"/>
        </w:rPr>
        <w:t>در اختیار داشتن چنین کتابخانهای سبب پربار شدن آثار تألیفی آن بزرگوار بود</w:t>
      </w:r>
      <w:r>
        <w:rPr>
          <w:rFonts w:eastAsia="IRNazanin" w:cs="IRNazanin"/>
          <w:color w:val="111111"/>
          <w:sz w:val="28"/>
          <w:szCs w:val="28"/>
          <w:rtl w:val="true"/>
          <w:lang w:bidi="fa-IR"/>
        </w:rPr>
        <w:t>.</w:t>
      </w:r>
    </w:p>
    <w:p>
      <w:pPr>
        <w:pStyle w:val="Heading2"/>
        <w:numPr>
          <w:ilvl w:val="1"/>
          <w:numId w:val="1"/>
        </w:numPr>
        <w:rPr/>
      </w:pPr>
      <w:bookmarkStart w:id="36" w:name="__RefHeading___Toc1775989_372815092"/>
      <w:bookmarkStart w:id="37" w:name="_Toc13"/>
      <w:bookmarkEnd w:id="36"/>
      <w:r>
        <w:rPr>
          <w:rtl w:val="true"/>
        </w:rPr>
        <w:t>غروب ماه نهاوند</w:t>
      </w:r>
      <w:bookmarkEnd w:id="37"/>
    </w:p>
    <w:p>
      <w:pPr>
        <w:pStyle w:val="BookText"/>
        <w:rPr/>
      </w:pPr>
      <w:r>
        <w:rPr>
          <w:rFonts w:ascii="IRNazanin" w:hAnsi="IRNazanin" w:eastAsia="IRNazanin"/>
          <w:color w:val="111111"/>
          <w:sz w:val="28"/>
          <w:sz w:val="28"/>
          <w:szCs w:val="28"/>
          <w:rtl w:val="true"/>
          <w:lang w:bidi="fa-IR"/>
        </w:rPr>
        <w:t xml:space="preserve">آیت الله نهاوندی پس از یک عمر تدریس، تألیف، تحقیق، خدمت رسانی و دفاع از حریم خاندان عصمت و طهارت سرانجام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مشهد مقدس در گذشت، بعد از تشییع جنازه بسیار باشکوه علی رغم برف سنگین و سرمای سوزان، در قسمت پایین پای حضرت، در رواق دارالسعادة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علی اکبر مروج در تاریخ وفات ایشان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 اندوه و سرافکند و پی تاریخ گفت شد نهاوندی مقیم اندر درِ سلطان طوس که جمع حروف مصراع دوم با حساب ابجد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سال درگذشت ایشان به قمری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ارتحال ایشان هوا بسیار سرد بود و برف سنگینی آمده بود من در آن تشییع شرکت کردم هنوز هم شکوه و عظمت آن را به یاد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 سعیدا و مات حمیدا</w:t>
      </w:r>
    </w:p>
    <w:p>
      <w:pPr>
        <w:pStyle w:val="BookText"/>
        <w:rPr/>
      </w:pP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بیستم شعبان </w:t>
      </w:r>
      <w:r>
        <w:rPr>
          <w:rFonts w:eastAsia="IRNazanin" w:cs="IRNazanin"/>
          <w:color w:val="111111"/>
          <w:sz w:val="28"/>
          <w:szCs w:val="28"/>
          <w:lang w:bidi="fa-IR"/>
        </w:rPr>
        <w:t>1442</w:t>
      </w:r>
    </w:p>
    <w:p>
      <w:pPr>
        <w:pStyle w:val="BookText"/>
        <w:rPr/>
      </w:pPr>
      <w:r>
        <w:rPr>
          <w:rFonts w:ascii="IRNazanin" w:hAnsi="IRNazanin" w:eastAsia="IRNazanin"/>
          <w:color w:val="111111"/>
          <w:sz w:val="28"/>
          <w:sz w:val="28"/>
          <w:szCs w:val="28"/>
          <w:rtl w:val="true"/>
          <w:lang w:bidi="fa-IR"/>
        </w:rPr>
        <w:t>علی اکبر مهدی پور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جهانی حضرت ولی عصرعجل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bookmarkStart w:id="38" w:name="pg6922_72327"/>
    </w:p>
    <w:p>
      <w:pPr>
        <w:pStyle w:val="Heading2"/>
        <w:numPr>
          <w:ilvl w:val="1"/>
          <w:numId w:val="1"/>
        </w:numPr>
        <w:rPr/>
      </w:pPr>
      <w:bookmarkStart w:id="39" w:name="__RefHeading___Toc1775991_372815092"/>
      <w:bookmarkStart w:id="40" w:name="_Toc14"/>
      <w:bookmarkEnd w:id="38"/>
      <w:bookmarkEnd w:id="39"/>
      <w:r>
        <w:rPr>
          <w:rtl w:val="true"/>
        </w:rPr>
        <w:t>منابع</w:t>
      </w:r>
      <w:r>
        <w:rPr>
          <w:rtl w:val="true"/>
        </w:rPr>
        <w:t>:</w:t>
      </w:r>
      <w:bookmarkEnd w:id="40"/>
    </w:p>
    <w:p>
      <w:pPr>
        <w:pStyle w:val="BookText"/>
        <w:rPr/>
      </w:pPr>
      <w:r>
        <w:rPr>
          <w:rFonts w:ascii="IRNazanin" w:hAnsi="IRNazanin" w:eastAsia="IRNazanin"/>
          <w:color w:val="111111"/>
          <w:sz w:val="28"/>
          <w:sz w:val="28"/>
          <w:szCs w:val="28"/>
          <w:rtl w:val="true"/>
          <w:lang w:bidi="fa-IR"/>
        </w:rPr>
        <w:t>شرح حال و سوانح زندگانی علامه نهاوندی در بسیاری از کتب سیره وتراجم امده،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افلاکیان خاک نشین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انوار المواهب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خورشید مشرقین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ریحانة الادب، جلد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ستارگان نهاوند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العبقری الحسان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گلزار اکبری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گلشن ابرار، ج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گنجینه دانشمندن، ج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مجله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خردادماه و تیرماه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المسلسلات فی الاجازات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مشاهیر مدفون در حرم رضوی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مشاهیر حوزۀ علمیۀ خراسان</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نقباء البشر،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image" Target="media/image2.jpeg"/><Relationship Id="rId26" Type="http://schemas.openxmlformats.org/officeDocument/2006/relationships/image" Target="media/image2.jpeg"/><Relationship Id="rId27" Type="http://schemas.openxmlformats.org/officeDocument/2006/relationships/footer" Target="footer20.xml"/><Relationship Id="rId28" Type="http://schemas.openxmlformats.org/officeDocument/2006/relationships/numbering" Target="numbering.xml"/><Relationship Id="rId29" Type="http://schemas.openxmlformats.org/officeDocument/2006/relationships/fontTable" Target="fontTable.xml"/><Relationship Id="rId30" Type="http://schemas.openxmlformats.org/officeDocument/2006/relationships/settings" Target="settings.xml"/><Relationship Id="rId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Pages>
  <Words>2572</Words>
  <Characters>10161</Characters>
  <CharactersWithSpaces>12589</CharactersWithSpaces>
  <Paragraphs>178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2026-08-27T06:38:07Z</dcterms:created>
  <dc:creator>ghaemiyeh.com</dc:creator>
  <dc:description/>
  <dc:language>en-US</dc:language>
  <cp:lastModifiedBy/>
  <dcterms:modified xsi:type="dcterms:W3CDTF">2026-08-27T10:09:16Z</dcterms:modified>
  <cp:revision>1</cp:revision>
  <dc:subject/>
  <dc:title>آئین گرامیداشت چهره ماندگار مهدوی علامه آیت الله حاج شیخ علی اکبر نهاوندی قدس سره</dc:title>
</cp:coreProperties>
</file>

<file path=docProps/custom.xml><?xml version="1.0" encoding="utf-8"?>
<Properties xmlns="http://schemas.openxmlformats.org/officeDocument/2006/custom-properties" xmlns:vt="http://schemas.openxmlformats.org/officeDocument/2006/docPropsVTypes"/>
</file>