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حول خبر ماریه القبطیه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58807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5880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58811_12804478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6358813_1280447820">
            <w:r>
              <w:rPr>
                <w:webHidden/>
                <w:rStyle w:val="IndexLink"/>
                <w:rtl w:val="true"/>
              </w:rPr>
              <w:t>رسالة حول خبر مارية</w:t>
            </w:r>
            <w:r>
              <w:rPr>
                <w:rStyle w:val="IndexLink"/>
                <w:rtl w:val="true"/>
              </w:rPr>
              <w:tab/>
            </w:r>
            <w:r>
              <w:rPr>
                <w:rStyle w:val="IndexLink"/>
              </w:rPr>
              <w:t>13</w:t>
            </w:r>
          </w:hyperlink>
        </w:p>
        <w:p>
          <w:pPr>
            <w:pStyle w:val="Contents2"/>
            <w:tabs>
              <w:tab w:val="clear" w:pos="8743"/>
              <w:tab w:val="right" w:pos="9026" w:leader="dot"/>
            </w:tabs>
            <w:rPr/>
          </w:pPr>
          <w:hyperlink w:anchor="__RefHeading___Toc16358815_1280447820">
            <w:r>
              <w:rPr>
                <w:webHidden/>
                <w:rStyle w:val="IndexLink"/>
                <w:rtl w:val="true"/>
              </w:rPr>
              <w:t>الملك الحقّ المبين</w:t>
            </w:r>
            <w:r>
              <w:rPr>
                <w:rStyle w:val="IndexLink"/>
                <w:rtl w:val="true"/>
              </w:rPr>
              <w:tab/>
            </w:r>
            <w:r>
              <w:rPr>
                <w:rStyle w:val="IndexLink"/>
              </w:rPr>
              <w:t>19</w:t>
            </w:r>
          </w:hyperlink>
        </w:p>
        <w:p>
          <w:pPr>
            <w:pStyle w:val="Contents2"/>
            <w:tabs>
              <w:tab w:val="clear" w:pos="8743"/>
              <w:tab w:val="right" w:pos="9026" w:leader="dot"/>
            </w:tabs>
            <w:rPr/>
          </w:pPr>
          <w:hyperlink w:anchor="__RefHeading___Toc16358817_1280447820">
            <w:r>
              <w:rPr>
                <w:webHidden/>
                <w:rStyle w:val="IndexLink"/>
                <w:rtl w:val="true"/>
              </w:rPr>
              <w:t>فصل</w:t>
            </w:r>
            <w:r>
              <w:rPr>
                <w:rStyle w:val="IndexLink"/>
                <w:rtl w:val="true"/>
              </w:rPr>
              <w:tab/>
            </w:r>
            <w:r>
              <w:rPr>
                <w:rStyle w:val="IndexLink"/>
              </w:rPr>
              <w:t>23</w:t>
            </w:r>
          </w:hyperlink>
        </w:p>
        <w:p>
          <w:pPr>
            <w:pStyle w:val="Contents2"/>
            <w:tabs>
              <w:tab w:val="clear" w:pos="8743"/>
              <w:tab w:val="right" w:pos="9026" w:leader="dot"/>
            </w:tabs>
            <w:rPr/>
          </w:pPr>
          <w:hyperlink w:anchor="__RefHeading___Toc16358819_1280447820">
            <w:r>
              <w:rPr>
                <w:webHidden/>
                <w:rStyle w:val="IndexLink"/>
                <w:rtl w:val="true"/>
              </w:rPr>
              <w:t>مع الاجواء الطببعية لقضية مارية</w:t>
            </w:r>
            <w:r>
              <w:rPr>
                <w:rStyle w:val="IndexLink"/>
                <w:rtl w:val="true"/>
              </w:rPr>
              <w:tab/>
            </w:r>
            <w:r>
              <w:rPr>
                <w:rStyle w:val="IndexLink"/>
              </w:rPr>
              <w:t>29</w:t>
            </w:r>
          </w:hyperlink>
        </w:p>
        <w:p>
          <w:pPr>
            <w:pStyle w:val="Contents2"/>
            <w:tabs>
              <w:tab w:val="clear" w:pos="8743"/>
              <w:tab w:val="right" w:pos="9026" w:leader="dot"/>
            </w:tabs>
            <w:rPr/>
          </w:pPr>
          <w:hyperlink w:anchor="__RefHeading___Toc16358821_1280447820">
            <w:r>
              <w:rPr>
                <w:webHidden/>
                <w:rStyle w:val="IndexLink"/>
                <w:rtl w:val="true"/>
              </w:rPr>
              <w:t>دور عمر في قضية مارية تبرئة أو اتهاما</w:t>
            </w:r>
            <w:r>
              <w:rPr>
                <w:rStyle w:val="IndexLink"/>
                <w:rtl w:val="true"/>
              </w:rPr>
              <w:tab/>
            </w:r>
            <w:r>
              <w:rPr>
                <w:rStyle w:val="IndexLink"/>
              </w:rPr>
              <w:t>31</w:t>
            </w:r>
          </w:hyperlink>
        </w:p>
        <w:p>
          <w:pPr>
            <w:pStyle w:val="Contents2"/>
            <w:tabs>
              <w:tab w:val="clear" w:pos="8743"/>
              <w:tab w:val="right" w:pos="9026" w:leader="dot"/>
            </w:tabs>
            <w:rPr/>
          </w:pPr>
          <w:hyperlink w:anchor="__RefHeading___Toc16358823_1280447820">
            <w:r>
              <w:rPr>
                <w:webHidden/>
                <w:rStyle w:val="IndexLink"/>
                <w:rtl w:val="true"/>
              </w:rPr>
              <w:t>براءة مارية</w:t>
            </w:r>
            <w:r>
              <w:rPr>
                <w:rStyle w:val="IndexLink"/>
                <w:rtl w:val="true"/>
              </w:rPr>
              <w:tab/>
            </w:r>
            <w:r>
              <w:rPr>
                <w:rStyle w:val="IndexLink"/>
              </w:rPr>
              <w:t>32</w:t>
            </w:r>
          </w:hyperlink>
        </w:p>
        <w:p>
          <w:pPr>
            <w:pStyle w:val="Contents2"/>
            <w:tabs>
              <w:tab w:val="clear" w:pos="8743"/>
              <w:tab w:val="right" w:pos="9026" w:leader="dot"/>
            </w:tabs>
            <w:rPr/>
          </w:pPr>
          <w:hyperlink w:anchor="__RefHeading___Toc16358825_1280447820">
            <w:r>
              <w:rPr>
                <w:webHidden/>
                <w:rStyle w:val="IndexLink"/>
                <w:rtl w:val="true"/>
              </w:rPr>
              <w:t>كلام السيد المرتضى</w:t>
            </w:r>
            <w:r>
              <w:rPr>
                <w:rStyle w:val="IndexLink"/>
                <w:rtl w:val="true"/>
              </w:rPr>
              <w:tab/>
            </w:r>
            <w:r>
              <w:rPr>
                <w:rStyle w:val="IndexLink"/>
              </w:rPr>
              <w:t>33</w:t>
            </w:r>
          </w:hyperlink>
        </w:p>
        <w:p>
          <w:pPr>
            <w:pStyle w:val="Contents2"/>
            <w:tabs>
              <w:tab w:val="clear" w:pos="8743"/>
              <w:tab w:val="right" w:pos="9026" w:leader="dot"/>
            </w:tabs>
            <w:rPr/>
          </w:pPr>
          <w:hyperlink w:anchor="__RefHeading___Toc16358827_1280447820">
            <w:r>
              <w:rPr>
                <w:webHidden/>
                <w:rStyle w:val="IndexLink"/>
                <w:rtl w:val="true"/>
              </w:rPr>
              <w:t>أما نحن فنقول</w:t>
            </w:r>
            <w:r>
              <w:rPr>
                <w:rStyle w:val="IndexLink"/>
                <w:rtl w:val="true"/>
              </w:rPr>
              <w:t>:</w:t>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58_197367"/>
      <w:bookmarkStart w:id="1" w:name="pg18758_197367"/>
      <w:bookmarkEnd w:id="1"/>
    </w:p>
    <w:p>
      <w:pPr>
        <w:pStyle w:val="Heading2"/>
        <w:numPr>
          <w:ilvl w:val="1"/>
          <w:numId w:val="1"/>
        </w:numPr>
        <w:rPr/>
      </w:pPr>
      <w:bookmarkStart w:id="2" w:name="pg18758_197367"/>
      <w:bookmarkStart w:id="3" w:name="__RefHeading___Toc16358807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حول خبر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النعمان‌ابن المعلم ابی‌عبدالله العکبیری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المفید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5880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رِسَالَةٌ حَوْلَ خَبَرِ مَارِيَةَ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8758_197369"/>
    </w:p>
    <w:p>
      <w:pPr>
        <w:pStyle w:val="Heading2"/>
        <w:numPr>
          <w:ilvl w:val="1"/>
          <w:numId w:val="1"/>
        </w:numPr>
        <w:rPr/>
      </w:pPr>
      <w:bookmarkStart w:id="8" w:name="__RefHeading___Toc16358811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جهد أعداء الاسلام منذ البداية في الاساءة إليه، وتشويه سمعته عند عامة الناس بشتى الاشكال، إن باتهام شخص النبي محمد صلى الله عليه وآله وسلم، بالسحر والكذب، وما إلى ذلك من الافتراء والفحش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الاساءة إلى تعاليمه والمقدسات التي عظمها، بالسخرية والتزييف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واجهوا في شخص الرسول الاعظم صلى الله عليه واله وسلم عملاقا، لا تمسه أوهام التهم، وصادقا لا يشوبه شبح الكذب، وأمينا، حكيما، مدبرا، ذا خلق عظيم، تخضع له القلوب قبل الرقاب، وذا شخصية قوية رفيعة القمة لا يرقى إليها طير أحلامهم، في السمو والشموخ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وواجهوا من تعاليمه، في قرانه وسنته، سدا منيعا من القيم والشيم و الدروس، والمخططات الناجحة، والاهداف السامية، السريعة الاثر في النفوس، لا تنفذ فيها سهام الحقد الجاهلي، والنعرة الطائفية، وكبر العنصرية، ولا تلوثها الدعايات المغرضة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رأوا الابواب تلك أمام بغيهم موصدة، في لجأوا إلى الشغب والتشويش </w:t>
      </w:r>
    </w:p>
    <w:p>
      <w:pPr>
        <w:pStyle w:val="BookText"/>
        <w:rPr/>
      </w:pPr>
      <w:r>
        <w:rPr>
          <w:rFonts w:ascii="Amiri" w:hAnsi="Amiri" w:eastAsia="Amiri" w:cs="Amiri"/>
          <w:color w:val="111111"/>
          <w:sz w:val="28"/>
          <w:sz w:val="28"/>
          <w:szCs w:val="28"/>
          <w:rtl w:val="true"/>
          <w:lang w:bidi="ar-SA"/>
        </w:rPr>
        <w:t xml:space="preserve">من خلال ما ومن يتصل به من المتعلقين والاطراف والاصحاب رجالا ونساءا، وهم بشر، ممن لم يعتصموا بكل التعاليم إلى حد الكمال والعصمة والخلق والامانة والعفة، فبالامكان اختراقهم، أو دفعهم على ما لا يليق، أو اتهامهم في مجتمع ساذج جاهلي متخلف فلذلك، حاول أعداء الاسلام تلطيخ سمعة بعض نسائه، حيث أن اتهامهن مثار لسقوط اعتبارهن عن الاعين فيمس صاحب البيت من ذلك شئ، وهو غاية ما يبنيه الحقراء الحاقدون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فوجدوا من بعض نسائه ضعفا في الالتزامات الخلقية تجاه الرسول نفسه، أو تجاه أهل بيته، و سائر زوجاته، إلى حد المظاهرة عليه، وإفشاء بعض ما أسر إليها، فعرفوا أن بالامكان اختراقها وتحريك أحاسيسها وهي امرأة، وخاصة تجاه ضرائرها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ماس في قصة مارية القبطية، زوجة الرسول صلى الله عليه واله وسلم، وأم ولده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حدثت بالضبط عندما ولدت هذه السيدة الطيبة ابن رسول الله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أيسر أن تثار زوجة عاقر، ضد ضرتها التي ولدت 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أشد حقد زوجة تعتد بجمالها، وانتماءها القبلي، ضد ضرتها التي هي أمة مهداة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نوافذ مهما حقرت أو كبرت، يمكن أن ينفذ أعداء النبي صلى الله عليه وآله وسلم، وهم شياطنة قريش أو أرذال بني تيم، وطغاة بني عدي، لتسئ إلى كرامة الرسول، الذي سفه أحلامهم، وكسر كبرياءهم وغرورهم، وأرغم أنوفهم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وأطلقهم عبيدا وقد كانوا سادة، لسادة كانوا لهم عبيدا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عائشة هي التي أثارت التهمة ضد السيدة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القبطية، فقذفتها بأن ولدها ليس من النبي صلى الله عليه واله وسلم، وإنما هو من ابن عمها جريج القبطي، الذي كان يخدمها، وكان كلام عائشة خطابا للنبي صلى الله عليه واله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فغصب النبي صلى الله عليه واله وسلم، وقال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 إلى بيت مارية، فإن وجدت القبطي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أغضبت عائشة النبي صلى الله عليه واله وسلم حيث أصبحت ألعوبة بأيدي أعداء الاسلام، وهي في داخل بيت الرسول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اعلن الرسول غضبه، وأطلق هذا الامر، ليعبر عن سخطه ودفاعه عن شرف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أمير المؤمنين عليه السلام تلميذ الرسول صلى الله عليه وآله وسلم كان يعلم أن الامر في مثل هذا الموقف، ليس اطلاقه مرادا، لان التعاليم الاسلامية تقيده، فلذلك راح يعلن هذه الحقيقة للسامعين فاستفسر ذلك من النبي صلى الله عليه واله وسلم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بالامر، فاكون فيه كالسبيكة المحماة في ذات الوبر، فامضي لامرك في القبطي،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الشاهد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النبيي صلى الله عليه وأله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الشاهد ما لا يرى الغائب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أمير المؤمنين عليه السلام إلى بيت مارية القبطية، فوجد القبطي فيه، فلما رأى السيف بيد أمير المؤمنين عليه السلام صعد إلى نخلة في الدار، فهبت ريح كشفت عن ثوبه، فإذا هو ممسوح، ليس له ما للرجال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فتركه أمير المؤمنين عليه السلام وعاد إلى النبي صلى الله عليه واله وسلم، فأخبره الخبر، فسري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نزهنا أهل البيت مما رمتنا به أشرار الناس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فخاب الا شرار والشريرة التي أصبحت الة في أيديهم فيما سعوا إليه من تشويه سمعة النبي صلى الله عليه واله، باستهداف زوجته السيدة مارية 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هذا الحديث تساؤلات عديدة أوجبت لكثير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ففرقة من الغلاة الكفرة، المنتحلة للزيغ،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الامام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الشاهد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الامر له في الباطن، وان النبي هو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المعتزلة من العامة بجواز الخطأ في الاحكام على النبي صلى الله عليه واله وسلم 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بقتل 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خطأ، عرفه الامام أمير المؤمنين عليه السلام، فنبه الرسول بالاشتراط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الفرقة المنتسبة إلى موسى بن عمران القائلة، بان النبي صلى الله عليه وآله وسلم كان يشرع لهم بالنص تارة، وبالاختيار أخرى وأنه كان مفوضا إليه القول بالاحكام بما شاء وكيف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أصحاب الرأى والاستحسان من متفقهة العوام إلى أن النبي صلاى الله عليه واله وسلم كان يحكم بالرأي ثم يرجع عنه، حسب ما يراه في كل حال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والزنادقة جعلوا ذلك حجة في الطعن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لهذا الحوار، الذي وقع بين النبي وعلي عليه السلام، وجوه واضحة </w:t>
      </w:r>
    </w:p>
    <w:p>
      <w:pPr>
        <w:pStyle w:val="BookText"/>
        <w:rPr/>
      </w:pPr>
      <w:r>
        <w:rPr>
          <w:rFonts w:ascii="Amiri" w:hAnsi="Amiri" w:eastAsia="Amiri" w:cs="Amiri"/>
          <w:color w:val="111111"/>
          <w:sz w:val="28"/>
          <w:sz w:val="28"/>
          <w:szCs w:val="28"/>
          <w:rtl w:val="true"/>
          <w:lang w:bidi="ar-SA"/>
        </w:rPr>
        <w:t>في الحق، لاتخفى لمن وقف عليها من ذوي الانصاف،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الاوامر الصادرة من العقلاء، إطلاقا وتقييدا، وإجمالا وبيانا، تتبع معرفة المأمورين ومدى ذكائهم، ومقدار عقلهم وإدراكهم، فان كان المأمور متوسطا في الذكاء والعقل والمعرفة احتاج إلى تأكيد وزيادة بيان، وان كان المأمور دون ذلك في المعرفة والعقل والذكاء احتاج إلى الشرح والتفصيل والتوضيح والاعادة والتكرار، وان كان فائق الذكاء والمعرفة والعقل لم يحتج إلى شئ من التأكيد ولا البيان، ويكتفى معه بالاجمال والاطلاق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بحسب الثقة بالمأمور في طاعته، والسكون إلى سداده وضبطه، يختلف اخذ الموقف منه بالتأكيد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 متفق عليه أهل النظر كافة، وجمهور العقلاء، فلا حاجة بنا إلى تكلف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الراوى ومداها، لها الاثر الواضح في تشتكل النص الذي يلقيه الامام إليه للدلالة على قضية أو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الوقوف على مبلغ علم الراوي ومعرفته الفكرية والفقهية لها الاثر في تبلور النصوص التي يرويها عن الامام عليه السلام، وخاصة في وضوحه وبيانه، أو اجماله، وكذلك في الخصوص والعموم،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فبما أن النبي صلى الله عليه واله كان بصدد دفع التهمة عن زوجته، لتنزيه العائلة المنتسبة إليه، وإنما استهدف القبطي لمجرد كونه محلا لتهمة أولئك الاشرار، لا أن القبطي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مهدور الدم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أطلق النبي صلى الله عليه وآله الامر، وأوكل تقييده إلى علي عليه السلام، ولو كان غير علي عليه السلام مأمورا بذلك لفصل له النبي صلى </w:t>
      </w:r>
    </w:p>
    <w:p>
      <w:pPr>
        <w:pStyle w:val="BookText"/>
        <w:rPr/>
      </w:pPr>
      <w:r>
        <w:rPr>
          <w:rFonts w:ascii="Amiri" w:hAnsi="Amiri" w:eastAsia="Amiri" w:cs="Amiri"/>
          <w:color w:val="111111"/>
          <w:sz w:val="28"/>
          <w:sz w:val="28"/>
          <w:szCs w:val="28"/>
          <w:rtl w:val="true"/>
          <w:lang w:bidi="ar-SA"/>
        </w:rPr>
        <w:t xml:space="preserve">الله عليه واله وسلم ولم يترك الامر مطلقا غير مبين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هذة العملية دليل على فضل علي عليه السلام، حيث أنه كان عالما بتفاصيل الاحكام الشرعية، فأظهر الاشتراط، وأخبر به قبل أن يخبره النبي صلى الله عليه واله وسلم، ليكشف بذلك عن فضله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واعلن علي عليه السلام عن ذلك، بلسان السؤال عن النبي صلى الله عليه واله، لانه اكثر توغلا في الادب، ولئلا يسئ الادب مع النبي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لو لم يعلن عن هذا التفصيل، الذي أعلنه بلسان السؤال، وكان يعمل طبقا لما عرفه من الحكم بالتفصيل، لو لم يفعل ذلك لاتهمه المغرضون بمخالفة النبي صلى الله عليه واله وسلم، حيث لم ينفذ أمره بقتل القبطي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إطلاق النبي صلى الله عليه واله، وسؤال علي عليه السلام و كشفه عما تضمنه الكلام من الاحكام والتي استنبطها الامام عليه السلام من الفوائد في فضلهما وعصمتهما ونطقهما بالحق، ما بيناه وأوضحناه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في توجيه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القبطي مهدور الدم، لدخوله بيت النبي صلى الله عليه وآله وسلم بغير إذن، وعلى غير إخبار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الامر كذلك لعلي عليه السلام، فلذلك سال عن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قتل القبطي مفوضا إلى النبي صلى الله عليه وآله مطلقا، ففوضه إلى علي عليه السلام مشروطا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مشاكلة الامام عليه السلام للنبي صلى الله عليه وآله في </w:t>
      </w:r>
    </w:p>
    <w:p>
      <w:pPr>
        <w:pStyle w:val="BookText"/>
        <w:rPr/>
      </w:pPr>
      <w:r>
        <w:rPr>
          <w:rFonts w:ascii="Amiri" w:hAnsi="Amiri" w:eastAsia="Amiri" w:cs="Amiri"/>
          <w:color w:val="111111"/>
          <w:sz w:val="28"/>
          <w:sz w:val="28"/>
          <w:szCs w:val="28"/>
          <w:rtl w:val="true"/>
          <w:lang w:bidi="ar-SA"/>
        </w:rPr>
        <w:t>العصمة والكمال، ومساهمة في ولاية الامر من تقرير الدين والاحكام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للحديث توجيه على اي من الوجوه المتقدة، بطلت جميع الشبه المذكورة، التي أثارتها الفرق الضالة المزبورة لان ما التزموه يكون خارجا عن المحتوى المفهوم من النص، وإنما تصبح دعاوى فارغة، مجردة عن الدليل، إذ أن النص إذا كان له تأويل عقلائي، ومعنى صحيح ومعقول عند الحكماء، لم يكن للعلول عنه طريق، الا التحكم بالاماني الخائبات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السيد محمد رضا الحسيني الجلالي رسالة حول خبر مارية </w:t>
      </w:r>
      <w:bookmarkStart w:id="10" w:name="pg18758_197376"/>
    </w:p>
    <w:p>
      <w:pPr>
        <w:pStyle w:val="Heading2"/>
        <w:numPr>
          <w:ilvl w:val="1"/>
          <w:numId w:val="1"/>
        </w:numPr>
        <w:rPr/>
      </w:pPr>
      <w:bookmarkStart w:id="11" w:name="__RefHeading___Toc16358813_1280447820"/>
      <w:bookmarkStart w:id="12" w:name="_Toc4"/>
      <w:bookmarkEnd w:id="10"/>
      <w:bookmarkEnd w:id="11"/>
      <w:r>
        <w:rPr>
          <w:rtl w:val="true"/>
        </w:rPr>
        <w:t>رسالة حول خبر مارية</w:t>
      </w:r>
      <w:bookmarkEnd w:id="12"/>
    </w:p>
    <w:p>
      <w:pPr>
        <w:pStyle w:val="BookText"/>
        <w:rPr/>
      </w:pPr>
      <w:r>
        <w:rPr>
          <w:rFonts w:ascii="Amiri" w:hAnsi="Amiri" w:eastAsia="Amiri" w:cs="Amiri"/>
          <w:color w:val="111111"/>
          <w:sz w:val="28"/>
          <w:sz w:val="28"/>
          <w:szCs w:val="28"/>
          <w:rtl w:val="true"/>
          <w:lang w:bidi="ar-SA"/>
        </w:rPr>
        <w:t>نسخ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اعتمدت في تحقيق الكتاب على النسخ التالية حسب أسبقيتها في التاريخ بالنسبة إلى عصر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مره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آية الله المرعشي العامة في قم، في ضمن مجموعة 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عليها تملك محرم سنة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في فهرس المكتبة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صفحة من أولها، وسقطت منها الصفحات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ونرمز إلى هذه النسخة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آية الله المرعشي العامة في قم أيضا، في ضمن مجموعة 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نسخها عبد الحميد بن محمد مقيم، خطيب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انتهاء النسخ في نهاية 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ونرمز إلى هذه النسخة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مجلس الشورى الاسلامي في طهران، ضمن المجموعة المرقمة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المهداة إلى المكتبة من قبل امام </w:t>
      </w:r>
    </w:p>
    <w:p>
      <w:pPr>
        <w:pStyle w:val="BookText"/>
        <w:rPr/>
      </w:pPr>
      <w:r>
        <w:rPr>
          <w:rFonts w:ascii="Amiri" w:hAnsi="Amiri" w:eastAsia="Amiri" w:cs="Amiri"/>
          <w:color w:val="111111"/>
          <w:sz w:val="28"/>
          <w:sz w:val="28"/>
          <w:szCs w:val="28"/>
          <w:rtl w:val="true"/>
          <w:lang w:bidi="ar-SA"/>
        </w:rPr>
        <w:t>الجمعة الخوئي، من مخطوطات القرن الحادي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ونرمز إلى هذه النسخة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آية الله المرعشي العامة في قم أيضا، ضمن المجموعة المرقمة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ونرمز إلى هذه النسخة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اية الله الحكيم العامة في النجف، ضمن مجموعة المرقمة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الانتهاء من نسخها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بخط الشيخ محمد بن الشيخ طاهر السماوي، فلمها موجود في المكتبة المركزية لجامعة طهران برقم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ونرمز إلى هذه النسخة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في النجف الاشرف ضمن رسائل المفيد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ونرمز الى هذه النسخة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7" o:detectmouseclick="t"/>
                <v:stroke color="#3465a4" joinstyle="round" endcap="flat"/>
                <w10:wrap type="none"/>
              </v:shape>
            </w:pict>
          </mc:Fallback>
        </mc:AlternateContent>
      </w:r>
      <w:bookmarkStart w:id="13" w:name="pg18758_197382"/>
    </w:p>
    <w:p>
      <w:pPr>
        <w:pStyle w:val="Heading2"/>
        <w:numPr>
          <w:ilvl w:val="1"/>
          <w:numId w:val="1"/>
        </w:numPr>
        <w:rPr/>
      </w:pPr>
      <w:bookmarkStart w:id="14" w:name="__RefHeading___Toc16358815_1280447820"/>
      <w:bookmarkStart w:id="15" w:name="_Toc5"/>
      <w:bookmarkEnd w:id="13"/>
      <w:bookmarkEnd w:id="14"/>
      <w:r>
        <w:rPr>
          <w:rtl w:val="true"/>
        </w:rPr>
        <w:t>الملك الحقّ المبين</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السيد الشريف، الفاضل الجليل، وأدام الله تأييده ونعمته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المعتزلة عن الخبر المروي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اللة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w:t>
      </w:r>
      <w:r>
        <w:rPr>
          <w:rStyle w:val="FootnoteAnchor"/>
          <w:rtl w:val="true"/>
        </w:rPr>
        <w:footnoteReference w:id="2"/>
      </w: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قذف </w:t>
      </w:r>
      <w:r>
        <w:rPr>
          <w:rStyle w:val="FootnoteAnchor"/>
          <w:rtl w:val="true"/>
        </w:rPr>
        <w:footnoteReference w:id="3"/>
      </w:r>
      <w:r>
        <w:rPr>
          <w:rFonts w:ascii="IRNazanin" w:hAnsi="IRNazanin" w:eastAsia="IRNazanin"/>
          <w:color w:val="111111"/>
          <w:sz w:val="28"/>
          <w:sz w:val="28"/>
          <w:szCs w:val="28"/>
          <w:rtl w:val="true"/>
          <w:lang w:bidi="fa-IR"/>
        </w:rPr>
        <w:t xml:space="preserve">بعض الازواج </w:t>
      </w:r>
      <w:r>
        <w:rPr>
          <w:rStyle w:val="FootnoteAnchor"/>
          <w:rtl w:val="true"/>
        </w:rPr>
        <w:footnoteReference w:id="4"/>
      </w:r>
      <w:r>
        <w:rPr>
          <w:rFonts w:ascii="Amiri" w:hAnsi="Amiri" w:eastAsia="Amiri" w:cs="Amiri"/>
          <w:color w:val="111111"/>
          <w:sz w:val="28"/>
          <w:sz w:val="28"/>
          <w:szCs w:val="28"/>
          <w:rtl w:val="true"/>
          <w:lang w:bidi="ar-SA"/>
        </w:rPr>
        <w:t xml:space="preserve">لها بابن عمها، 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يا علي 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مارية، فان وجدت القبطي فيه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تأمرني يا رسول اللّه بالامر، فاكون فيه كالسكة المحماة في ذات الوبر ؟، فامضي لامرك في القبطي، أو يرى الشاهد ما لا يرى الغائب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الشاهد ما لا يرى الغائب</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مارية القبطية، فوجد القبطي فيه، فلما رأى السيف بيد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إلى نخلة في الدار، فهبت ريح كشفت عنه ثوبه، فإذا هو ممسوح، ليس له ما للرجال، فتركه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 الخبر، فسري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نزهنا أهل البيت عما يرمينا به أشرار الناس من السؤ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مشهور وتفصيله عند أهل العلم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عندكم ثابت،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خبر مسلم، يصطلح على ثبوته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إذن </w:t>
      </w:r>
      <w:r>
        <w:rPr>
          <w:rStyle w:val="FootnoteAnchor"/>
          <w:rtl w:val="true"/>
        </w:rPr>
        <w:footnoteReference w:id="6"/>
      </w:r>
      <w:r>
        <w:rPr>
          <w:rFonts w:ascii="Amiri" w:hAnsi="Amiri" w:eastAsia="Amiri" w:cs="Amiri"/>
          <w:color w:val="111111"/>
          <w:sz w:val="28"/>
          <w:sz w:val="28"/>
          <w:szCs w:val="28"/>
          <w:rtl w:val="true"/>
          <w:lang w:bidi="ar-SA"/>
        </w:rPr>
        <w:t xml:space="preserve">ما وجه إطلاق النبي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بقتل نفس على التهمة، من غير يقين </w:t>
      </w:r>
      <w:r>
        <w:rPr>
          <w:rStyle w:val="FootnoteAnchor"/>
          <w:rtl w:val="true"/>
        </w:rPr>
        <w:footnoteReference w:id="8"/>
      </w:r>
      <w:r>
        <w:rPr>
          <w:rFonts w:ascii="Amiri" w:hAnsi="Amiri" w:eastAsia="Amiri" w:cs="Amiri"/>
          <w:color w:val="111111"/>
          <w:sz w:val="28"/>
          <w:sz w:val="28"/>
          <w:szCs w:val="28"/>
          <w:rtl w:val="true"/>
          <w:lang w:bidi="ar-SA"/>
        </w:rPr>
        <w:t>لما يوجب ذلك منها ؟</w:t>
      </w:r>
    </w:p>
    <w:p>
      <w:pPr>
        <w:pStyle w:val="BookText"/>
        <w:rPr/>
      </w:pPr>
      <w:r>
        <w:rPr>
          <w:rFonts w:ascii="IRNazanin" w:hAnsi="IRNazanin" w:eastAsia="IRNazanin"/>
          <w:color w:val="111111"/>
          <w:sz w:val="28"/>
          <w:sz w:val="28"/>
          <w:szCs w:val="28"/>
          <w:rtl w:val="true"/>
          <w:lang w:bidi="fa-IR"/>
        </w:rPr>
        <w:t xml:space="preserve">وما وجه اشتراط </w:t>
      </w:r>
      <w:r>
        <w:rPr>
          <w:rStyle w:val="FootnoteAnchor"/>
          <w:rtl w:val="true"/>
        </w:rPr>
        <w:footnoteReference w:id="9"/>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 المشاهدة، وسؤاله عن امتثال الامر على كل حال، أو على بعض الاحوال ؟</w:t>
      </w:r>
    </w:p>
    <w:p>
      <w:pPr>
        <w:pStyle w:val="BookText"/>
        <w:rPr/>
      </w:pPr>
      <w:r>
        <w:rPr>
          <w:rFonts w:ascii="Amiri" w:hAnsi="Amiri" w:eastAsia="Amiri" w:cs="Amiri"/>
          <w:color w:val="111111"/>
          <w:sz w:val="28"/>
          <w:sz w:val="28"/>
          <w:szCs w:val="28"/>
          <w:rtl w:val="true"/>
          <w:lang w:bidi="ar-SA"/>
        </w:rPr>
        <w:t xml:space="preserve">وهل لاختلاف الحال في هذين المعنيين عندك وجه تذكره ببرهان </w:t>
      </w:r>
      <w:r>
        <w:rPr>
          <w:rStyle w:val="FootnoteAnchor"/>
          <w:rtl w:val="true"/>
        </w:rPr>
        <w:footnoteReference w:id="10"/>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بمضمون هذا الخبر طوائف من الناس، كل طائفة تبني </w:t>
      </w:r>
      <w:r>
        <w:rPr>
          <w:rStyle w:val="FootnoteAnchor"/>
          <w:rtl w:val="true"/>
        </w:rPr>
        <w:footnoteReference w:id="11"/>
      </w:r>
      <w:r>
        <w:rPr>
          <w:rFonts w:ascii="Amiri" w:hAnsi="Amiri" w:eastAsia="Amiri" w:cs="Amiri"/>
          <w:color w:val="111111"/>
          <w:sz w:val="28"/>
          <w:sz w:val="28"/>
          <w:szCs w:val="28"/>
          <w:rtl w:val="true"/>
          <w:lang w:bidi="ar-SA"/>
        </w:rPr>
        <w:t>مذهبا لها، تأسيسه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المنتحلة للزيغ، زعمت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بذكر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الشاهد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وعنى بمقاله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مشاهد جميع الاشياء، وأن الامر له في الباطن والتدبير، دون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والمعتزلة، المجوزة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 في الاحكام، زعموا أن إطلاق الامر منه بقتل القبطي كان غلطا، عرفه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فنبهه بالاشتراط عليه، فلما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رجع </w:t>
      </w:r>
      <w:r>
        <w:rPr>
          <w:rStyle w:val="FootnoteAnchor"/>
          <w:rtl w:val="true"/>
        </w:rPr>
        <w:footnoteReference w:id="12"/>
      </w:r>
      <w:r>
        <w:rPr>
          <w:rFonts w:ascii="IRNazanin" w:hAnsi="IRNazanin" w:eastAsia="IRNazanin"/>
          <w:color w:val="111111"/>
          <w:sz w:val="28"/>
          <w:sz w:val="28"/>
          <w:szCs w:val="28"/>
          <w:rtl w:val="true"/>
          <w:lang w:bidi="fa-IR"/>
        </w:rPr>
        <w:t>إلى الصواب</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الفرقه المنتسبة إلى موسى بن عمران </w:t>
      </w:r>
      <w:r>
        <w:rPr>
          <w:rStyle w:val="FootnoteAnchor"/>
          <w:rtl w:val="true"/>
        </w:rPr>
        <w:footnoteReference w:id="13"/>
      </w:r>
      <w:r>
        <w:rPr>
          <w:rFonts w:ascii="Amiri" w:hAnsi="Amiri" w:eastAsia="Amiri" w:cs="Amiri"/>
          <w:color w:val="111111"/>
          <w:sz w:val="28"/>
          <w:sz w:val="28"/>
          <w:szCs w:val="28"/>
          <w:rtl w:val="true"/>
          <w:lang w:bidi="ar-SA"/>
        </w:rPr>
        <w:t xml:space="preserve">، القائلة بان النبيّ </w:t>
      </w:r>
      <w:r>
        <w:rPr>
          <w:rFonts w:eastAsia="Amiri" w:cs="Amiri" w:ascii="Amiri" w:hAnsi="Amiri"/>
          <w:color w:val="111111"/>
          <w:sz w:val="28"/>
          <w:szCs w:val="28"/>
          <w:rtl w:val="true"/>
          <w:lang w:bidi="ar-SA"/>
        </w:rPr>
        <w:t xml:space="preserve">- </w:t>
      </w:r>
      <w:bookmarkStart w:id="16" w:name="pg18758_197386"/>
    </w:p>
    <w:p>
      <w:pPr>
        <w:pStyle w:val="BookText"/>
        <w:rPr/>
      </w:pPr>
      <w:bookmarkEnd w:id="16"/>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يشرع </w:t>
      </w:r>
      <w:r>
        <w:rPr>
          <w:rStyle w:val="FootnoteAnchor"/>
          <w:rtl w:val="true"/>
        </w:rPr>
        <w:footnoteReference w:id="14"/>
      </w:r>
      <w:r>
        <w:rPr>
          <w:rFonts w:ascii="Amiri" w:hAnsi="Amiri" w:eastAsia="Amiri" w:cs="Amiri"/>
          <w:color w:val="111111"/>
          <w:sz w:val="28"/>
          <w:sz w:val="28"/>
          <w:szCs w:val="28"/>
          <w:rtl w:val="true"/>
          <w:lang w:bidi="ar-SA"/>
        </w:rPr>
        <w:t xml:space="preserve">بالنص تارة، وبالاختيار </w:t>
      </w:r>
      <w:r>
        <w:rPr>
          <w:rStyle w:val="FootnoteAnchor"/>
          <w:rtl w:val="true"/>
        </w:rPr>
        <w:footnoteReference w:id="15"/>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مفوضا إليه القول في الاحكام بما شاء وكيف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أصحاب الرأي والاستحسان من متفقهة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الذاهبين إلى أن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يحكم بالرأي ثم يرجع عنه، ويقول بالاستحسان ثم يتعقبه بالخلاف لما </w:t>
      </w:r>
      <w:r>
        <w:rPr>
          <w:rStyle w:val="FootnoteAnchor"/>
          <w:rtl w:val="true"/>
        </w:rPr>
        <w:footnoteReference w:id="16"/>
      </w:r>
      <w:r>
        <w:rPr>
          <w:rFonts w:ascii="Amiri" w:hAnsi="Amiri" w:eastAsia="Amiri" w:cs="Amiri"/>
          <w:color w:val="111111"/>
          <w:sz w:val="28"/>
          <w:sz w:val="28"/>
          <w:szCs w:val="28"/>
          <w:rtl w:val="true"/>
          <w:lang w:bidi="ar-SA"/>
        </w:rPr>
        <w:t>، حسب ما يراه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مخالفوا الملة، من الزنادقة وأهل الذمة، فانهم جعلوا ذلك حجة لهم فيما طعنوا به في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6358817_1280447820"/>
      <w:bookmarkStart w:id="18" w:name="_Toc6"/>
      <w:bookmarkEnd w:id="17"/>
      <w:r>
        <w:rPr>
          <w:rtl w:val="true"/>
        </w:rPr>
        <w:t>فصل</w:t>
      </w:r>
      <w:bookmarkEnd w:id="18"/>
    </w:p>
    <w:p>
      <w:pPr>
        <w:pStyle w:val="BookText"/>
        <w:rPr/>
      </w:pPr>
      <w:r>
        <w:rPr>
          <w:rFonts w:ascii="Amiri" w:hAnsi="Amiri" w:eastAsia="Amiri" w:cs="Amiri"/>
          <w:color w:val="111111"/>
          <w:sz w:val="28"/>
          <w:sz w:val="28"/>
          <w:szCs w:val="28"/>
          <w:rtl w:val="true"/>
          <w:lang w:bidi="ar-SA"/>
        </w:rPr>
        <w:t xml:space="preserve">وقد ذهب جميع من ذكرناه عن الصواب في مضمون الخبر، وأسسوا قولهم فيه على مبنى </w:t>
      </w:r>
      <w:r>
        <w:rPr>
          <w:rStyle w:val="FootnoteAnchor"/>
          <w:rtl w:val="true"/>
        </w:rPr>
        <w:footnoteReference w:id="17"/>
      </w:r>
      <w:r>
        <w:rPr>
          <w:rFonts w:ascii="IRNazanin" w:hAnsi="IRNazanin" w:eastAsia="IRNazanin"/>
          <w:color w:val="111111"/>
          <w:sz w:val="28"/>
          <w:sz w:val="28"/>
          <w:szCs w:val="28"/>
          <w:rtl w:val="true"/>
          <w:lang w:bidi="fa-IR"/>
        </w:rPr>
        <w:t>ظاهر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ولامر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القبطي واشتراط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فيه واستفهامه عن المراد، وجوه واضحة في الحق، لائحة لمن وقف عليها من ذوى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أذكرها على التفصيل، لتعلم أيها السائل بها ما التمست علمه، وتبطل بها شبهة أهل الضلال، ان شاء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 الحكماء في الاطلاق والتقييد، والاجمال والتفصيل بحسب معرفة المأمور، وحكمته وذكائه والاختصار </w:t>
      </w:r>
      <w:r>
        <w:rPr>
          <w:rStyle w:val="FootnoteAnchor"/>
          <w:rtl w:val="true"/>
        </w:rPr>
        <w:footnoteReference w:id="18"/>
      </w:r>
      <w:r>
        <w:rPr>
          <w:rFonts w:ascii="Amiri" w:hAnsi="Amiri" w:eastAsia="Amiri" w:cs="Amiri"/>
          <w:color w:val="111111"/>
          <w:sz w:val="28"/>
          <w:sz w:val="28"/>
          <w:szCs w:val="28"/>
          <w:rtl w:val="true"/>
          <w:lang w:bidi="ar-SA"/>
        </w:rPr>
        <w:t xml:space="preserve">، فان كان في الوسط منه </w:t>
      </w:r>
    </w:p>
    <w:p>
      <w:pPr>
        <w:pStyle w:val="BookText"/>
        <w:rPr/>
      </w:pPr>
      <w:r>
        <w:rPr>
          <w:rFonts w:ascii="Amiri" w:hAnsi="Amiri" w:eastAsia="Amiri" w:cs="Amiri"/>
          <w:color w:val="111111"/>
          <w:sz w:val="28"/>
          <w:sz w:val="28"/>
          <w:szCs w:val="28"/>
          <w:rtl w:val="true"/>
          <w:lang w:bidi="ar-SA"/>
        </w:rPr>
        <w:t xml:space="preserve">احتاج إلى تأكيد وزيادة بيان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دون ذلك احتيج معه إلى الشرح والتفصيل والاعادة للمقام والتكرار،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الثقة به في الطاعة أيضا، والسكون إلى سداده يختلف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بين يتفق عليه كافة أهل النظر وجمهور العقلاء، فلا حاجة بنا إلى تكليف دليل عليه، لما </w:t>
      </w:r>
      <w:r>
        <w:rPr>
          <w:rStyle w:val="FootnoteAnchor"/>
          <w:rtl w:val="true"/>
        </w:rPr>
        <w:footnoteReference w:id="20"/>
      </w:r>
      <w:r>
        <w:rPr>
          <w:rFonts w:ascii="Amiri" w:hAnsi="Amiri" w:eastAsia="Amiri" w:cs="Amiri"/>
          <w:color w:val="111111"/>
          <w:sz w:val="28"/>
          <w:sz w:val="28"/>
          <w:szCs w:val="28"/>
          <w:rtl w:val="true"/>
          <w:lang w:bidi="ar-SA"/>
        </w:rPr>
        <w:t>وصفعناه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الامر فيه على ما قدمناه لم ينكر أن 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الامر بقتل 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الشرط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ولا يحتاج فيه إلى ذكره له في نفس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غير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يؤمن عليه فهل </w:t>
      </w:r>
      <w:r>
        <w:rPr>
          <w:rStyle w:val="FootnoteAnchor"/>
          <w:rtl w:val="true"/>
        </w:rPr>
        <w:footnoteReference w:id="21"/>
      </w:r>
      <w:r>
        <w:rPr>
          <w:rFonts w:ascii="Amiri" w:hAnsi="Amiri" w:eastAsia="Amiri" w:cs="Amiri"/>
          <w:color w:val="111111"/>
          <w:sz w:val="28"/>
          <w:sz w:val="28"/>
          <w:szCs w:val="28"/>
          <w:rtl w:val="true"/>
          <w:lang w:bidi="ar-SA"/>
        </w:rPr>
        <w:t xml:space="preserve">الشرط والتعليق </w:t>
      </w:r>
      <w:r>
        <w:rPr>
          <w:rStyle w:val="FootnoteAnchor"/>
          <w:rtl w:val="true"/>
        </w:rPr>
        <w:footnoteReference w:id="22"/>
      </w:r>
      <w:r>
        <w:rPr>
          <w:rFonts w:ascii="Amiri" w:hAnsi="Amiri" w:eastAsia="Amiri" w:cs="Amiri"/>
          <w:color w:val="111111"/>
          <w:sz w:val="28"/>
          <w:sz w:val="28"/>
          <w:szCs w:val="28"/>
          <w:rtl w:val="true"/>
          <w:lang w:bidi="ar-SA"/>
        </w:rPr>
        <w:t xml:space="preserve">بمطلق الامر بالاقدام، على غير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له </w:t>
      </w:r>
      <w:r>
        <w:rPr>
          <w:rStyle w:val="FootnoteAnchor"/>
          <w:rtl w:val="true"/>
        </w:rPr>
        <w:footnoteReference w:id="23"/>
      </w:r>
      <w:r>
        <w:rPr>
          <w:rFonts w:ascii="Amiri" w:hAnsi="Amiri" w:eastAsia="Amiri" w:cs="Amiri"/>
          <w:color w:val="111111"/>
          <w:sz w:val="28"/>
          <w:sz w:val="28"/>
          <w:szCs w:val="28"/>
          <w:rtl w:val="true"/>
          <w:lang w:bidi="ar-SA"/>
        </w:rPr>
        <w:t xml:space="preserve">الكلام، بجعل </w:t>
      </w:r>
      <w:r>
        <w:rPr>
          <w:rStyle w:val="FootnoteAnchor"/>
          <w:rtl w:val="true"/>
        </w:rPr>
        <w:footnoteReference w:id="24"/>
      </w:r>
      <w:r>
        <w:rPr>
          <w:rFonts w:ascii="Amiri" w:hAnsi="Amiri" w:eastAsia="Amiri" w:cs="Amiri"/>
          <w:color w:val="111111"/>
          <w:sz w:val="28"/>
          <w:sz w:val="28"/>
          <w:szCs w:val="28"/>
          <w:rtl w:val="true"/>
          <w:lang w:bidi="ar-SA"/>
        </w:rPr>
        <w:t>الشرط فيه ظاهرا، ولم يجد عنه محيصا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ولترك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في الامر فائدة في الابانة عن فضل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الجماعة، باظهار الاشتراط فيه والاستخبار عن المراد، لتعلم الجماعة انه قد عرف من باطن الحال ما كشفها لهم بالسؤال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فضيلة من جهة </w:t>
      </w:r>
      <w:r>
        <w:rPr>
          <w:rStyle w:val="FootnoteAnchor"/>
          <w:rtl w:val="true"/>
        </w:rPr>
        <w:footnoteReference w:id="25"/>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رفع الشبهة عمن لا بصيرة له بحق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 من الله في غلطه، وإقدامه عل قتل من هو برئ محقون الدم عند الله، ليبين له مراده في الاشتراط، ويعلمه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قصد به ما ظهر فيه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في الكلام ما كان فيه في الجواب لم </w:t>
      </w:r>
      <w:r>
        <w:rPr>
          <w:rStyle w:val="FootnoteAnchor"/>
          <w:rtl w:val="true"/>
        </w:rPr>
        <w:footnoteReference w:id="26"/>
      </w:r>
      <w:r>
        <w:rPr>
          <w:rFonts w:ascii="Amiri" w:hAnsi="Amiri" w:eastAsia="Amiri" w:cs="Amiri"/>
          <w:color w:val="111111"/>
          <w:sz w:val="28"/>
          <w:sz w:val="28"/>
          <w:szCs w:val="28"/>
          <w:rtl w:val="true"/>
          <w:lang w:bidi="ar-SA"/>
        </w:rPr>
        <w:t xml:space="preserve">يبن 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الذي ابانه </w:t>
      </w:r>
      <w:r>
        <w:rPr>
          <w:rStyle w:val="FootnoteAnchor"/>
          <w:rtl w:val="true"/>
        </w:rPr>
        <w:footnoteReference w:id="27"/>
      </w:r>
      <w:r>
        <w:rPr>
          <w:rFonts w:ascii="IRNazanin" w:hAnsi="IRNazanin" w:eastAsia="IRNazanin"/>
          <w:color w:val="111111"/>
          <w:sz w:val="28"/>
          <w:sz w:val="28"/>
          <w:szCs w:val="28"/>
          <w:rtl w:val="true"/>
          <w:lang w:bidi="fa-IR"/>
        </w:rPr>
        <w:t>الاشتراط والاستفهام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والاستفهام وعمل على علم بالباطن وكف عن قتل القبطي لمشاهدته الحال، لم يبن </w:t>
      </w:r>
      <w:r>
        <w:rPr>
          <w:rStyle w:val="FootnoteAnchor"/>
          <w:rtl w:val="true"/>
        </w:rPr>
        <w:footnoteReference w:id="28"/>
      </w:r>
      <w:r>
        <w:rPr>
          <w:rFonts w:ascii="Amiri" w:hAnsi="Amiri" w:eastAsia="Amiri" w:cs="Amiri"/>
          <w:color w:val="111111"/>
          <w:sz w:val="28"/>
          <w:sz w:val="28"/>
          <w:szCs w:val="28"/>
          <w:rtl w:val="true"/>
          <w:lang w:bidi="ar-SA"/>
        </w:rPr>
        <w:t xml:space="preserve">من فضل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للكافة ما أبانه الاستفهام، ولظن كثير من 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أخطا في الامر المطلق بقتل الرجل، وان عليا أصاب في خلافه الظاهر بشاهد الحال، وكان في إطلاق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واستفهام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المراد وكشفه لذلك ما استنبطه من الكلام، من الفوائد في فضلهما وعصمتهما ونطقهما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عنه </w:t>
      </w:r>
      <w:r>
        <w:rPr>
          <w:rStyle w:val="FootnoteAnchor"/>
          <w:rtl w:val="true"/>
        </w:rPr>
        <w:footnoteReference w:id="29"/>
      </w:r>
      <w:r>
        <w:rPr>
          <w:rFonts w:ascii="Amiri" w:hAnsi="Amiri" w:eastAsia="Amiri" w:cs="Amiri"/>
          <w:color w:val="111111"/>
          <w:sz w:val="28"/>
          <w:sz w:val="28"/>
          <w:szCs w:val="28"/>
          <w:rtl w:val="true"/>
          <w:lang w:bidi="ar-SA"/>
        </w:rPr>
        <w:t>وأوضحناه، ولم يبق لمخالف الحق طريق معه إلى إثبات شئ من الشبه التي تعلق بها فيما حكيناه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قد كان جايزا من الله تعالى أن يامر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القبطي على جميع الاحوال، لدخوله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له في ذلك، وعلى غير اختيار منه له ورأي، فاستفهمه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الحال، فأخبره بما عرف الحكم فيه وأنه غير مباح دمه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ويمكن ان يكون الحكم فيه مفوضا إليه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استفهمه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حال التفويض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شاهدته بريئا، فلك فيه الرأي، الان اقتضت الحال التي تشاهدها منه قتله أو العفو عنه فذلك إليك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 وقد فوضت ما فوض إلي إليك، فاعمل فيه بما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الانام على مشاكلة أمير المؤمنين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العصمة والكمال، ومشابهته </w:t>
      </w:r>
      <w:r>
        <w:rPr>
          <w:rStyle w:val="FootnoteAnchor"/>
          <w:rtl w:val="true"/>
        </w:rPr>
        <w:footnoteReference w:id="33"/>
      </w:r>
      <w:r>
        <w:rPr>
          <w:rFonts w:ascii="Amiri" w:hAnsi="Amiri" w:eastAsia="Amiri" w:cs="Amiri"/>
          <w:color w:val="111111"/>
          <w:sz w:val="28"/>
          <w:sz w:val="28"/>
          <w:szCs w:val="28"/>
          <w:rtl w:val="true"/>
          <w:lang w:bidi="ar-SA"/>
        </w:rPr>
        <w:t>له في تدبير الدين والحكم في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يقع الاطلاق في الامر والاشتراط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ذلك، حسب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فهمته، وهو كلام واضح البيان في معناه، فما القول في نقض شبه من قدمت ذكره في الضلال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على الوجه الذي أوضحت، كافي في إبطال جميع تلك الشبهات، إذ يهي دعاوى مجردة من بيان، لجا أصحابها في التعلق بها إلى الاضطرار إليها، لعدم الحجة بما ذكرناه لهم </w:t>
      </w:r>
      <w:r>
        <w:rPr>
          <w:rStyle w:val="FootnoteAnchor"/>
          <w:rtl w:val="true"/>
        </w:rPr>
        <w:footnoteReference w:id="34"/>
      </w:r>
      <w:r>
        <w:rPr>
          <w:rFonts w:ascii="Amiri" w:hAnsi="Amiri" w:eastAsia="Amiri" w:cs="Amiri"/>
          <w:color w:val="111111"/>
          <w:sz w:val="28"/>
          <w:sz w:val="28"/>
          <w:szCs w:val="28"/>
          <w:rtl w:val="true"/>
          <w:lang w:bidi="ar-SA"/>
        </w:rPr>
        <w:t>فيها على زعمهم وتوهمهم الفاسد وظنهم المحال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ثبت لمضمون </w:t>
      </w:r>
      <w:r>
        <w:rPr>
          <w:rStyle w:val="FootnoteAnchor"/>
          <w:rtl w:val="true"/>
        </w:rPr>
        <w:footnoteReference w:id="35"/>
      </w:r>
      <w:r>
        <w:rPr>
          <w:rFonts w:ascii="Amiri" w:hAnsi="Amiri" w:eastAsia="Amiri" w:cs="Amiri"/>
          <w:color w:val="111111"/>
          <w:sz w:val="28"/>
          <w:sz w:val="28"/>
          <w:szCs w:val="28"/>
          <w:rtl w:val="true"/>
          <w:lang w:bidi="ar-SA"/>
        </w:rPr>
        <w:t xml:space="preserve">الخبر من الاوجه الصحيحة ما أثبتناه، وكان في الامكان على ما ذكرناه، لم يكن للعدول </w:t>
      </w:r>
      <w:r>
        <w:rPr>
          <w:rStyle w:val="FootnoteAnchor"/>
          <w:rtl w:val="true"/>
        </w:rPr>
        <w:footnoteReference w:id="36"/>
      </w:r>
      <w:r>
        <w:rPr>
          <w:rFonts w:ascii="Amiri" w:hAnsi="Amiri" w:eastAsia="Amiri" w:cs="Amiri"/>
          <w:color w:val="111111"/>
          <w:sz w:val="28"/>
          <w:sz w:val="28"/>
          <w:szCs w:val="28"/>
          <w:rtl w:val="true"/>
          <w:lang w:bidi="ar-SA"/>
        </w:rPr>
        <w:t xml:space="preserve">عنه طريق الا التحكم </w:t>
      </w:r>
      <w:r>
        <w:rPr>
          <w:rStyle w:val="FootnoteAnchor"/>
          <w:rtl w:val="true"/>
        </w:rPr>
        <w:footnoteReference w:id="37"/>
      </w:r>
      <w:r>
        <w:rPr>
          <w:rFonts w:ascii="Amiri" w:hAnsi="Amiri" w:eastAsia="Amiri" w:cs="Amiri"/>
          <w:color w:val="111111"/>
          <w:sz w:val="28"/>
          <w:sz w:val="28"/>
          <w:szCs w:val="28"/>
          <w:rtl w:val="true"/>
          <w:lang w:bidi="ar-SA"/>
        </w:rPr>
        <w:t>بالاماني الخائبات، والحمد 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ولا ينبغي للعاقل أن يظلم نفسه بمكابرة الحق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وصلواته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السيد جعفر مرتضى في كتاب حديث الافك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مارية بين الاخذ والرد</w:t>
      </w:r>
    </w:p>
    <w:p>
      <w:pPr>
        <w:pStyle w:val="BookText"/>
        <w:rPr/>
      </w:pPr>
      <w:r>
        <w:rPr>
          <w:rFonts w:ascii="Amiri" w:hAnsi="Amiri" w:eastAsia="Amiri" w:cs="Amiri"/>
          <w:color w:val="111111"/>
          <w:sz w:val="28"/>
          <w:sz w:val="28"/>
          <w:szCs w:val="28"/>
          <w:rtl w:val="true"/>
          <w:lang w:bidi="ar-SA"/>
        </w:rPr>
        <w:t>مع الاجواء لقضية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عمر في قضية ماريه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أو اتهاما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المرتضى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 xml:space="preserve">: </w:t>
      </w:r>
      <w:bookmarkStart w:id="19" w:name="pg18758_197392"/>
    </w:p>
    <w:p>
      <w:pPr>
        <w:pStyle w:val="Heading2"/>
        <w:numPr>
          <w:ilvl w:val="1"/>
          <w:numId w:val="1"/>
        </w:numPr>
        <w:rPr/>
      </w:pPr>
      <w:bookmarkStart w:id="20" w:name="__RefHeading___Toc16358819_1280447820"/>
      <w:bookmarkStart w:id="21" w:name="_Toc7"/>
      <w:bookmarkEnd w:id="19"/>
      <w:bookmarkEnd w:id="20"/>
      <w:r>
        <w:rPr>
          <w:rtl w:val="true"/>
        </w:rPr>
        <w:t>مع الاجواء الطببعية لقضية مارية</w:t>
      </w:r>
      <w:bookmarkEnd w:id="21"/>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رأينا أن النصوص عند جميع المسلمين تكاد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صورة قضية الافك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رواه الحاكم في مستدركه، والسيوطي عن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مردويه غير ذلك مما تقدم يقرب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قد غارت من مارية، ونفت شبه ابراهيم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خلافها ورغم أنه كان أشبه الخلق به كما في الرواية الاتية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تؤكد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وحصول خيانة من مارية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الحامل لمما على ذلك هو غيرتها الشديدة، حسب اعتراف عائشة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يجعلنا نطمئن إلى صحة ذلك الحوار، وأن عائشة قد حاولت أن تلقي شبهة على طهارة مارية هو ما قالته عائشة نفسها عن حالتها مع مارية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إمرأة إلا دون ما غرت على مارية، وذلك أنها كانت جميلة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وفرغنا لها فجزعت، فحولها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العالية، فكان يختلف إليها هناك، فكان ذلك أشد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رزقها الله الولد وحرمناه </w:t>
      </w:r>
      <w:r>
        <w:rPr>
          <w:rStyle w:val="FootnoteAnchor"/>
          <w:rtl w:val="true"/>
        </w:rPr>
        <w:footnoteReference w:id="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وغرن عليها، ولامثل عائشة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ابن أبي الحديد المعتزلي عن موقف عائشة حين موت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مات ابراهيم، فأبطنت شماتة وإن أظهرت كآبة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نعرف أن أم المومنين قد ساهمت في اثارة الشكوك والشبهات حول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وولدها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نستطيع أن نفهم أيضا من رواية السيوطي عن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حفصة أيضا قد شاركت في تأليب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مارية على نفسه بعد المحاورة التي جرت بينه وبين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جزعهما، وعتاب حفصة له 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أيضا من رواية الحاكم أن تكثير النساء، على مارية كان بعد المحاورة المشار إليها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يجعلنا نطمئن إلى أن سبب تحريم مارية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ذكرهن الشبهات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أنه وطأها في بيت حفصة أو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التحريم، في سورة التحريم تدل على أن مما ارتكبوه كان أمرأ عضيما جدا، لا مجرد قول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في بيتي وعلى فراشي، فإن هذا كلام طبيعي وليس فيه أي إسائة أدب، أو خروج عن الجادة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يستحق هذا التأنيب العظيم الوارد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هو أن آيات تحريم مارية في سورة التحريم قد نزلت في قضية الشبهات حول مارية حينما حرمها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لذلك، وأما، آية الافك فنزلت في الافك عليها أيضا</w:t>
      </w:r>
      <w:r>
        <w:rPr>
          <w:rFonts w:eastAsia="Amiri" w:cs="Amiri" w:ascii="Amiri" w:hAnsi="Amiri"/>
          <w:color w:val="111111"/>
          <w:sz w:val="28"/>
          <w:szCs w:val="28"/>
          <w:rtl w:val="true"/>
          <w:lang w:bidi="ar-SA"/>
        </w:rPr>
        <w:t xml:space="preserve">. </w:t>
      </w:r>
      <w:bookmarkStart w:id="22" w:name="pg18758_197394"/>
    </w:p>
    <w:p>
      <w:pPr>
        <w:pStyle w:val="Heading2"/>
        <w:numPr>
          <w:ilvl w:val="1"/>
          <w:numId w:val="1"/>
        </w:numPr>
        <w:rPr/>
      </w:pPr>
      <w:bookmarkStart w:id="23" w:name="__RefHeading___Toc16358821_1280447820"/>
      <w:bookmarkStart w:id="24" w:name="_Toc8"/>
      <w:bookmarkEnd w:id="22"/>
      <w:bookmarkEnd w:id="23"/>
      <w:r>
        <w:rPr>
          <w:rtl w:val="true"/>
        </w:rPr>
        <w:t>دور عمر في قضية مارية تبرئة أو اتهاما</w:t>
      </w:r>
      <w:bookmarkEnd w:id="24"/>
    </w:p>
    <w:p>
      <w:pPr>
        <w:pStyle w:val="BookText"/>
        <w:rPr/>
      </w:pPr>
      <w:r>
        <w:rPr>
          <w:rFonts w:ascii="Amiri" w:hAnsi="Amiri" w:eastAsia="Amiri" w:cs="Amiri"/>
          <w:color w:val="111111"/>
          <w:sz w:val="28"/>
          <w:sz w:val="28"/>
          <w:szCs w:val="28"/>
          <w:rtl w:val="true"/>
          <w:lang w:bidi="ar-SA"/>
        </w:rPr>
        <w:t>ولقد احتمل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أيضا قد شارك في إثارة الشبهات حول مارية بالاضافة إلى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في ذلك ما رواه الطبراني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تضمنت أن عمر هو الذي برأ مارية وأنه لما رجع إلى الرسول، 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قد برأ مارية وقريبها مما وقع في نفسي، وبشرني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غلاما، وأنه أشبه الخلق بي، وأمرني أن أسميه ابراهيم</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فقد احتمل، المظفر اشنادا إلى هذه الرواية أن لعمر بن الخطاب شأنا في إتهام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يخصه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المقالة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بدورنا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الروايات متضافرة على أن برائة، مارية كانت على يد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على يد عمر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العسقلاني ذلك 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عمر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فابطأ في العود، لانه لما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ممسوحا اطمأن وتشاغل </w:t>
      </w:r>
      <w:bookmarkStart w:id="25" w:name="pg18758_197395"/>
    </w:p>
    <w:p>
      <w:pPr>
        <w:pStyle w:val="BookText"/>
        <w:rPr/>
      </w:pPr>
      <w:bookmarkEnd w:id="25"/>
      <w:r>
        <w:rPr>
          <w:rFonts w:ascii="Amiri" w:hAnsi="Amiri" w:eastAsia="Amiri" w:cs="Amiri"/>
          <w:color w:val="111111"/>
          <w:sz w:val="28"/>
          <w:sz w:val="28"/>
          <w:szCs w:val="28"/>
          <w:rtl w:val="true"/>
          <w:lang w:bidi="ar-SA"/>
        </w:rPr>
        <w:t xml:space="preserve">ببعض الامر فارسل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بعده، ورجع علي فبشره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ثم جاء عمر بعده فبشره بها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التوجيه منه يحتاج إلى إثبات وعلى الاقل إلى شواهد تؤيده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تلكؤ عمر في اخباره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يذهب علي ويكشف الامر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بعيد عن التصرف الطبيعي في مناسبات حادة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التشابه بين هذه الروابة، وبين ما يرد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تبرئة علي لها 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نرى أن عمر لم يذهب إلى مامور، ولا شارك في تبرئه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يا عمر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صح فهو ابتداء كلام معه، وحينئذ فيحتاج ما ذكره المظفر إلى الجواب</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6358823_1280447820"/>
      <w:bookmarkStart w:id="27" w:name="_Toc9"/>
      <w:bookmarkEnd w:id="26"/>
      <w:r>
        <w:rPr>
          <w:rtl w:val="true"/>
        </w:rPr>
        <w:t>براءة مارية</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علينا انفا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عمر بن الخطاب بان جبرئيل قد أخبره أن الله قد برأ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أن يفهم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يؤيد كون آيات الافك قد نزلت في شأن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قد برأها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معنى تبرئة الله تعالى لها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 براءتها قد ثبتت على يد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فتبرئة الله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تكون بنحو آخر، غير ما فعله علي عليه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نزول آيات الافك في شانها</w:t>
      </w:r>
      <w:r>
        <w:rPr>
          <w:rFonts w:eastAsia="Amiri" w:cs="Amiri" w:ascii="Amiri" w:hAnsi="Amiri"/>
          <w:color w:val="111111"/>
          <w:sz w:val="28"/>
          <w:szCs w:val="28"/>
          <w:rtl w:val="true"/>
          <w:lang w:bidi="ar-SA"/>
        </w:rPr>
        <w:t xml:space="preserve">.. </w:t>
      </w:r>
      <w:bookmarkStart w:id="28" w:name="pg18758_197396"/>
    </w:p>
    <w:p>
      <w:pPr>
        <w:pStyle w:val="BookText"/>
        <w:rPr/>
      </w:pPr>
      <w:bookmarkEnd w:id="28"/>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الشك في شان مارية قد استمر إلى حين وفاة ولده ابراهيم، وأنه قد كان ثمة من يصر على الاتهام ولو باخفاء لها ولعها عائشة التى يقول عنها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أظهرت كآبة، وابطنت 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يهمها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ولده ابراهيم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ابراهيم هو ولده فقد روى في صحيح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ابراهيم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إبني وانه مات في الثدى، وان له لظئرين تكملان رضاعه في الجنة</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ابراهيم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معنى إلا أنه أراد أن يقوم بمحاولة 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كيد الآفكين، وشك الشاكين</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6358825_1280447820"/>
      <w:bookmarkStart w:id="30" w:name="_Toc10"/>
      <w:bookmarkEnd w:id="29"/>
      <w:r>
        <w:rPr>
          <w:rtl w:val="true"/>
        </w:rPr>
        <w:t>كلام السيد المرتضى</w:t>
      </w:r>
      <w:bookmarkEnd w:id="30"/>
    </w:p>
    <w:p>
      <w:pPr>
        <w:pStyle w:val="BookText"/>
        <w:rPr/>
      </w:pPr>
      <w:r>
        <w:rPr>
          <w:rFonts w:ascii="Amiri" w:hAnsi="Amiri" w:eastAsia="Amiri" w:cs="Amiri"/>
          <w:color w:val="111111"/>
          <w:sz w:val="28"/>
          <w:sz w:val="28"/>
          <w:szCs w:val="28"/>
          <w:rtl w:val="true"/>
          <w:lang w:bidi="ar-SA"/>
        </w:rPr>
        <w:t>واشكل السيد المرتضى على الرواية الاخيرة من روايات الافك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بقتل رجل على التهمة بغير بينة، ولا ما يجري مجراها ؟</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الجائز أن يكون القبطي معاهدا، وأن النبي كان قد نهاه عن الدخول، إلى مارية فخالف وأقام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نقض للعهد، وناقض العهد من أهل الكفر مؤذن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والمؤذن بها مستحق للقتل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جاز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يخير بين قتله والكف عنه وتفويض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قتله لم يكن من الحدود والحقوق، التي لا يجوز العفو عنها ؟ </w:t>
      </w:r>
      <w:bookmarkStart w:id="31" w:name="pg18758_197397"/>
    </w:p>
    <w:p>
      <w:pPr>
        <w:pStyle w:val="BookText"/>
        <w:rPr/>
      </w:pPr>
      <w:bookmarkEnd w:id="31"/>
      <w:r>
        <w:rPr>
          <w:rFonts w:ascii="Amiri" w:hAnsi="Amiri" w:eastAsia="Amiri" w:cs="Amiri"/>
          <w:color w:val="111111"/>
          <w:sz w:val="28"/>
          <w:sz w:val="28"/>
          <w:szCs w:val="28"/>
          <w:rtl w:val="true"/>
          <w:lang w:bidi="ar-SA"/>
        </w:rPr>
        <w:t>لان ناقض، العهد إذا قدر عليه الامام قبل التوبه له أن يقتله، وله أن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جاز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القتل، ومن أي جهة آثره لما وجده أجب ؟ وأي تأثير لكونه أجب فيما استحق به القتل، وهو نقض العهد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كونه أجب،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العفو عنه، من أجل إزالة التهمة والشك الواقعين في أمر مارية، ولانه أشفق من أن يقتله، فيتحقق الظن، ويلحق بذلك العار </w:t>
      </w:r>
      <w:r>
        <w:rPr>
          <w:rStyle w:val="FootnoteAnchor"/>
          <w:rtl w:val="true"/>
        </w:rPr>
        <w:footnoteReference w:id="45"/>
      </w:r>
    </w:p>
    <w:p>
      <w:pPr>
        <w:pStyle w:val="Heading2"/>
        <w:numPr>
          <w:ilvl w:val="1"/>
          <w:numId w:val="1"/>
        </w:numPr>
        <w:rPr/>
      </w:pPr>
      <w:bookmarkStart w:id="32" w:name="__RefHeading___Toc16358827_1280447820"/>
      <w:bookmarkStart w:id="33" w:name="_Toc11"/>
      <w:bookmarkEnd w:id="32"/>
      <w:r>
        <w:rPr>
          <w:rtl w:val="true"/>
        </w:rPr>
        <w:t>أما نحن فنقول</w:t>
      </w:r>
      <w:r>
        <w:rPr>
          <w:rtl w:val="true"/>
        </w:rPr>
        <w:t>:</w:t>
      </w:r>
      <w:bookmarkEnd w:id="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الجواب عن 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فقد صرحوا بان مأبورا إن الجواب عن 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فقد صرحوا بان مأبورا قد أسلم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بعد قضية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لم يكن أمره بالقتل على الحقيقة، وإنما كان ذلك مقدمة لاضهار البراءة الواقعية لمارية، فأراد علي 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النبي هذا فسأله بما يدل عليه وأجابه النبي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مما ذكره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ذكره السيد يحتاج إلى إثبات المعاهد المأبور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فهو موافق للسنة الجارية في أمور مثل هذه يحتاج فيها إلى الكشف واليقين ورفع التهمة ولا سيما وان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إلى ما يدل على البراءة الواقعية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هذه البراءة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مأبورا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أخا لمارية، وكان شيخا كبيرا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النووي في مقام الجواب عن الاشكال المتقدم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منافقا، ومستحقا للقتل بطريق آخر وجعل هذا محركا لقتله بنفاقه وغيره، لا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عنه علي رضي الله عنه اعتمادا على أن القتل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انتفاء الزنا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فات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الزاني لا يستحق القتل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الجلد أو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يعتدي على حرمات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نفاته أيضا يحتاج إلى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أجبنا به نحن، فانه هو الانسب والاظهر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هامش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عائشة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الخبر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كثر على مارية القبطية أم إبراهيم في إبن عم لها قبطي كان يزورها، ويختلف إليها، فقال لي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 هذا السيف وانطلق، فان وجدته عندها فاقتله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أكون في أمرك إذا ارسلتني كالسكة المحماة، أمضي لما أمرتني، أم الشاهد يرى ما لا يرى الغائب ؟ فقال لي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الشاهد يرى ما لا يرى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فاقبلت متوشحا بالسيف، فوجدته عندها، فاخترطت السيف، فلما أقبلت نحوه عرف أني اريده، فاتى نخلة فرقى إليها، ثم رمى بنفسه على قفاه، وشغر برجليه، فإذا إنه أجب امسح، ما له كما للرجال، قليل ولا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فغمدت السيف ورجعت إلى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يصرف عنا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قصة مارية القبطية علي بن إبراهيم القمي في تفسيره ذيل الاية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جاؤا بالافك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قال حدثنا محمد ابن عيسى، عن الحسن بن علي بن فضال، قال حدثنا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بكير،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إبراهيم بن رسول اللة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عليه حزنا شديدا، فقالت عائشة ما الذي يحزنك عليه، فما هو الا ابن جريح، فبعث رسول الله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وأمره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 ذيل 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جائكم فاسق بنبا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فانها نزلت في مارية القبطية ام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ذلك ان عائشة قالت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ابراهيم ليس هو منك وإنما هو من جريح القبطي، فانه يدخل إليها في كل يوم،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عن البيان،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الرسالة ساقط من نسخة 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ى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م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استشراطه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وبرهان تذكره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 عليه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ولم نظفر على عنوانه في الكتب الرجالية ولا الكتب التاريخية، ولا في أصحاب الفرق الاسلامية من المفوضة، من قبل زمن شيخنا المفيد إلى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تعرض السيد المرتضى علم الهدى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القول في انه لا يجوز أن يفوض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العالم أن يحكم في الشرعيات بما شاء، إذا علم أنه لا يختار الا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رجل مسمى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مويس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أن ينص الله على الحكم وبين أن يعلم أنه لا يختار الا ما هو المصلحة، فيفوض ذلك إلى 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تعلق مويس في نصرة قوله باشياء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الطعام كان حلا لبنى إسرائيل الا ما حرم إسرائيل عل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فاضاف التحريم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من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نهى عن التعرض لنبت مكة، قال له العباس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الاذخر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الاذخر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 اضافة الحكم إلى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عفوت لكم عن الخيل والرقيق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إلى نفسه دون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موضع آخر عند البحث عن دفع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مدخلية اختيار المكلف في تعيين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يمتنع أن يكون اختيار المكلف له علما على وجوبه وتعينه، قلنا هذا يؤدي إلى مذهب مويس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 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يمكن أن يكون موسى بن عمران تصحيف مويس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ذكر شيخنا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تمهيد الاصول في علم الكلام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عدم جواز اختيار الامة الامام إذا علم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يقع اختيار الامة إلا على المعصوم، قال فان ارتكبوا جواز ذلك كما ارتكب موسى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المصحح في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المحفوظة في المكتبة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النسختين المحفوظتين في المكتبة المركزية بجامعة 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أساس التصحيح هذه النسخ الثلاثة، فعلى هذا لم أدر من اين ذكر المصحح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 ى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بالاخبار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س، ى وب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الاحتضار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لعل كلها تصحيف والصحيح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فوت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اهمال الشرط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 س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يقيد 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في م، س، ى وب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الذي أبانه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 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ى، س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بينا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أمر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ى، ط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مساهمته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ى، س، م وب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ى، م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للتحكيم بالامال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المتحكم بالامالى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الوفاء للسمهودي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ولتراجع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والسير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والرواية موجودة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عبد الحكم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ط مشكول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السيد المرتضى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33.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5469</Words>
  <Characters>22398</Characters>
  <CharactersWithSpaces>27698</CharactersWithSpaces>
  <Paragraphs>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2026-08-25T19:51:07Z</dcterms:created>
  <dc:creator>ghaemiyeh.com</dc:creator>
  <dc:description/>
  <dc:language>en-US</dc:language>
  <cp:lastModifiedBy/>
  <dcterms:modified xsi:type="dcterms:W3CDTF">2026-08-25T23:21:45Z</dcterms:modified>
  <cp:revision>1</cp:revision>
  <dc:subject/>
  <dc:title>رساله حول خبر ماریه القبطیه</dc:title>
</cp:coreProperties>
</file>

<file path=docProps/custom.xml><?xml version="1.0" encoding="utf-8"?>
<Properties xmlns="http://schemas.openxmlformats.org/officeDocument/2006/custom-properties" xmlns:vt="http://schemas.openxmlformats.org/officeDocument/2006/docPropsVTypes"/>
</file>