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39.xml" ContentType="application/vnd.openxmlformats-officedocument.wordprocessingml.footer+xml"/>
  <Override PartName="/word/footer663.xml" ContentType="application/vnd.openxmlformats-officedocument.wordprocessingml.footer+xml"/>
  <Override PartName="/word/footer664.xml" ContentType="application/vnd.openxmlformats-officedocument.wordprocessingml.footer+xml"/>
  <Override PartName="/word/footer665.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87.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48.xml" ContentType="application/vnd.openxmlformats-officedocument.wordprocessingml.footer+xml"/>
  <Override PartName="/word/footer690.xml" ContentType="application/vnd.openxmlformats-officedocument.wordprocessingml.footer+xml"/>
  <Override PartName="/word/footer5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91.xml" ContentType="application/vnd.openxmlformats-officedocument.wordprocessingml.footer+xml"/>
  <Override PartName="/word/footer554.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693.xml" ContentType="application/vnd.openxmlformats-officedocument.wordprocessingml.footer+xml"/>
  <Override PartName="/word/footer556.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7.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75.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4.xml" ContentType="application/vnd.openxmlformats-officedocument.wordprocessingml.footer+xml"/>
  <Override PartName="/word/footer673.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67.xml" ContentType="application/vnd.openxmlformats-officedocument.wordprocessingml.footer+xml"/>
  <Override PartName="/word/footer666.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552.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مطارح الأنظار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88538_1280447820">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4588540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588542_1280447820">
            <w:r>
              <w:rPr>
                <w:webHidden/>
                <w:rStyle w:val="IndexLink"/>
                <w:rtl w:val="true"/>
              </w:rPr>
              <w:t>القول في المفهوم والمنطوق</w:t>
            </w:r>
            <w:r>
              <w:rPr>
                <w:rStyle w:val="IndexLink"/>
                <w:rtl w:val="true"/>
              </w:rPr>
              <w:tab/>
            </w:r>
            <w:r>
              <w:rPr>
                <w:rStyle w:val="IndexLink"/>
              </w:rPr>
              <w:t>12</w:t>
            </w:r>
          </w:hyperlink>
        </w:p>
        <w:p>
          <w:pPr>
            <w:pStyle w:val="Contents3"/>
            <w:tabs>
              <w:tab w:val="clear" w:pos="8459"/>
              <w:tab w:val="right" w:pos="9026" w:leader="dot"/>
            </w:tabs>
            <w:rPr/>
          </w:pPr>
          <w:hyperlink w:anchor="__RefHeading___Toc4588544_1280447820">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4588546_1280447820">
            <w:r>
              <w:rPr>
                <w:webHidden/>
                <w:rStyle w:val="IndexLink"/>
                <w:rtl w:val="true"/>
              </w:rPr>
              <w:t>هداية</w:t>
            </w:r>
            <w:r>
              <w:rPr>
                <w:rStyle w:val="IndexLink"/>
                <w:rtl w:val="true"/>
              </w:rPr>
              <w:tab/>
            </w:r>
            <w:r>
              <w:rPr>
                <w:rStyle w:val="IndexLink"/>
              </w:rPr>
              <w:t>14</w:t>
            </w:r>
          </w:hyperlink>
        </w:p>
        <w:p>
          <w:pPr>
            <w:pStyle w:val="Contents3"/>
            <w:tabs>
              <w:tab w:val="clear" w:pos="8459"/>
              <w:tab w:val="right" w:pos="9026" w:leader="dot"/>
            </w:tabs>
            <w:rPr/>
          </w:pPr>
          <w:hyperlink w:anchor="__RefHeading___Toc4588548_1280447820">
            <w:r>
              <w:rPr>
                <w:webHidden/>
                <w:rStyle w:val="IndexLink"/>
                <w:rtl w:val="true"/>
              </w:rPr>
              <w:t>هداية</w:t>
            </w:r>
            <w:r>
              <w:rPr>
                <w:rStyle w:val="IndexLink"/>
                <w:rtl w:val="true"/>
              </w:rPr>
              <w:tab/>
            </w:r>
            <w:r>
              <w:rPr>
                <w:rStyle w:val="IndexLink"/>
              </w:rPr>
              <w:t>26</w:t>
            </w:r>
          </w:hyperlink>
        </w:p>
        <w:p>
          <w:pPr>
            <w:pStyle w:val="Contents3"/>
            <w:tabs>
              <w:tab w:val="clear" w:pos="8459"/>
              <w:tab w:val="right" w:pos="9026" w:leader="dot"/>
            </w:tabs>
            <w:rPr/>
          </w:pPr>
          <w:hyperlink w:anchor="__RefHeading___Toc4588550_1280447820">
            <w:r>
              <w:rPr>
                <w:webHidden/>
                <w:rStyle w:val="IndexLink"/>
                <w:rtl w:val="true"/>
              </w:rPr>
              <w:t>هداية</w:t>
            </w:r>
            <w:r>
              <w:rPr>
                <w:rStyle w:val="IndexLink"/>
                <w:rtl w:val="true"/>
              </w:rPr>
              <w:tab/>
            </w:r>
            <w:r>
              <w:rPr>
                <w:rStyle w:val="IndexLink"/>
              </w:rPr>
              <w:t>42</w:t>
            </w:r>
          </w:hyperlink>
        </w:p>
        <w:p>
          <w:pPr>
            <w:pStyle w:val="Contents3"/>
            <w:tabs>
              <w:tab w:val="clear" w:pos="8459"/>
              <w:tab w:val="right" w:pos="9026" w:leader="dot"/>
            </w:tabs>
            <w:rPr/>
          </w:pPr>
          <w:hyperlink w:anchor="__RefHeading___Toc4588552_1280447820">
            <w:r>
              <w:rPr>
                <w:webHidden/>
                <w:rStyle w:val="IndexLink"/>
                <w:rtl w:val="true"/>
              </w:rPr>
              <w:t>هداية</w:t>
            </w:r>
            <w:r>
              <w:rPr>
                <w:rStyle w:val="IndexLink"/>
                <w:rtl w:val="true"/>
              </w:rPr>
              <w:tab/>
            </w:r>
            <w:r>
              <w:rPr>
                <w:rStyle w:val="IndexLink"/>
              </w:rPr>
              <w:t>46</w:t>
            </w:r>
          </w:hyperlink>
        </w:p>
        <w:p>
          <w:pPr>
            <w:pStyle w:val="Contents3"/>
            <w:tabs>
              <w:tab w:val="clear" w:pos="8459"/>
              <w:tab w:val="right" w:pos="9026" w:leader="dot"/>
            </w:tabs>
            <w:rPr/>
          </w:pPr>
          <w:hyperlink w:anchor="__RefHeading___Toc4588554_1280447820">
            <w:r>
              <w:rPr>
                <w:webHidden/>
                <w:rStyle w:val="IndexLink"/>
                <w:rtl w:val="true"/>
              </w:rPr>
              <w:t>هداية</w:t>
            </w:r>
            <w:r>
              <w:rPr>
                <w:rStyle w:val="IndexLink"/>
                <w:rtl w:val="true"/>
              </w:rPr>
              <w:tab/>
            </w:r>
            <w:r>
              <w:rPr>
                <w:rStyle w:val="IndexLink"/>
              </w:rPr>
              <w:t>52</w:t>
            </w:r>
          </w:hyperlink>
        </w:p>
        <w:p>
          <w:pPr>
            <w:pStyle w:val="Contents3"/>
            <w:tabs>
              <w:tab w:val="clear" w:pos="8459"/>
              <w:tab w:val="right" w:pos="9026" w:leader="dot"/>
            </w:tabs>
            <w:rPr/>
          </w:pPr>
          <w:hyperlink w:anchor="__RefHeading___Toc4588556_1280447820">
            <w:r>
              <w:rPr>
                <w:webHidden/>
                <w:rStyle w:val="IndexLink"/>
                <w:rtl w:val="true"/>
              </w:rPr>
              <w:t>هداية</w:t>
            </w:r>
            <w:r>
              <w:rPr>
                <w:rStyle w:val="IndexLink"/>
                <w:rtl w:val="true"/>
              </w:rPr>
              <w:tab/>
            </w:r>
            <w:r>
              <w:rPr>
                <w:rStyle w:val="IndexLink"/>
              </w:rPr>
              <w:t>56</w:t>
            </w:r>
          </w:hyperlink>
        </w:p>
        <w:p>
          <w:pPr>
            <w:pStyle w:val="Contents4"/>
            <w:tabs>
              <w:tab w:val="clear" w:pos="8176"/>
              <w:tab w:val="right" w:pos="9026" w:leader="dot"/>
            </w:tabs>
            <w:rPr/>
          </w:pPr>
          <w:hyperlink w:anchor="__RefHeading___Toc4588558_1280447820">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4588560_1280447820">
            <w:r>
              <w:rPr>
                <w:webHidden/>
                <w:rStyle w:val="IndexLink"/>
                <w:rtl w:val="true"/>
              </w:rPr>
              <w:t>فائدتان</w:t>
            </w:r>
            <w:r>
              <w:rPr>
                <w:rStyle w:val="IndexLink"/>
                <w:rtl w:val="true"/>
              </w:rPr>
              <w:tab/>
            </w:r>
            <w:r>
              <w:rPr>
                <w:rStyle w:val="IndexLink"/>
              </w:rPr>
              <w:t>80</w:t>
            </w:r>
          </w:hyperlink>
        </w:p>
        <w:p>
          <w:pPr>
            <w:pStyle w:val="Contents3"/>
            <w:tabs>
              <w:tab w:val="clear" w:pos="8459"/>
              <w:tab w:val="right" w:pos="9026" w:leader="dot"/>
            </w:tabs>
            <w:rPr/>
          </w:pPr>
          <w:hyperlink w:anchor="__RefHeading___Toc4588562_1280447820">
            <w:r>
              <w:rPr>
                <w:webHidden/>
                <w:rStyle w:val="IndexLink"/>
                <w:rtl w:val="true"/>
              </w:rPr>
              <w:t>هداية</w:t>
            </w:r>
            <w:r>
              <w:rPr>
                <w:rStyle w:val="IndexLink"/>
                <w:rtl w:val="true"/>
              </w:rPr>
              <w:tab/>
            </w:r>
            <w:r>
              <w:rPr>
                <w:rStyle w:val="IndexLink"/>
              </w:rPr>
              <w:t>84</w:t>
            </w:r>
          </w:hyperlink>
        </w:p>
        <w:p>
          <w:pPr>
            <w:pStyle w:val="Contents4"/>
            <w:tabs>
              <w:tab w:val="clear" w:pos="8176"/>
              <w:tab w:val="right" w:pos="9026" w:leader="dot"/>
            </w:tabs>
            <w:rPr/>
          </w:pPr>
          <w:hyperlink w:anchor="__RefHeading___Toc4588564_1280447820">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4588566_1280447820">
            <w:r>
              <w:rPr>
                <w:webHidden/>
                <w:rStyle w:val="IndexLink"/>
                <w:rtl w:val="true"/>
              </w:rPr>
              <w:t xml:space="preserve">تنبيهات </w:t>
            </w:r>
            <w:r>
              <w:rPr>
                <w:rStyle w:val="IndexLink"/>
                <w:rtl w:val="true"/>
              </w:rPr>
              <w:t>:</w:t>
              <w:tab/>
            </w:r>
            <w:r>
              <w:rPr>
                <w:rStyle w:val="IndexLink"/>
              </w:rPr>
              <w:t>93</w:t>
            </w:r>
          </w:hyperlink>
        </w:p>
        <w:p>
          <w:pPr>
            <w:pStyle w:val="Contents3"/>
            <w:tabs>
              <w:tab w:val="clear" w:pos="8459"/>
              <w:tab w:val="right" w:pos="9026" w:leader="dot"/>
            </w:tabs>
            <w:rPr/>
          </w:pPr>
          <w:hyperlink w:anchor="__RefHeading___Toc4588568_1280447820">
            <w:r>
              <w:rPr>
                <w:webHidden/>
                <w:rStyle w:val="IndexLink"/>
                <w:rtl w:val="true"/>
              </w:rPr>
              <w:t>هداية</w:t>
            </w:r>
            <w:r>
              <w:rPr>
                <w:rStyle w:val="IndexLink"/>
                <w:rtl w:val="true"/>
              </w:rPr>
              <w:tab/>
            </w:r>
            <w:r>
              <w:rPr>
                <w:rStyle w:val="IndexLink"/>
              </w:rPr>
              <w:t>98</w:t>
            </w:r>
          </w:hyperlink>
        </w:p>
        <w:p>
          <w:pPr>
            <w:pStyle w:val="Contents3"/>
            <w:tabs>
              <w:tab w:val="clear" w:pos="8459"/>
              <w:tab w:val="right" w:pos="9026" w:leader="dot"/>
            </w:tabs>
            <w:rPr/>
          </w:pPr>
          <w:hyperlink w:anchor="__RefHeading___Toc4588570_1280447820">
            <w:r>
              <w:rPr>
                <w:webHidden/>
                <w:rStyle w:val="IndexLink"/>
                <w:rtl w:val="true"/>
              </w:rPr>
              <w:t>هداية</w:t>
            </w:r>
            <w:r>
              <w:rPr>
                <w:rStyle w:val="IndexLink"/>
                <w:rtl w:val="true"/>
              </w:rPr>
              <w:tab/>
            </w:r>
            <w:r>
              <w:rPr>
                <w:rStyle w:val="IndexLink"/>
              </w:rPr>
              <w:t>110</w:t>
            </w:r>
          </w:hyperlink>
        </w:p>
        <w:p>
          <w:pPr>
            <w:pStyle w:val="Contents3"/>
            <w:tabs>
              <w:tab w:val="clear" w:pos="8459"/>
              <w:tab w:val="right" w:pos="9026" w:leader="dot"/>
            </w:tabs>
            <w:rPr/>
          </w:pPr>
          <w:hyperlink w:anchor="__RefHeading___Toc4588572_1280447820">
            <w:r>
              <w:rPr>
                <w:webHidden/>
                <w:rStyle w:val="IndexLink"/>
                <w:rtl w:val="true"/>
              </w:rPr>
              <w:t>هداية</w:t>
            </w:r>
            <w:r>
              <w:rPr>
                <w:rStyle w:val="IndexLink"/>
                <w:rtl w:val="true"/>
              </w:rPr>
              <w:tab/>
            </w:r>
            <w:r>
              <w:rPr>
                <w:rStyle w:val="IndexLink"/>
              </w:rPr>
              <w:t>126</w:t>
            </w:r>
          </w:hyperlink>
        </w:p>
        <w:p>
          <w:pPr>
            <w:pStyle w:val="Contents3"/>
            <w:tabs>
              <w:tab w:val="clear" w:pos="8459"/>
              <w:tab w:val="right" w:pos="9026" w:leader="dot"/>
            </w:tabs>
            <w:rPr/>
          </w:pPr>
          <w:hyperlink w:anchor="__RefHeading___Toc4588574_1280447820">
            <w:r>
              <w:rPr>
                <w:webHidden/>
                <w:rStyle w:val="IndexLink"/>
                <w:rtl w:val="true"/>
              </w:rPr>
              <w:t>هداية</w:t>
            </w:r>
            <w:r>
              <w:rPr>
                <w:rStyle w:val="IndexLink"/>
                <w:rtl w:val="true"/>
              </w:rPr>
              <w:tab/>
            </w:r>
            <w:r>
              <w:rPr>
                <w:rStyle w:val="IndexLink"/>
              </w:rPr>
              <w:t>128</w:t>
            </w:r>
          </w:hyperlink>
        </w:p>
        <w:p>
          <w:pPr>
            <w:pStyle w:val="Contents4"/>
            <w:tabs>
              <w:tab w:val="clear" w:pos="8176"/>
              <w:tab w:val="right" w:pos="9026" w:leader="dot"/>
            </w:tabs>
            <w:rPr/>
          </w:pPr>
          <w:hyperlink w:anchor="__RefHeading___Toc4588576_1280447820">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4588578_1280447820">
            <w:r>
              <w:rPr>
                <w:webHidden/>
                <w:rStyle w:val="IndexLink"/>
                <w:rtl w:val="true"/>
              </w:rPr>
              <w:t xml:space="preserve">تذنيب </w:t>
            </w:r>
            <w:r>
              <w:rPr>
                <w:rStyle w:val="IndexLink"/>
                <w:rtl w:val="true"/>
              </w:rPr>
              <w:t>:</w:t>
              <w:tab/>
            </w:r>
            <w:r>
              <w:rPr>
                <w:rStyle w:val="IndexLink"/>
              </w:rPr>
              <w:t>130</w:t>
            </w:r>
          </w:hyperlink>
        </w:p>
        <w:p>
          <w:pPr>
            <w:pStyle w:val="Contents2"/>
            <w:tabs>
              <w:tab w:val="clear" w:pos="8743"/>
              <w:tab w:val="right" w:pos="9026" w:leader="dot"/>
            </w:tabs>
            <w:rPr/>
          </w:pPr>
          <w:hyperlink w:anchor="__RefHeading___Toc4588580_1280447820">
            <w:r>
              <w:rPr>
                <w:webHidden/>
                <w:rStyle w:val="IndexLink"/>
                <w:rtl w:val="true"/>
              </w:rPr>
              <w:t>القول في العموم والخصوص</w:t>
            </w:r>
            <w:r>
              <w:rPr>
                <w:rStyle w:val="IndexLink"/>
                <w:rtl w:val="true"/>
              </w:rPr>
              <w:tab/>
            </w:r>
            <w:r>
              <w:rPr>
                <w:rStyle w:val="IndexLink"/>
              </w:rPr>
              <w:t>132</w:t>
            </w:r>
          </w:hyperlink>
        </w:p>
        <w:p>
          <w:pPr>
            <w:pStyle w:val="Contents3"/>
            <w:tabs>
              <w:tab w:val="clear" w:pos="8459"/>
              <w:tab w:val="right" w:pos="9026" w:leader="dot"/>
            </w:tabs>
            <w:rPr/>
          </w:pPr>
          <w:hyperlink w:anchor="__RefHeading___Toc4588582_1280447820">
            <w:r>
              <w:rPr>
                <w:webHidden/>
                <w:rStyle w:val="IndexLink"/>
                <w:rtl w:val="true"/>
              </w:rPr>
              <w:t>اشارة</w:t>
            </w:r>
            <w:r>
              <w:rPr>
                <w:rStyle w:val="IndexLink"/>
                <w:rtl w:val="true"/>
              </w:rPr>
              <w:tab/>
            </w:r>
            <w:r>
              <w:rPr>
                <w:rStyle w:val="IndexLink"/>
              </w:rPr>
              <w:t>132</w:t>
            </w:r>
          </w:hyperlink>
        </w:p>
        <w:p>
          <w:pPr>
            <w:pStyle w:val="Contents3"/>
            <w:tabs>
              <w:tab w:val="clear" w:pos="8459"/>
              <w:tab w:val="right" w:pos="9026" w:leader="dot"/>
            </w:tabs>
            <w:rPr/>
          </w:pPr>
          <w:hyperlink w:anchor="__RefHeading___Toc4588584_1280447820">
            <w:r>
              <w:rPr>
                <w:webHidden/>
                <w:rStyle w:val="IndexLink"/>
                <w:rtl w:val="true"/>
              </w:rPr>
              <w:t>هداية</w:t>
            </w:r>
            <w:r>
              <w:rPr>
                <w:rStyle w:val="IndexLink"/>
                <w:rtl w:val="true"/>
              </w:rPr>
              <w:tab/>
            </w:r>
            <w:r>
              <w:rPr>
                <w:rStyle w:val="IndexLink"/>
              </w:rPr>
              <w:t>136</w:t>
            </w:r>
          </w:hyperlink>
        </w:p>
        <w:p>
          <w:pPr>
            <w:pStyle w:val="Contents3"/>
            <w:tabs>
              <w:tab w:val="clear" w:pos="8459"/>
              <w:tab w:val="right" w:pos="9026" w:leader="dot"/>
            </w:tabs>
            <w:rPr/>
          </w:pPr>
          <w:hyperlink w:anchor="__RefHeading___Toc4588586_1280447820">
            <w:r>
              <w:rPr>
                <w:webHidden/>
                <w:rStyle w:val="IndexLink"/>
                <w:rtl w:val="true"/>
              </w:rPr>
              <w:t>هداية</w:t>
            </w:r>
            <w:r>
              <w:rPr>
                <w:rStyle w:val="IndexLink"/>
                <w:rtl w:val="true"/>
              </w:rPr>
              <w:tab/>
            </w:r>
            <w:r>
              <w:rPr>
                <w:rStyle w:val="IndexLink"/>
              </w:rPr>
              <w:t>140</w:t>
            </w:r>
          </w:hyperlink>
        </w:p>
        <w:p>
          <w:pPr>
            <w:pStyle w:val="Contents3"/>
            <w:tabs>
              <w:tab w:val="clear" w:pos="8459"/>
              <w:tab w:val="right" w:pos="9026" w:leader="dot"/>
            </w:tabs>
            <w:rPr/>
          </w:pPr>
          <w:hyperlink w:anchor="__RefHeading___Toc4588588_1280447820">
            <w:r>
              <w:rPr>
                <w:webHidden/>
                <w:rStyle w:val="IndexLink"/>
                <w:rtl w:val="true"/>
              </w:rPr>
              <w:t>هداية</w:t>
            </w:r>
            <w:r>
              <w:rPr>
                <w:rStyle w:val="IndexLink"/>
                <w:rtl w:val="true"/>
              </w:rPr>
              <w:tab/>
            </w:r>
            <w:r>
              <w:rPr>
                <w:rStyle w:val="IndexLink"/>
              </w:rPr>
              <w:t>148</w:t>
            </w:r>
          </w:hyperlink>
        </w:p>
        <w:p>
          <w:pPr>
            <w:pStyle w:val="Contents4"/>
            <w:tabs>
              <w:tab w:val="clear" w:pos="8176"/>
              <w:tab w:val="right" w:pos="9026" w:leader="dot"/>
            </w:tabs>
            <w:rPr/>
          </w:pPr>
          <w:hyperlink w:anchor="__RefHeading___Toc4588590_1280447820">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4588592_1280447820">
            <w:r>
              <w:rPr>
                <w:webHidden/>
                <w:rStyle w:val="IndexLink"/>
                <w:rtl w:val="true"/>
              </w:rPr>
              <w:t xml:space="preserve">تنبيهات </w:t>
            </w:r>
            <w:r>
              <w:rPr>
                <w:rStyle w:val="IndexLink"/>
                <w:rtl w:val="true"/>
              </w:rPr>
              <w:t>:</w:t>
              <w:tab/>
            </w:r>
            <w:r>
              <w:rPr>
                <w:rStyle w:val="IndexLink"/>
              </w:rPr>
              <w:t>153</w:t>
            </w:r>
          </w:hyperlink>
        </w:p>
        <w:p>
          <w:pPr>
            <w:pStyle w:val="Contents5"/>
            <w:tabs>
              <w:tab w:val="clear" w:pos="7892"/>
              <w:tab w:val="right" w:pos="9026" w:leader="dot"/>
            </w:tabs>
            <w:rPr/>
          </w:pPr>
          <w:hyperlink w:anchor="__RefHeading___Toc4588594_1280447820">
            <w:r>
              <w:rPr>
                <w:webHidden/>
                <w:rStyle w:val="IndexLink"/>
                <w:rtl w:val="true"/>
              </w:rPr>
              <w:t xml:space="preserve">الأوّل </w:t>
            </w:r>
            <w:r>
              <w:rPr>
                <w:rStyle w:val="IndexLink"/>
                <w:rtl w:val="true"/>
              </w:rPr>
              <w:t>:</w:t>
              <w:tab/>
            </w:r>
            <w:r>
              <w:rPr>
                <w:rStyle w:val="IndexLink"/>
              </w:rPr>
              <w:t>153</w:t>
            </w:r>
          </w:hyperlink>
        </w:p>
        <w:p>
          <w:pPr>
            <w:pStyle w:val="Contents5"/>
            <w:tabs>
              <w:tab w:val="clear" w:pos="7892"/>
              <w:tab w:val="right" w:pos="9026" w:leader="dot"/>
            </w:tabs>
            <w:rPr/>
          </w:pPr>
          <w:hyperlink w:anchor="__RefHeading___Toc4588596_1280447820">
            <w:r>
              <w:rPr>
                <w:webHidden/>
                <w:rStyle w:val="IndexLink"/>
                <w:rtl w:val="true"/>
              </w:rPr>
              <w:t xml:space="preserve">الثاني </w:t>
            </w:r>
            <w:r>
              <w:rPr>
                <w:rStyle w:val="IndexLink"/>
                <w:rtl w:val="true"/>
              </w:rPr>
              <w:t>:</w:t>
              <w:tab/>
            </w:r>
            <w:r>
              <w:rPr>
                <w:rStyle w:val="IndexLink"/>
              </w:rPr>
              <w:t>154</w:t>
            </w:r>
          </w:hyperlink>
        </w:p>
        <w:p>
          <w:pPr>
            <w:pStyle w:val="Contents5"/>
            <w:tabs>
              <w:tab w:val="clear" w:pos="7892"/>
              <w:tab w:val="right" w:pos="9026" w:leader="dot"/>
            </w:tabs>
            <w:rPr/>
          </w:pPr>
          <w:hyperlink w:anchor="__RefHeading___Toc4588598_1280447820">
            <w:r>
              <w:rPr>
                <w:webHidden/>
                <w:rStyle w:val="IndexLink"/>
                <w:rtl w:val="true"/>
              </w:rPr>
              <w:t xml:space="preserve">الثالث </w:t>
            </w:r>
            <w:r>
              <w:rPr>
                <w:rStyle w:val="IndexLink"/>
                <w:rtl w:val="true"/>
              </w:rPr>
              <w:t>:</w:t>
              <w:tab/>
            </w:r>
            <w:r>
              <w:rPr>
                <w:rStyle w:val="IndexLink"/>
              </w:rPr>
              <w:t>155</w:t>
            </w:r>
          </w:hyperlink>
        </w:p>
        <w:p>
          <w:pPr>
            <w:pStyle w:val="Contents3"/>
            <w:tabs>
              <w:tab w:val="clear" w:pos="8459"/>
              <w:tab w:val="right" w:pos="9026" w:leader="dot"/>
            </w:tabs>
            <w:rPr/>
          </w:pPr>
          <w:hyperlink w:anchor="__RefHeading___Toc4588600_1280447820">
            <w:r>
              <w:rPr>
                <w:webHidden/>
                <w:rStyle w:val="IndexLink"/>
                <w:rtl w:val="true"/>
              </w:rPr>
              <w:t>هداية</w:t>
            </w:r>
            <w:r>
              <w:rPr>
                <w:rStyle w:val="IndexLink"/>
                <w:rtl w:val="true"/>
              </w:rPr>
              <w:tab/>
            </w:r>
            <w:r>
              <w:rPr>
                <w:rStyle w:val="IndexLink"/>
              </w:rPr>
              <w:t>156</w:t>
            </w:r>
          </w:hyperlink>
        </w:p>
        <w:p>
          <w:pPr>
            <w:pStyle w:val="Contents4"/>
            <w:tabs>
              <w:tab w:val="clear" w:pos="8176"/>
              <w:tab w:val="right" w:pos="9026" w:leader="dot"/>
            </w:tabs>
            <w:rPr/>
          </w:pPr>
          <w:hyperlink w:anchor="__RefHeading___Toc4588602_1280447820">
            <w:r>
              <w:rPr>
                <w:webHidden/>
                <w:rStyle w:val="IndexLink"/>
                <w:rtl w:val="true"/>
              </w:rPr>
              <w:t>اشارة</w:t>
            </w:r>
            <w:r>
              <w:rPr>
                <w:rStyle w:val="IndexLink"/>
                <w:rtl w:val="true"/>
              </w:rPr>
              <w:tab/>
            </w:r>
            <w:r>
              <w:rPr>
                <w:rStyle w:val="IndexLink"/>
              </w:rPr>
              <w:t>156</w:t>
            </w:r>
          </w:hyperlink>
        </w:p>
        <w:p>
          <w:pPr>
            <w:pStyle w:val="Contents4"/>
            <w:tabs>
              <w:tab w:val="clear" w:pos="8176"/>
              <w:tab w:val="right" w:pos="9026" w:leader="dot"/>
            </w:tabs>
            <w:rPr/>
          </w:pPr>
          <w:hyperlink w:anchor="__RefHeading___Toc4588604_1280447820">
            <w:r>
              <w:rPr>
                <w:webHidden/>
                <w:rStyle w:val="IndexLink"/>
                <w:rtl w:val="true"/>
              </w:rPr>
              <w:t xml:space="preserve">تذنيب </w:t>
            </w:r>
            <w:r>
              <w:rPr>
                <w:rStyle w:val="IndexLink"/>
                <w:rtl w:val="true"/>
              </w:rPr>
              <w:t>:</w:t>
              <w:tab/>
            </w:r>
            <w:r>
              <w:rPr>
                <w:rStyle w:val="IndexLink"/>
              </w:rPr>
              <w:t>161</w:t>
            </w:r>
          </w:hyperlink>
        </w:p>
        <w:p>
          <w:pPr>
            <w:pStyle w:val="Contents3"/>
            <w:tabs>
              <w:tab w:val="clear" w:pos="8459"/>
              <w:tab w:val="right" w:pos="9026" w:leader="dot"/>
            </w:tabs>
            <w:rPr/>
          </w:pPr>
          <w:hyperlink w:anchor="__RefHeading___Toc4588606_1280447820">
            <w:r>
              <w:rPr>
                <w:webHidden/>
                <w:rStyle w:val="IndexLink"/>
                <w:rtl w:val="true"/>
              </w:rPr>
              <w:t>هداية</w:t>
            </w:r>
            <w:r>
              <w:rPr>
                <w:rStyle w:val="IndexLink"/>
                <w:rtl w:val="true"/>
              </w:rPr>
              <w:tab/>
            </w:r>
            <w:r>
              <w:rPr>
                <w:rStyle w:val="IndexLink"/>
              </w:rPr>
              <w:t>162</w:t>
            </w:r>
          </w:hyperlink>
        </w:p>
        <w:p>
          <w:pPr>
            <w:pStyle w:val="Contents4"/>
            <w:tabs>
              <w:tab w:val="clear" w:pos="8176"/>
              <w:tab w:val="right" w:pos="9026" w:leader="dot"/>
            </w:tabs>
            <w:rPr/>
          </w:pPr>
          <w:hyperlink w:anchor="__RefHeading___Toc4588608_1280447820">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4588610_1280447820">
            <w:r>
              <w:rPr>
                <w:webHidden/>
                <w:rStyle w:val="IndexLink"/>
                <w:rtl w:val="true"/>
              </w:rPr>
              <w:t xml:space="preserve">[ </w:t>
            </w:r>
            <w:r>
              <w:rPr>
                <w:rStyle w:val="IndexLink"/>
                <w:rtl w:val="true"/>
              </w:rPr>
              <w:t xml:space="preserve">وجوه القول بعدم جواز الاخذ بالعامّ قبل الفحص </w:t>
            </w:r>
            <w:r>
              <w:rPr>
                <w:rStyle w:val="IndexLink"/>
                <w:rtl w:val="true"/>
              </w:rPr>
              <w:t>: ]</w:t>
              <w:tab/>
            </w:r>
            <w:r>
              <w:rPr>
                <w:rStyle w:val="IndexLink"/>
              </w:rPr>
              <w:t>166</w:t>
            </w:r>
          </w:hyperlink>
        </w:p>
        <w:p>
          <w:pPr>
            <w:pStyle w:val="Contents4"/>
            <w:tabs>
              <w:tab w:val="clear" w:pos="8176"/>
              <w:tab w:val="right" w:pos="9026" w:leader="dot"/>
            </w:tabs>
            <w:rPr/>
          </w:pPr>
          <w:hyperlink w:anchor="__RefHeading___Toc4588612_1280447820">
            <w:r>
              <w:rPr>
                <w:webHidden/>
                <w:rStyle w:val="IndexLink"/>
                <w:rtl w:val="true"/>
              </w:rPr>
              <w:t xml:space="preserve">احتج المجوّز بامور </w:t>
            </w:r>
            <w:r>
              <w:rPr>
                <w:rStyle w:val="IndexLink"/>
                <w:rtl w:val="true"/>
              </w:rPr>
              <w:t>:</w:t>
              <w:tab/>
            </w:r>
            <w:r>
              <w:rPr>
                <w:rStyle w:val="IndexLink"/>
              </w:rPr>
              <w:t>177</w:t>
            </w:r>
          </w:hyperlink>
        </w:p>
        <w:p>
          <w:pPr>
            <w:pStyle w:val="Contents4"/>
            <w:tabs>
              <w:tab w:val="clear" w:pos="8176"/>
              <w:tab w:val="right" w:pos="9026" w:leader="dot"/>
            </w:tabs>
            <w:rPr/>
          </w:pPr>
          <w:hyperlink w:anchor="__RefHeading___Toc4588614_1280447820">
            <w:r>
              <w:rPr>
                <w:webHidden/>
                <w:rStyle w:val="IndexLink"/>
                <w:rtl w:val="true"/>
              </w:rPr>
              <w:t xml:space="preserve">تذنيب </w:t>
            </w:r>
            <w:r>
              <w:rPr>
                <w:rStyle w:val="IndexLink"/>
                <w:rtl w:val="true"/>
              </w:rPr>
              <w:t>:</w:t>
              <w:tab/>
            </w:r>
            <w:r>
              <w:rPr>
                <w:rStyle w:val="IndexLink"/>
              </w:rPr>
              <w:t>184</w:t>
            </w:r>
          </w:hyperlink>
        </w:p>
        <w:p>
          <w:pPr>
            <w:pStyle w:val="Contents3"/>
            <w:tabs>
              <w:tab w:val="clear" w:pos="8459"/>
              <w:tab w:val="right" w:pos="9026" w:leader="dot"/>
            </w:tabs>
            <w:rPr/>
          </w:pPr>
          <w:hyperlink w:anchor="__RefHeading___Toc4588616_1280447820">
            <w:r>
              <w:rPr>
                <w:webHidden/>
                <w:rStyle w:val="IndexLink"/>
                <w:rtl w:val="true"/>
              </w:rPr>
              <w:t>هداية</w:t>
            </w:r>
            <w:r>
              <w:rPr>
                <w:rStyle w:val="IndexLink"/>
                <w:rtl w:val="true"/>
              </w:rPr>
              <w:tab/>
            </w:r>
            <w:r>
              <w:rPr>
                <w:rStyle w:val="IndexLink"/>
              </w:rPr>
              <w:t>188</w:t>
            </w:r>
          </w:hyperlink>
        </w:p>
        <w:p>
          <w:pPr>
            <w:pStyle w:val="Contents4"/>
            <w:tabs>
              <w:tab w:val="clear" w:pos="8176"/>
              <w:tab w:val="right" w:pos="9026" w:leader="dot"/>
            </w:tabs>
            <w:rPr/>
          </w:pPr>
          <w:hyperlink w:anchor="__RefHeading___Toc4588618_1280447820">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4588620_1280447820">
            <w:r>
              <w:rPr>
                <w:webHidden/>
                <w:rStyle w:val="IndexLink"/>
                <w:rtl w:val="true"/>
              </w:rPr>
              <w:t xml:space="preserve">الأوّل </w:t>
            </w:r>
            <w:r>
              <w:rPr>
                <w:rStyle w:val="IndexLink"/>
                <w:rtl w:val="true"/>
              </w:rPr>
              <w:t>:</w:t>
              <w:tab/>
            </w:r>
            <w:r>
              <w:rPr>
                <w:rStyle w:val="IndexLink"/>
              </w:rPr>
              <w:t>197</w:t>
            </w:r>
          </w:hyperlink>
        </w:p>
        <w:p>
          <w:pPr>
            <w:pStyle w:val="Contents4"/>
            <w:tabs>
              <w:tab w:val="clear" w:pos="8176"/>
              <w:tab w:val="right" w:pos="9026" w:leader="dot"/>
            </w:tabs>
            <w:rPr/>
          </w:pPr>
          <w:hyperlink w:anchor="__RefHeading___Toc4588622_1280447820">
            <w:r>
              <w:rPr>
                <w:webHidden/>
                <w:rStyle w:val="IndexLink"/>
                <w:rtl w:val="true"/>
              </w:rPr>
              <w:t xml:space="preserve">الثاني </w:t>
            </w:r>
            <w:r>
              <w:rPr>
                <w:rStyle w:val="IndexLink"/>
                <w:rtl w:val="true"/>
              </w:rPr>
              <w:t>:</w:t>
              <w:tab/>
            </w:r>
            <w:r>
              <w:rPr>
                <w:rStyle w:val="IndexLink"/>
              </w:rPr>
              <w:t>199</w:t>
            </w:r>
          </w:hyperlink>
        </w:p>
        <w:p>
          <w:pPr>
            <w:pStyle w:val="Contents4"/>
            <w:tabs>
              <w:tab w:val="clear" w:pos="8176"/>
              <w:tab w:val="right" w:pos="9026" w:leader="dot"/>
            </w:tabs>
            <w:rPr/>
          </w:pPr>
          <w:hyperlink w:anchor="__RefHeading___Toc4588624_1280447820">
            <w:r>
              <w:rPr>
                <w:webHidden/>
                <w:rStyle w:val="IndexLink"/>
                <w:rtl w:val="true"/>
              </w:rPr>
              <w:t xml:space="preserve">الثالث </w:t>
            </w:r>
            <w:r>
              <w:rPr>
                <w:rStyle w:val="IndexLink"/>
                <w:rtl w:val="true"/>
              </w:rPr>
              <w:t>:</w:t>
              <w:tab/>
            </w:r>
            <w:r>
              <w:rPr>
                <w:rStyle w:val="IndexLink"/>
              </w:rPr>
              <w:t>203</w:t>
            </w:r>
          </w:hyperlink>
        </w:p>
        <w:p>
          <w:pPr>
            <w:pStyle w:val="Contents4"/>
            <w:tabs>
              <w:tab w:val="clear" w:pos="8176"/>
              <w:tab w:val="right" w:pos="9026" w:leader="dot"/>
            </w:tabs>
            <w:rPr/>
          </w:pPr>
          <w:hyperlink w:anchor="__RefHeading___Toc4588626_1280447820">
            <w:r>
              <w:rPr>
                <w:webHidden/>
                <w:rStyle w:val="IndexLink"/>
                <w:rtl w:val="true"/>
              </w:rPr>
              <w:t xml:space="preserve">الرابع </w:t>
            </w:r>
            <w:r>
              <w:rPr>
                <w:rStyle w:val="IndexLink"/>
                <w:rtl w:val="true"/>
              </w:rPr>
              <w:t>:</w:t>
              <w:tab/>
            </w:r>
            <w:r>
              <w:rPr>
                <w:rStyle w:val="IndexLink"/>
              </w:rPr>
              <w:t>205</w:t>
            </w:r>
          </w:hyperlink>
        </w:p>
        <w:p>
          <w:pPr>
            <w:pStyle w:val="Contents3"/>
            <w:tabs>
              <w:tab w:val="clear" w:pos="8459"/>
              <w:tab w:val="right" w:pos="9026" w:leader="dot"/>
            </w:tabs>
            <w:rPr/>
          </w:pPr>
          <w:hyperlink w:anchor="__RefHeading___Toc4588628_1280447820">
            <w:r>
              <w:rPr>
                <w:webHidden/>
                <w:rStyle w:val="IndexLink"/>
                <w:rtl w:val="true"/>
              </w:rPr>
              <w:t>هداية</w:t>
            </w:r>
            <w:r>
              <w:rPr>
                <w:rStyle w:val="IndexLink"/>
                <w:rtl w:val="true"/>
              </w:rPr>
              <w:tab/>
            </w:r>
            <w:r>
              <w:rPr>
                <w:rStyle w:val="IndexLink"/>
              </w:rPr>
              <w:t>210</w:t>
            </w:r>
          </w:hyperlink>
        </w:p>
        <w:p>
          <w:pPr>
            <w:pStyle w:val="Contents3"/>
            <w:tabs>
              <w:tab w:val="clear" w:pos="8459"/>
              <w:tab w:val="right" w:pos="9026" w:leader="dot"/>
            </w:tabs>
            <w:rPr/>
          </w:pPr>
          <w:hyperlink w:anchor="__RefHeading___Toc4588630_1280447820">
            <w:r>
              <w:rPr>
                <w:webHidden/>
                <w:rStyle w:val="IndexLink"/>
                <w:rtl w:val="true"/>
              </w:rPr>
              <w:t>هداية</w:t>
            </w:r>
            <w:r>
              <w:rPr>
                <w:rStyle w:val="IndexLink"/>
                <w:rtl w:val="true"/>
              </w:rPr>
              <w:tab/>
            </w:r>
            <w:r>
              <w:rPr>
                <w:rStyle w:val="IndexLink"/>
              </w:rPr>
              <w:t>218</w:t>
            </w:r>
          </w:hyperlink>
        </w:p>
        <w:p>
          <w:pPr>
            <w:pStyle w:val="Contents3"/>
            <w:tabs>
              <w:tab w:val="clear" w:pos="8459"/>
              <w:tab w:val="right" w:pos="9026" w:leader="dot"/>
            </w:tabs>
            <w:rPr/>
          </w:pPr>
          <w:hyperlink w:anchor="__RefHeading___Toc4588632_1280447820">
            <w:r>
              <w:rPr>
                <w:webHidden/>
                <w:rStyle w:val="IndexLink"/>
                <w:rtl w:val="true"/>
              </w:rPr>
              <w:t>هداية</w:t>
            </w:r>
            <w:r>
              <w:rPr>
                <w:rStyle w:val="IndexLink"/>
                <w:rtl w:val="true"/>
              </w:rPr>
              <w:tab/>
            </w:r>
            <w:r>
              <w:rPr>
                <w:rStyle w:val="IndexLink"/>
              </w:rPr>
              <w:t>224</w:t>
            </w:r>
          </w:hyperlink>
        </w:p>
        <w:p>
          <w:pPr>
            <w:pStyle w:val="Contents3"/>
            <w:tabs>
              <w:tab w:val="clear" w:pos="8459"/>
              <w:tab w:val="right" w:pos="9026" w:leader="dot"/>
            </w:tabs>
            <w:rPr/>
          </w:pPr>
          <w:hyperlink w:anchor="__RefHeading___Toc4588634_1280447820">
            <w:r>
              <w:rPr>
                <w:webHidden/>
                <w:rStyle w:val="IndexLink"/>
                <w:rtl w:val="true"/>
              </w:rPr>
              <w:t>هداية</w:t>
            </w:r>
            <w:r>
              <w:rPr>
                <w:rStyle w:val="IndexLink"/>
                <w:rtl w:val="true"/>
              </w:rPr>
              <w:tab/>
            </w:r>
            <w:r>
              <w:rPr>
                <w:rStyle w:val="IndexLink"/>
              </w:rPr>
              <w:t>232</w:t>
            </w:r>
          </w:hyperlink>
        </w:p>
        <w:p>
          <w:pPr>
            <w:pStyle w:val="Contents4"/>
            <w:tabs>
              <w:tab w:val="clear" w:pos="8176"/>
              <w:tab w:val="right" w:pos="9026" w:leader="dot"/>
            </w:tabs>
            <w:rPr/>
          </w:pPr>
          <w:hyperlink w:anchor="__RefHeading___Toc4588636_1280447820">
            <w:r>
              <w:rPr>
                <w:webHidden/>
                <w:rStyle w:val="IndexLink"/>
                <w:rtl w:val="true"/>
              </w:rPr>
              <w:t>اشارة</w:t>
            </w:r>
            <w:r>
              <w:rPr>
                <w:rStyle w:val="IndexLink"/>
                <w:rtl w:val="true"/>
              </w:rPr>
              <w:tab/>
            </w:r>
            <w:r>
              <w:rPr>
                <w:rStyle w:val="IndexLink"/>
              </w:rPr>
              <w:t>232</w:t>
            </w:r>
          </w:hyperlink>
        </w:p>
        <w:p>
          <w:pPr>
            <w:pStyle w:val="Contents4"/>
            <w:tabs>
              <w:tab w:val="clear" w:pos="8176"/>
              <w:tab w:val="right" w:pos="9026" w:leader="dot"/>
            </w:tabs>
            <w:rPr/>
          </w:pPr>
          <w:hyperlink w:anchor="__RefHeading___Toc4588638_1280447820">
            <w:r>
              <w:rPr>
                <w:webHidden/>
                <w:rStyle w:val="IndexLink"/>
                <w:rtl w:val="true"/>
              </w:rPr>
              <w:t xml:space="preserve">وينبغي التنبيه على أمور مهمّة </w:t>
            </w:r>
            <w:r>
              <w:rPr>
                <w:rStyle w:val="IndexLink"/>
                <w:rtl w:val="true"/>
              </w:rPr>
              <w:t>:</w:t>
              <w:tab/>
            </w:r>
            <w:r>
              <w:rPr>
                <w:rStyle w:val="IndexLink"/>
              </w:rPr>
              <w:t>236</w:t>
            </w:r>
          </w:hyperlink>
        </w:p>
        <w:p>
          <w:pPr>
            <w:pStyle w:val="Contents2"/>
            <w:tabs>
              <w:tab w:val="clear" w:pos="8743"/>
              <w:tab w:val="right" w:pos="9026" w:leader="dot"/>
            </w:tabs>
            <w:rPr/>
          </w:pPr>
          <w:hyperlink w:anchor="__RefHeading___Toc4588640_1280447820">
            <w:r>
              <w:rPr>
                <w:webHidden/>
                <w:rStyle w:val="IndexLink"/>
                <w:rtl w:val="true"/>
              </w:rPr>
              <w:t>القول في المطلق والمقيّد</w:t>
            </w:r>
            <w:r>
              <w:rPr>
                <w:rStyle w:val="IndexLink"/>
                <w:rtl w:val="true"/>
              </w:rPr>
              <w:tab/>
            </w:r>
            <w:r>
              <w:rPr>
                <w:rStyle w:val="IndexLink"/>
              </w:rPr>
              <w:t>244</w:t>
            </w:r>
          </w:hyperlink>
        </w:p>
        <w:p>
          <w:pPr>
            <w:pStyle w:val="Contents3"/>
            <w:tabs>
              <w:tab w:val="clear" w:pos="8459"/>
              <w:tab w:val="right" w:pos="9026" w:leader="dot"/>
            </w:tabs>
            <w:rPr/>
          </w:pPr>
          <w:hyperlink w:anchor="__RefHeading___Toc4588642_1280447820">
            <w:r>
              <w:rPr>
                <w:webHidden/>
                <w:rStyle w:val="IndexLink"/>
                <w:rtl w:val="true"/>
              </w:rPr>
              <w:t>اشارة</w:t>
            </w:r>
            <w:r>
              <w:rPr>
                <w:rStyle w:val="IndexLink"/>
                <w:rtl w:val="true"/>
              </w:rPr>
              <w:tab/>
            </w:r>
            <w:r>
              <w:rPr>
                <w:rStyle w:val="IndexLink"/>
              </w:rPr>
              <w:t>244</w:t>
            </w:r>
          </w:hyperlink>
        </w:p>
        <w:p>
          <w:pPr>
            <w:pStyle w:val="Contents3"/>
            <w:tabs>
              <w:tab w:val="clear" w:pos="8459"/>
              <w:tab w:val="right" w:pos="9026" w:leader="dot"/>
            </w:tabs>
            <w:rPr/>
          </w:pPr>
          <w:hyperlink w:anchor="__RefHeading___Toc4588644_1280447820">
            <w:r>
              <w:rPr>
                <w:webHidden/>
                <w:rStyle w:val="IndexLink"/>
                <w:rtl w:val="true"/>
              </w:rPr>
              <w:t>هداية</w:t>
            </w:r>
            <w:r>
              <w:rPr>
                <w:rStyle w:val="IndexLink"/>
                <w:rtl w:val="true"/>
              </w:rPr>
              <w:tab/>
            </w:r>
            <w:r>
              <w:rPr>
                <w:rStyle w:val="IndexLink"/>
              </w:rPr>
              <w:t>246</w:t>
            </w:r>
          </w:hyperlink>
        </w:p>
        <w:p>
          <w:pPr>
            <w:pStyle w:val="Contents3"/>
            <w:tabs>
              <w:tab w:val="clear" w:pos="8459"/>
              <w:tab w:val="right" w:pos="9026" w:leader="dot"/>
            </w:tabs>
            <w:rPr/>
          </w:pPr>
          <w:hyperlink w:anchor="__RefHeading___Toc4588646_1280447820">
            <w:r>
              <w:rPr>
                <w:webHidden/>
                <w:rStyle w:val="IndexLink"/>
                <w:rtl w:val="true"/>
              </w:rPr>
              <w:t>هداية</w:t>
            </w:r>
            <w:r>
              <w:rPr>
                <w:rStyle w:val="IndexLink"/>
                <w:rtl w:val="true"/>
              </w:rPr>
              <w:tab/>
            </w:r>
            <w:r>
              <w:rPr>
                <w:rStyle w:val="IndexLink"/>
              </w:rPr>
              <w:t>254</w:t>
            </w:r>
          </w:hyperlink>
        </w:p>
        <w:p>
          <w:pPr>
            <w:pStyle w:val="Contents4"/>
            <w:tabs>
              <w:tab w:val="clear" w:pos="8176"/>
              <w:tab w:val="right" w:pos="9026" w:leader="dot"/>
            </w:tabs>
            <w:rPr/>
          </w:pPr>
          <w:hyperlink w:anchor="__RefHeading___Toc4588648_1280447820">
            <w:r>
              <w:rPr>
                <w:webHidden/>
                <w:rStyle w:val="IndexLink"/>
                <w:rtl w:val="true"/>
              </w:rPr>
              <w:t>اشارة</w:t>
            </w:r>
            <w:r>
              <w:rPr>
                <w:rStyle w:val="IndexLink"/>
                <w:rtl w:val="true"/>
              </w:rPr>
              <w:tab/>
            </w:r>
            <w:r>
              <w:rPr>
                <w:rStyle w:val="IndexLink"/>
              </w:rPr>
              <w:t>254</w:t>
            </w:r>
          </w:hyperlink>
        </w:p>
        <w:p>
          <w:pPr>
            <w:pStyle w:val="Contents4"/>
            <w:tabs>
              <w:tab w:val="clear" w:pos="8176"/>
              <w:tab w:val="right" w:pos="9026" w:leader="dot"/>
            </w:tabs>
            <w:rPr/>
          </w:pPr>
          <w:hyperlink w:anchor="__RefHeading___Toc4588650_1280447820">
            <w:r>
              <w:rPr>
                <w:webHidden/>
                <w:rStyle w:val="IndexLink"/>
                <w:rtl w:val="true"/>
              </w:rPr>
              <w:t xml:space="preserve">تذنيب </w:t>
            </w:r>
            <w:r>
              <w:rPr>
                <w:rStyle w:val="IndexLink"/>
                <w:rtl w:val="true"/>
              </w:rPr>
              <w:t>:</w:t>
              <w:tab/>
            </w:r>
            <w:r>
              <w:rPr>
                <w:rStyle w:val="IndexLink"/>
              </w:rPr>
              <w:t>263</w:t>
            </w:r>
          </w:hyperlink>
        </w:p>
        <w:p>
          <w:pPr>
            <w:pStyle w:val="Contents3"/>
            <w:tabs>
              <w:tab w:val="clear" w:pos="8459"/>
              <w:tab w:val="right" w:pos="9026" w:leader="dot"/>
            </w:tabs>
            <w:rPr/>
          </w:pPr>
          <w:hyperlink w:anchor="__RefHeading___Toc4588652_1280447820">
            <w:r>
              <w:rPr>
                <w:webHidden/>
                <w:rStyle w:val="IndexLink"/>
                <w:rtl w:val="true"/>
              </w:rPr>
              <w:t>هداية</w:t>
            </w:r>
            <w:r>
              <w:rPr>
                <w:rStyle w:val="IndexLink"/>
                <w:rtl w:val="true"/>
              </w:rPr>
              <w:tab/>
            </w:r>
            <w:r>
              <w:rPr>
                <w:rStyle w:val="IndexLink"/>
              </w:rPr>
              <w:t>264</w:t>
            </w:r>
          </w:hyperlink>
        </w:p>
        <w:p>
          <w:pPr>
            <w:pStyle w:val="Contents3"/>
            <w:tabs>
              <w:tab w:val="clear" w:pos="8459"/>
              <w:tab w:val="right" w:pos="9026" w:leader="dot"/>
            </w:tabs>
            <w:rPr/>
          </w:pPr>
          <w:hyperlink w:anchor="__RefHeading___Toc4588654_1280447820">
            <w:r>
              <w:rPr>
                <w:webHidden/>
                <w:rStyle w:val="IndexLink"/>
                <w:rtl w:val="true"/>
              </w:rPr>
              <w:t>هداية</w:t>
            </w:r>
            <w:r>
              <w:rPr>
                <w:rStyle w:val="IndexLink"/>
                <w:rtl w:val="true"/>
              </w:rPr>
              <w:tab/>
            </w:r>
            <w:r>
              <w:rPr>
                <w:rStyle w:val="IndexLink"/>
              </w:rPr>
              <w:t>268</w:t>
            </w:r>
          </w:hyperlink>
        </w:p>
        <w:p>
          <w:pPr>
            <w:pStyle w:val="Contents4"/>
            <w:tabs>
              <w:tab w:val="clear" w:pos="8176"/>
              <w:tab w:val="right" w:pos="9026" w:leader="dot"/>
            </w:tabs>
            <w:rPr/>
          </w:pPr>
          <w:hyperlink w:anchor="__RefHeading___Toc4588656_1280447820">
            <w:r>
              <w:rPr>
                <w:webHidden/>
                <w:rStyle w:val="IndexLink"/>
                <w:rtl w:val="true"/>
              </w:rPr>
              <w:t>اشارة</w:t>
            </w:r>
            <w:r>
              <w:rPr>
                <w:rStyle w:val="IndexLink"/>
                <w:rtl w:val="true"/>
              </w:rPr>
              <w:tab/>
            </w:r>
            <w:r>
              <w:rPr>
                <w:rStyle w:val="IndexLink"/>
              </w:rPr>
              <w:t>268</w:t>
            </w:r>
          </w:hyperlink>
        </w:p>
        <w:p>
          <w:pPr>
            <w:pStyle w:val="Contents4"/>
            <w:tabs>
              <w:tab w:val="clear" w:pos="8176"/>
              <w:tab w:val="right" w:pos="9026" w:leader="dot"/>
            </w:tabs>
            <w:rPr/>
          </w:pPr>
          <w:hyperlink w:anchor="__RefHeading___Toc4588658_1280447820">
            <w:r>
              <w:rPr>
                <w:webHidden/>
                <w:rStyle w:val="IndexLink"/>
                <w:rtl w:val="true"/>
              </w:rPr>
              <w:t xml:space="preserve">الأوّل </w:t>
            </w:r>
            <w:r>
              <w:rPr>
                <w:rStyle w:val="IndexLink"/>
                <w:rtl w:val="true"/>
              </w:rPr>
              <w:t>:</w:t>
              <w:tab/>
            </w:r>
            <w:r>
              <w:rPr>
                <w:rStyle w:val="IndexLink"/>
              </w:rPr>
              <w:t>268</w:t>
            </w:r>
          </w:hyperlink>
        </w:p>
        <w:p>
          <w:pPr>
            <w:pStyle w:val="Contents4"/>
            <w:tabs>
              <w:tab w:val="clear" w:pos="8176"/>
              <w:tab w:val="right" w:pos="9026" w:leader="dot"/>
            </w:tabs>
            <w:rPr/>
          </w:pPr>
          <w:hyperlink w:anchor="__RefHeading___Toc4588660_1280447820">
            <w:r>
              <w:rPr>
                <w:webHidden/>
                <w:rStyle w:val="IndexLink"/>
                <w:rtl w:val="true"/>
              </w:rPr>
              <w:t xml:space="preserve">الشرط الثاني </w:t>
            </w:r>
            <w:r>
              <w:rPr>
                <w:rStyle w:val="IndexLink"/>
                <w:rtl w:val="true"/>
              </w:rPr>
              <w:t>:</w:t>
              <w:tab/>
            </w:r>
            <w:r>
              <w:rPr>
                <w:rStyle w:val="IndexLink"/>
              </w:rPr>
              <w:t>272</w:t>
            </w:r>
          </w:hyperlink>
        </w:p>
        <w:p>
          <w:pPr>
            <w:pStyle w:val="Contents4"/>
            <w:tabs>
              <w:tab w:val="clear" w:pos="8176"/>
              <w:tab w:val="right" w:pos="9026" w:leader="dot"/>
            </w:tabs>
            <w:rPr/>
          </w:pPr>
          <w:hyperlink w:anchor="__RefHeading___Toc4588662_1280447820">
            <w:r>
              <w:rPr>
                <w:webHidden/>
                <w:rStyle w:val="IndexLink"/>
                <w:rtl w:val="true"/>
              </w:rPr>
              <w:t xml:space="preserve">تذنيب </w:t>
            </w:r>
            <w:r>
              <w:rPr>
                <w:rStyle w:val="IndexLink"/>
                <w:rtl w:val="true"/>
              </w:rPr>
              <w:t>:</w:t>
              <w:tab/>
            </w:r>
            <w:r>
              <w:rPr>
                <w:rStyle w:val="IndexLink"/>
              </w:rPr>
              <w:t>274</w:t>
            </w:r>
          </w:hyperlink>
        </w:p>
        <w:p>
          <w:pPr>
            <w:pStyle w:val="Contents3"/>
            <w:tabs>
              <w:tab w:val="clear" w:pos="8459"/>
              <w:tab w:val="right" w:pos="9026" w:leader="dot"/>
            </w:tabs>
            <w:rPr/>
          </w:pPr>
          <w:hyperlink w:anchor="__RefHeading___Toc4588664_1280447820">
            <w:r>
              <w:rPr>
                <w:webHidden/>
                <w:rStyle w:val="IndexLink"/>
                <w:rtl w:val="true"/>
              </w:rPr>
              <w:t>هداية</w:t>
            </w:r>
            <w:r>
              <w:rPr>
                <w:rStyle w:val="IndexLink"/>
                <w:rtl w:val="true"/>
              </w:rPr>
              <w:tab/>
            </w:r>
            <w:r>
              <w:rPr>
                <w:rStyle w:val="IndexLink"/>
              </w:rPr>
              <w:t>276</w:t>
            </w:r>
          </w:hyperlink>
        </w:p>
        <w:p>
          <w:pPr>
            <w:pStyle w:val="Contents4"/>
            <w:tabs>
              <w:tab w:val="clear" w:pos="8176"/>
              <w:tab w:val="right" w:pos="9026" w:leader="dot"/>
            </w:tabs>
            <w:rPr/>
          </w:pPr>
          <w:hyperlink w:anchor="__RefHeading___Toc4588666_1280447820">
            <w:r>
              <w:rPr>
                <w:webHidden/>
                <w:rStyle w:val="IndexLink"/>
                <w:rtl w:val="true"/>
              </w:rPr>
              <w:t>اشارة</w:t>
            </w:r>
            <w:r>
              <w:rPr>
                <w:rStyle w:val="IndexLink"/>
                <w:rtl w:val="true"/>
              </w:rPr>
              <w:tab/>
            </w:r>
            <w:r>
              <w:rPr>
                <w:rStyle w:val="IndexLink"/>
              </w:rPr>
              <w:t>276</w:t>
            </w:r>
          </w:hyperlink>
        </w:p>
        <w:p>
          <w:pPr>
            <w:pStyle w:val="Contents4"/>
            <w:tabs>
              <w:tab w:val="clear" w:pos="8176"/>
              <w:tab w:val="right" w:pos="9026" w:leader="dot"/>
            </w:tabs>
            <w:rPr/>
          </w:pPr>
          <w:hyperlink w:anchor="__RefHeading___Toc4588668_1280447820">
            <w:r>
              <w:rPr>
                <w:webHidden/>
                <w:rStyle w:val="IndexLink"/>
                <w:rtl w:val="true"/>
              </w:rPr>
              <w:t xml:space="preserve">تذنيبان </w:t>
            </w:r>
            <w:r>
              <w:rPr>
                <w:rStyle w:val="IndexLink"/>
                <w:rtl w:val="true"/>
              </w:rPr>
              <w:t>:</w:t>
              <w:tab/>
            </w:r>
            <w:r>
              <w:rPr>
                <w:rStyle w:val="IndexLink"/>
              </w:rPr>
              <w:t>282</w:t>
            </w:r>
          </w:hyperlink>
        </w:p>
        <w:p>
          <w:pPr>
            <w:pStyle w:val="Contents3"/>
            <w:tabs>
              <w:tab w:val="clear" w:pos="8459"/>
              <w:tab w:val="right" w:pos="9026" w:leader="dot"/>
            </w:tabs>
            <w:rPr/>
          </w:pPr>
          <w:hyperlink w:anchor="__RefHeading___Toc4588670_1280447820">
            <w:r>
              <w:rPr>
                <w:webHidden/>
                <w:rStyle w:val="IndexLink"/>
                <w:rtl w:val="true"/>
              </w:rPr>
              <w:t>هداية</w:t>
            </w:r>
            <w:r>
              <w:rPr>
                <w:rStyle w:val="IndexLink"/>
                <w:rtl w:val="true"/>
              </w:rPr>
              <w:tab/>
            </w:r>
            <w:r>
              <w:rPr>
                <w:rStyle w:val="IndexLink"/>
              </w:rPr>
              <w:t>292</w:t>
            </w:r>
          </w:hyperlink>
        </w:p>
        <w:p>
          <w:pPr>
            <w:pStyle w:val="Contents4"/>
            <w:tabs>
              <w:tab w:val="clear" w:pos="8176"/>
              <w:tab w:val="right" w:pos="9026" w:leader="dot"/>
            </w:tabs>
            <w:rPr/>
          </w:pPr>
          <w:hyperlink w:anchor="__RefHeading___Toc4588672_1280447820">
            <w:r>
              <w:rPr>
                <w:webHidden/>
                <w:rStyle w:val="IndexLink"/>
                <w:rtl w:val="true"/>
              </w:rPr>
              <w:t>اشارة</w:t>
            </w:r>
            <w:r>
              <w:rPr>
                <w:rStyle w:val="IndexLink"/>
                <w:rtl w:val="true"/>
              </w:rPr>
              <w:tab/>
            </w:r>
            <w:r>
              <w:rPr>
                <w:rStyle w:val="IndexLink"/>
              </w:rPr>
              <w:t>292</w:t>
            </w:r>
          </w:hyperlink>
        </w:p>
        <w:p>
          <w:pPr>
            <w:pStyle w:val="Contents4"/>
            <w:tabs>
              <w:tab w:val="clear" w:pos="8176"/>
              <w:tab w:val="right" w:pos="9026" w:leader="dot"/>
            </w:tabs>
            <w:rPr/>
          </w:pPr>
          <w:hyperlink w:anchor="__RefHeading___Toc4588674_1280447820">
            <w:r>
              <w:rPr>
                <w:webHidden/>
                <w:rStyle w:val="IndexLink"/>
                <w:rtl w:val="true"/>
              </w:rPr>
              <w:t xml:space="preserve">تذنيب يشتمل على فوائد </w:t>
            </w:r>
            <w:r>
              <w:rPr>
                <w:rStyle w:val="IndexLink"/>
                <w:rtl w:val="true"/>
              </w:rPr>
              <w:t>:</w:t>
              <w:tab/>
            </w:r>
            <w:r>
              <w:rPr>
                <w:rStyle w:val="IndexLink"/>
              </w:rPr>
              <w:t>293</w:t>
            </w:r>
          </w:hyperlink>
        </w:p>
        <w:p>
          <w:pPr>
            <w:pStyle w:val="Contents2"/>
            <w:tabs>
              <w:tab w:val="clear" w:pos="8743"/>
              <w:tab w:val="right" w:pos="9026" w:leader="dot"/>
            </w:tabs>
            <w:rPr/>
          </w:pPr>
          <w:hyperlink w:anchor="__RefHeading___Toc4588676_1280447820">
            <w:r>
              <w:rPr>
                <w:webHidden/>
                <w:rStyle w:val="IndexLink"/>
                <w:rtl w:val="true"/>
              </w:rPr>
              <w:t>القول في المجمل والمبيّن</w:t>
            </w:r>
            <w:r>
              <w:rPr>
                <w:rStyle w:val="IndexLink"/>
                <w:rtl w:val="true"/>
              </w:rPr>
              <w:tab/>
            </w:r>
            <w:r>
              <w:rPr>
                <w:rStyle w:val="IndexLink"/>
              </w:rPr>
              <w:t>298</w:t>
            </w:r>
          </w:hyperlink>
        </w:p>
        <w:p>
          <w:pPr>
            <w:pStyle w:val="Contents3"/>
            <w:tabs>
              <w:tab w:val="clear" w:pos="8459"/>
              <w:tab w:val="right" w:pos="9026" w:leader="dot"/>
            </w:tabs>
            <w:rPr/>
          </w:pPr>
          <w:hyperlink w:anchor="__RefHeading___Toc4588678_1280447820">
            <w:r>
              <w:rPr>
                <w:webHidden/>
                <w:rStyle w:val="IndexLink"/>
                <w:rtl w:val="true"/>
              </w:rPr>
              <w:t>اشارة</w:t>
            </w:r>
            <w:r>
              <w:rPr>
                <w:rStyle w:val="IndexLink"/>
                <w:rtl w:val="true"/>
              </w:rPr>
              <w:tab/>
            </w:r>
            <w:r>
              <w:rPr>
                <w:rStyle w:val="IndexLink"/>
              </w:rPr>
              <w:t>298</w:t>
            </w:r>
          </w:hyperlink>
        </w:p>
        <w:p>
          <w:pPr>
            <w:pStyle w:val="Contents3"/>
            <w:tabs>
              <w:tab w:val="clear" w:pos="8459"/>
              <w:tab w:val="right" w:pos="9026" w:leader="dot"/>
            </w:tabs>
            <w:rPr/>
          </w:pPr>
          <w:hyperlink w:anchor="__RefHeading___Toc4588680_1280447820">
            <w:r>
              <w:rPr>
                <w:webHidden/>
                <w:rStyle w:val="IndexLink"/>
                <w:rtl w:val="true"/>
              </w:rPr>
              <w:t>هداية</w:t>
            </w:r>
            <w:r>
              <w:rPr>
                <w:rStyle w:val="IndexLink"/>
                <w:rtl w:val="true"/>
              </w:rPr>
              <w:tab/>
            </w:r>
            <w:r>
              <w:rPr>
                <w:rStyle w:val="IndexLink"/>
              </w:rPr>
              <w:t>300</w:t>
            </w:r>
          </w:hyperlink>
        </w:p>
        <w:p>
          <w:pPr>
            <w:pStyle w:val="Contents3"/>
            <w:tabs>
              <w:tab w:val="clear" w:pos="8459"/>
              <w:tab w:val="right" w:pos="9026" w:leader="dot"/>
            </w:tabs>
            <w:rPr/>
          </w:pPr>
          <w:hyperlink w:anchor="__RefHeading___Toc4588682_1280447820">
            <w:r>
              <w:rPr>
                <w:webHidden/>
                <w:rStyle w:val="IndexLink"/>
                <w:rtl w:val="true"/>
              </w:rPr>
              <w:t>هداية</w:t>
            </w:r>
            <w:r>
              <w:rPr>
                <w:rStyle w:val="IndexLink"/>
                <w:rtl w:val="true"/>
              </w:rPr>
              <w:tab/>
            </w:r>
            <w:r>
              <w:rPr>
                <w:rStyle w:val="IndexLink"/>
              </w:rPr>
              <w:t>306</w:t>
            </w:r>
          </w:hyperlink>
        </w:p>
        <w:p>
          <w:pPr>
            <w:pStyle w:val="Contents3"/>
            <w:tabs>
              <w:tab w:val="clear" w:pos="8459"/>
              <w:tab w:val="right" w:pos="9026" w:leader="dot"/>
            </w:tabs>
            <w:rPr/>
          </w:pPr>
          <w:hyperlink w:anchor="__RefHeading___Toc4588684_1280447820">
            <w:r>
              <w:rPr>
                <w:webHidden/>
                <w:rStyle w:val="IndexLink"/>
                <w:rtl w:val="true"/>
              </w:rPr>
              <w:t>هداية</w:t>
            </w:r>
            <w:r>
              <w:rPr>
                <w:rStyle w:val="IndexLink"/>
                <w:rtl w:val="true"/>
              </w:rPr>
              <w:tab/>
            </w:r>
            <w:r>
              <w:rPr>
                <w:rStyle w:val="IndexLink"/>
              </w:rPr>
              <w:t>308</w:t>
            </w:r>
          </w:hyperlink>
        </w:p>
        <w:p>
          <w:pPr>
            <w:pStyle w:val="Contents3"/>
            <w:tabs>
              <w:tab w:val="clear" w:pos="8459"/>
              <w:tab w:val="right" w:pos="9026" w:leader="dot"/>
            </w:tabs>
            <w:rPr/>
          </w:pPr>
          <w:hyperlink w:anchor="__RefHeading___Toc4588686_1280447820">
            <w:r>
              <w:rPr>
                <w:webHidden/>
                <w:rStyle w:val="IndexLink"/>
                <w:rtl w:val="true"/>
              </w:rPr>
              <w:t>هداية</w:t>
            </w:r>
            <w:r>
              <w:rPr>
                <w:rStyle w:val="IndexLink"/>
                <w:rtl w:val="true"/>
              </w:rPr>
              <w:tab/>
            </w:r>
            <w:r>
              <w:rPr>
                <w:rStyle w:val="IndexLink"/>
              </w:rPr>
              <w:t>312</w:t>
            </w:r>
          </w:hyperlink>
        </w:p>
        <w:p>
          <w:pPr>
            <w:pStyle w:val="Contents4"/>
            <w:tabs>
              <w:tab w:val="clear" w:pos="8176"/>
              <w:tab w:val="right" w:pos="9026" w:leader="dot"/>
            </w:tabs>
            <w:rPr/>
          </w:pPr>
          <w:hyperlink w:anchor="__RefHeading___Toc4588688_1280447820">
            <w:r>
              <w:rPr>
                <w:webHidden/>
                <w:rStyle w:val="IndexLink"/>
                <w:rtl w:val="true"/>
              </w:rPr>
              <w:t>اشارة</w:t>
            </w:r>
            <w:r>
              <w:rPr>
                <w:rStyle w:val="IndexLink"/>
                <w:rtl w:val="true"/>
              </w:rPr>
              <w:tab/>
            </w:r>
            <w:r>
              <w:rPr>
                <w:rStyle w:val="IndexLink"/>
              </w:rPr>
              <w:t>312</w:t>
            </w:r>
          </w:hyperlink>
        </w:p>
        <w:p>
          <w:pPr>
            <w:pStyle w:val="Contents4"/>
            <w:tabs>
              <w:tab w:val="clear" w:pos="8176"/>
              <w:tab w:val="right" w:pos="9026" w:leader="dot"/>
            </w:tabs>
            <w:rPr/>
          </w:pPr>
          <w:hyperlink w:anchor="__RefHeading___Toc4588690_1280447820">
            <w:r>
              <w:rPr>
                <w:webHidden/>
                <w:rStyle w:val="IndexLink"/>
                <w:rtl w:val="true"/>
              </w:rPr>
              <w:t xml:space="preserve">تذنيبان </w:t>
            </w:r>
            <w:r>
              <w:rPr>
                <w:rStyle w:val="IndexLink"/>
                <w:rtl w:val="true"/>
              </w:rPr>
              <w:t>:</w:t>
              <w:tab/>
            </w:r>
            <w:r>
              <w:rPr>
                <w:rStyle w:val="IndexLink"/>
              </w:rPr>
              <w:t>318</w:t>
            </w:r>
          </w:hyperlink>
        </w:p>
        <w:p>
          <w:pPr>
            <w:pStyle w:val="Contents2"/>
            <w:tabs>
              <w:tab w:val="clear" w:pos="8743"/>
              <w:tab w:val="right" w:pos="9026" w:leader="dot"/>
            </w:tabs>
            <w:rPr/>
          </w:pPr>
          <w:hyperlink w:anchor="__RefHeading___Toc4588692_1280447820">
            <w:r>
              <w:rPr>
                <w:webHidden/>
                <w:rStyle w:val="IndexLink"/>
                <w:rtl w:val="true"/>
              </w:rPr>
              <w:t>القول في الأدلّة العقليّة</w:t>
            </w:r>
            <w:r>
              <w:rPr>
                <w:rStyle w:val="IndexLink"/>
                <w:rtl w:val="true"/>
              </w:rPr>
              <w:tab/>
            </w:r>
            <w:r>
              <w:rPr>
                <w:rStyle w:val="IndexLink"/>
              </w:rPr>
              <w:t>322</w:t>
            </w:r>
          </w:hyperlink>
        </w:p>
        <w:p>
          <w:pPr>
            <w:pStyle w:val="Contents3"/>
            <w:tabs>
              <w:tab w:val="clear" w:pos="8459"/>
              <w:tab w:val="right" w:pos="9026" w:leader="dot"/>
            </w:tabs>
            <w:rPr/>
          </w:pPr>
          <w:hyperlink w:anchor="__RefHeading___Toc4588694_1280447820">
            <w:r>
              <w:rPr>
                <w:webHidden/>
                <w:rStyle w:val="IndexLink"/>
                <w:rtl w:val="true"/>
              </w:rPr>
              <w:t>اشارة</w:t>
            </w:r>
            <w:r>
              <w:rPr>
                <w:rStyle w:val="IndexLink"/>
                <w:rtl w:val="true"/>
              </w:rPr>
              <w:tab/>
            </w:r>
            <w:r>
              <w:rPr>
                <w:rStyle w:val="IndexLink"/>
              </w:rPr>
              <w:t>322</w:t>
            </w:r>
          </w:hyperlink>
        </w:p>
        <w:p>
          <w:pPr>
            <w:pStyle w:val="Contents3"/>
            <w:tabs>
              <w:tab w:val="clear" w:pos="8459"/>
              <w:tab w:val="right" w:pos="9026" w:leader="dot"/>
            </w:tabs>
            <w:rPr/>
          </w:pPr>
          <w:hyperlink w:anchor="__RefHeading___Toc4588696_1280447820">
            <w:r>
              <w:rPr>
                <w:webHidden/>
                <w:rStyle w:val="IndexLink"/>
                <w:rtl w:val="true"/>
              </w:rPr>
              <w:t>أصل</w:t>
            </w:r>
            <w:r>
              <w:rPr>
                <w:rStyle w:val="IndexLink"/>
                <w:rtl w:val="true"/>
              </w:rPr>
              <w:tab/>
            </w:r>
            <w:r>
              <w:rPr>
                <w:rStyle w:val="IndexLink"/>
              </w:rPr>
              <w:t>324</w:t>
            </w:r>
          </w:hyperlink>
        </w:p>
        <w:p>
          <w:pPr>
            <w:pStyle w:val="Contents3"/>
            <w:tabs>
              <w:tab w:val="clear" w:pos="8459"/>
              <w:tab w:val="right" w:pos="9026" w:leader="dot"/>
            </w:tabs>
            <w:rPr/>
          </w:pPr>
          <w:hyperlink w:anchor="__RefHeading___Toc4588698_1280447820">
            <w:r>
              <w:rPr>
                <w:webHidden/>
                <w:rStyle w:val="IndexLink"/>
                <w:rtl w:val="true"/>
              </w:rPr>
              <w:t>أصل</w:t>
            </w:r>
            <w:r>
              <w:rPr>
                <w:rStyle w:val="IndexLink"/>
                <w:rtl w:val="true"/>
              </w:rPr>
              <w:tab/>
            </w:r>
            <w:r>
              <w:rPr>
                <w:rStyle w:val="IndexLink"/>
              </w:rPr>
              <w:t>332</w:t>
            </w:r>
          </w:hyperlink>
        </w:p>
        <w:p>
          <w:pPr>
            <w:pStyle w:val="Contents4"/>
            <w:tabs>
              <w:tab w:val="clear" w:pos="8176"/>
              <w:tab w:val="right" w:pos="9026" w:leader="dot"/>
            </w:tabs>
            <w:rPr/>
          </w:pPr>
          <w:hyperlink w:anchor="__RefHeading___Toc4588700_1280447820">
            <w:r>
              <w:rPr>
                <w:webHidden/>
                <w:rStyle w:val="IndexLink"/>
                <w:rtl w:val="true"/>
              </w:rPr>
              <w:t>اشارة</w:t>
            </w:r>
            <w:r>
              <w:rPr>
                <w:rStyle w:val="IndexLink"/>
                <w:rtl w:val="true"/>
              </w:rPr>
              <w:tab/>
            </w:r>
            <w:r>
              <w:rPr>
                <w:rStyle w:val="IndexLink"/>
              </w:rPr>
              <w:t>332</w:t>
            </w:r>
          </w:hyperlink>
        </w:p>
        <w:p>
          <w:pPr>
            <w:pStyle w:val="Contents4"/>
            <w:tabs>
              <w:tab w:val="clear" w:pos="8176"/>
              <w:tab w:val="right" w:pos="9026" w:leader="dot"/>
            </w:tabs>
            <w:rPr/>
          </w:pPr>
          <w:hyperlink w:anchor="__RefHeading___Toc4588702_1280447820">
            <w:r>
              <w:rPr>
                <w:webHidden/>
                <w:rStyle w:val="IndexLink"/>
                <w:rtl w:val="true"/>
              </w:rPr>
              <w:t xml:space="preserve">أمّا كلمات أصحابنا في أوّل المقامات </w:t>
            </w:r>
            <w:r>
              <w:rPr>
                <w:rStyle w:val="IndexLink"/>
                <w:rtl w:val="true"/>
              </w:rPr>
              <w:t>:</w:t>
              <w:tab/>
            </w:r>
            <w:r>
              <w:rPr>
                <w:rStyle w:val="IndexLink"/>
              </w:rPr>
              <w:t>333</w:t>
            </w:r>
          </w:hyperlink>
        </w:p>
        <w:p>
          <w:pPr>
            <w:pStyle w:val="Contents4"/>
            <w:tabs>
              <w:tab w:val="clear" w:pos="8176"/>
              <w:tab w:val="right" w:pos="9026" w:leader="dot"/>
            </w:tabs>
            <w:rPr/>
          </w:pPr>
          <w:hyperlink w:anchor="__RefHeading___Toc4588704_1280447820">
            <w:r>
              <w:rPr>
                <w:webHidden/>
                <w:rStyle w:val="IndexLink"/>
                <w:rtl w:val="true"/>
              </w:rPr>
              <w:t xml:space="preserve">وأمّا كلمات مخالفينا </w:t>
            </w:r>
            <w:r>
              <w:rPr>
                <w:rStyle w:val="IndexLink"/>
                <w:rtl w:val="true"/>
              </w:rPr>
              <w:t>:</w:t>
              <w:tab/>
            </w:r>
            <w:r>
              <w:rPr>
                <w:rStyle w:val="IndexLink"/>
              </w:rPr>
              <w:t>335</w:t>
            </w:r>
          </w:hyperlink>
        </w:p>
        <w:p>
          <w:pPr>
            <w:pStyle w:val="Contents4"/>
            <w:tabs>
              <w:tab w:val="clear" w:pos="8176"/>
              <w:tab w:val="right" w:pos="9026" w:leader="dot"/>
            </w:tabs>
            <w:rPr/>
          </w:pPr>
          <w:hyperlink w:anchor="__RefHeading___Toc4588706_1280447820">
            <w:r>
              <w:rPr>
                <w:webHidden/>
                <w:rStyle w:val="IndexLink"/>
                <w:rtl w:val="true"/>
              </w:rPr>
              <w:t xml:space="preserve">واعلم أنّ هذه القضيّة تحتمل وجوها </w:t>
            </w:r>
            <w:r>
              <w:rPr>
                <w:rStyle w:val="IndexLink"/>
                <w:rtl w:val="true"/>
              </w:rPr>
              <w:t>:</w:t>
              <w:tab/>
            </w:r>
            <w:r>
              <w:rPr>
                <w:rStyle w:val="IndexLink"/>
              </w:rPr>
              <w:t>349</w:t>
            </w:r>
          </w:hyperlink>
        </w:p>
        <w:p>
          <w:pPr>
            <w:pStyle w:val="Contents3"/>
            <w:tabs>
              <w:tab w:val="clear" w:pos="8459"/>
              <w:tab w:val="right" w:pos="9026" w:leader="dot"/>
            </w:tabs>
            <w:rPr/>
          </w:pPr>
          <w:hyperlink w:anchor="__RefHeading___Toc4588708_1280447820">
            <w:r>
              <w:rPr>
                <w:webHidden/>
                <w:rStyle w:val="IndexLink"/>
                <w:rtl w:val="true"/>
              </w:rPr>
              <w:t>أصل</w:t>
            </w:r>
            <w:r>
              <w:rPr>
                <w:rStyle w:val="IndexLink"/>
                <w:rtl w:val="true"/>
              </w:rPr>
              <w:tab/>
            </w:r>
            <w:r>
              <w:rPr>
                <w:rStyle w:val="IndexLink"/>
              </w:rPr>
              <w:t>396</w:t>
            </w:r>
          </w:hyperlink>
        </w:p>
        <w:p>
          <w:pPr>
            <w:pStyle w:val="Contents4"/>
            <w:tabs>
              <w:tab w:val="clear" w:pos="8176"/>
              <w:tab w:val="right" w:pos="9026" w:leader="dot"/>
            </w:tabs>
            <w:rPr/>
          </w:pPr>
          <w:hyperlink w:anchor="__RefHeading___Toc4588710_1280447820">
            <w:r>
              <w:rPr>
                <w:webHidden/>
                <w:rStyle w:val="IndexLink"/>
                <w:rtl w:val="true"/>
              </w:rPr>
              <w:t>اشارة</w:t>
            </w:r>
            <w:r>
              <w:rPr>
                <w:rStyle w:val="IndexLink"/>
                <w:rtl w:val="true"/>
              </w:rPr>
              <w:tab/>
            </w:r>
            <w:r>
              <w:rPr>
                <w:rStyle w:val="IndexLink"/>
              </w:rPr>
              <w:t>396</w:t>
            </w:r>
          </w:hyperlink>
        </w:p>
        <w:p>
          <w:pPr>
            <w:pStyle w:val="Contents4"/>
            <w:tabs>
              <w:tab w:val="clear" w:pos="8176"/>
              <w:tab w:val="right" w:pos="9026" w:leader="dot"/>
            </w:tabs>
            <w:rPr/>
          </w:pPr>
          <w:hyperlink w:anchor="__RefHeading___Toc4588712_1280447820">
            <w:r>
              <w:rPr>
                <w:webHidden/>
                <w:rStyle w:val="IndexLink"/>
                <w:rtl w:val="true"/>
              </w:rPr>
              <w:t xml:space="preserve">تنبيهان </w:t>
            </w:r>
            <w:r>
              <w:rPr>
                <w:rStyle w:val="IndexLink"/>
                <w:rtl w:val="true"/>
              </w:rPr>
              <w:t>:</w:t>
              <w:tab/>
            </w:r>
            <w:r>
              <w:rPr>
                <w:rStyle w:val="IndexLink"/>
              </w:rPr>
              <w:t>401</w:t>
            </w:r>
          </w:hyperlink>
        </w:p>
        <w:p>
          <w:pPr>
            <w:pStyle w:val="Contents3"/>
            <w:tabs>
              <w:tab w:val="clear" w:pos="8459"/>
              <w:tab w:val="right" w:pos="9026" w:leader="dot"/>
            </w:tabs>
            <w:rPr/>
          </w:pPr>
          <w:hyperlink w:anchor="__RefHeading___Toc4588714_1280447820">
            <w:r>
              <w:rPr>
                <w:webHidden/>
                <w:rStyle w:val="IndexLink"/>
                <w:rtl w:val="true"/>
              </w:rPr>
              <w:t>أصل</w:t>
            </w:r>
            <w:r>
              <w:rPr>
                <w:rStyle w:val="IndexLink"/>
                <w:rtl w:val="true"/>
              </w:rPr>
              <w:tab/>
            </w:r>
            <w:r>
              <w:rPr>
                <w:rStyle w:val="IndexLink"/>
              </w:rPr>
              <w:t>404</w:t>
            </w:r>
          </w:hyperlink>
        </w:p>
        <w:p>
          <w:pPr>
            <w:pStyle w:val="Contents4"/>
            <w:tabs>
              <w:tab w:val="clear" w:pos="8176"/>
              <w:tab w:val="right" w:pos="9026" w:leader="dot"/>
            </w:tabs>
            <w:rPr/>
          </w:pPr>
          <w:hyperlink w:anchor="__RefHeading___Toc4588716_1280447820">
            <w:r>
              <w:rPr>
                <w:webHidden/>
                <w:rStyle w:val="IndexLink"/>
                <w:rtl w:val="true"/>
              </w:rPr>
              <w:t>اشارة</w:t>
            </w:r>
            <w:r>
              <w:rPr>
                <w:rStyle w:val="IndexLink"/>
                <w:rtl w:val="true"/>
              </w:rPr>
              <w:tab/>
            </w:r>
            <w:r>
              <w:rPr>
                <w:rStyle w:val="IndexLink"/>
              </w:rPr>
              <w:t>404</w:t>
            </w:r>
          </w:hyperlink>
        </w:p>
        <w:p>
          <w:pPr>
            <w:pStyle w:val="Contents4"/>
            <w:tabs>
              <w:tab w:val="clear" w:pos="8176"/>
              <w:tab w:val="right" w:pos="9026" w:leader="dot"/>
            </w:tabs>
            <w:rPr/>
          </w:pPr>
          <w:hyperlink w:anchor="__RefHeading___Toc4588718_1280447820">
            <w:r>
              <w:rPr>
                <w:webHidden/>
                <w:rStyle w:val="IndexLink"/>
                <w:rtl w:val="true"/>
              </w:rPr>
              <w:t xml:space="preserve">الأوّل </w:t>
            </w:r>
            <w:r>
              <w:rPr>
                <w:rStyle w:val="IndexLink"/>
                <w:rtl w:val="true"/>
              </w:rPr>
              <w:t>:</w:t>
              <w:tab/>
            </w:r>
            <w:r>
              <w:rPr>
                <w:rStyle w:val="IndexLink"/>
              </w:rPr>
              <w:t>404</w:t>
            </w:r>
          </w:hyperlink>
        </w:p>
        <w:p>
          <w:pPr>
            <w:pStyle w:val="Contents4"/>
            <w:tabs>
              <w:tab w:val="clear" w:pos="8176"/>
              <w:tab w:val="right" w:pos="9026" w:leader="dot"/>
            </w:tabs>
            <w:rPr/>
          </w:pPr>
          <w:hyperlink w:anchor="__RefHeading___Toc4588720_1280447820">
            <w:r>
              <w:rPr>
                <w:webHidden/>
                <w:rStyle w:val="IndexLink"/>
                <w:rtl w:val="true"/>
              </w:rPr>
              <w:t xml:space="preserve">الثاني من الامور في تحرير محل النزاع </w:t>
            </w:r>
            <w:r>
              <w:rPr>
                <w:rStyle w:val="IndexLink"/>
                <w:rtl w:val="true"/>
              </w:rPr>
              <w:t>:</w:t>
              <w:tab/>
            </w:r>
            <w:r>
              <w:rPr>
                <w:rStyle w:val="IndexLink"/>
              </w:rPr>
              <w:t>408</w:t>
            </w:r>
          </w:hyperlink>
        </w:p>
        <w:p>
          <w:pPr>
            <w:pStyle w:val="Contents4"/>
            <w:tabs>
              <w:tab w:val="clear" w:pos="8176"/>
              <w:tab w:val="right" w:pos="9026" w:leader="dot"/>
            </w:tabs>
            <w:rPr/>
          </w:pPr>
          <w:hyperlink w:anchor="__RefHeading___Toc4588722_1280447820">
            <w:r>
              <w:rPr>
                <w:webHidden/>
                <w:rStyle w:val="IndexLink"/>
                <w:rtl w:val="true"/>
              </w:rPr>
              <w:t xml:space="preserve">بقي هنا شيئان </w:t>
            </w:r>
            <w:r>
              <w:rPr>
                <w:rStyle w:val="IndexLink"/>
                <w:rtl w:val="true"/>
              </w:rPr>
              <w:t>:</w:t>
              <w:tab/>
            </w:r>
            <w:r>
              <w:rPr>
                <w:rStyle w:val="IndexLink"/>
              </w:rPr>
              <w:t>409</w:t>
            </w:r>
          </w:hyperlink>
        </w:p>
        <w:p>
          <w:pPr>
            <w:pStyle w:val="Contents4"/>
            <w:tabs>
              <w:tab w:val="clear" w:pos="8176"/>
              <w:tab w:val="right" w:pos="9026" w:leader="dot"/>
            </w:tabs>
            <w:rPr/>
          </w:pPr>
          <w:hyperlink w:anchor="__RefHeading___Toc4588724_1280447820">
            <w:r>
              <w:rPr>
                <w:webHidden/>
                <w:rStyle w:val="IndexLink"/>
                <w:rtl w:val="true"/>
              </w:rPr>
              <w:t xml:space="preserve">وإذ قد عرفت هذه الامور فالمنقول من حجج المبيحين امور </w:t>
            </w:r>
            <w:r>
              <w:rPr>
                <w:rStyle w:val="IndexLink"/>
                <w:rtl w:val="true"/>
              </w:rPr>
              <w:t>:</w:t>
              <w:tab/>
            </w:r>
            <w:r>
              <w:rPr>
                <w:rStyle w:val="IndexLink"/>
              </w:rPr>
              <w:t>416</w:t>
            </w:r>
          </w:hyperlink>
        </w:p>
        <w:p>
          <w:pPr>
            <w:pStyle w:val="Contents4"/>
            <w:tabs>
              <w:tab w:val="clear" w:pos="8176"/>
              <w:tab w:val="right" w:pos="9026" w:leader="dot"/>
            </w:tabs>
            <w:rPr/>
          </w:pPr>
          <w:hyperlink w:anchor="__RefHeading___Toc4588726_1280447820">
            <w:r>
              <w:rPr>
                <w:webHidden/>
                <w:rStyle w:val="IndexLink"/>
                <w:rtl w:val="true"/>
              </w:rPr>
              <w:t xml:space="preserve">واحتجّ القائل بالحظر بوجهين </w:t>
            </w:r>
            <w:r>
              <w:rPr>
                <w:rStyle w:val="IndexLink"/>
                <w:rtl w:val="true"/>
              </w:rPr>
              <w:t>:</w:t>
              <w:tab/>
            </w:r>
            <w:r>
              <w:rPr>
                <w:rStyle w:val="IndexLink"/>
              </w:rPr>
              <w:t>420</w:t>
            </w:r>
          </w:hyperlink>
        </w:p>
        <w:p>
          <w:pPr>
            <w:pStyle w:val="Contents4"/>
            <w:tabs>
              <w:tab w:val="clear" w:pos="8176"/>
              <w:tab w:val="right" w:pos="9026" w:leader="dot"/>
            </w:tabs>
            <w:rPr/>
          </w:pPr>
          <w:hyperlink w:anchor="__RefHeading___Toc4588728_1280447820">
            <w:r>
              <w:rPr>
                <w:webHidden/>
                <w:rStyle w:val="IndexLink"/>
                <w:rtl w:val="true"/>
              </w:rPr>
              <w:t>تذنيب</w:t>
            </w:r>
            <w:r>
              <w:rPr>
                <w:rStyle w:val="IndexLink"/>
                <w:rtl w:val="true"/>
              </w:rPr>
              <w:tab/>
            </w:r>
            <w:r>
              <w:rPr>
                <w:rStyle w:val="IndexLink"/>
              </w:rPr>
              <w:t>425</w:t>
            </w:r>
          </w:hyperlink>
        </w:p>
        <w:p>
          <w:pPr>
            <w:pStyle w:val="Contents2"/>
            <w:tabs>
              <w:tab w:val="clear" w:pos="8743"/>
              <w:tab w:val="right" w:pos="9026" w:leader="dot"/>
            </w:tabs>
            <w:rPr/>
          </w:pPr>
          <w:hyperlink w:anchor="__RefHeading___Toc4588730_1280447820">
            <w:r>
              <w:rPr>
                <w:webHidden/>
                <w:rStyle w:val="IndexLink"/>
                <w:rtl w:val="true"/>
              </w:rPr>
              <w:t>الكلام في اشتراط الحياة في المفتي</w:t>
            </w:r>
            <w:r>
              <w:rPr>
                <w:rStyle w:val="IndexLink"/>
                <w:rtl w:val="true"/>
              </w:rPr>
              <w:tab/>
            </w:r>
            <w:r>
              <w:rPr>
                <w:rStyle w:val="IndexLink"/>
              </w:rPr>
              <w:t>434</w:t>
            </w:r>
          </w:hyperlink>
        </w:p>
        <w:p>
          <w:pPr>
            <w:pStyle w:val="Contents3"/>
            <w:tabs>
              <w:tab w:val="clear" w:pos="8459"/>
              <w:tab w:val="right" w:pos="9026" w:leader="dot"/>
            </w:tabs>
            <w:rPr/>
          </w:pPr>
          <w:hyperlink w:anchor="__RefHeading___Toc4588732_1280447820">
            <w:r>
              <w:rPr>
                <w:webHidden/>
                <w:rStyle w:val="IndexLink"/>
                <w:rtl w:val="true"/>
              </w:rPr>
              <w:t>اشارة</w:t>
            </w:r>
            <w:r>
              <w:rPr>
                <w:rStyle w:val="IndexLink"/>
                <w:rtl w:val="true"/>
              </w:rPr>
              <w:tab/>
            </w:r>
            <w:r>
              <w:rPr>
                <w:rStyle w:val="IndexLink"/>
              </w:rPr>
              <w:t>434</w:t>
            </w:r>
          </w:hyperlink>
        </w:p>
        <w:p>
          <w:pPr>
            <w:pStyle w:val="Contents3"/>
            <w:tabs>
              <w:tab w:val="clear" w:pos="8459"/>
              <w:tab w:val="right" w:pos="9026" w:leader="dot"/>
            </w:tabs>
            <w:rPr/>
          </w:pPr>
          <w:hyperlink w:anchor="__RefHeading___Toc4588734_1280447820">
            <w:r>
              <w:rPr>
                <w:webHidden/>
                <w:rStyle w:val="IndexLink"/>
                <w:rtl w:val="true"/>
              </w:rPr>
              <w:t>هداية</w:t>
            </w:r>
            <w:r>
              <w:rPr>
                <w:rStyle w:val="IndexLink"/>
                <w:rtl w:val="true"/>
              </w:rPr>
              <w:tab/>
            </w:r>
            <w:r>
              <w:rPr>
                <w:rStyle w:val="IndexLink"/>
              </w:rPr>
              <w:t>436</w:t>
            </w:r>
          </w:hyperlink>
        </w:p>
        <w:p>
          <w:pPr>
            <w:pStyle w:val="Contents3"/>
            <w:tabs>
              <w:tab w:val="clear" w:pos="8459"/>
              <w:tab w:val="right" w:pos="9026" w:leader="dot"/>
            </w:tabs>
            <w:rPr/>
          </w:pPr>
          <w:hyperlink w:anchor="__RefHeading___Toc4588736_1280447820">
            <w:r>
              <w:rPr>
                <w:webHidden/>
                <w:rStyle w:val="IndexLink"/>
                <w:rtl w:val="true"/>
              </w:rPr>
              <w:t>هداية</w:t>
            </w:r>
            <w:r>
              <w:rPr>
                <w:rStyle w:val="IndexLink"/>
                <w:rtl w:val="true"/>
              </w:rPr>
              <w:tab/>
            </w:r>
            <w:r>
              <w:rPr>
                <w:rStyle w:val="IndexLink"/>
              </w:rPr>
              <w:t>460</w:t>
            </w:r>
          </w:hyperlink>
        </w:p>
        <w:p>
          <w:pPr>
            <w:pStyle w:val="Contents4"/>
            <w:tabs>
              <w:tab w:val="clear" w:pos="8176"/>
              <w:tab w:val="right" w:pos="9026" w:leader="dot"/>
            </w:tabs>
            <w:rPr/>
          </w:pPr>
          <w:hyperlink w:anchor="__RefHeading___Toc4588738_1280447820">
            <w:r>
              <w:rPr>
                <w:webHidden/>
                <w:rStyle w:val="IndexLink"/>
                <w:rtl w:val="true"/>
              </w:rPr>
              <w:t xml:space="preserve">في ذكر احتجاج المجوّزين </w:t>
            </w:r>
            <w:r>
              <w:rPr>
                <w:rStyle w:val="IndexLink"/>
                <w:rtl w:val="true"/>
              </w:rPr>
              <w:t>:</w:t>
              <w:tab/>
            </w:r>
            <w:r>
              <w:rPr>
                <w:rStyle w:val="IndexLink"/>
              </w:rPr>
              <w:t>460</w:t>
            </w:r>
          </w:hyperlink>
        </w:p>
        <w:p>
          <w:pPr>
            <w:pStyle w:val="Contents4"/>
            <w:tabs>
              <w:tab w:val="clear" w:pos="8176"/>
              <w:tab w:val="right" w:pos="9026" w:leader="dot"/>
            </w:tabs>
            <w:rPr/>
          </w:pPr>
          <w:hyperlink w:anchor="__RefHeading___Toc4588740_1280447820">
            <w:r>
              <w:rPr>
                <w:webHidden/>
                <w:rStyle w:val="IndexLink"/>
                <w:rtl w:val="true"/>
              </w:rPr>
              <w:t xml:space="preserve">وأمّا الإجماع </w:t>
            </w:r>
            <w:r>
              <w:rPr>
                <w:rStyle w:val="IndexLink"/>
                <w:rtl w:val="true"/>
              </w:rPr>
              <w:t>:</w:t>
              <w:tab/>
            </w:r>
            <w:r>
              <w:rPr>
                <w:rStyle w:val="IndexLink"/>
              </w:rPr>
              <w:t>492</w:t>
            </w:r>
          </w:hyperlink>
        </w:p>
        <w:p>
          <w:pPr>
            <w:pStyle w:val="Contents3"/>
            <w:tabs>
              <w:tab w:val="clear" w:pos="8459"/>
              <w:tab w:val="right" w:pos="9026" w:leader="dot"/>
            </w:tabs>
            <w:rPr/>
          </w:pPr>
          <w:hyperlink w:anchor="__RefHeading___Toc4588742_1280447820">
            <w:r>
              <w:rPr>
                <w:webHidden/>
                <w:rStyle w:val="IndexLink"/>
                <w:rtl w:val="true"/>
              </w:rPr>
              <w:t>هداية</w:t>
            </w:r>
            <w:r>
              <w:rPr>
                <w:rStyle w:val="IndexLink"/>
                <w:rtl w:val="true"/>
              </w:rPr>
              <w:tab/>
            </w:r>
            <w:r>
              <w:rPr>
                <w:rStyle w:val="IndexLink"/>
              </w:rPr>
              <w:t>500</w:t>
            </w:r>
          </w:hyperlink>
        </w:p>
        <w:p>
          <w:pPr>
            <w:pStyle w:val="Contents3"/>
            <w:tabs>
              <w:tab w:val="clear" w:pos="8459"/>
              <w:tab w:val="right" w:pos="9026" w:leader="dot"/>
            </w:tabs>
            <w:rPr/>
          </w:pPr>
          <w:hyperlink w:anchor="__RefHeading___Toc4588744_1280447820">
            <w:r>
              <w:rPr>
                <w:webHidden/>
                <w:rStyle w:val="IndexLink"/>
                <w:rtl w:val="true"/>
              </w:rPr>
              <w:t>هداية</w:t>
            </w:r>
            <w:r>
              <w:rPr>
                <w:rStyle w:val="IndexLink"/>
                <w:rtl w:val="true"/>
              </w:rPr>
              <w:tab/>
            </w:r>
            <w:r>
              <w:rPr>
                <w:rStyle w:val="IndexLink"/>
              </w:rPr>
              <w:t>508</w:t>
            </w:r>
          </w:hyperlink>
        </w:p>
        <w:p>
          <w:pPr>
            <w:pStyle w:val="Contents3"/>
            <w:tabs>
              <w:tab w:val="clear" w:pos="8459"/>
              <w:tab w:val="right" w:pos="9026" w:leader="dot"/>
            </w:tabs>
            <w:rPr/>
          </w:pPr>
          <w:hyperlink w:anchor="__RefHeading___Toc4588746_1280447820">
            <w:r>
              <w:rPr>
                <w:webHidden/>
                <w:rStyle w:val="IndexLink"/>
                <w:rtl w:val="true"/>
              </w:rPr>
              <w:t>هداية</w:t>
            </w:r>
            <w:r>
              <w:rPr>
                <w:rStyle w:val="IndexLink"/>
                <w:rtl w:val="true"/>
              </w:rPr>
              <w:tab/>
            </w:r>
            <w:r>
              <w:rPr>
                <w:rStyle w:val="IndexLink"/>
              </w:rPr>
              <w:t>510</w:t>
            </w:r>
          </w:hyperlink>
        </w:p>
        <w:p>
          <w:pPr>
            <w:pStyle w:val="Contents3"/>
            <w:tabs>
              <w:tab w:val="clear" w:pos="8459"/>
              <w:tab w:val="right" w:pos="9026" w:leader="dot"/>
            </w:tabs>
            <w:rPr/>
          </w:pPr>
          <w:hyperlink w:anchor="__RefHeading___Toc4588748_1280447820">
            <w:r>
              <w:rPr>
                <w:webHidden/>
                <w:rStyle w:val="IndexLink"/>
                <w:rtl w:val="true"/>
              </w:rPr>
              <w:t>هداية</w:t>
            </w:r>
            <w:r>
              <w:rPr>
                <w:rStyle w:val="IndexLink"/>
                <w:rtl w:val="true"/>
              </w:rPr>
              <w:tab/>
            </w:r>
            <w:r>
              <w:rPr>
                <w:rStyle w:val="IndexLink"/>
              </w:rPr>
              <w:t>522</w:t>
            </w:r>
          </w:hyperlink>
        </w:p>
        <w:p>
          <w:pPr>
            <w:pStyle w:val="Contents4"/>
            <w:tabs>
              <w:tab w:val="clear" w:pos="8176"/>
              <w:tab w:val="right" w:pos="9026" w:leader="dot"/>
            </w:tabs>
            <w:rPr/>
          </w:pPr>
          <w:hyperlink w:anchor="__RefHeading___Toc4588750_1280447820">
            <w:r>
              <w:rPr>
                <w:webHidden/>
                <w:rStyle w:val="IndexLink"/>
                <w:rtl w:val="true"/>
              </w:rPr>
              <w:t>اشارة</w:t>
            </w:r>
            <w:r>
              <w:rPr>
                <w:rStyle w:val="IndexLink"/>
                <w:rtl w:val="true"/>
              </w:rPr>
              <w:tab/>
            </w:r>
            <w:r>
              <w:rPr>
                <w:rStyle w:val="IndexLink"/>
              </w:rPr>
              <w:t>522</w:t>
            </w:r>
          </w:hyperlink>
        </w:p>
        <w:p>
          <w:pPr>
            <w:pStyle w:val="Contents4"/>
            <w:tabs>
              <w:tab w:val="clear" w:pos="8176"/>
              <w:tab w:val="right" w:pos="9026" w:leader="dot"/>
            </w:tabs>
            <w:rPr/>
          </w:pPr>
          <w:hyperlink w:anchor="__RefHeading___Toc4588752_1280447820">
            <w:r>
              <w:rPr>
                <w:webHidden/>
                <w:rStyle w:val="IndexLink"/>
                <w:rtl w:val="true"/>
              </w:rPr>
              <w:t xml:space="preserve">تنبيهان </w:t>
            </w:r>
            <w:r>
              <w:rPr>
                <w:rStyle w:val="IndexLink"/>
                <w:rtl w:val="true"/>
              </w:rPr>
              <w:t>:</w:t>
              <w:tab/>
            </w:r>
            <w:r>
              <w:rPr>
                <w:rStyle w:val="IndexLink"/>
              </w:rPr>
              <w:t>524</w:t>
            </w:r>
          </w:hyperlink>
        </w:p>
        <w:p>
          <w:pPr>
            <w:pStyle w:val="Contents2"/>
            <w:tabs>
              <w:tab w:val="clear" w:pos="8743"/>
              <w:tab w:val="right" w:pos="9026" w:leader="dot"/>
            </w:tabs>
            <w:rPr/>
          </w:pPr>
          <w:hyperlink w:anchor="__RefHeading___Toc4588754_1280447820">
            <w:r>
              <w:rPr>
                <w:webHidden/>
                <w:rStyle w:val="IndexLink"/>
                <w:rtl w:val="true"/>
              </w:rPr>
              <w:t>الكلام في اشتراط الأعلمية في المفتي</w:t>
            </w:r>
            <w:r>
              <w:rPr>
                <w:rStyle w:val="IndexLink"/>
                <w:rtl w:val="true"/>
              </w:rPr>
              <w:tab/>
            </w:r>
            <w:r>
              <w:rPr>
                <w:rStyle w:val="IndexLink"/>
              </w:rPr>
              <w:t>528</w:t>
            </w:r>
          </w:hyperlink>
        </w:p>
        <w:p>
          <w:pPr>
            <w:pStyle w:val="Contents3"/>
            <w:tabs>
              <w:tab w:val="clear" w:pos="8459"/>
              <w:tab w:val="right" w:pos="9026" w:leader="dot"/>
            </w:tabs>
            <w:rPr/>
          </w:pPr>
          <w:hyperlink w:anchor="__RefHeading___Toc4588756_1280447820">
            <w:r>
              <w:rPr>
                <w:webHidden/>
                <w:rStyle w:val="IndexLink"/>
                <w:rtl w:val="true"/>
              </w:rPr>
              <w:t>اشارة</w:t>
            </w:r>
            <w:r>
              <w:rPr>
                <w:rStyle w:val="IndexLink"/>
                <w:rtl w:val="true"/>
              </w:rPr>
              <w:tab/>
            </w:r>
            <w:r>
              <w:rPr>
                <w:rStyle w:val="IndexLink"/>
              </w:rPr>
              <w:t>528</w:t>
            </w:r>
          </w:hyperlink>
        </w:p>
        <w:p>
          <w:pPr>
            <w:pStyle w:val="Contents3"/>
            <w:tabs>
              <w:tab w:val="clear" w:pos="8459"/>
              <w:tab w:val="right" w:pos="9026" w:leader="dot"/>
            </w:tabs>
            <w:rPr/>
          </w:pPr>
          <w:hyperlink w:anchor="__RefHeading___Toc4588758_1280447820">
            <w:r>
              <w:rPr>
                <w:webHidden/>
                <w:rStyle w:val="IndexLink"/>
                <w:rtl w:val="true"/>
              </w:rPr>
              <w:t>هداية</w:t>
            </w:r>
            <w:r>
              <w:rPr>
                <w:rStyle w:val="IndexLink"/>
                <w:rtl w:val="true"/>
              </w:rPr>
              <w:tab/>
            </w:r>
            <w:r>
              <w:rPr>
                <w:rStyle w:val="IndexLink"/>
              </w:rPr>
              <w:t>540</w:t>
            </w:r>
          </w:hyperlink>
        </w:p>
        <w:p>
          <w:pPr>
            <w:pStyle w:val="Contents3"/>
            <w:tabs>
              <w:tab w:val="clear" w:pos="8459"/>
              <w:tab w:val="right" w:pos="9026" w:leader="dot"/>
            </w:tabs>
            <w:rPr/>
          </w:pPr>
          <w:hyperlink w:anchor="__RefHeading___Toc4588760_1280447820">
            <w:r>
              <w:rPr>
                <w:webHidden/>
                <w:rStyle w:val="IndexLink"/>
                <w:rtl w:val="true"/>
              </w:rPr>
              <w:t>هداية</w:t>
            </w:r>
            <w:r>
              <w:rPr>
                <w:rStyle w:val="IndexLink"/>
                <w:rtl w:val="true"/>
              </w:rPr>
              <w:tab/>
            </w:r>
            <w:r>
              <w:rPr>
                <w:rStyle w:val="IndexLink"/>
              </w:rPr>
              <w:t>546</w:t>
            </w:r>
          </w:hyperlink>
        </w:p>
        <w:p>
          <w:pPr>
            <w:pStyle w:val="Contents4"/>
            <w:tabs>
              <w:tab w:val="clear" w:pos="8176"/>
              <w:tab w:val="right" w:pos="9026" w:leader="dot"/>
            </w:tabs>
            <w:rPr/>
          </w:pPr>
          <w:hyperlink w:anchor="__RefHeading___Toc4588762_1280447820">
            <w:r>
              <w:rPr>
                <w:webHidden/>
                <w:rStyle w:val="IndexLink"/>
                <w:rtl w:val="true"/>
              </w:rPr>
              <w:t xml:space="preserve">في ذكر احتجاج المانعين </w:t>
            </w:r>
            <w:r>
              <w:rPr>
                <w:rStyle w:val="IndexLink"/>
                <w:rtl w:val="true"/>
              </w:rPr>
              <w:t>:</w:t>
              <w:tab/>
            </w:r>
            <w:r>
              <w:rPr>
                <w:rStyle w:val="IndexLink"/>
              </w:rPr>
              <w:t>546</w:t>
            </w:r>
          </w:hyperlink>
        </w:p>
        <w:p>
          <w:pPr>
            <w:pStyle w:val="Contents4"/>
            <w:tabs>
              <w:tab w:val="clear" w:pos="8176"/>
              <w:tab w:val="right" w:pos="9026" w:leader="dot"/>
            </w:tabs>
            <w:rPr/>
          </w:pPr>
          <w:hyperlink w:anchor="__RefHeading___Toc4588764_1280447820">
            <w:r>
              <w:rPr>
                <w:webHidden/>
                <w:rStyle w:val="IndexLink"/>
                <w:rtl w:val="true"/>
              </w:rPr>
              <w:t xml:space="preserve">وينبغي التنبيه على أمور </w:t>
            </w:r>
            <w:r>
              <w:rPr>
                <w:rStyle w:val="IndexLink"/>
                <w:rtl w:val="true"/>
              </w:rPr>
              <w:t>:</w:t>
              <w:tab/>
            </w:r>
            <w:r>
              <w:rPr>
                <w:rStyle w:val="IndexLink"/>
              </w:rPr>
              <w:t>552</w:t>
            </w:r>
          </w:hyperlink>
        </w:p>
        <w:p>
          <w:pPr>
            <w:pStyle w:val="Contents2"/>
            <w:tabs>
              <w:tab w:val="clear" w:pos="8743"/>
              <w:tab w:val="right" w:pos="9026" w:leader="dot"/>
            </w:tabs>
            <w:rPr/>
          </w:pPr>
          <w:hyperlink w:anchor="__RefHeading___Toc4588766_1280447820">
            <w:r>
              <w:rPr>
                <w:webHidden/>
                <w:rStyle w:val="IndexLink"/>
                <w:rtl w:val="true"/>
              </w:rPr>
              <w:t xml:space="preserve">مسألتان ملحقتان </w:t>
            </w:r>
            <w:r>
              <w:rPr>
                <w:rStyle w:val="IndexLink"/>
                <w:rtl w:val="true"/>
              </w:rPr>
              <w:t xml:space="preserve">: </w:t>
            </w:r>
            <w:r>
              <w:rPr>
                <w:rStyle w:val="IndexLink"/>
                <w:rtl w:val="true"/>
              </w:rPr>
              <w:t>تقليد الميت وتقليد الأعلم</w:t>
            </w:r>
            <w:r>
              <w:rPr>
                <w:rStyle w:val="IndexLink"/>
                <w:rtl w:val="true"/>
              </w:rPr>
              <w:tab/>
            </w:r>
            <w:r>
              <w:rPr>
                <w:rStyle w:val="IndexLink"/>
              </w:rPr>
              <w:t>562</w:t>
            </w:r>
          </w:hyperlink>
        </w:p>
        <w:p>
          <w:pPr>
            <w:pStyle w:val="Contents3"/>
            <w:tabs>
              <w:tab w:val="clear" w:pos="8459"/>
              <w:tab w:val="right" w:pos="9026" w:leader="dot"/>
            </w:tabs>
            <w:rPr/>
          </w:pPr>
          <w:hyperlink w:anchor="__RefHeading___Toc4588768_1280447820">
            <w:r>
              <w:rPr>
                <w:webHidden/>
                <w:rStyle w:val="IndexLink"/>
                <w:rtl w:val="true"/>
              </w:rPr>
              <w:t>اشارة</w:t>
            </w:r>
            <w:r>
              <w:rPr>
                <w:rStyle w:val="IndexLink"/>
                <w:rtl w:val="true"/>
              </w:rPr>
              <w:tab/>
            </w:r>
            <w:r>
              <w:rPr>
                <w:rStyle w:val="IndexLink"/>
              </w:rPr>
              <w:t>562</w:t>
            </w:r>
          </w:hyperlink>
        </w:p>
        <w:p>
          <w:pPr>
            <w:pStyle w:val="Contents3"/>
            <w:tabs>
              <w:tab w:val="clear" w:pos="8459"/>
              <w:tab w:val="right" w:pos="9026" w:leader="dot"/>
            </w:tabs>
            <w:rPr/>
          </w:pPr>
          <w:hyperlink w:anchor="__RefHeading___Toc4588770_1280447820">
            <w:r>
              <w:rPr>
                <w:webHidden/>
                <w:rStyle w:val="IndexLink"/>
                <w:rtl w:val="true"/>
              </w:rPr>
              <w:t xml:space="preserve">[ </w:t>
            </w:r>
            <w:r>
              <w:rPr>
                <w:rStyle w:val="IndexLink"/>
                <w:rtl w:val="true"/>
              </w:rPr>
              <w:t xml:space="preserve">الأقوال في اشتراط الحياة في المفتي </w:t>
            </w:r>
            <w:r>
              <w:rPr>
                <w:rStyle w:val="IndexLink"/>
                <w:rtl w:val="true"/>
              </w:rPr>
              <w:t>] :</w:t>
              <w:tab/>
            </w:r>
            <w:r>
              <w:rPr>
                <w:rStyle w:val="IndexLink"/>
              </w:rPr>
              <w:t>564</w:t>
            </w:r>
          </w:hyperlink>
        </w:p>
        <w:p>
          <w:pPr>
            <w:pStyle w:val="Contents3"/>
            <w:tabs>
              <w:tab w:val="clear" w:pos="8459"/>
              <w:tab w:val="right" w:pos="9026" w:leader="dot"/>
            </w:tabs>
            <w:rPr/>
          </w:pPr>
          <w:hyperlink w:anchor="__RefHeading___Toc4588772_1280447820">
            <w:r>
              <w:rPr>
                <w:webHidden/>
                <w:rStyle w:val="IndexLink"/>
                <w:rtl w:val="true"/>
              </w:rPr>
              <w:t xml:space="preserve">[ </w:t>
            </w:r>
            <w:r>
              <w:rPr>
                <w:rStyle w:val="IndexLink"/>
                <w:rtl w:val="true"/>
              </w:rPr>
              <w:t xml:space="preserve">وجوه القول بعدم جواز تقليد الميت </w:t>
            </w:r>
            <w:r>
              <w:rPr>
                <w:rStyle w:val="IndexLink"/>
                <w:rtl w:val="true"/>
              </w:rPr>
              <w:t>] :</w:t>
              <w:tab/>
            </w:r>
            <w:r>
              <w:rPr>
                <w:rStyle w:val="IndexLink"/>
              </w:rPr>
              <w:t>569</w:t>
            </w:r>
          </w:hyperlink>
        </w:p>
        <w:p>
          <w:pPr>
            <w:pStyle w:val="Contents3"/>
            <w:tabs>
              <w:tab w:val="clear" w:pos="8459"/>
              <w:tab w:val="right" w:pos="9026" w:leader="dot"/>
            </w:tabs>
            <w:rPr/>
          </w:pPr>
          <w:hyperlink w:anchor="__RefHeading___Toc4588774_1280447820">
            <w:r>
              <w:rPr>
                <w:webHidden/>
                <w:rStyle w:val="IndexLink"/>
                <w:rtl w:val="true"/>
              </w:rPr>
              <w:t xml:space="preserve">[ </w:t>
            </w:r>
            <w:r>
              <w:rPr>
                <w:rStyle w:val="IndexLink"/>
                <w:rtl w:val="true"/>
              </w:rPr>
              <w:t xml:space="preserve">وجوه القول بجواز تقليد الميّت ومناقشتها </w:t>
            </w:r>
            <w:r>
              <w:rPr>
                <w:rStyle w:val="IndexLink"/>
                <w:rtl w:val="true"/>
              </w:rPr>
              <w:t>] :</w:t>
              <w:tab/>
            </w:r>
            <w:r>
              <w:rPr>
                <w:rStyle w:val="IndexLink"/>
              </w:rPr>
              <w:t>590</w:t>
            </w:r>
          </w:hyperlink>
        </w:p>
        <w:p>
          <w:pPr>
            <w:pStyle w:val="Contents3"/>
            <w:tabs>
              <w:tab w:val="clear" w:pos="8459"/>
              <w:tab w:val="right" w:pos="9026" w:leader="dot"/>
            </w:tabs>
            <w:rPr/>
          </w:pPr>
          <w:hyperlink w:anchor="__RefHeading___Toc4588776_1280447820">
            <w:r>
              <w:rPr>
                <w:webHidden/>
                <w:rStyle w:val="IndexLink"/>
                <w:rtl w:val="true"/>
              </w:rPr>
              <w:t xml:space="preserve">وينبغي التنبيه على امور </w:t>
            </w:r>
            <w:r>
              <w:rPr>
                <w:rStyle w:val="IndexLink"/>
                <w:rtl w:val="true"/>
              </w:rPr>
              <w:t>:</w:t>
              <w:tab/>
            </w:r>
            <w:r>
              <w:rPr>
                <w:rStyle w:val="IndexLink"/>
              </w:rPr>
              <w:t>625</w:t>
            </w:r>
          </w:hyperlink>
        </w:p>
        <w:p>
          <w:pPr>
            <w:pStyle w:val="Contents3"/>
            <w:tabs>
              <w:tab w:val="clear" w:pos="8459"/>
              <w:tab w:val="right" w:pos="9026" w:leader="dot"/>
            </w:tabs>
            <w:rPr/>
          </w:pPr>
          <w:hyperlink w:anchor="__RefHeading___Toc4588778_1280447820">
            <w:r>
              <w:rPr>
                <w:webHidden/>
                <w:rStyle w:val="IndexLink"/>
                <w:rtl w:val="true"/>
              </w:rPr>
              <w:t xml:space="preserve">[ </w:t>
            </w:r>
            <w:r>
              <w:rPr>
                <w:rStyle w:val="IndexLink"/>
                <w:rtl w:val="true"/>
              </w:rPr>
              <w:t xml:space="preserve">تقرير الأصل في المسألة </w:t>
            </w:r>
            <w:r>
              <w:rPr>
                <w:rStyle w:val="IndexLink"/>
                <w:rtl w:val="true"/>
              </w:rPr>
              <w:t>] :</w:t>
              <w:tab/>
            </w:r>
            <w:r>
              <w:rPr>
                <w:rStyle w:val="IndexLink"/>
              </w:rPr>
              <w:t>646</w:t>
            </w:r>
          </w:hyperlink>
        </w:p>
        <w:p>
          <w:pPr>
            <w:pStyle w:val="Contents3"/>
            <w:tabs>
              <w:tab w:val="clear" w:pos="8459"/>
              <w:tab w:val="right" w:pos="9026" w:leader="dot"/>
            </w:tabs>
            <w:rPr/>
          </w:pPr>
          <w:hyperlink w:anchor="__RefHeading___Toc4588780_1280447820">
            <w:r>
              <w:rPr>
                <w:webHidden/>
                <w:rStyle w:val="IndexLink"/>
                <w:rtl w:val="true"/>
              </w:rPr>
              <w:t xml:space="preserve">[ </w:t>
            </w:r>
            <w:r>
              <w:rPr>
                <w:rStyle w:val="IndexLink"/>
                <w:rtl w:val="true"/>
              </w:rPr>
              <w:t xml:space="preserve">وجوه القائلين بالتخيير </w:t>
            </w:r>
            <w:r>
              <w:rPr>
                <w:rStyle w:val="IndexLink"/>
                <w:rtl w:val="true"/>
              </w:rPr>
              <w:t>] :</w:t>
              <w:tab/>
            </w:r>
            <w:r>
              <w:rPr>
                <w:rStyle w:val="IndexLink"/>
              </w:rPr>
              <w:t>648</w:t>
            </w:r>
          </w:hyperlink>
        </w:p>
        <w:p>
          <w:pPr>
            <w:pStyle w:val="Contents3"/>
            <w:tabs>
              <w:tab w:val="clear" w:pos="8459"/>
              <w:tab w:val="right" w:pos="9026" w:leader="dot"/>
            </w:tabs>
            <w:rPr/>
          </w:pPr>
          <w:hyperlink w:anchor="__RefHeading___Toc4588782_1280447820">
            <w:r>
              <w:rPr>
                <w:webHidden/>
                <w:rStyle w:val="IndexLink"/>
                <w:rtl w:val="true"/>
              </w:rPr>
              <w:t xml:space="preserve">[ </w:t>
            </w:r>
            <w:r>
              <w:rPr>
                <w:rStyle w:val="IndexLink"/>
                <w:rtl w:val="true"/>
              </w:rPr>
              <w:t xml:space="preserve">وجوه القول بوجوب تقليد الأفضل </w:t>
            </w:r>
            <w:r>
              <w:rPr>
                <w:rStyle w:val="IndexLink"/>
                <w:rtl w:val="true"/>
              </w:rPr>
              <w:t>] :</w:t>
              <w:tab/>
            </w:r>
            <w:r>
              <w:rPr>
                <w:rStyle w:val="IndexLink"/>
              </w:rPr>
              <w:t>667</w:t>
            </w:r>
          </w:hyperlink>
        </w:p>
        <w:p>
          <w:pPr>
            <w:pStyle w:val="Contents2"/>
            <w:tabs>
              <w:tab w:val="clear" w:pos="8743"/>
              <w:tab w:val="right" w:pos="9026" w:leader="dot"/>
            </w:tabs>
            <w:rPr/>
          </w:pPr>
          <w:hyperlink w:anchor="__RefHeading___Toc4588784_1280447820">
            <w:r>
              <w:rPr>
                <w:webHidden/>
                <w:rStyle w:val="IndexLink"/>
                <w:rtl w:val="true"/>
              </w:rPr>
              <w:t>الفهرس</w:t>
            </w:r>
            <w:r>
              <w:rPr>
                <w:rStyle w:val="IndexLink"/>
                <w:rtl w:val="true"/>
              </w:rPr>
              <w:tab/>
            </w:r>
            <w:r>
              <w:rPr>
                <w:rStyle w:val="IndexLink"/>
              </w:rPr>
              <w:t>686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64_169305"/>
      <w:bookmarkStart w:id="1" w:name="pg16264_169305"/>
      <w:bookmarkEnd w:id="1"/>
    </w:p>
    <w:p>
      <w:pPr>
        <w:pStyle w:val="Heading2"/>
        <w:numPr>
          <w:ilvl w:val="1"/>
          <w:numId w:val="1"/>
        </w:numPr>
        <w:rPr/>
      </w:pPr>
      <w:bookmarkStart w:id="2" w:name="pg16264_169305"/>
      <w:bookmarkStart w:id="3" w:name="__RefHeading___Toc4588538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أبو القاسم الكلانتري الطهراني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الفكر الإسلامي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الفكر الاسلامي</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شريعت</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IRNazanin" w:hAnsi="IRNazanin" w:eastAsia="IRNazanin"/>
          <w:color w:val="111111"/>
          <w:sz w:val="28"/>
          <w:sz w:val="28"/>
          <w:szCs w:val="28"/>
          <w:rtl w:val="true"/>
          <w:lang w:bidi="fa-IR"/>
        </w:rPr>
        <w:t>مطارح الأنظار</w:t>
      </w:r>
    </w:p>
    <w:p>
      <w:pPr>
        <w:pStyle w:val="BookText"/>
        <w:rPr/>
      </w:pPr>
      <w:r>
        <w:rPr>
          <w:rFonts w:ascii="Amiri" w:hAnsi="Amiri" w:eastAsia="Amiri" w:cs="Amiri"/>
          <w:color w:val="111111"/>
          <w:sz w:val="28"/>
          <w:sz w:val="28"/>
          <w:szCs w:val="28"/>
          <w:rtl w:val="true"/>
          <w:lang w:bidi="ar-SA"/>
        </w:rPr>
        <w:t>تقريرات الشيخ الأعظم الأنصاري</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المحقق الميرزا أبوالقاسم الكلانتري الطهراني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1236-1292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الفكر الإسلامي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88540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IRNazanin" w:hAnsi="IRNazanin" w:eastAsia="IRNazanin"/>
          <w:color w:val="111111"/>
          <w:sz w:val="28"/>
          <w:sz w:val="28"/>
          <w:szCs w:val="28"/>
          <w:rtl w:val="true"/>
          <w:lang w:bidi="fa-IR"/>
        </w:rPr>
        <w:t>مطارح الأنظار</w:t>
      </w:r>
    </w:p>
    <w:p>
      <w:pPr>
        <w:pStyle w:val="BookText"/>
        <w:rPr/>
      </w:pPr>
      <w:r>
        <w:rPr>
          <w:rFonts w:ascii="Amiri" w:hAnsi="Amiri" w:eastAsia="Amiri" w:cs="Amiri"/>
          <w:color w:val="111111"/>
          <w:sz w:val="28"/>
          <w:sz w:val="28"/>
          <w:szCs w:val="28"/>
          <w:rtl w:val="true"/>
          <w:lang w:bidi="ar-SA"/>
        </w:rPr>
        <w:t>تقريرات الشيخ الأعظم الأنصاري</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المحقق الميرزا أبوالقاسم الكلانتري الطهراني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1236-1292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الأوّل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الفكر الإسلامي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كلانتری نوری ، ابوالقاسم بن محمد علی</w:t>
      </w:r>
    </w:p>
    <w:p>
      <w:pPr>
        <w:pStyle w:val="BookText"/>
        <w:rPr/>
      </w:pPr>
      <w:r>
        <w:rPr>
          <w:rFonts w:ascii="IRNazanin" w:hAnsi="IRNazanin" w:eastAsia="IRNazanin"/>
          <w:color w:val="111111"/>
          <w:sz w:val="28"/>
          <w:sz w:val="28"/>
          <w:szCs w:val="28"/>
          <w:rtl w:val="true"/>
          <w:lang w:bidi="fa-IR"/>
        </w:rPr>
        <w:t xml:space="preserve">محل نكهداری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مركز نگهدارنده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بازیابی نسخه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مطارح الانظار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استنساخ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1283</w:t>
      </w:r>
    </w:p>
    <w:p>
      <w:pPr>
        <w:pStyle w:val="BookText"/>
        <w:rPr/>
      </w:pPr>
      <w:r>
        <w:rPr>
          <w:rFonts w:ascii="IRNazanin" w:hAnsi="IRNazanin" w:eastAsia="IRNazanin"/>
          <w:color w:val="111111"/>
          <w:sz w:val="28"/>
          <w:sz w:val="28"/>
          <w:szCs w:val="28"/>
          <w:rtl w:val="true"/>
          <w:lang w:bidi="fa-IR"/>
        </w:rPr>
        <w:t xml:space="preserve">یادداشت كلی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الاستصحاب و تحقیق المقصود فیه فی طی هدایات انجام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بالتصویب و یظهر من بعضهم بالتبعیض مطلقاً و لاوجه كما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ظن تاریخ تالیف</w:t>
      </w: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و 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پژوهشی الجواد</w:t>
      </w:r>
    </w:p>
    <w:p>
      <w:pPr>
        <w:pStyle w:val="BookText"/>
        <w:rPr/>
      </w:pPr>
      <w:r>
        <w:rPr>
          <w:rFonts w:ascii="IRNazanin" w:hAnsi="IRNazanin" w:eastAsia="IRNazanin"/>
          <w:color w:val="111111"/>
          <w:sz w:val="28"/>
          <w:sz w:val="28"/>
          <w:szCs w:val="28"/>
          <w:rtl w:val="true"/>
          <w:lang w:bidi="fa-IR"/>
        </w:rPr>
        <w:t xml:space="preserve">یادداشت 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شكسته نستعلیق</w:t>
      </w:r>
    </w:p>
    <w:p>
      <w:pPr>
        <w:pStyle w:val="BookText"/>
        <w:rPr/>
      </w:pPr>
      <w:r>
        <w:rPr>
          <w:rFonts w:ascii="IRNazanin" w:hAnsi="IRNazanin" w:eastAsia="IRNazanin"/>
          <w:color w:val="111111"/>
          <w:sz w:val="28"/>
          <w:sz w:val="28"/>
          <w:szCs w:val="28"/>
          <w:rtl w:val="true"/>
          <w:lang w:bidi="fa-IR"/>
        </w:rPr>
        <w:t xml:space="preserve">خصوصیات نسخه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شده با نسخه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 كتابخانه حاج شیخ فضل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و انجام</w:t>
      </w:r>
    </w:p>
    <w:p>
      <w:pPr>
        <w:pStyle w:val="BookText"/>
        <w:rPr/>
      </w:pPr>
      <w:r>
        <w:rPr>
          <w:rFonts w:ascii="IRNazanin" w:hAnsi="IRNazanin" w:eastAsia="IRNazanin"/>
          <w:color w:val="111111"/>
          <w:sz w:val="28"/>
          <w:sz w:val="28"/>
          <w:szCs w:val="28"/>
          <w:rtl w:val="true"/>
          <w:lang w:bidi="fa-IR"/>
        </w:rPr>
        <w:t xml:space="preserve">منابع اثر، نمایه ها، چكیده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كتابشناسی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كتابشناسی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w:t>
      </w:r>
      <w:r>
        <w:rPr>
          <w:rFonts w:eastAsia="IRNazanin" w:cs="IRNazanin"/>
          <w:color w:val="111111"/>
          <w:sz w:val="28"/>
          <w:szCs w:val="28"/>
          <w:lang w:bidi="fa-IR"/>
        </w:rPr>
        <w:t>136/21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كتابشناسی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184/28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كتابشناسی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w:t>
      </w:r>
      <w:r>
        <w:rPr>
          <w:rFonts w:eastAsia="IRNazanin" w:cs="IRNazanin"/>
          <w:color w:val="111111"/>
          <w:sz w:val="28"/>
          <w:szCs w:val="28"/>
          <w:lang w:bidi="fa-IR"/>
        </w:rPr>
        <w:t>424/25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كتابشناسی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مشارعربی</w:t>
      </w:r>
      <w:r>
        <w:rPr>
          <w:rFonts w:eastAsia="IRNazanin" w:cs="IRNazanin"/>
          <w:color w:val="111111"/>
          <w:sz w:val="28"/>
          <w:szCs w:val="28"/>
          <w:rtl w:val="true"/>
          <w:lang w:bidi="fa-IR"/>
        </w:rPr>
        <w:t>/</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كتابشناسی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436/16</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كتابشناسی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المؤلفین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كتابشناسی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داراحیاء التراث العربی منابع كتابشناسی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136/21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كتابشناسی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زنجانی 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كتابشناسی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عكسی مركز احیاء میراث </w:t>
      </w:r>
      <w:r>
        <w:rPr>
          <w:rFonts w:eastAsia="IRNazanin" w:cs="IRNazanin"/>
          <w:color w:val="111111"/>
          <w:sz w:val="28"/>
          <w:szCs w:val="28"/>
          <w:lang w:bidi="fa-IR"/>
        </w:rPr>
        <w:t>213/5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كتابشناسی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136/21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كتابشناسی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كتابشناسی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مدرسه آخوند ص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كتابشناسی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 </w:t>
      </w:r>
      <w:r>
        <w:rPr>
          <w:rFonts w:eastAsia="IRNazanin" w:cs="IRNazanin"/>
          <w:color w:val="111111"/>
          <w:sz w:val="28"/>
          <w:szCs w:val="28"/>
          <w:lang w:bidi="fa-IR"/>
        </w:rPr>
        <w:t>564/23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425/16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424/25</w:t>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كتابشناسی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دانشوران </w:t>
      </w:r>
      <w:r>
        <w:rPr>
          <w:rFonts w:eastAsia="IRNazanin" w:cs="IRNazanin"/>
          <w:color w:val="111111"/>
          <w:sz w:val="28"/>
          <w:szCs w:val="28"/>
          <w:lang w:bidi="fa-IR"/>
        </w:rPr>
        <w:t>472/1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كتابشناسی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امیرالمؤمنین </w:t>
      </w:r>
      <w:r>
        <w:rPr>
          <w:rFonts w:eastAsia="IRNazanin" w:cs="IRNazanin"/>
          <w:color w:val="111111"/>
          <w:sz w:val="28"/>
          <w:szCs w:val="28"/>
          <w:lang w:bidi="fa-IR"/>
        </w:rPr>
        <w:t>322/4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كتابشناسی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 </w:t>
      </w:r>
      <w:r>
        <w:rPr>
          <w:rFonts w:eastAsia="IRNazanin" w:cs="IRNazanin"/>
          <w:color w:val="111111"/>
          <w:sz w:val="28"/>
          <w:szCs w:val="28"/>
          <w:lang w:bidi="fa-IR"/>
        </w:rPr>
        <w:t>150/24/2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كتابشناسی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 طباطبائی ص</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كتابشناسی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كتابشناسی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ریحانة الادب</w:t>
      </w:r>
      <w:r>
        <w:rPr>
          <w:rFonts w:eastAsia="IRNazanin" w:cs="IRNazanin"/>
          <w:color w:val="111111"/>
          <w:sz w:val="28"/>
          <w:szCs w:val="28"/>
          <w:rtl w:val="true"/>
          <w:lang w:bidi="fa-IR"/>
        </w:rPr>
        <w:t xml:space="preserve">: </w:t>
      </w:r>
      <w:r>
        <w:rPr>
          <w:rFonts w:eastAsia="IRNazanin" w:cs="IRNazanin"/>
          <w:color w:val="111111"/>
          <w:sz w:val="28"/>
          <w:szCs w:val="28"/>
          <w:lang w:bidi="fa-IR"/>
        </w:rPr>
        <w:t>244/5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كتابشناسی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نامه</w:t>
      </w:r>
      <w:r>
        <w:rPr>
          <w:rFonts w:eastAsia="IRNazanin" w:cs="IRNazanin"/>
          <w:color w:val="111111"/>
          <w:sz w:val="28"/>
          <w:szCs w:val="28"/>
          <w:rtl w:val="true"/>
          <w:lang w:bidi="fa-IR"/>
        </w:rPr>
        <w:t xml:space="preserve">: </w:t>
      </w:r>
      <w:r>
        <w:rPr>
          <w:rFonts w:eastAsia="IRNazanin" w:cs="IRNazanin"/>
          <w:color w:val="111111"/>
          <w:sz w:val="28"/>
          <w:szCs w:val="28"/>
          <w:lang w:bidi="fa-IR"/>
        </w:rPr>
        <w:t>459/1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آشنائی با چند نسخه خطی</w:t>
      </w:r>
    </w:p>
    <w:p>
      <w:pPr>
        <w:pStyle w:val="BookText"/>
        <w:rPr/>
      </w:pPr>
      <w:r>
        <w:rPr>
          <w:rFonts w:ascii="IRNazanin" w:hAnsi="IRNazanin" w:eastAsia="IRNazanin"/>
          <w:color w:val="111111"/>
          <w:sz w:val="28"/>
          <w:sz w:val="28"/>
          <w:szCs w:val="28"/>
          <w:rtl w:val="true"/>
          <w:lang w:bidi="fa-IR"/>
        </w:rPr>
        <w:t xml:space="preserve">یادداشت باز تكثیر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احیاء التراث العربی؛ مشار عربی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دارالخلافه طهران ، سنگی ،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رحلی ، بدون شماره 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تهران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تقلید المیت و الاعلم حبیب اللّه رشتی چاپ سنگی شده و اخیرا به تحقیق علی قاضلی در قم </w:t>
      </w:r>
      <w:r>
        <w:rPr>
          <w:rFonts w:eastAsia="IRNazanin" w:cs="IRNazanin"/>
          <w:color w:val="111111"/>
          <w:sz w:val="28"/>
          <w:szCs w:val="28"/>
          <w:lang w:bidi="fa-IR"/>
        </w:rPr>
        <w:t>1386</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معرفی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تقریراتی است كه مرحوم كلانتر از درس اساتید خود تحریر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تقریرات از دروس شیخ انصاری و میرزا حبیب اللّه رشتی تحریر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عناوین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هدایة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تنظیم شده و پس از مؤلف فرزندش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میرزا ابوالفضل كلانترتهرانی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آنها را جمع آوری و بدین نام موسوم گردانیده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مطارح الانظار درتهران به صورت چاپ سنگی در</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رحلی درسال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چاپ رسیده ، ولی ناشر تصرفاتی در اصل كتاب داده ، و بخش قطع و ظن و برائت و استصحاب را به استناد آنكه نظرات شیخ انصاری دراین مسائل دركتاب رسائل بیان گردیده ، چاپ نكرده و از مسئله اجتهاد و تقلید بحث تقلید میت و اعلم راچاپ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پنج بخش از مطارح را شامل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بخش اول همان است كه در مطارح الانظار چاپی به چاپ رسیده و از تقریرات درس شیخ انصاری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بخش پنجم و چهارم چاپ نشده ومؤلف د رپایان بخش چهارم ، تصریح نموده كه این بخش از تقریرات درس میرزا حبیب اللّه رشتی تحریر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پنجم نیز گویا از تقریرات درس رشتی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و عنوان بخشهای كتاب چنین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مسالة الاجزاء بسمله هدایة اختلفوا فی ان الاتیان بالمامور به علی وجهه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القول فی وجوب مقدمة الواجب وتحقیق الكلام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الضد ، بسمله القول فی ان الامر بالشی هل یقتضی النهی عن ضده اولا </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الاجتهاد والتقلید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درس شیخ حبیب اللّه رشتی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حمدله وبعد اختلف بعد اتفاقهم علی جواز التقلید عند تعذر العلم </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حمدله القول فی الاستصحاب وتحقیق المقصود فیه فی طی هدایات </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عنوان افزوده توسط فهرستنو 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التقریرات </w:t>
      </w:r>
      <w:r>
        <w:rPr>
          <w:rFonts w:eastAsia="Times New Roman" w:cs="Times New Roman" w:ascii="Times New Roman" w:hAnsi="Times New Roman"/>
          <w:color w:val="111111"/>
          <w:sz w:val="28"/>
          <w:szCs w:val="28"/>
          <w:lang w:val="en-US" w:bidi="en-US"/>
        </w:rPr>
        <w:t>attaqrīrāt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های كنترل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264_169311"/>
      <w:bookmarkStart w:id="8" w:name="pg16264_169311"/>
      <w:bookmarkEnd w:id="8"/>
    </w:p>
    <w:p>
      <w:pPr>
        <w:pStyle w:val="BookText"/>
        <w:rPr/>
      </w:pPr>
      <w:bookmarkStart w:id="9" w:name="pg16264_169311"/>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4588542_1280447820"/>
      <w:bookmarkStart w:id="11" w:name="_Toc3"/>
      <w:bookmarkEnd w:id="10"/>
      <w:r>
        <w:rPr>
          <w:rtl w:val="true"/>
        </w:rPr>
        <w:t>القول في المفهوم والمنطوق</w:t>
      </w:r>
      <w:bookmarkEnd w:id="11"/>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4588544_1280447820"/>
      <w:bookmarkStart w:id="13" w:name="_Toc4"/>
      <w:bookmarkEnd w:id="12"/>
      <w:r>
        <w:rPr>
          <w:rtl w:val="true"/>
        </w:rPr>
        <w:t>اشارة</w:t>
      </w:r>
      <w:bookmarkEnd w:id="13"/>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6264_169313"/>
      <w:bookmarkStart w:id="15" w:name="pg16264_169313"/>
      <w:bookmarkEnd w:id="15"/>
    </w:p>
    <w:p>
      <w:pPr>
        <w:pStyle w:val="BookText"/>
        <w:rPr/>
      </w:pPr>
      <w:bookmarkStart w:id="16" w:name="pg16264_169313"/>
      <w:bookmarkEnd w:id="16"/>
      <w:r>
        <w:rPr>
          <w:rFonts w:ascii="Amiri" w:hAnsi="Amiri" w:eastAsia="Amiri" w:cs="Amiri"/>
          <w:color w:val="111111"/>
          <w:sz w:val="28"/>
          <w:sz w:val="28"/>
          <w:szCs w:val="28"/>
          <w:rtl w:val="true"/>
          <w:lang w:bidi="ar-SA"/>
        </w:rPr>
        <w:t xml:space="preserve">وتحقيق المطلب في طيّ هدايات </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4588546_1280447820"/>
      <w:bookmarkStart w:id="18" w:name="_Toc5"/>
      <w:bookmarkEnd w:id="17"/>
      <w:r>
        <w:rPr>
          <w:rtl w:val="true"/>
        </w:rPr>
        <w:t>هداية</w:t>
      </w:r>
      <w:bookmarkEnd w:id="18"/>
    </w:p>
    <w:p>
      <w:pPr>
        <w:pStyle w:val="BookText"/>
        <w:rPr/>
      </w:pPr>
      <w:r>
        <w:rPr>
          <w:rFonts w:ascii="Amiri" w:hAnsi="Amiri" w:eastAsia="Amiri" w:cs="Amiri"/>
          <w:color w:val="111111"/>
          <w:sz w:val="28"/>
          <w:sz w:val="28"/>
          <w:szCs w:val="28"/>
          <w:rtl w:val="true"/>
          <w:lang w:bidi="ar-SA"/>
        </w:rPr>
        <w:t xml:space="preserve">في بيان امور ترتبط بالمقام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موارد إطلاق اللفظين في كلمات أرباب الاصطلاح أنّهما وصفان منتزعان من المدلول ، لكن من حيث هو مدلول ، فنفس المعنى مع قطع النظر عن كونه مدلولا لا يتّصف بشيء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يقاس بالكلّية والجزئيّة ؛ لظهور اتّصاف المعنى بهما من حيث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ويشعر بذلك الحدود الآتية ، سيّما مع تفسير جماعة منهم الموصولة الواقعة فيها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 فإنّ الدلالة لا تعرّف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لظاهر العضدي </w:t>
      </w:r>
      <w:r>
        <w:rPr>
          <w:rStyle w:val="FootnoteAnchor"/>
          <w:rtl w:val="true"/>
        </w:rPr>
        <w:footnoteReference w:id="2"/>
      </w:r>
      <w:r>
        <w:rPr>
          <w:rFonts w:ascii="Amiri" w:hAnsi="Amiri" w:eastAsia="Amiri" w:cs="Amiri"/>
          <w:color w:val="111111"/>
          <w:sz w:val="28"/>
          <w:sz w:val="28"/>
          <w:szCs w:val="28"/>
          <w:rtl w:val="true"/>
          <w:lang w:bidi="ar-SA"/>
        </w:rPr>
        <w:t xml:space="preserve">تبعا للحاجبي </w:t>
      </w:r>
      <w:r>
        <w:rPr>
          <w:rStyle w:val="FootnoteAnchor"/>
          <w:rtl w:val="true"/>
        </w:rPr>
        <w:footnoteReference w:id="3"/>
      </w:r>
      <w:r>
        <w:rPr>
          <w:rFonts w:ascii="Amiri" w:hAnsi="Amiri" w:eastAsia="Amiri" w:cs="Amiri"/>
          <w:color w:val="111111"/>
          <w:sz w:val="28"/>
          <w:sz w:val="28"/>
          <w:szCs w:val="28"/>
          <w:rtl w:val="true"/>
          <w:lang w:bidi="ar-SA"/>
        </w:rPr>
        <w:t xml:space="preserve">وللمحكيّ عن الشهيد الثاني </w:t>
      </w:r>
      <w:r>
        <w:rPr>
          <w:rStyle w:val="FootnoteAnchor"/>
          <w:rtl w:val="true"/>
        </w:rPr>
        <w:footnoteReference w:id="4"/>
      </w:r>
      <w:r>
        <w:rPr>
          <w:rFonts w:ascii="Amiri" w:hAnsi="Amiri" w:eastAsia="Amiri" w:cs="Amiri"/>
          <w:color w:val="111111"/>
          <w:sz w:val="28"/>
          <w:sz w:val="28"/>
          <w:szCs w:val="28"/>
          <w:rtl w:val="true"/>
          <w:lang w:bidi="ar-SA"/>
        </w:rPr>
        <w:t>، حيث جعلوهما من الأوصاف الطارئة للدلالة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لذلك</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تقسيم الدلالة إليهما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التقسيم المذكور لم نعثر عليه في كلام من يرى أنّهما من الأوصاف المنتزعة من المدلول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عدّهم دلالة الإشارة من المنطوق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إرادة دخول مدلولها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وربّما يستشهد له أيضا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المفهوم حجّة أو لا؟ حيث إنّه لا يعقل حجيّة المدلول بعد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يعقل حجيّة </w:t>
      </w:r>
      <w:r>
        <w:rPr>
          <w:rStyle w:val="FootnoteAnchor"/>
          <w:rtl w:val="true"/>
        </w:rPr>
        <w:footnoteReference w:id="5"/>
      </w:r>
      <w:r>
        <w:rPr>
          <w:rFonts w:ascii="Amiri" w:hAnsi="Amiri" w:eastAsia="Amiri" w:cs="Amiri"/>
          <w:color w:val="111111"/>
          <w:sz w:val="28"/>
          <w:sz w:val="28"/>
          <w:szCs w:val="28"/>
          <w:rtl w:val="true"/>
          <w:lang w:bidi="ar-SA"/>
        </w:rPr>
        <w:t>الدلالة بعد ثبوتها ، فالكلام على التقديرين في نفس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كونهما من عوارض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كالأوصاف اللاحقة للألفاظ من العموم والخصوص والحقيقة والمجاز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لم يذهب إليه وهم ، ولا يساعده موارد استعمالهم لهما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الحصر بين الدلالات انحصار استفادة المدلول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المدلول منحصر في المفهوم والمنطوق أو لا؟ ظاهر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الحدود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 لاعتبارهم النفي والإثبات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محكيّ النهاية ثبوت الواسطة </w:t>
      </w:r>
      <w:r>
        <w:rPr>
          <w:rStyle w:val="FootnoteAnchor"/>
          <w:rtl w:val="true"/>
        </w:rPr>
        <w:footnoteReference w:id="6"/>
      </w:r>
      <w:r>
        <w:rPr>
          <w:rFonts w:ascii="Amiri" w:hAnsi="Amiri" w:eastAsia="Amiri" w:cs="Amiri"/>
          <w:color w:val="111111"/>
          <w:sz w:val="28"/>
          <w:sz w:val="28"/>
          <w:szCs w:val="28"/>
          <w:rtl w:val="true"/>
          <w:lang w:bidi="ar-SA"/>
        </w:rPr>
        <w:t xml:space="preserve">، حيث جعل الإيماء والإشارة قسما ثالثا ، مع أنّ المشهور دخولهما في المنطوق ، خلافا للتفتازاني حيث جعلهما من المفهوم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أرادا بذلك جعل اصطلاح جديد فلا ينبغي التشاحّ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أرادا بيان ما هو المصطلح فالظاهر خلافه ، كما يظهر بالرجوع</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المداليل المفردة ليست من المنطوق ، كما أنّ لوازمها العقليّة أو غيرها ليست من المفهوم ، فإنّ المقسم فيهما هو المدلول المركّب ، فلا يختلّ الحصر ،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مصطلحهم دخول المدلول المطابقي في المنطوق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التضمّني ، فظاهر الأكثر أيضا أنّه من المنطوق وإن وقع الخلاف </w:t>
      </w:r>
      <w:r>
        <w:rPr>
          <w:rStyle w:val="FootnoteAnchor"/>
          <w:rtl w:val="true"/>
        </w:rPr>
        <w:footnoteReference w:id="8"/>
      </w:r>
      <w:r>
        <w:rPr>
          <w:rFonts w:ascii="Amiri" w:hAnsi="Amiri" w:eastAsia="Amiri" w:cs="Amiri"/>
          <w:color w:val="111111"/>
          <w:sz w:val="28"/>
          <w:sz w:val="28"/>
          <w:szCs w:val="28"/>
          <w:rtl w:val="true"/>
          <w:lang w:bidi="ar-SA"/>
        </w:rPr>
        <w:t>في صراحته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لازم من زعم أنّ دلالة الجملة الشرطيّة على الحكم المفهومي إنّما هو بالتضمّن انقسامه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الالتزامي ، فعن بعض الأفاضل كونه مفهوما مطلقا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ولازمه عدّ دلالة الأمر على الوجوب ووجوب المقدّمة وحرمة الضدّ من المفهوم ، فضلا عن مثل دلالة الإيماء والإشارة والتنبيه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المرجع في تشخيص هذه الامور الاصطلاحيّة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الرجوع إلى كلماتهم ، فالظاهر أنّ المقسم هو مطلق المدلول ، لكنّ المدلول المطابقي والتضمّني لا يكون إلاّ منطوقا ، والمدلول الالتزامي ينقسم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فتقسيم المداليل الثلاثة إلى القسمين باعتبار التوزيع والتداخل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من كلماتهم أيضا أنّ التمييز بين القسمين ليس باعتبار الحيثيّات والاعتبارات ، بل هما تعبيران عن معنيين ممتازين في الواقع لا يتداخل أحدهما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يظهر من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آيتي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التأفيف </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يحتمل جعل مدلولهما من المنطوق باعتبار ومن المفهوم باعتبار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الحاجبي المنطوق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دلّ عليه اللفظ في محلّ النطق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والمفهوم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دلّ عليه اللفظ لا في محلّ النطق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 فيدلّ على أنّ المنطوق وخلافه من أوصاف المدلول كغيره من الحدود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اختصاصهما بالدلالة الوضعيّة ، فالدلالة العقليّة وإن كانت لفظيّة لا يعدّ مدلولها من المنطوق والمفهوم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وفسّره العضدي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 حكما لمذكور وحالا من أحواله ، سواء ذكر ذلك الحكم ونطق به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والمفهوم بخلافه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عليه اللفظ </w:t>
      </w:r>
      <w:r>
        <w:rPr>
          <w:rStyle w:val="FootnoteAnchor"/>
          <w:rtl w:val="true"/>
        </w:rPr>
        <w:footnoteReference w:id="13"/>
      </w:r>
      <w:r>
        <w:rPr>
          <w:rFonts w:ascii="Amiri" w:hAnsi="Amiri" w:eastAsia="Amiri" w:cs="Amiri"/>
          <w:color w:val="111111"/>
          <w:sz w:val="28"/>
          <w:sz w:val="28"/>
          <w:szCs w:val="28"/>
          <w:rtl w:val="true"/>
          <w:lang w:bidi="ar-SA"/>
        </w:rPr>
        <w:t xml:space="preserve">لا في محلّ النطق ، بأن يكون حكما لغير المذكور وحالا من أحواله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وتوجيهه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زعم من كون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المنطوق دلالة اللفظ على مدلوله حال كون ذلك المدلول يكون موضوعه ثابتا في محلّ النطق ، فيكون الظرف متعلّقا بالعامل المقدّر حالا عن الضمير المجرور باعتبار موضوعه ، فيكون من قبيل إجراء الصفة على غير من هي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مع كونه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أنّ الظاهر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 وأنّ استفادة المدلول من الدلالة ليكون مرجعا للضمير المجرور لا يخلو عن شيء ، وأنّ ظاهر التوصيف وما يجري مجراه من الحال ونحوه أن يكون جاريا على من هي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اورد عليه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بخروج بعض المفاهيم ، كمفهوم الشرط مثل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 </w:t>
      </w:r>
    </w:p>
    <w:p>
      <w:pPr>
        <w:pStyle w:val="BookText"/>
        <w:rPr/>
      </w:pPr>
      <w:r>
        <w:rPr>
          <w:rFonts w:ascii="Amiri" w:hAnsi="Amiri" w:eastAsia="Amiri" w:cs="Amiri"/>
          <w:color w:val="111111"/>
          <w:sz w:val="28"/>
          <w:sz w:val="28"/>
          <w:szCs w:val="28"/>
          <w:rtl w:val="true"/>
          <w:lang w:bidi="ar-SA"/>
        </w:rPr>
        <w:t xml:space="preserve">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الموضوع في المفهوم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المنطوق ، ومفهوم الغاية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يجب فيه الصيام وهو مذكور ، ومفهوم الحصر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زيد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ومفهوم اللقب ، نحو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إكرام غير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 القرية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فيختلّ التعريفان طردا وعكسا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ذكروا أن الإيماء والإشارة من المنطوق ، ومثّلوا لهما بالآيتين </w:t>
      </w:r>
      <w:r>
        <w:rPr>
          <w:rStyle w:val="FootnoteAnchor"/>
          <w:rtl w:val="true"/>
        </w:rPr>
        <w:footnoteReference w:id="16"/>
      </w:r>
      <w:r>
        <w:rPr>
          <w:rFonts w:ascii="Amiri" w:hAnsi="Amiri" w:eastAsia="Amiri" w:cs="Amiri"/>
          <w:color w:val="111111"/>
          <w:sz w:val="28"/>
          <w:sz w:val="28"/>
          <w:szCs w:val="28"/>
          <w:rtl w:val="true"/>
          <w:lang w:bidi="ar-SA"/>
        </w:rPr>
        <w:t>؛ فإنّ دلالتهما على أن أقلّ الحمل ستّة بالمنطوق مع أنّ أقلّ الحمل الذي هو الموضوع غير 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المداليل الالتزاميّة التي لا يعدّ عندهم من المفهوم في الأغلب لا يكون الموضوع فيهما مذكورا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يذبّ عن هذه الوجوه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مفهوم الشرط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الموضوع في المفهوم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الغير الجائي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 وهو ليس بمذكور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الموضوع في المنطوق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المفهوم عدمه ، وهو ليس بمذكور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مفهوم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الموضوع في المفهوم هو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الليل ليست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ليس بمذكور</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عن مفهوم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المراد نفي القيام عن غير زيد ، وهو ليس مذكورا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اريد منه نفي غير القيام عن زيد فيؤول الأمر حقيقة إلى نفي اتّصاف زيد بشيء من الصفات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مذكورا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عن مفهوم اللقب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الموضوع في المفهوم ليس زيدا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ليس مذكورا وإن كان مصداقه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مذكورا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عن خروج دلالة الإشارة عن المنطوق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الموضوع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والمستفاد من الآيتين أنّ الحمل أقلّه ستّة ، وهو 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 القرية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فبأنّ الموضوع المقدّر في 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المداليل الالتزامية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وجوب المقدّمة وحرمة الضدّ ونحوهما إنّما هو من أحكام الصلاة المذكورة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فالمستفاد منه أنّ الصلاة يجب مقدّمتها ويحرم ضدّها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على من له خبرة أنّ هذه كلّها تكلّفات سخيفة وتوجيهات ضعيفة لا ينبغي ارتكابها ؛ فإنّ ذلك يوجب اختلاط مصاديق النوعين وامتيازها بحسب الوجوه والاعتبارات ، وقد عرفت فيما تقدّم أنّ الظاهر منهم عدم اختلاط المفهومين كمصاديقهما ، فلا ينبغي الإصغاء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يفسّر الحدّ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تحليل مفرداته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المنطوق هو المدلول الذي يفهم من اللفظ في محلّ النطق ، بأن يكون ناشئا من اللفظ ابتداء بلا واسطة المعنى المستعمل فيه ، بخلاف المفهوم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حكمان يكفي في استفادة أحدهما ترجمة الألفاظ الواقعة في التركيب لغير أهل اللسان ، ويحتاج استفادة الثاني إلى ملاحظة اعتبار آخر في المدلول ،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فالظرف متعلّق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المراد بالموصولة هو الحكم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لم يظهر بعد معنى لقولهم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النطق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وجه بعيد ،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ويشعر به تعريف الآمدي للمنطوق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فهم من اللفظ نطقا </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كتحديد العلاّمة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دلّ اللفظ عليه بصريحه </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فالمعيار في الفرق هو الاستفادة الابتدائيّة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ينتقض الحدّان بناء 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ظاهرهم دخول التضمّن في المنطوق ، وتقسيم الالتزام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المدلول التضمّني لا يستفاد من اللفظ ابتداء ؛ ضرورة تبعيّة التضمّن للمطابقة وإن انعكس الأمر في التحقّق ، فيدخل في حدّ المفهوم مع أنّه ليس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المداليل الالتزاميّة كلّها لا تتحقّق </w:t>
      </w:r>
      <w:r>
        <w:rPr>
          <w:rStyle w:val="FootnoteAnchor"/>
          <w:rtl w:val="true"/>
        </w:rPr>
        <w:footnoteReference w:id="20"/>
      </w:r>
      <w:r>
        <w:rPr>
          <w:rFonts w:ascii="Amiri" w:hAnsi="Amiri" w:eastAsia="Amiri" w:cs="Amiri"/>
          <w:color w:val="111111"/>
          <w:sz w:val="28"/>
          <w:sz w:val="28"/>
          <w:szCs w:val="28"/>
          <w:rtl w:val="true"/>
          <w:lang w:bidi="ar-SA"/>
        </w:rPr>
        <w:t>إلاّ بالواسطة ، ولا وجه لما يتوهّم من الفرق بين المداليل الالتزاميّة البيّنة وغيرها ، فإنّ وجوب المقدّمة من غيرها مع أنّه ليس من المفهوم كدلالة الإشارة ونحوها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يفرّق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المداليل الالتزامية على قسمين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لازما لنفس المعنى لا مدخل للّفظ والوضع فيه أبدا إلاّ الكشف عن المعنى ، وذلك كوجوب المقدّمة وحرمة الضدّ وأمثالهما من اللوازم ، فإنّ الانتقال إليها لا يتوقّف على ملاحظة لفظ أو وضع أو غير ذلك ، بل يكفي في الانتقال إليها ملاحظة نفس المعنى الملازم وإن لم يكن بدون اللفظ ، ولذلك لا يفرّق بين ما إذا ثبت وجوب الواجب باللفظ أو بغيره في الحكم بوجوب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لازما للمعنى الموضوع له باعتبار الوضع له ، فكأنّ الواضع اعتبره في وضع اللفظ للمعنى الملازم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من المنطوق ، والثاني من المفهوم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الفرق المذكور ممّا لا محصّل له ؛ فإنّ الملازمة واقعة بين المعاني في جميع الموارد ، فإنّ العلقة بين الشرط والجزاء تتصوّر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التوقّف الوجودي فقط ، والثاني التوقّف وجودا وعدما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النزاع في أنّ الجملة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يستفاد منها العلقة على الوجه الأوّل ، أو على الوجه الثاني؟</w:t>
      </w:r>
    </w:p>
    <w:p>
      <w:pPr>
        <w:pStyle w:val="BookText"/>
        <w:rPr/>
      </w:pPr>
      <w:r>
        <w:rPr>
          <w:rFonts w:ascii="Amiri" w:hAnsi="Amiri" w:eastAsia="Amiri" w:cs="Amiri"/>
          <w:color w:val="111111"/>
          <w:sz w:val="28"/>
          <w:sz w:val="28"/>
          <w:szCs w:val="28"/>
          <w:rtl w:val="true"/>
          <w:lang w:bidi="ar-SA"/>
        </w:rPr>
        <w:t>ولا معنى لاعتبار الواضع اللزوم أو الملازمة في الوضع ، كما هو ظاهر لمن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 ذلك كون المبحث من مباحث الألفاظ كما في الأمر ؛ ولذلك لو ثبت المعنى الموجود في الجمل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غير اللفظ على الوجه المستفاد من اللفظ نقول بالانتفاء عند الانتفاء فيما إذا قلنا بثبوت المفهوم ؛ مضافا إلى ورود النقض بمفهوم الموافقة بعد ، فإنّا لا نفرّق بين الانتقال إلى حرمة الضرب من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غيره من اللوازم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المقام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لوازم المداليل المفردة خارجة عن المقسم ، كما يشعر به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جنسا في التعريفات السابقة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المداليل الالتزامية للمركّبات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يقصد دلالة اللفظ عليها ، وتارة يستفاد ولو مع عدم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خارج عن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القسم الأوّل ، فإن كان الحكم المستفاد من الكلام المنطوق به مفاده مفاد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مفهوم المخالفة ، كما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قائم غير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الحكم ثابتا للغير على وجه الترقّي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مفهوم الموافقة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المفهوم بقسميه ، وإلاّ فهو من المنطوق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فاستقرّ اصطلاحهم على تسمية هذا النوع من المدلول الالتزامي بالمفهوم ، وذلك شامل لجميع 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مفهوم الشرط فلأنّ المقصود منه نفي تحقّق الجزاء عند غير الشرط ، كمفهوم الوصف واللقب والحصر ، سواء كان من قبيل قصر الصفة أو قصر الموصوف ، وكمفهوم الغاية فإنّ المقصود فيه نفي وجود الحكم فيما بعد الغاية ، فيكون الحكم ثابتا قبلها لا 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يرد النقض بدلالة الإشارة ، فإنّ المستفاد من الآيتين هو الحكم بأنّ أقلّ الحمل ستّة ، ولا دلالة فيهما على نفي الحكم عن الغير أو الإثبات له على وجه الترقّي ، ولا بدلالة الأمر على الوجوب أو على وجوب المقدّمة وحرمة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ظاهر في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يعرّف المفهوم حينئذ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حكم افيد لغير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مغايرا في النفي والإثبات أو موافقا ، كما هو قضيّة إطلاق الحكم ، فيشمل لكلا قسمي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تبديل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ما لا يكون مقصودا من اللوازم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بكونه حكما لغير المذكور هو كونه ثابتا له على أحد الوجهين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بغير المذكور هو الموضوع الذي سيق له الحكم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وأمثاله ليس خصوص المبتدأ أو الفاعل في الجملة الخبريّة ، بل كلّ ما يتعلّق بالحكم من المتعلّقات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الظرف والغاية والفاعل والمفعول ونحوها من الامور المذكورة في القضيّة التي يمكن الإخبار عنها بالحكم ، كأن يقال في الظرف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الدار مضروب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 فقولك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على حكم هو الوجوب ، وموضوعات عديدة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المجيء ، والمخاطب ، وزيد ، والإكرام ، فإذا سيق الكلام المزبور لبيان نفي الحكم عن غير الإكرام ، يكون 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 زيد فلا يجب غير الإكرام ، وحينئذ يكون من مفهوم اللقب ،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لو سيق الكلام لنفي الحكم عن غير زيد أو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سيق الكلام المزبور لنفي الوجوب عند عدم المجيء يكون من مفهوم الشرط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هنا تعرف أنّه لو أريد من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نفي الحكم عن مجيء غير الفاسق يكون من مفهوم الوصف أو اللقب ، وإن اريد نفي الحكم عن عدم مجيء الفاسق يكون من مفهوم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فتشخيص الموضوع في القضايا موقوف على تشخيص ما سيق لأجله الكلام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غاية ما يمكن أن يقال ، إلاّ أنّه بعد إحالة على على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أنّ الحدود المذكورة إنّما هي حدود لفظيّة لا عبرة بها بعد تميّز المعنى المقصود عن غيره ، كما ذكرنا وجه التميّز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لا يكاد يظهر الثمرة في تشخيص مصاديق المفهوم عن المنطوق ، عدا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تقدّم المنطوق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في التقديم على قوّة الدلالة لا على التسمية ، والقوّة غير مخفيّة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تظهر الثمرة فيما لو اشتمل على أحد اللفظين عنوان من عناوين الأدلّة مع إرادة المعنى المصطلح ، ولكنّه لا يكاد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قسّموا المنطوق إلى صريح وغيره ، وعدّوا المدلول المطابقي من الأوّل اتّفاقا ، وألحق بعضهم </w:t>
      </w:r>
      <w:r>
        <w:rPr>
          <w:rStyle w:val="FootnoteAnchor"/>
          <w:rtl w:val="true"/>
        </w:rPr>
        <w:footnoteReference w:id="22"/>
      </w:r>
      <w:r>
        <w:rPr>
          <w:rFonts w:ascii="Amiri" w:hAnsi="Amiri" w:eastAsia="Amiri" w:cs="Amiri"/>
          <w:color w:val="111111"/>
          <w:sz w:val="28"/>
          <w:sz w:val="28"/>
          <w:szCs w:val="28"/>
          <w:rtl w:val="true"/>
          <w:lang w:bidi="ar-SA"/>
        </w:rPr>
        <w:t>التضمّني به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ذلك اصطلاحا منهم ، فلا مشاحة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ذلك بواسطة حصول ما هو المناط في التسمية ، فالأولى إلحاقه بالالتزامي الغير الصريح ؛ ضرورة أنّ وجه الانتقال إلى المدلول التضمّني والالتزامي واحد ، وهو الملازمة بين المعنى المطابقي وغيره ، غاية الأمر أنّ اللازم في أحدهما داخل وفي الآخر خارج ، وذلك لا يوجب الاختلاف في الصراحة</w:t>
      </w:r>
      <w:r>
        <w:rPr>
          <w:rFonts w:eastAsia="Amiri" w:cs="Amiri" w:ascii="Amiri" w:hAnsi="Amiri"/>
          <w:color w:val="111111"/>
          <w:sz w:val="28"/>
          <w:szCs w:val="28"/>
          <w:rtl w:val="true"/>
          <w:lang w:bidi="ar-SA"/>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الدلالة التضمّنية أظهر من الالتزاميّة ،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اللوازم أظهر من بعض المداليل التضمّنية ؛ فإنّ دلالة العمى على البصر أظهر من دلالة الإنسان على الحيوان أو الناطق</w:t>
      </w:r>
      <w:r>
        <w:rPr>
          <w:rFonts w:eastAsia="Amiri" w:cs="Amiri" w:ascii="Amiri" w:hAnsi="Amiri"/>
          <w:color w:val="111111"/>
          <w:sz w:val="28"/>
          <w:szCs w:val="28"/>
          <w:rtl w:val="true"/>
          <w:lang w:bidi="ar-SA"/>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6264_169325"/>
      <w:bookmarkStart w:id="20" w:name="pg16264_169325"/>
      <w:bookmarkEnd w:id="20"/>
    </w:p>
    <w:p>
      <w:pPr>
        <w:pStyle w:val="Heading3"/>
        <w:numPr>
          <w:ilvl w:val="2"/>
          <w:numId w:val="1"/>
        </w:numPr>
        <w:rPr/>
      </w:pPr>
      <w:bookmarkStart w:id="21" w:name="pg16264_169325"/>
      <w:bookmarkStart w:id="22" w:name="__RefHeading___Toc4588548_1280447820"/>
      <w:bookmarkStart w:id="23" w:name="_Toc6"/>
      <w:bookmarkEnd w:id="21"/>
      <w:bookmarkEnd w:id="22"/>
      <w:r>
        <w:rPr>
          <w:rtl w:val="true"/>
        </w:rPr>
        <w:t>هداية</w:t>
      </w:r>
      <w:bookmarkEnd w:id="23"/>
    </w:p>
    <w:p>
      <w:pPr>
        <w:pStyle w:val="BookText"/>
        <w:rPr/>
      </w:pP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المحقّقون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تقييد الحكم بواسطة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وأخواتها يفيد انتفاءه عند انتفاء مدخولها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 أولى ممّا قيل في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تعليق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لإشعار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بالانتفاء عند الانتفاء ، فلا يناسب أخذه في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ذلك أولى ممّا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مفهوم الشرط حجّة أو لا؟ لظهوره في أنّ النزاع ليس في ثبوت الدلالة ؛ مضافا إلى 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وقع له ، أمّا على مصطلح الاصوليّين فلعدم تأتّي النزاع على تقديره ، وأمّا على مصطلح النحاة فلأنّ الشرط عبارة عن المقدّم في الجملة الشرطيّة ، ولا يطلق على نفس الجملة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يظهر أنّه لا حاجة إلى بيان معنى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نحن بصدده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بأس بالتنبيه على ذلك احتذاء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يطلق في العرف على معنيين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الحدثي ، وهو بهذا المعنى 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الإلزام ، فهو شارط للأمر الفلاني وذلك الأمر مشروط له أو عليه ، ومنه الاشتراط بمعنى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في ذلك بين أن يكون ابتدائيا أو ضمن العقد ، كما يساعد عليه العرف ، كما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شرطت على نفسي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شرط على نفسه كذا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 الصحاح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الشرط معروف </w:t>
      </w:r>
      <w:r>
        <w:rPr>
          <w:rFonts w:eastAsia="IRNazanin" w:cs="IRNazanin"/>
          <w:color w:val="111111"/>
          <w:sz w:val="28"/>
          <w:szCs w:val="28"/>
          <w:rtl w:val="true"/>
          <w:lang w:bidi="fa-IR"/>
        </w:rPr>
        <w:t xml:space="preserve">» </w:t>
      </w:r>
      <w:r>
        <w:rPr>
          <w:rStyle w:val="FootnoteAnchor"/>
          <w:rtl w:val="true"/>
        </w:rPr>
        <w:footnoteReference w:id="23"/>
      </w:r>
      <w:r>
        <w:rPr>
          <w:rFonts w:ascii="Amiri" w:hAnsi="Amiri" w:eastAsia="Amiri" w:cs="Amiri"/>
          <w:color w:val="111111"/>
          <w:sz w:val="28"/>
          <w:sz w:val="28"/>
          <w:szCs w:val="28"/>
          <w:rtl w:val="true"/>
          <w:lang w:bidi="ar-SA"/>
        </w:rPr>
        <w:t>من دون تعرّض لاختصاصه بما إذا كان في ضمن العقد فضلا عن البيع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القاموس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إلزام الشيء والتزامه في البيع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 كون استعماله في الإلزام الابتدائي مجازا أو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إشكال في صحّته ، بل وفي اطّراده في موارد استعماله ، كما في 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قضاء اللّه تعالى أحقّ وشرطه أوثق </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 وقوله عليه‌السلام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اللّه قبل شرطكم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اطلق على النذر والعهد والوعد </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الشرط على البيع في الأخبار كثير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أولويّة الاشتراك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الروايات استدلّ الإمام عليه‌السلام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إمضاء النذر والعهد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ذلك لا يبقى وجه لما زعمه في القاموس ، ولعلّه لم يعثر على موارد هذه الاستعمالات</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يستعمل الشرط بالمعنى المذكور </w:t>
      </w:r>
      <w:r>
        <w:rPr>
          <w:rStyle w:val="FootnoteAnchor"/>
          <w:rtl w:val="true"/>
        </w:rPr>
        <w:footnoteReference w:id="30"/>
      </w:r>
      <w:r>
        <w:rPr>
          <w:rFonts w:ascii="Amiri" w:hAnsi="Amiri" w:eastAsia="Amiri" w:cs="Amiri"/>
          <w:color w:val="111111"/>
          <w:sz w:val="28"/>
          <w:sz w:val="28"/>
          <w:szCs w:val="28"/>
          <w:rtl w:val="true"/>
          <w:lang w:bidi="ar-SA"/>
        </w:rPr>
        <w:t>في المشروط كالخلق في 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كونه مجازا ، فيراد منه ما ألزمه الإنسان على نفسه من عمل ونحوه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يلزم من عدمه العدم ، من دون ملاحظة أنّه لا يلزم من وجوده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بهذا المعنى من الجوامد ولا يكون مشتقّا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مشتركا بين المعنيين ، مثل اشتراك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المعنى الحدثي الذي يشتقّ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والمعنى الاسمي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اشتقاق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بهذا المعنى فهو ليس على الأصل ، بل هو اشتقاق جعليّ مثل اشتقاق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ليس المراد منه معنى يمكن الاشتقاق منه كما هو ظاهر ؛ ولذلك ليس الفاعل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والمفعول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Style w:val="FootnoteAnchor"/>
          <w:rtl w:val="true"/>
        </w:rPr>
        <w:footnoteReference w:id="31"/>
      </w:r>
      <w:r>
        <w:rPr>
          <w:rFonts w:ascii="Amiri" w:hAnsi="Amiri" w:eastAsia="Amiri" w:cs="Amiri"/>
          <w:color w:val="111111"/>
          <w:sz w:val="28"/>
          <w:sz w:val="28"/>
          <w:szCs w:val="28"/>
          <w:rtl w:val="true"/>
          <w:lang w:bidi="ar-SA"/>
        </w:rPr>
        <w:t>متقابلين في الفعل والانفعال ، بل الشارط هو الجاعل والمشروط هو ما جعل له الشرط ، كالصلاة بالنسبة إلى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وقاعدة الاشتقاق تقضي بأن يكون المشروط هو نفس الطهارة ، وذلك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في اصطلاح أرباب النحو معنى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الواقعة عقيب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وأخواتها ، وهو مأخوذ من المعنى الثاني من جهة إفادة تلك الجملة لكون مضمونها شرطا بالمعنى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اصطلاح أرباب المعقول والاصول له معنى آخر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يلزم من وجوده الوجود ويلزم من عدمه العدم ، فيكون مأخوذا أيضا من المعنى الثاني ، إلاّ أنّه اعتبر فيه عدم اللزوم بين الوجودين ، في قبال السبب حيث اخذ فيه الملازمة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أنّ المعنى الثاني ليس خارجا عن المعنى الأوّل ، بل هو من نتائج بركاته ولو بنحو من العناية ، كما لا يكاد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 قد عرفت ذلك فاعلم أنّ تنقيح البحث في 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الجملة الشرطيّة هل هي ظاهرة في اللزوميّة؟ فيستفاد منها تعلّق أحد الجزءين بالآخر على وجه يكون الاتّفاقيّة خارجة عن حقيقتها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الإشكال في أنّ الجملة الشرطيّة ظاهرة في إفادة الربط والتعلّق بين جزأيها ، كما يقضي بذلك العرف في موارد استعمالها ، بل لا يكاد يتّضح معنى أداة الشرط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الإنسان ناطقا كان الحمار ناهقا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بضرب من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استعمال أدوات الشرط في الوصليّة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مستعملة في التسوية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الضيف ولو كان كافرا </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فيحتمل أن يكون المراد منها إفادة التسوية بين الكفر والإسلام في لزوم الإكرام ، فيكون أداة الشرط مثل استعمال بعض الحروف في غير معناه ، كاستعمال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دخلت النار في هرّة </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في التعليل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 المراد منها الربط بين الشرط والجزاء ، لكنّه بعد إعمال ضرب من التأويل ، 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المتكلّم بواسطة زيادة اهتمامه واعتنائه في إفادة لزوم إكرام الضيف في المثال المذكور ، جعل ما ليس بسبب سببا وحكم بالتسوية بين الكفر والإسلام ، فالسببيّة بواسطة العطف مبالغة في دفع ما يتوهّم من كونه مانعا عن الحكم بالإضافة والإكرام ؛ ومن هنا يشترط في حسن استعمال الوصليّة احتمال مانعيّة مدخول أداة الشرط عن الحكم المذكور قبلها ، ومن ثمّ لم </w:t>
      </w:r>
    </w:p>
    <w:p>
      <w:pPr>
        <w:pStyle w:val="BookText"/>
        <w:rPr/>
      </w:pPr>
      <w:r>
        <w:rPr>
          <w:rFonts w:ascii="Amiri" w:hAnsi="Amiri" w:eastAsia="Amiri" w:cs="Amiri"/>
          <w:color w:val="111111"/>
          <w:sz w:val="28"/>
          <w:sz w:val="28"/>
          <w:szCs w:val="28"/>
          <w:rtl w:val="true"/>
          <w:lang w:bidi="ar-SA"/>
        </w:rPr>
        <w:t xml:space="preserve">يحسن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الزائر ولو كان حافيا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كونه حافيا يوجب مزيد الإكرام </w:t>
      </w:r>
      <w:r>
        <w:rPr>
          <w:rStyle w:val="FootnoteAnchor"/>
          <w:rtl w:val="true"/>
        </w:rPr>
        <w:footnoteReference w:id="35"/>
      </w:r>
      <w:r>
        <w:rPr>
          <w:rFonts w:ascii="Amiri" w:hAnsi="Amiri" w:eastAsia="Amiri" w:cs="Amiri"/>
          <w:color w:val="111111"/>
          <w:sz w:val="28"/>
          <w:sz w:val="28"/>
          <w:szCs w:val="28"/>
          <w:rtl w:val="true"/>
          <w:lang w:bidi="ar-SA"/>
        </w:rPr>
        <w:t>فلا يحسن ذكره عقيب أداة الوصل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التجوّز في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وأخواتها ، بل التصرّف إنّما هو في المعنى بادّعاء سببيّة ما يحتمل مانعيّته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لِيَكُونَ لَهُمْ عَدُوًّا وَحَزَناً </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تنزيلا للعدوّ منزلة الصديق في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العلاقة المعتبرة بين الشرط والجزاء هل هي السببيّة وعلّيّة الشرط للجزاء ، أو هي أعمّ منها؟ ظاهر كثير من الاستعمالات هو الأوّل ، حتّى أنّ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كالمحقّق القمّي رحمه‌اللّه </w:t>
      </w:r>
      <w:r>
        <w:rPr>
          <w:rStyle w:val="FootnoteAnchor"/>
          <w:rtl w:val="true"/>
        </w:rPr>
        <w:footnoteReference w:id="37"/>
      </w:r>
      <w:r>
        <w:rPr>
          <w:rFonts w:ascii="Amiri" w:hAnsi="Amiri" w:eastAsia="Amiri" w:cs="Amiri"/>
          <w:color w:val="111111"/>
          <w:sz w:val="28"/>
          <w:sz w:val="28"/>
          <w:szCs w:val="28"/>
          <w:rtl w:val="true"/>
          <w:lang w:bidi="ar-SA"/>
        </w:rPr>
        <w:t xml:space="preserve">وغيره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راموا تأويل الموارد التي لا يكون الشرط فيها علّة للجزاء ، كما في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نزل الثلج فالزمان شتاء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الشرط في المقام وإن لم يكن سببا لتحقّق الجزاء ، بل الأمر على عكس ذلك ، إلاّ أنّ الشرط سبب للعلم بتحقّق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ذلك لا يخلو عن مساهلة ، حيث إنّ العليّة المفروضة إنّما هي بين العلمين ، لا بين جزأي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لا ينبغي الإشكال في أنّ الظاهر من الجمل الشرطيّة هو سببيّة الاولى للثانية ، وإنّما الإشكال في أنّ الوجه في ذلك الظهور هو الوضع فاستعمال الجملة الشرطيّة فيما يكون الجزاء علّة للشرط أو كلاهما معلولي علة ثالثة أو غير ذلك من أنواع اللزوميّة استعمال مجازيّ ، أو الوجه فيه هو إطلاق الجملة وعدم تقييدها؟ وجهان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الظهور استناده إلى الوضع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تنافر </w:t>
      </w:r>
      <w:r>
        <w:rPr>
          <w:rStyle w:val="FootnoteAnchor"/>
          <w:rtl w:val="true"/>
        </w:rPr>
        <w:footnoteReference w:id="39"/>
      </w:r>
      <w:r>
        <w:rPr>
          <w:rFonts w:ascii="Amiri" w:hAnsi="Amiri" w:eastAsia="Amiri" w:cs="Amiri"/>
          <w:color w:val="111111"/>
          <w:sz w:val="28"/>
          <w:sz w:val="28"/>
          <w:szCs w:val="28"/>
          <w:rtl w:val="true"/>
          <w:lang w:bidi="ar-SA"/>
        </w:rPr>
        <w:t xml:space="preserve">استعمال الشرطيّة فيما يكون المقدّم معلولا ، وذلك دليل عدم اختصاص الوضع بما إذا كان علّة ، غاية الأمر أنّ هذه العلاقة الخاصّة حيث كانت أكمل أفراده </w:t>
      </w:r>
      <w:r>
        <w:rPr>
          <w:rStyle w:val="FootnoteAnchor"/>
          <w:rtl w:val="true"/>
        </w:rPr>
        <w:footnoteReference w:id="40"/>
      </w:r>
      <w:r>
        <w:rPr>
          <w:rFonts w:ascii="Amiri" w:hAnsi="Amiri" w:eastAsia="Amiri" w:cs="Amiri"/>
          <w:color w:val="111111"/>
          <w:sz w:val="28"/>
          <w:sz w:val="28"/>
          <w:szCs w:val="28"/>
          <w:rtl w:val="true"/>
          <w:lang w:bidi="ar-SA"/>
        </w:rPr>
        <w:t>انصرف الإطلاق إليها ، نظير انصراف الأمر إلى الفرد المتكامل من أفراد الطلب ، فإنّ علاقة العلّية هي أتمّ العلائق وأكملها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الأوّل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أنّ هذه العلاقة هي أتمّها وكفاية ذلك في المدّعى ، فإنّ ما ذكر لا ينافي كون الجزاء علّة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w:t>
      </w:r>
      <w:r>
        <w:rPr>
          <w:rStyle w:val="FootnoteAnchor"/>
          <w:rtl w:val="true"/>
        </w:rPr>
        <w:footnoteReference w:id="41"/>
      </w:r>
      <w:r>
        <w:rPr>
          <w:rFonts w:ascii="Amiri" w:hAnsi="Amiri" w:eastAsia="Amiri" w:cs="Amiri"/>
          <w:color w:val="111111"/>
          <w:sz w:val="28"/>
          <w:sz w:val="28"/>
          <w:szCs w:val="28"/>
          <w:rtl w:val="true"/>
          <w:lang w:bidi="ar-SA"/>
        </w:rPr>
        <w:t xml:space="preserve">لا وجه للانصراف المذكور ، إذ لا يعقل ذلك إلاّ بواسطة غلبة الاستعمال ، ومن المعلوم أنّ ذلك الظهور ليس مستندا إليه كما يظهر بالتأمّل ؛ مضافا إلى أنّ الانصراف إنّما هو في المطلقات ولا يعقل ذلك في مدلول أدوات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الأمر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الموضوع له فيها هي المعاني الخاصّة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تستند الدلالة المذكورة إلى إطلاق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الجملة يفيد وجود الجزاء عند وجود الشرط على وجه الاستقلال ، سواء فرض وجود شيء آخر معه أو لم يفرض ، فلا مدخليّة لشيء في وجود الجزاء ، سوى وجود الشرط ، وهو معنى السببيّة ، إذ لو لم يكن ذلك كافيا لم يحسن عدم انضمام شيء آخر إليه كما ينضمّ إليه عند تعدّد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 من المنع والمصادرة في وجه وعدم كفايته في المدّعى في وجه آخر ، وذلك يظهر بأدنى تدبّر وتأمّل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فالأولى دعوى استفادة السببيّة من أدوات الشرط بحسب الوضع ، كما لا بعد في ذلك أيضا عند ملاحظة معناها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ذكرنا يظهر جريان الوجهين في كون الشرط علّة تامّة وسببا مستقلاّ من دون مداخلة أمر آخر ، وكونه سببا ناقصا ، فلا نطيل بالإعادة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ما عرفت في المورد الأوّل أنّ الجملة الشرطيّة تستفاد منها العلقة فاستعمالها في الاتّفاقيّات ليس استعمالا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المورد الثاني </w:t>
      </w:r>
      <w:r>
        <w:rPr>
          <w:rStyle w:val="FootnoteAnchor"/>
          <w:rtl w:val="true"/>
        </w:rPr>
        <w:footnoteReference w:id="42"/>
      </w:r>
      <w:r>
        <w:rPr>
          <w:rFonts w:ascii="Amiri" w:hAnsi="Amiri" w:eastAsia="Amiri" w:cs="Amiri"/>
          <w:color w:val="111111"/>
          <w:sz w:val="28"/>
          <w:sz w:val="28"/>
          <w:szCs w:val="28"/>
          <w:rtl w:val="true"/>
          <w:lang w:bidi="ar-SA"/>
        </w:rPr>
        <w:t>أنّ هذه العلقة هي علّية الشرط على وجه الاستقلال ، دون المعلوليّة لعلّة ثالثة ولا التضايف ولا معلوليّة الشرط للجزاء ،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يستفاد منها انحصار العلقة التامّة في الشرط ، كأن لا يكون من أفراد ما هو العلّة حقيقة ، أو لا يستفاد ذلك منها؟ وهذا هو النزاع المعروف بين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فالمثبتون على أنّ الجملة ظاهرة في انحصار العلّة التامّة في الشرط ، ولذلك يحكم بانتفاء الجزاء عند انتفاء الشرط ولو مع احتمال قيام شرط آخر مقامه ، إذ ذلك الاحتمال مدفوع عندهم بظهور الانحصار من اللفظ ، فلا يعتنى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والمانعون على أنّه لا يستفاد منها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يحتمل أن يكون وجه المنع التأمّل في أحد الموردين المتقدّمين كما يتراءى من بعضهم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استدلال السيّد باحتمال قيام سبب آخر مقام الشرط </w:t>
      </w:r>
      <w:r>
        <w:rPr>
          <w:rStyle w:val="FootnoteAnchor"/>
          <w:rtl w:val="true"/>
        </w:rPr>
        <w:footnoteReference w:id="44"/>
      </w:r>
      <w:r>
        <w:rPr>
          <w:rFonts w:ascii="Amiri" w:hAnsi="Amiri" w:eastAsia="Amiri" w:cs="Amiri"/>
          <w:color w:val="111111"/>
          <w:sz w:val="28"/>
          <w:sz w:val="28"/>
          <w:szCs w:val="28"/>
          <w:rtl w:val="true"/>
          <w:lang w:bidi="ar-SA"/>
        </w:rPr>
        <w:t>ينادي بتسليمه الموردين ، وإنّما النزاع في الثالث كما لا يخفى</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الأصل يقتضي ثبوت المفهوم أو عدمه؟ قد يقال بالثاني ؛ لأصالة عدم اعتبار الواضع في مدلول الأداة التعليق على وجه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الأصل ممّا لا عبرة به ، لمكان المعارضة ، كما هو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أنّ مقالة القائل بالمفهوم مطابقة للأصل سواء كان نفس الحكم المذكور في المنطوق مخالفا للأصل كما إذا كان مثل الوجوب والحرمة ، أو مطابقا كالإباحة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 لأصالة عدمه في غير مورد اليقين ، وأصالة براءة الذمّة عن الشواغل الشرعيّة عند عدم ما يدلّ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تعليل الإباحة وتعليقها على الشرط يشعر بأنّ تلك الإباحة الثابتة في المنطوق ليست إباحة مطابقة للأصل ، وإلاّ لم يحتج إلى التعليل بالعلّة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هذه الإباحة عند الشكّ فيها محكومة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قولا بالمفهوم ،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نظير ما قيل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الماء قدر كرّ لم ينجّسه شيء </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يفيد أنّ الأصل في الماء انفعاله بالملاقاة ، فإنّ تعليق عدمه بالكرّية يفيد ذلك بحسب الأصل ،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القول بالمفهوم هو المشهور على ما نسبه جماعة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السيّد </w:t>
      </w:r>
      <w:r>
        <w:rPr>
          <w:rStyle w:val="FootnoteAnchor"/>
          <w:rtl w:val="true"/>
        </w:rPr>
        <w:footnoteReference w:id="49"/>
      </w:r>
      <w:r>
        <w:rPr>
          <w:rFonts w:ascii="Amiri" w:hAnsi="Amiri" w:eastAsia="Amiri" w:cs="Amiri"/>
          <w:color w:val="111111"/>
          <w:sz w:val="28"/>
          <w:sz w:val="28"/>
          <w:szCs w:val="28"/>
          <w:rtl w:val="true"/>
          <w:lang w:bidi="ar-SA"/>
        </w:rPr>
        <w:t xml:space="preserve">من أصحابنا إلى عدمه ، واختاره بعض المتأخّرين أيضا ، كالشيخ الجليل الحر العاملي رحمه‌اللّه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صريح العرف بذلك ، فإنّ المنساق إلى الأذهان الخالية من الجمل الشرطية هو التعليق على وجه ينتفي الحكم بانتفاء الشرط ، وكفانا بذلك دليلا </w:t>
      </w:r>
    </w:p>
    <w:p>
      <w:pPr>
        <w:pStyle w:val="BookText"/>
        <w:rPr/>
      </w:pPr>
      <w:r>
        <w:rPr>
          <w:rFonts w:ascii="Amiri" w:hAnsi="Amiri" w:eastAsia="Amiri" w:cs="Amiri"/>
          <w:color w:val="111111"/>
          <w:sz w:val="28"/>
          <w:sz w:val="28"/>
          <w:szCs w:val="28"/>
          <w:rtl w:val="true"/>
          <w:lang w:bidi="ar-SA"/>
        </w:rPr>
        <w:t>وحجّة ملاحظة الاستعمالات الواردة في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 ينافي ثبوت استعمال الجملة في معنى آخر ، فإنّ باب المجاز غير منسدّ ، ولم يزل البلغاء والفصحاء يستعملونه في موارد تقضي بها </w:t>
      </w:r>
      <w:r>
        <w:rPr>
          <w:rStyle w:val="FootnoteAnchor"/>
          <w:rtl w:val="true"/>
        </w:rPr>
        <w:footnoteReference w:id="51"/>
      </w:r>
      <w:r>
        <w:rPr>
          <w:rFonts w:ascii="Amiri" w:hAnsi="Amiri" w:eastAsia="Amiri" w:cs="Amiri"/>
          <w:color w:val="111111"/>
          <w:sz w:val="28"/>
          <w:sz w:val="28"/>
          <w:szCs w:val="28"/>
          <w:rtl w:val="true"/>
          <w:lang w:bidi="ar-SA"/>
        </w:rPr>
        <w:t xml:space="preserve">الحال ، فما حكي عن الفوائد الطوسيّة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تجشّم باستخراج مائة مورد بل وأزيد </w:t>
      </w:r>
      <w:r>
        <w:rPr>
          <w:rStyle w:val="FootnoteAnchor"/>
          <w:rtl w:val="true"/>
        </w:rPr>
        <w:footnoteReference w:id="52"/>
      </w:r>
      <w:r>
        <w:rPr>
          <w:rFonts w:ascii="Amiri" w:hAnsi="Amiri" w:eastAsia="Amiri" w:cs="Amiri"/>
          <w:color w:val="111111"/>
          <w:sz w:val="28"/>
          <w:sz w:val="28"/>
          <w:szCs w:val="28"/>
          <w:rtl w:val="true"/>
          <w:lang w:bidi="ar-SA"/>
        </w:rPr>
        <w:t xml:space="preserve">من القرآن الكريم لا دلالة فيها على المفهوم </w:t>
      </w:r>
      <w:r>
        <w:rPr>
          <w:rStyle w:val="FootnoteAnchor"/>
          <w:rtl w:val="true"/>
        </w:rPr>
        <w:footnoteReference w:id="53"/>
      </w:r>
      <w:r>
        <w:rPr>
          <w:rFonts w:ascii="Amiri" w:hAnsi="Amiri" w:eastAsia="Amiri" w:cs="Amiri"/>
          <w:color w:val="111111"/>
          <w:sz w:val="28"/>
          <w:sz w:val="28"/>
          <w:szCs w:val="28"/>
          <w:rtl w:val="true"/>
          <w:lang w:bidi="ar-SA"/>
        </w:rPr>
        <w:t>، فهو تكلّف من غير حاجة ، إذ لا نزاع في ثبوت ذلك في الجملة ، ولا يوجب ذلك وهنا في قضاء العرف بثبوت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ما ذكرنا يرجع استدلال البعض باستدلال أهل اللسان بالمفهوم في موارد جمّة ، كما ورد ذلك في جملة من الأخبار </w:t>
      </w:r>
      <w:r>
        <w:rPr>
          <w:rStyle w:val="FootnoteAnchor"/>
          <w:rtl w:val="true"/>
        </w:rPr>
        <w:footnoteReference w:id="54"/>
      </w:r>
      <w:r>
        <w:rPr>
          <w:rFonts w:ascii="Amiri" w:hAnsi="Amiri" w:eastAsia="Amiri" w:cs="Amiri"/>
          <w:color w:val="111111"/>
          <w:sz w:val="28"/>
          <w:sz w:val="28"/>
          <w:szCs w:val="28"/>
          <w:rtl w:val="true"/>
          <w:lang w:bidi="ar-SA"/>
        </w:rPr>
        <w:t xml:space="preserve">، وهي مذكورة في الإشارات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ينافي ما ذكرنا من ثبوت المفهوم ، ما ذكره أهل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القياس الاستثنائي وضع المقدّم فيه ينتج وضع التالي ، كما أنّ رفع التالي ينتج رفع المقدّم ، وأمّا رفع المقدّم فلا ينتج رفع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المستفاد من الجمل الشرطيّة هو سببيّة الشرط للجزاء كانت النتيجة المذكورة أولى بالثبوت من غيرها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عدم المنافاة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مقصود المنطقيّين ومحطّ نظرهم في القياس الاستثنائي الاستدلال بالملازمة والاستكشاف منها على وجود أحد طرفيها أو </w:t>
      </w:r>
    </w:p>
    <w:p>
      <w:pPr>
        <w:pStyle w:val="BookText"/>
        <w:rPr/>
      </w:pPr>
      <w:r>
        <w:rPr>
          <w:rFonts w:ascii="Amiri" w:hAnsi="Amiri" w:eastAsia="Amiri" w:cs="Amiri"/>
          <w:color w:val="111111"/>
          <w:sz w:val="28"/>
          <w:sz w:val="28"/>
          <w:szCs w:val="28"/>
          <w:rtl w:val="true"/>
          <w:lang w:bidi="ar-SA"/>
        </w:rPr>
        <w:t xml:space="preserve">عدمه ، ولا شك أنّ صرف الملازمة بين الشيئين لا دلالة فيها زيادة على 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ثبوت اللازم عند ثبوت الملزوم ، ومن انتفاء الملزوم عند انتفاء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ثبوت اللازم فلا يدلّ على ثبوت ملزوم خاصّ ، لجواز كونه أعمّ ، كما أنّ نفي الأخصّ لا يلازم نفي الأعمّ ، كما يظهر من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هذا إنسانا كان حيوانا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نفي الإنسان لا يلازم نفي الحيوان ، كما أنّ إثبات الحيوان لا يلازم إثبات الإنسان ؛ ولذلك لم يذكروا ذلك في عداد النتائج الحاصلة من الاستثنائي ، وحيث كانت الجملة الشرطيّة مفادها ثبوت الملازمة جعلوا تلك الجملة أمارة على ما راموه من الاستنتاج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لأجل اختصاص تلك الجملة بإفادة الملازمة على وجه لا يلزم من نفي المقدّم نفي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حيث كان مقتضى الترتيب الطبيعي عند إرادة الاستنتاج أن يجعل ما هو الأعمّ مذكورا في التالي وما هو الأخصّ في المقدّم وكان ثبوت الخاصّ دليلا على ثبوت العامّ وعدم العامّ دليلا على عدم ثبوت الخاص ، اقتصروا في النتيجة على ما ذكروا ، وأين ذلك من انحصار مدلول الجملة الشرطيّة فيما لا يلزم من عدم المقدّم عدم التالي؟ وبالجملة ، فمنشأ ذلك اختلاف أنظارهم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المنكرون بوجوه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عزاه جماعة إلى السيّد </w:t>
      </w:r>
      <w:r>
        <w:rPr>
          <w:rStyle w:val="FootnoteAnchor"/>
          <w:rtl w:val="true"/>
        </w:rPr>
        <w:footnoteReference w:id="56"/>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تأثير الشرط إنّما هو تعليق الحكم به ، وليس يمنع أن يخلفه وينوب منابه شرط آخر يجري مجراه ، ولا يخرج عن كونه شرطا ، فإنّ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وَاسْتَشْهِدُوا شَهِيدَيْنِ مِنْ رِجالِكُمْ </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يمنع من قبول الشاهد الواحد حتّى ينضمّ إليه شاهد آخر ، فانضمام الثاني إلى الأوّل شرط في القبول ، ثمّ علمنا أنّ ضمّ امرأتين إلى الشاهد الأوّل شرط في القبول ، ثمّ علمنا أنّ ضمّ اليمين إلى الأوّل يقوم مقامه أيضا ، فنيابة بعض الشروط عن بعض أكثر من أن تحصى ، مثل الحرارة ، فإنّ انتفاء الشمس لا يلزم انتفاء الحرارة ، لاحتمال قيام النار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والأمثلة لذلك كثيرة شرعا وعقلا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 ممّا لا ينافي ما نحن بصدده ، فأنّ ظاهر الاستدلال ناظر إلى إمكان نيابة شرط عن شرط آخر فكأنّه جعل النزاع في أمر عقليّ ، فحاول رفع امتناع ذلك بما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تقديره فهو حقّ لا محيص عنه ، إلاّ أنّ الظاهر من عناوين المسألة رجوع البحث إلى الأبحاث اللغويّة ، مثل النزاع في وضع هيئة الأمر للوجوب</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قد عرفت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المستدلّ إن أراد بذلك منع الظهور الوضعي فيما نحن فيه ، فقد عرفت ممّا تقدّم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أمرا آخر فهو لا ينافي ما نحن بصدده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السيّد أيضا لا يمنع الظهور ، كما ربما يشعر به قوله في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من قبول الشاهد الواحد ، فإنّ هذا هو عين القول بالمفهوم ، غاية الأمر أنّه لم يعوّل عليه ، لما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علمنا أنّ ضمّ امرأتين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 </w:t>
      </w:r>
      <w:r>
        <w:rPr>
          <w:rStyle w:val="FootnoteAnchor"/>
          <w:rtl w:val="true"/>
        </w:rPr>
        <w:footnoteReference w:id="58"/>
      </w:r>
      <w:r>
        <w:rPr>
          <w:rFonts w:ascii="Amiri" w:hAnsi="Amiri" w:eastAsia="Amiri" w:cs="Amiri"/>
          <w:color w:val="111111"/>
          <w:sz w:val="28"/>
          <w:sz w:val="28"/>
          <w:szCs w:val="28"/>
          <w:rtl w:val="true"/>
          <w:lang w:bidi="ar-SA"/>
        </w:rPr>
        <w:t>يدفع بالقاطع كما هو المفروض في كلامه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والمنقول منه اعترافه بثبوت مفهوم العدد </w:t>
      </w:r>
      <w:r>
        <w:rPr>
          <w:rStyle w:val="FootnoteAnchor"/>
          <w:rtl w:val="true"/>
        </w:rPr>
        <w:footnoteReference w:id="59"/>
      </w:r>
      <w:r>
        <w:rPr>
          <w:rFonts w:ascii="Amiri" w:hAnsi="Amiri" w:eastAsia="Amiri" w:cs="Amiri"/>
          <w:color w:val="111111"/>
          <w:sz w:val="28"/>
          <w:sz w:val="28"/>
          <w:szCs w:val="28"/>
          <w:rtl w:val="true"/>
          <w:lang w:bidi="ar-SA"/>
        </w:rPr>
        <w:t>مع كونه أضعف من مفهوم الشرط بمراتب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لم يعلم بقيام سبب آخر فظاهر الجملة يلزم الأخذ به من دون اعتناء باحتمال وجود سبب آخر ، كما هو الحال في سائر 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 فمع احتمال تعدّد الأسباب لا ينبغي الاعتناء به ، ومع العلم فهو المتّبع ، ولكنّه لا يضرّ ما نحن بصدده من ثبوت المفهوم ، فإنّ القائل بالمفهوم يلتزم بالتقييد </w:t>
      </w:r>
      <w:r>
        <w:rPr>
          <w:rStyle w:val="FootnoteAnchor"/>
          <w:rtl w:val="true"/>
        </w:rPr>
        <w:footnoteReference w:id="60"/>
      </w:r>
      <w:r>
        <w:rPr>
          <w:rFonts w:ascii="Amiri" w:hAnsi="Amiri" w:eastAsia="Amiri" w:cs="Amiri"/>
          <w:color w:val="111111"/>
          <w:sz w:val="28"/>
          <w:sz w:val="28"/>
          <w:szCs w:val="28"/>
          <w:rtl w:val="true"/>
          <w:lang w:bidi="ar-SA"/>
        </w:rPr>
        <w:t>ويحكم بعدم الجزاء عند عدم الشرط بجميع أفراده لا في الجملة ، وهو ظاهر في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السبب الآخر المحتمل قيامه مقام السبب الأوّل ملازما في الوجود مع نقيض الشرط ، وحينئذ لا سبيل إلى القول بأنّ قيام سبب آخر لا ينافي ثبوت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أن يكون الحكم ثابتا على تقديري وجود الشرط وعدمه ؛ لأنّ عدمه يقوم مقام وجوده في ترتّب الجزاء عليه ، فلا يمكن القول بالمفهوم ، لاستلزامه ارتفاع النقيضين فهو على تقدير تعقّله يوجب إلقاء الاشتراط ، إذ لا فائدة في الاشتراط بالشرط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اريد غير ذلك كأن يكون هناك ضدّان كالسواد والبياض وكلّ واحد منهما باعتبار جامع بينهما يقتضي حكما ، فيجوز التعلّق المذكور ، ولا يضرّ في ثبوت المفهوم ، إذ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تقدير وجود السواد والبياض </w:t>
      </w:r>
      <w:r>
        <w:rPr>
          <w:rStyle w:val="FootnoteAnchor"/>
          <w:rtl w:val="true"/>
        </w:rPr>
        <w:footnoteReference w:id="61"/>
      </w:r>
      <w:r>
        <w:rPr>
          <w:rFonts w:ascii="Amiri" w:hAnsi="Amiri" w:eastAsia="Amiri" w:cs="Amiri"/>
          <w:color w:val="111111"/>
          <w:sz w:val="28"/>
          <w:sz w:val="28"/>
          <w:szCs w:val="28"/>
          <w:rtl w:val="true"/>
          <w:lang w:bidi="ar-SA"/>
        </w:rPr>
        <w:t>الحكم كذا ، وعلى تقدير عدمهما معا فالحكم المذكور منتف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ضير في ذلك</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السبب القائم مقامه محتملا لعدّة امور فيصير مجملا ، فيلغو اعتبار المفهوم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ولكنّه لا يضرّ بظهور اللفظ فيما لا يحتمل ذلك ، فإنّ الحكم بالإجمال في المجمل لا يسري إلى ما ليس بمجمل ،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يعترض على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مجرّد احتمال قيام سبب آخر لا ينافي القول بالمفهوم ، لأنّ الأصل يقضي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المانع أيضا لم يعلم من حاله الاعتداد بالاحتمال المذكور وعدم الأخذ بالأصل في مقام الشك في القيام ، لكنّه لا دخل له في ثبوت المفهوم ، فإنّ المقصود نفي الاحتمال المذكور بظهور اللفظ كما يدّعيه القائل بالمفهوم ،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دلّ لكان بإحدى الدلالات ، والملازمة كبطلان التالي حيث لا لزوم عقلا ولا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نمنع بطلان التالي ، إذ الالتزام ثابت ، فإنّا قد قدّمنا أنّ العرف قاض بأنّ المستفاد من أداة الشرط هو التعليق على وجه خاصّ يلزم منه الانتفاء عند الانتفاء ، وذلك نظير قضاء العرف باستفادة الطلب من الأمر على وجه لا يرضى الطالب بتركه ، وهو المعبّر عنه بالوجوب ، فيكون الوجوب مدلولا التزاميّا وضعيّا للأمر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الدلالة المذكورة من التضمّن ، فإنّ التعلّق المذكور في نظيره </w:t>
      </w:r>
      <w:r>
        <w:rPr>
          <w:rStyle w:val="FootnoteAnchor"/>
          <w:rtl w:val="true"/>
        </w:rPr>
        <w:footnoteReference w:id="62"/>
      </w:r>
      <w:r>
        <w:rPr>
          <w:rFonts w:ascii="Amiri" w:hAnsi="Amiri" w:eastAsia="Amiri" w:cs="Amiri"/>
          <w:color w:val="111111"/>
          <w:sz w:val="28"/>
          <w:sz w:val="28"/>
          <w:szCs w:val="28"/>
          <w:rtl w:val="true"/>
          <w:lang w:bidi="ar-SA"/>
        </w:rPr>
        <w:t xml:space="preserve">مركّب من قضيّة يحكم فيها بالوجود عند الوجود وقضية اخرى يحكم فيها بالانتفاء عند الانتفاء ، نظير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 إذ المعقول عندنا هو الالتزام دون التضمّن ،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إنّا قد أشرنا في بعض المباحث السابقة إلى الفرق بين هذه الالتزامات وبين الالتزامات في مسألة الضدّ والمقدّمة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في هذه المسائل في أنّ مدلول اللفظ هل المعنى الذي يلزمه اللازم الفلاني أو معنى لا يلزمه ، والنزاع في تلك المسائل إنّما هو في ثبوت الملازمة بين المعنيين ولو لم يعبّر عنهما بلفظ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تُكْرِهُوا فَتَياتِكُمْ عَلَى الْبِغاءِ إِنْ أَرَدْنَ تَحَصُّناً </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وجه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المفهوم يوجب إباحة الإكراه عند عدم الشرط ، وهو عدم إرادة التحصّن ، واللازم باطل ، والملزوم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الاستعمال أعمّ من الحقيقة ، ونحن لا ننكر استعمال الجمل الشرطيّة فيما يلغو فيه المفهوم ، وإنّما الكلام في الظهور العرفي ، ووجود الاستعمالات المخالفة </w:t>
      </w:r>
      <w:r>
        <w:rPr>
          <w:rStyle w:val="FootnoteAnchor"/>
          <w:rtl w:val="true"/>
        </w:rPr>
        <w:footnoteReference w:id="64"/>
      </w:r>
      <w:r>
        <w:rPr>
          <w:rFonts w:ascii="Amiri" w:hAnsi="Amiri" w:eastAsia="Amiri" w:cs="Amiri"/>
          <w:color w:val="111111"/>
          <w:sz w:val="28"/>
          <w:sz w:val="28"/>
          <w:szCs w:val="28"/>
          <w:rtl w:val="true"/>
          <w:lang w:bidi="ar-SA"/>
        </w:rPr>
        <w:t>وإن كانت غالبة ، غير مضرّ فيه ؛ لاقترانه بالقرينة في الكلّ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عنه في المعالم </w:t>
      </w:r>
      <w:r>
        <w:rPr>
          <w:rStyle w:val="FootnoteAnchor"/>
          <w:rtl w:val="true"/>
        </w:rPr>
        <w:footnoteReference w:id="65"/>
      </w:r>
      <w:r>
        <w:rPr>
          <w:rFonts w:ascii="Amiri" w:hAnsi="Amiri" w:eastAsia="Amiri" w:cs="Amiri"/>
          <w:color w:val="111111"/>
          <w:sz w:val="28"/>
          <w:sz w:val="28"/>
          <w:szCs w:val="28"/>
          <w:rtl w:val="true"/>
          <w:lang w:bidi="ar-SA"/>
        </w:rPr>
        <w:t xml:space="preserve">وغيره </w:t>
      </w:r>
      <w:r>
        <w:rPr>
          <w:rStyle w:val="FootnoteAnchor"/>
          <w:rtl w:val="true"/>
        </w:rPr>
        <w:footnoteReference w:id="66"/>
      </w:r>
      <w:r>
        <w:rPr>
          <w:rFonts w:ascii="Amiri" w:hAnsi="Amiri" w:eastAsia="Amiri" w:cs="Amiri"/>
          <w:color w:val="111111"/>
          <w:sz w:val="28"/>
          <w:sz w:val="28"/>
          <w:szCs w:val="28"/>
          <w:rtl w:val="true"/>
          <w:lang w:bidi="ar-SA"/>
        </w:rPr>
        <w:t xml:space="preserve">،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بالالتزام بالمفهوم والقول بأنّها تدلّ على عدم حرمة الإكراه عند عدم إرادة التحصّن ، وذلك لا يقتضي إباحة الإكراه ، إذ لا يعقل الإكراه عند عدم إرادة التحصّن ، فيصدق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يحرم الإكراه عند عدم إرادة التحصّن ، لأنّ السالبة صادقة عند انتفاء الموضوع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التعليق بالشرط إنّما يقتضي الانتفاء إذا لم يظهر للشرط فائدة </w:t>
      </w:r>
    </w:p>
    <w:p>
      <w:pPr>
        <w:pStyle w:val="BookText"/>
        <w:rPr/>
      </w:pPr>
      <w:r>
        <w:rPr>
          <w:rFonts w:ascii="Amiri" w:hAnsi="Amiri" w:eastAsia="Amiri" w:cs="Amiri"/>
          <w:color w:val="111111"/>
          <w:sz w:val="28"/>
          <w:sz w:val="28"/>
          <w:szCs w:val="28"/>
          <w:rtl w:val="true"/>
          <w:lang w:bidi="ar-SA"/>
        </w:rPr>
        <w:t xml:space="preserve">اخرى ، وأمّا إذا ظهرت فائدة فلا ، كما في الآية ، فإنّ الوجه في التعليق يحتمل أن يكون المبالغة في النهي عن الإكراه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أنّهنّ إذا أردن العفّة فالمولى أحقّ بإرادتها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الغضّ عن إمكان الواسطة عند عدم الالتفات أو عنده مع التردّد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ذلك يوجب إلغاء المفهوم ، فإنّه كما ستعرف يجب أن لا يكون بين المفهوم والمنطوق اختلاف إلاّ من جهة الإيجاب والسلب ، والمفروض في المنطوق هو وجود الموضوع ، فيجب اعتباره في المفهوم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قال المولى لأحد غلمانه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 زيد فأضفه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تكون الإضافة المنفيّة في طرف المفهوم أمرا مقدورا كما أنّها في المنطوق كذلك ، فلو كان الإضافة في المفهوم غير مقدور كان التعليق المذكور تعليقا مجازيّا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السالبة بدون الموضوع وإن كان صادقا ، لكنّه لا يصحّح ثبوت المفهوم ؛ لما عرفت ، فلا وجه لتصحيح المفهوم بما ذكر ، بل الظاهر أنّ الجملة الشرطيّة مسوقة في مثله لبيان موضوع الحكم ،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ركب الأمير فخذ ركابه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رزقت ولدا فاختنه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جاءَكُمْ فاسِقٌ بِنَبَإٍ فَتَبَيَّنُوا </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إلى غير ذلك من الموارد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ينافي القول بالمفهوم ، فإنّ اللازم حينئذ اقتصار الحكم بما إذا علم عدم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كونها أظهر الفوائد إن رجعت إلى دعوى الوضع ، فمرجعها إلى ما قلنا ، وإلاّ فلا فائدة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16264_169341"/>
      <w:bookmarkStart w:id="25" w:name="pg16264_169341"/>
      <w:bookmarkEnd w:id="25"/>
    </w:p>
    <w:p>
      <w:pPr>
        <w:pStyle w:val="Heading3"/>
        <w:numPr>
          <w:ilvl w:val="2"/>
          <w:numId w:val="1"/>
        </w:numPr>
        <w:rPr/>
      </w:pPr>
      <w:bookmarkStart w:id="26" w:name="pg16264_169341"/>
      <w:bookmarkStart w:id="27" w:name="__RefHeading___Toc4588550_1280447820"/>
      <w:bookmarkStart w:id="28" w:name="_Toc7"/>
      <w:bookmarkEnd w:id="26"/>
      <w:bookmarkEnd w:id="27"/>
      <w:r>
        <w:rPr>
          <w:rtl w:val="true"/>
        </w:rPr>
        <w:t>هداية</w:t>
      </w:r>
      <w:bookmarkEnd w:id="28"/>
    </w:p>
    <w:p>
      <w:pPr>
        <w:pStyle w:val="BookText"/>
        <w:rPr/>
      </w:pPr>
      <w:r>
        <w:rPr>
          <w:rFonts w:ascii="Amiri" w:hAnsi="Amiri" w:eastAsia="Amiri" w:cs="Amiri"/>
          <w:color w:val="111111"/>
          <w:sz w:val="28"/>
          <w:sz w:val="28"/>
          <w:szCs w:val="28"/>
          <w:rtl w:val="true"/>
          <w:lang w:bidi="ar-SA"/>
        </w:rPr>
        <w:t xml:space="preserve">بعد ما عرفت أنّ الحقّ هو المفهوم في الجملة الشرطيّة ، فهل يفرق في ذلك بين موارد الوصايا والأوقاف ونحوها وبين غيرها؟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فيما ذكرنا من ثبوت المفهوم بين كون الجمل الشرطيّة واقعة في موارد الوصايا أو الأوقاف أو الأقارير وبين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الشهيد الثاني اختصاص النزاع بالثاني بخروج الأوّل عن محلّ التشاجر ؛ للقطع بثبوت المفهوم فيها من غير أن يكون قابلا للنزاع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محكيّ تمهيد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دلالتها </w:t>
      </w:r>
      <w:r>
        <w:rPr>
          <w:rStyle w:val="FootnoteAnchor"/>
          <w:rtl w:val="true"/>
        </w:rPr>
        <w:footnoteReference w:id="69"/>
      </w:r>
      <w:r>
        <w:rPr>
          <w:rFonts w:ascii="Amiri" w:hAnsi="Amiri" w:eastAsia="Amiri" w:cs="Amiri"/>
          <w:color w:val="111111"/>
          <w:sz w:val="28"/>
          <w:sz w:val="28"/>
          <w:szCs w:val="28"/>
          <w:rtl w:val="true"/>
          <w:lang w:bidi="ar-SA"/>
        </w:rPr>
        <w:t xml:space="preserve">في مثل الوقف والوصايا والنذر والأيمان ، كما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وقفت هذا على أولادي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كانوا 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 ذلك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الوجه في تخصيص </w:t>
      </w:r>
      <w:r>
        <w:rPr>
          <w:rStyle w:val="FootnoteAnchor"/>
          <w:rtl w:val="true"/>
        </w:rPr>
        <w:footnoteReference w:id="71"/>
      </w:r>
      <w:r>
        <w:rPr>
          <w:rFonts w:ascii="Amiri" w:hAnsi="Amiri" w:eastAsia="Amiri" w:cs="Amiri"/>
          <w:color w:val="111111"/>
          <w:sz w:val="28"/>
          <w:sz w:val="28"/>
          <w:szCs w:val="28"/>
          <w:rtl w:val="true"/>
          <w:lang w:bidi="ar-SA"/>
        </w:rPr>
        <w:t xml:space="preserve">المذكور هو عدم دخول غير الفقراء في الموقوف عليهم وفهم التعارض فيما لو 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على أولادي مطلقا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خلط بين انتفاء الإنشاء الشخصي الخاصّ الموجب لما يترتّب عليه من الآثار من ملك أو لزوم أمر آخر ، وبين انتفاء نوع الوجوب المعتبر في المفهوم ، فإنّ انتفاء الشخص قطعيّ لا يقبل إنكاره بعد ارتفاع الكلام الدالّ على الإنشاء ، ومن لوازم تشخّصه عدم سراية ذلك الحكم الثابت به </w:t>
      </w:r>
    </w:p>
    <w:p>
      <w:pPr>
        <w:pStyle w:val="BookText"/>
        <w:rPr/>
      </w:pPr>
      <w:r>
        <w:rPr>
          <w:rFonts w:ascii="Amiri" w:hAnsi="Amiri" w:eastAsia="Amiri" w:cs="Amiri"/>
          <w:color w:val="111111"/>
          <w:sz w:val="28"/>
          <w:sz w:val="28"/>
          <w:szCs w:val="28"/>
          <w:rtl w:val="true"/>
          <w:lang w:bidi="ar-SA"/>
        </w:rPr>
        <w:t>إلى غيره ؛ كما يظهر ذلك بملاحظة مفهوم اللقب ، فإنّ وجوب إكرام زيد الثابت بإنشاء خاصّ منفيّ عن عمرو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يصحّ إنشاء الوجوب أيضا لعمرو بإنشاء آخر مماثل لإنشاء وجوب إكرام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إنشاء الوقف لغير الفقير بواسطة عدم قابليّة المحلّ المذكور لوقفين ، حيث إنّ ذلك المتعلّق أمر شخصي ، بخلاف الإكرام فإنّه كلّي يحتمل الوجوبين بالنسبة إلى زيد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الملك المذكور هو ما إذا أمر بفرد خاصّ شخصيّ للإكرام لو فرض ، فإنّه لا يحتمل الوجوبين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فعدم دخول غير الفقراء في الموقوف عليهم لا يقضي بالمفهوم كما عرفت في اللقب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وفهم التعارض والتناقض 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وقفت على أولادي إن كانوا 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على أولادي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بواسطة عدم تحمّل العين لتمليكين ،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والمعتبر في المفهوم انتفاء الحكم عن مورد الشرط على تقدير انتفائه بحسب نوع الحكم وسنخه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يستشكل في المقام ، نظرا إلى أنّ الشرط المذكور إنّما وقع شرطا بالنسبة إلى الإنشاء الخاصّ الحاصل بذلك الكلام دون غيره ، فأقصى ما تفيده الشرطيّة انتفاء ذلك ، وأين ذلك من دلالته على انتفاء نوع الوجوب؟ كما هو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يذبّ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الوجوب المنشأ في المنطوق هو الوجوب مطلقا من حيث كون اللفظ موضوعا له بالوضع العامّ ، واختصاصه وشخصيّته من فعل الآمر ، كما أنّ شخصيّة الفعل المتعلّق للوجوب من فعل المأمور ، فيحكم بانتفاء مطلق الوجوب في جانب المفهوم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وقع للاشكال والدفع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الكلام المشتمل على المفهوم إمّا أن يكون خبريّا ،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زيد كذا إن كان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يكون إنشائيّا ،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وارتفاع مطلق الوجوب في طرف المفهوم في الأوّل ظاهر ، حيث إنّ المخبر عن ثبوته في المنطوق ليس شخصا خاصّا من الوجوب ، ضرورة كون الوجوب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يتوجّه هنا إشكال حتّى يدفع بما ذكره أو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ارتفاع مطلق الوجوب فيما إذا كان الكلام إنشائيّا فهو من فوائد العلّية والسببيّة المستفادة من الجملة الشرطيّة ، حيث إنّ ارتفاع شخص الطلب والوجوب ليس مستندا إلى ارتفاع العلّة والسبب المأخوذ في الجملة الشرطيّة ، فإنّ ذلك يرتفع ولو لم يؤخذ المذكور في حيال أداة الشرط علّة له ، كما هو ظاهر في اللقب والوصف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فقضيّة العلّية والسببيّة ارتفاع نوع الوجوب الذي أنشأه الآمر وصار بواسطة إنشائه شخصا من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وقوع الشرط شرطا للإنشاء الخاصّ فهو بملاحظة نوع الوجوب المتعلّق به الإنشاء وإن لم يكن ذلك على ذلك الوجه مدلولا للّفظ ، إذ يكفي فيه ارتفاع شخصه من حيث إنّه عنوان لارتفاع نوعه ، نظرا إلى العلّية المذكورة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ابتناء الدفع على ما زعمه من عموم الموضوع له والوضع ليس على ما ينبغي ، كما عرفت فيما ذكرنا ؛ مضافا إلى أنّ ذلك أيضا ممّا لم يقم دليل عليه لو لم نقل بقيام الدليل على خلافه ، حيث إنّ الخصوصيّات بأنفسها مستفادة من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w:t>
      </w:r>
      <w:r>
        <w:rPr>
          <w:rFonts w:eastAsia="Amiri" w:cs="Amiri" w:ascii="Amiri" w:hAnsi="Amiri"/>
          <w:color w:val="111111"/>
          <w:sz w:val="28"/>
          <w:szCs w:val="28"/>
          <w:rtl w:val="true"/>
          <w:lang w:bidi="ar-SA"/>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16264_169345"/>
      <w:bookmarkStart w:id="30" w:name="pg16264_169345"/>
      <w:bookmarkEnd w:id="30"/>
    </w:p>
    <w:p>
      <w:pPr>
        <w:pStyle w:val="Heading3"/>
        <w:numPr>
          <w:ilvl w:val="2"/>
          <w:numId w:val="1"/>
        </w:numPr>
        <w:rPr/>
      </w:pPr>
      <w:bookmarkStart w:id="31" w:name="pg16264_169345"/>
      <w:bookmarkStart w:id="32" w:name="__RefHeading___Toc4588552_1280447820"/>
      <w:bookmarkStart w:id="33" w:name="_Toc8"/>
      <w:bookmarkEnd w:id="31"/>
      <w:bookmarkEnd w:id="32"/>
      <w:r>
        <w:rPr>
          <w:rtl w:val="true"/>
        </w:rPr>
        <w:t>هداية</w:t>
      </w:r>
      <w:bookmarkEnd w:id="33"/>
    </w:p>
    <w:p>
      <w:pPr>
        <w:pStyle w:val="BookText"/>
        <w:rPr/>
      </w:pPr>
      <w:r>
        <w:rPr>
          <w:rFonts w:ascii="Amiri" w:hAnsi="Amiri" w:eastAsia="Amiri" w:cs="Amiri"/>
          <w:color w:val="111111"/>
          <w:sz w:val="28"/>
          <w:sz w:val="28"/>
          <w:szCs w:val="28"/>
          <w:rtl w:val="true"/>
          <w:lang w:bidi="ar-SA"/>
        </w:rPr>
        <w:t>يجب تطابق المفهوم والمنطوق في جميع القيود المعتبرة في الكلام والاعتبارات اللاحقة له ، إلاّ في النفي والإثبات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عرفت من أنّ الوجه في ثبوت المفهوم هو علّيّة الشرط للجزاء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 حيث إنّ العلّية تقضي بارتفاع ما فرض كونه معلولا عند ارتفاع </w:t>
      </w:r>
      <w:r>
        <w:rPr>
          <w:rStyle w:val="FootnoteAnchor"/>
          <w:rtl w:val="true"/>
        </w:rPr>
        <w:footnoteReference w:id="72"/>
      </w:r>
      <w:r>
        <w:rPr>
          <w:rFonts w:ascii="Amiri" w:hAnsi="Amiri" w:eastAsia="Amiri" w:cs="Amiri"/>
          <w:color w:val="111111"/>
          <w:sz w:val="28"/>
          <w:sz w:val="28"/>
          <w:szCs w:val="28"/>
          <w:rtl w:val="true"/>
          <w:lang w:bidi="ar-SA"/>
        </w:rPr>
        <w:t xml:space="preserve">العلّة ، ولا يقضي بارتفاع ما هو أجنبيّ عن العلّة ، فمفهوم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 زيد يوم الجمعة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إكرام زيد على تقدير عدم المجيء في يوم الجمعة ، لا مطلقا ، فلا ينافي ثبوته في السبت ، إلى غير ذلك ممّا هو معتبر في الكلام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ينبغي استثناء ما هو متفرّع على النفي والإثبات وليس منفيّا ولا مثبتا في الكلام ، وذلك نظير استفادة العموم من النكرة الواقعة في سياق النفي وعدم استفادته من الواقعة في حيّز الإثبات ، كما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 زيد فأعتق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المستفاد منه في المنطوق وجوب عتق رقبة مردّدة بين أفراد جنسها على تقدير الشرط ، وفي المفهوم يستفاد عدم وجوب عتق كلّ فرد من الرقبة ، وذلك ليس بضائر فيما ذكرنا ، فإنّه من خصائص النفي والإثبات الواردين على الطبيعة المطلقة ، وليس ذلك من مداليل اللفظ إلاّ على القول بدخول وصف الإطلاق في الموضوع له فيتوجّه النفي في المفهوم إلى ذلك القيد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يتوهّم أنّ مفهوم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 زيد فهو يكرم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جهة الإخبار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يستفاد منه وجوب الإكرام على تقدير الشرط بواسطة حسن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لم يجئك زيد فلا يكرم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يفيد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أيضا من الامور المتفرّعة على نفس النفي والإثبات ، فلا يضرّ اختلاف المفهوم والمنطوق بهذا الوجه نظير اختلافهما بالعموم والإطلاق في المثال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يخلو من مغالطة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التحريم فيما إذا وقع في حيّز النفي إذا لم يكن ممّا استفيد منه الوجوب ، وأمّا إذا كان ممّا استفيد منه الوجوب ووقع في حيّز النفي فلا يفيد ذلك إلاّ رفع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لوحظ بشرط وقوعه في الجملة الإثباتيّة التي يستفاد منها الوجوب ، غير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لوحظ لا بشرط شيء ، والثاني يفيد التحريم في الجملة المنفيّة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يجري ذلك في الإطلاق ، حيث إنّ ورود النفي والإثبات على الطبيعة الملحوظة لا بشرط يفيد ذلك ، ووقوعه في الجملة الإثباتيّة لا يعقل أخذه شرطا لها ، إذ المفروض كونها لا بشرط شيء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ملاحظة الامور المستفادة من ضروب التراكيب ووجوه الكلام ، فإنّه ربما يتوهّم خلاف ما هو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توهّم أنّه لو كان مفاد المنطوق الوجوب العيني ، كما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 زيد فيجب عليك إكرامه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الوجوب العيني ، فالمستفاد منه في المفهوم أيضا هو نفي الوجوب العيني على تقدير عدم الشرط ، ولا ينافي إثبات الوجوب التخييري على تقدير عدم الشرط</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ما عرفت من أنّ لوازم النفي والإثبات لا يعتبر في المفهوم والمنطوق لا ينبغي الإشكال في فساد التوهّم المذكور ، فإنّ ذلك من قبيل الإطلاق والعموم </w:t>
      </w:r>
    </w:p>
    <w:p>
      <w:pPr>
        <w:pStyle w:val="BookText"/>
        <w:rPr/>
      </w:pPr>
      <w:r>
        <w:rPr>
          <w:rFonts w:ascii="Amiri" w:hAnsi="Amiri" w:eastAsia="Amiri" w:cs="Amiri"/>
          <w:color w:val="111111"/>
          <w:sz w:val="28"/>
          <w:sz w:val="28"/>
          <w:szCs w:val="28"/>
          <w:rtl w:val="true"/>
          <w:lang w:bidi="ar-SA"/>
        </w:rPr>
        <w:t xml:space="preserve">المستفادين في المثال المتقدّم ، من غير فرق في ذلك بين استفادة الوجوب من مادّة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المثال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الهيئة ، حيث إنّ ذلك يرجع في الحقيقة إلى إطلاق المادّة ، والمفروض أنّ الطبيعة المطلقة إذا وقعت في سياق النفي يستفاد منها العموم ؛ ولذلك تراهم يقولون بالتعارض فيما إذا دلّ الدليل على وجوب إكرام زيد في المثال المذكور على تقدير عدم الشرط تخييرا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فيما ذكرنا بين أقسام الوجوب المستفاد من الهيئة من الإطلاق والتعيين والنفسيّة وغيرها ، فإنّ الظاهر من المفهوم نفي جميع الأقسام وإن كان المنطوق خاصّا بواحد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كان المأخوذ في المنطوق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كان عامّا استغراقيّا ،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 زيد فأكرم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يستفاد من المفهوم عدم وجوب الإكرام بالنسبة إلى كلّ فرد فرد من العلماء على تقدير عدم الشرط ، أو يستفاد عدم وجوب إكرام الجميع؟ فعلى الأوّل لو دلّ دليل على وجوب إكرام زيد العالم يعارضه المفهوم ، بخلافه على الثاني</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اختلفوا في ذلك ، فيظهر من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الشيخ وصاحب المعالم والمحقّق القمّي رحمهم‌اللّه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وحكي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الثاني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وجه الاختلاف في ذلك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العموم الملحوظ في المنطوق هل هو يعتبر آلة لملاحظة حال الأفراد على وجه الشمول والاستغراق فلا يتوجّه النفي إليه في المفهوم فيكون الاختلاف بين المنطوق والمفهوم في الكيف فقط دون الكمّ ، أو يعتبر على وجه الموضوعيّة فيتوجّه إليه النفي فالاختلاف بينهما ثابت كمّا وكيفا على قياس النقيض المأخوذ عند أهل الميزان؟ </w:t>
      </w:r>
    </w:p>
    <w:p>
      <w:pPr>
        <w:pStyle w:val="BookText"/>
        <w:rPr/>
      </w:pPr>
      <w:r>
        <w:rPr>
          <w:rFonts w:ascii="Amiri" w:hAnsi="Amiri" w:eastAsia="Amiri" w:cs="Amiri"/>
          <w:color w:val="111111"/>
          <w:sz w:val="28"/>
          <w:sz w:val="28"/>
          <w:szCs w:val="28"/>
          <w:rtl w:val="true"/>
          <w:lang w:bidi="ar-SA"/>
        </w:rPr>
        <w:t>وكيف كان ، فلا بدّ من تشخيص أحد الموضوعين حتّى نجري على منواله في 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عند العلم بأحد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يعلم ذلك من القرائن الخارجيّة ، فالظاهر أنّ العرف قاض بالوجه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يرى من ظهور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 زيد فلا تقتل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لا يدلّ على عدم حرمة قتل أحد على تقدير عدم المجيء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فبملاحظة القرينة ، لمكان العلم بأنّ سبب حرمة القتل في كلّ واحد لا ينحصر في الشرط المذكور ، بل لها أسباب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مثل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زيد أميرا لاستغنى كلّ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يفيد أنّه على تقدير عدم إمارة زيد لا يستغني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يعلم بوجود أسباب كثيرة للحكم المأخوذ في الجملة الشرطيّة ، وحينئذ فلو أخذنا العام في الجزاء دلّ ذلك على سببيّة الشرط لعموم الحكم ، لا للحكم على وجه العموم ، ونحن لا نضايق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قضيّة ما ذكرنا من التطابق بين المفهوم والمنطوق ، وما تقدّم من ظهور الجملة الشرطيّة في انحصار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المؤيّد بفهم العرف فيما نحن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ذلك ما هو المقرّر في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نقيض الموجبة الكلّية هي السالبة الجزئيّة ، فإنّ غرضهم لا يتعلّق ببيان ظواهر القضايا ، بل نظرهم مقصور على بيان لوازم ما هو القدر المتيقّن من القضيّة ، ولا ريب أنّ المتيقّن هو اللازم بالنسبة إلى المجموع دون الآحاد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يعلم صحّة ما أفاده بعض الأساطين </w:t>
      </w:r>
      <w:r>
        <w:rPr>
          <w:rStyle w:val="FootnoteAnchor"/>
          <w:rtl w:val="true"/>
        </w:rPr>
        <w:footnoteReference w:id="74"/>
      </w:r>
      <w:r>
        <w:rPr>
          <w:rFonts w:ascii="Amiri" w:hAnsi="Amiri" w:eastAsia="Amiri" w:cs="Amiri"/>
          <w:color w:val="111111"/>
          <w:sz w:val="28"/>
          <w:sz w:val="28"/>
          <w:szCs w:val="28"/>
          <w:rtl w:val="true"/>
          <w:lang w:bidi="ar-SA"/>
        </w:rPr>
        <w:t xml:space="preserve">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الماء </w:t>
      </w:r>
    </w:p>
    <w:p>
      <w:pPr>
        <w:pStyle w:val="BookText"/>
        <w:rPr/>
      </w:pPr>
      <w:r>
        <w:rPr>
          <w:rFonts w:ascii="Amiri" w:hAnsi="Amiri" w:eastAsia="Amiri" w:cs="Amiri"/>
          <w:color w:val="111111"/>
          <w:sz w:val="28"/>
          <w:sz w:val="28"/>
          <w:szCs w:val="28"/>
          <w:rtl w:val="true"/>
          <w:lang w:bidi="ar-SA"/>
        </w:rPr>
        <w:t xml:space="preserve">قدر كرّ لم ينجّسه شيء </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من أنّ مفهومه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لم يكن قدر كرّ ينجّسه كلّ شيء من النجاسات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وفساد ما أورد عليه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اللازم من القضيّة المذكورة نجاسة الماء الغير الكرّ بشيء من النجاسات ، وهو مجمل لا يفيد ولا يلزم منه النجاسة بكلّ شيء ؛ ولذلك نقول بأنّ ما دلّ على عدم نجاسة غسالة الاستنجاء يعارض عموم المفهوم </w:t>
      </w:r>
      <w:r>
        <w:rPr>
          <w:rStyle w:val="FootnoteAnchor"/>
          <w:rtl w:val="true"/>
        </w:rPr>
        <w:footnoteReference w:id="77"/>
      </w:r>
      <w:r>
        <w:rPr>
          <w:rFonts w:ascii="Amiri" w:hAnsi="Amiri" w:eastAsia="Amiri" w:cs="Amiri"/>
          <w:color w:val="111111"/>
          <w:sz w:val="28"/>
          <w:sz w:val="28"/>
          <w:szCs w:val="28"/>
          <w:rtl w:val="true"/>
          <w:lang w:bidi="ar-SA"/>
        </w:rPr>
        <w:t xml:space="preserve">مثل ما يدلّ على عدم نجاسته إذا كان عاليا </w:t>
      </w:r>
      <w:r>
        <w:rPr>
          <w:rStyle w:val="FootnoteAnchor"/>
          <w:rtl w:val="true"/>
        </w:rPr>
        <w:footnoteReference w:id="78"/>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 ذلك في صحّة الاستدلال وفساد الاعتراض ، ما أفاده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عموم مفهوم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يؤكل لحمه يتوضأ من سؤره </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وما اعترضه الشيخ محمّد في حاشية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العموم </w:t>
      </w:r>
      <w:r>
        <w:rPr>
          <w:rStyle w:val="FootnoteAnchor"/>
          <w:rtl w:val="true"/>
        </w:rPr>
        <w:footnoteReference w:id="80"/>
      </w:r>
      <w:r>
        <w:rPr>
          <w:rFonts w:ascii="Amiri" w:hAnsi="Amiri" w:eastAsia="Amiri" w:cs="Amiri"/>
          <w:color w:val="111111"/>
          <w:sz w:val="28"/>
          <w:sz w:val="28"/>
          <w:szCs w:val="28"/>
          <w:rtl w:val="true"/>
          <w:lang w:bidi="ar-SA"/>
        </w:rPr>
        <w:t>، فلاحظهما متأمّلا فإنّه حقيق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الهادي</w:t>
      </w:r>
      <w:r>
        <w:rPr>
          <w:rFonts w:eastAsia="Amiri" w:cs="Amiri" w:ascii="Amiri" w:hAnsi="Amiri"/>
          <w:color w:val="111111"/>
          <w:sz w:val="28"/>
          <w:szCs w:val="28"/>
          <w:rtl w:val="true"/>
          <w:lang w:bidi="ar-SA"/>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16264_169351"/>
      <w:bookmarkStart w:id="35" w:name="pg16264_169351"/>
      <w:bookmarkEnd w:id="35"/>
    </w:p>
    <w:p>
      <w:pPr>
        <w:pStyle w:val="Heading3"/>
        <w:numPr>
          <w:ilvl w:val="2"/>
          <w:numId w:val="1"/>
        </w:numPr>
        <w:rPr/>
      </w:pPr>
      <w:bookmarkStart w:id="36" w:name="pg16264_169351"/>
      <w:bookmarkStart w:id="37" w:name="__RefHeading___Toc4588554_1280447820"/>
      <w:bookmarkStart w:id="38" w:name="_Toc9"/>
      <w:bookmarkEnd w:id="36"/>
      <w:bookmarkEnd w:id="37"/>
      <w:r>
        <w:rPr>
          <w:rtl w:val="true"/>
        </w:rPr>
        <w:t>هداية</w:t>
      </w:r>
      <w:bookmarkEnd w:id="38"/>
    </w:p>
    <w:p>
      <w:pPr>
        <w:pStyle w:val="BookText"/>
        <w:rPr/>
      </w:pPr>
      <w:r>
        <w:rPr>
          <w:rFonts w:ascii="Amiri" w:hAnsi="Amiri" w:eastAsia="Amiri" w:cs="Amiri"/>
          <w:color w:val="111111"/>
          <w:sz w:val="28"/>
          <w:sz w:val="28"/>
          <w:szCs w:val="28"/>
          <w:rtl w:val="true"/>
          <w:lang w:bidi="ar-SA"/>
        </w:rPr>
        <w:t xml:space="preserve">بعد ما عرفت من أنّ ظاهر الجملة الشرطيّة سببيّة الشرط للجزاء على وجه الانحصار ، فلو تعدّد الشرط فلا بدّ من الخروج عن ذلك الظاهر ، وذلك يحتمل وجوها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مفهوم كلّ منهما بمنطوق الآخر ، فقول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خفي الأذان فقصّر </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خفي الجدران فقصّر </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يراد من كلّ منهما انتفاء وجوب القصر عند انتفاء السبب الآخر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ذلك ما هو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دلالة اللفظ على منطوقة أقوى من دلالته على مفهومه ، ولا ريب أنّه عند التعارض يقدّم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المفهوم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الثمرة أنّه على الأوّل يستدلّ بهما على عدم مدخليّة شيء آخر في الجزاء المفروض ، بخلافه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الوجهين لا ريب في لزوم المجاز على القول باستناد المفهوم إلى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يتوهّم أنّه على القول بالتضمّن لا يكون هناك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وهم ؛ إذ على تقديره يلزم استعمال اللفظ الموضوع للكلّ في الجزء</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إطلاق الشرط في كلّ منهما بالآخر وجودا فيكون المراد في المثال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خفي الأذان عند خفاء الجدران فقصّر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عدما فالمعنى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خفي الأذان ولم يكن الجدران مخفيّة فقصّر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يرجع الأمر إلى أنّ كلّ واحد منهما جزء السبب ، فلا يجوز القصر مع خفاء أحدهما فقط ، كما ذهب إليه جماعة </w:t>
      </w:r>
      <w:r>
        <w:rPr>
          <w:rStyle w:val="FootnoteAnchor"/>
          <w:rtl w:val="true"/>
        </w:rPr>
        <w:footnoteReference w:id="83"/>
      </w:r>
      <w:r>
        <w:rPr>
          <w:rFonts w:ascii="Amiri" w:hAnsi="Amiri" w:eastAsia="Amiri" w:cs="Amiri"/>
          <w:color w:val="111111"/>
          <w:sz w:val="28"/>
          <w:sz w:val="28"/>
          <w:szCs w:val="28"/>
          <w:rtl w:val="true"/>
          <w:lang w:bidi="ar-SA"/>
        </w:rPr>
        <w:t>، وهو أبعد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يكون كلّ واحد منهما سببا مستقلاّ عند عدم الآخر ، وأمّا مع وجود الآخر فلا سببيّة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الوجهان يلائمان القول باستناد المفهوم إلى الإطلاق ، بل وربّما يستدلّ بذلك عليه ، حيث إنّه لو كان بالوضع يلزم ما عرفت من المجاز ، ولا يلزم على هذا التقدير إلاّ تقييد الإطلاق ، وهو لو كان مجازا أيضا مقدّم على غيره من أنواع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إبقاء إحدى الجملتين بحالها مفهوما ومنطوقا والتصرّف في الاخرى كذلك ، كما هو الظاهر من الحلّي في المثال المذكور ، فإنّه جعل المناط في القصر خفاء الأذان فقط ، وقيّد منطوق الآخر بخفاء الأذان ومفهومه بعدمه </w:t>
      </w:r>
      <w:r>
        <w:rPr>
          <w:rStyle w:val="FootnoteAnchor"/>
          <w:rtl w:val="true"/>
        </w:rPr>
        <w:footnoteReference w:id="84"/>
      </w:r>
      <w:r>
        <w:rPr>
          <w:rFonts w:ascii="Amiri" w:hAnsi="Amiri" w:eastAsia="Amiri" w:cs="Amiri"/>
          <w:color w:val="111111"/>
          <w:sz w:val="28"/>
          <w:sz w:val="28"/>
          <w:szCs w:val="28"/>
          <w:rtl w:val="true"/>
          <w:lang w:bidi="ar-SA"/>
        </w:rPr>
        <w:t>، فيرجع إلى إلغاء الجملة الثانية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خفاء الجدران من الأمارات الّتي يتوصّل بها إلى خفاء الأذان ، فلا يلزم لغويّته رأسا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القدر المشترك بين الشرطين من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الجملة الشرطيّة هو كون ما اخذ في الشرط بعنوانه الخاصّ علّة تامّة منحصرة للجزاء ، إلاّ أنّ تعدّد الشروط ينهض قرينة على </w:t>
      </w:r>
    </w:p>
    <w:p>
      <w:pPr>
        <w:pStyle w:val="BookText"/>
        <w:rPr/>
      </w:pPr>
      <w:r>
        <w:rPr>
          <w:rFonts w:ascii="Amiri" w:hAnsi="Amiri" w:eastAsia="Amiri" w:cs="Amiri"/>
          <w:color w:val="111111"/>
          <w:sz w:val="28"/>
          <w:sz w:val="28"/>
          <w:szCs w:val="28"/>
          <w:rtl w:val="true"/>
          <w:lang w:bidi="ar-SA"/>
        </w:rPr>
        <w:t>أنّ الشرط إنّما هو شرط بعنوانه الأعمّ الشامل للشرط الآخر ، فلا مجاز فيما يدلّ على العلقة ولا تقييد في إطلاق أحد الشرطين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العرف يساعد على ذلك بعد الاطّلاع على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فالوجه الأوّل والقسم الثاني من الثالث مشتركان مع هذا الوجه في أنّ الحكم ثابت على تقدير كلّ واحد من الشرطين ومرتفع عند عدمهما معا ، كما هو الشأن فيما إذا تعدّدت العلل مع قيام إحداها مقام الاخرى ، إلاّ أنّ الاختلاف في وجه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 يلزم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نقل بأنّ التخصيص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المفهوم من اللوازم العقليّة للمنطوق ، ولا يعقل التصرّف في المدلول الالتزامي إلاّ بعد التصرّف في المدلول المطابقي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 يلزم تقييد الإطلاق في كلّ واحد منهما بعدم الآخر ، وأمّا مع الوجود فإمّا أن يقال بأنّ التأثير للمتقدّم أو للقدر المشترك ، على حسبما تعرف</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الثالث ، فلا يلزم شيء منهما ، إلاّ أنّه خروج عن الظاهر ، حيث إنّ ظاهر الشرط كونه علّة لعنوانه الخاصّ ، ولا يلزم مجاز ، 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الهادي</w:t>
      </w:r>
      <w:r>
        <w:rPr>
          <w:rFonts w:eastAsia="Amiri" w:cs="Amiri" w:ascii="Amiri" w:hAnsi="Amiri"/>
          <w:color w:val="111111"/>
          <w:sz w:val="28"/>
          <w:szCs w:val="28"/>
          <w:rtl w:val="true"/>
          <w:lang w:bidi="ar-SA"/>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16264_169355"/>
      <w:bookmarkStart w:id="40" w:name="pg16264_169355"/>
      <w:bookmarkEnd w:id="40"/>
    </w:p>
    <w:p>
      <w:pPr>
        <w:pStyle w:val="Heading3"/>
        <w:numPr>
          <w:ilvl w:val="2"/>
          <w:numId w:val="1"/>
        </w:numPr>
        <w:rPr/>
      </w:pPr>
      <w:bookmarkStart w:id="41" w:name="pg16264_169355"/>
      <w:bookmarkStart w:id="42" w:name="__RefHeading___Toc4588556_1280447820"/>
      <w:bookmarkStart w:id="43" w:name="_Toc10"/>
      <w:bookmarkEnd w:id="41"/>
      <w:bookmarkEnd w:id="42"/>
      <w:r>
        <w:rPr>
          <w:rtl w:val="true"/>
        </w:rPr>
        <w:t>هداية</w:t>
      </w:r>
      <w:bookmarkEnd w:id="43"/>
    </w:p>
    <w:p>
      <w:pPr>
        <w:pStyle w:val="Heading4"/>
        <w:numPr>
          <w:ilvl w:val="3"/>
          <w:numId w:val="1"/>
        </w:numPr>
        <w:rPr/>
      </w:pPr>
      <w:bookmarkStart w:id="44" w:name="__RefHeading___Toc4588558_1280447820"/>
      <w:bookmarkStart w:id="45" w:name="_Toc11"/>
      <w:bookmarkEnd w:id="44"/>
      <w:r>
        <w:rPr>
          <w:rtl w:val="true"/>
        </w:rPr>
        <w:t>اشارة</w:t>
      </w:r>
      <w:bookmarkEnd w:id="45"/>
    </w:p>
    <w:p>
      <w:pPr>
        <w:pStyle w:val="BookText"/>
        <w:rPr/>
      </w:pPr>
      <w:r>
        <w:rPr>
          <w:rFonts w:ascii="Amiri" w:hAnsi="Amiri" w:eastAsia="Amiri" w:cs="Amiri"/>
          <w:color w:val="111111"/>
          <w:sz w:val="28"/>
          <w:sz w:val="28"/>
          <w:szCs w:val="28"/>
          <w:rtl w:val="true"/>
          <w:lang w:bidi="ar-SA"/>
        </w:rPr>
        <w:t xml:space="preserve">إذا تعدّدت الأسباب واتّحد الجزاء ، فلا إشكال على ما ذهب إليه الحلّي من إلغاء إحدى الجملتين ، كما أنّه كذلك على ما ذهب إليه البعض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كلّ واحد منهما جزء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الوجوه الأخر ، فهل اللازم تعدّد المسبّبات ولزوم إيجاد الجزاء على حسب تعدّد الشروط ، أو يتداخل المسبّبات ويكتفى في الإتيان بالجزاء دفعة واحدة؟ اختلفوا فيه على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فالمشهور على عدم التداخل ، وذهب جماعة منهم المحقّق الخوانساري رحمه‌اللّه إلى التداخل على ما يظهر منه في المشارق </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الحلّي التفصيل بين اتّحاد الجنس وتعدّده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المقام بعد رسم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التداخل تارة يعتبر في الأسباب ، 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تعدّد الشروط لا يقتضي إلاّ إيجاد جزاء واحد ، سواء كانت تلك الأسباب من نوع واحد مثل تعدّد أفراد النوم المقتضي لوضوء واحد ، أو من أنواع مختلفة كتعاقب النوم والبول بالنسبة إلى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يعتبر في المسبّبات ، 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تعدّد الشروط قاض بتعدّد المسبّبات ، إلاّ أنّ الجزاء الواحد يقوم مقام ذلك المتعدّد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الأوّل فتداخل المسبّبات عزيمة ويتوقّف جواز الإتيان به ثانيا على وجه الامتثال على دليل ، وعلى الثاني رخصة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 نظرهم إلى تداخل المسبّبات في المقام ، كما يظهر من استدلالهم بحصول الامتثال فيما لو أتى بالمسبّب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ذلك استدلالهم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العلل الشرعيّة معرّفات فلا يمتنع اجتماعهما في شيء واحد ، الظاهر في دعوى تداخل الأسباب ؛ لأنّ المقصود حقيقة إثبات عدم تعدّد الجزاء ، كما هو المصرّح به في كلام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تداخل المسبّبات ، وإنّما عبّروا عنه بتداخل الأسباب تنبيها على علّة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الجزاء المأخوذ في الجملة قد يكون قابلا للتعدّد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 يكون ، كقتل زيد إذا وقع جزاء لشروط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ينبغي الإشكال في خروج الثاني عن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قد يستشكل في كيفيّة تأثير الأسباب المتعدّدة فيما لا يقبل التعدّد إذا تعاقب الأسباب أو تواردت دفعة واحدة ، فإنّه إمّا أن يقال بسببيّة كلّ منهما </w:t>
      </w:r>
      <w:r>
        <w:rPr>
          <w:rStyle w:val="FootnoteAnchor"/>
          <w:rtl w:val="true"/>
        </w:rPr>
        <w:footnoteReference w:id="87"/>
      </w:r>
      <w:r>
        <w:rPr>
          <w:rFonts w:ascii="Amiri" w:hAnsi="Amiri" w:eastAsia="Amiri" w:cs="Amiri"/>
          <w:color w:val="111111"/>
          <w:sz w:val="28"/>
          <w:sz w:val="28"/>
          <w:szCs w:val="28"/>
          <w:rtl w:val="true"/>
          <w:lang w:bidi="ar-SA"/>
        </w:rPr>
        <w:t>مستقلاّ فيلزم المحال المعروف ، أو باستناد الأثر إليهما معا ، وهو خلاف الفرض ؛ لكفاية أحدهما فيه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بأنّ القدر المشترك بينهما سبب لا يدفع الضيم ؛ لعدم تحقّقه إلاّ في الأشخاص ، ووجوده الذهني لا يترتّب عليه شيء ، واستناد الأثر إلى أحدهما ترجيح بلا مرجّح</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المسبّب ممّا يختلف شدّة وضعفا أو لا ، فعلى الأوّل لا إشكال ؛ لاستناد المرتبة الشديدة إليهما دفعة عند التوارد ، وانقلاب الضعيفة إلى الشديدة عند التعاقب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فنلتزم بأنّ السبب هو القدر المشترك ولا ضير فيه ، إذ القدر المشترك لا يتعدّد بتعدّد الأشخاص والوجودات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أقول إنّ نفس الماهيّة مع قطع النظر عن الوجود هي السبب حتّى يقال بأنّ الماهيّة الذهنية لا يترتّب عليها شيء ، بل الماهية من حيث الوجود ، إلاّ أنّه لا حكم لنفس الوجودات الخاصّة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وحينئذ فلو تعاقب الأسباب فالأثر مستند إلى الأوّل ويلغو الباقي ؛ لعدم قابليّة المحلّ بعد الاتّصاف بالمثل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تواردت دفعة واحدة فالأثر مستند إلى الماهيّة الموجودة ولا اختصاص للوجودات ، فلا يلزم محذور ، لعدم تعدّدها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يظهر فساد ما قيل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أنّها معرّفات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ستعرف أنّه خلاف الواقع ، 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الأسباب الواقعيّة ربما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عن فخر المحقّقين أنّه جعل مبنى المسألة على أنّ الأسباب الشرعيّة هل هي معرّفات وكواشف أو مؤثّرات؟ وعلى الأوّل فالأصل التداخل ، بخلافه على الثاني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ولعلّه تبعه في ذلك بعض المحقّقين في كتابه الموسوم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إنّه بعد ما قسّم الأسباب قسمين وجعل الأسباب الشرعيّة من المعرّفات وصرّح بامتناع اجتماع الأسباب الواقعيّة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يراد من الأسباب في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الأصل عدم التداخل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القسم يعني الأسباب الواقعيّة ، لأنّ الأصل إنّما يستعمل في مكان جاز التخلّف عنه بدليل ، بل يصرّحون بأنّ الأصل عدم التداخل إلاّ فيما ثبت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كلام في جواز التداخل فيما كان من الثاني ، إذ المعرّف علّة للوجود الذهني ، ومعلوليّة موجود واحد ذهني لعلل متعدّدة جائزة ، ولذا يستدلّ على مطلوب واحد بأدلّة كثيرة ، ويصحّ أن يستند وجود ذلك الموجود الذهني إلى كلّ منهما ؛ ولذا لا يرتفع ذلك الموجود الذهني بظهور بطلان واحد من الأدلّة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الأسباب الشرعيّة معرّفات من المشهورات التي لم نقف على أصل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قد يكون في الأسباب الشرعيّة ما هو كاشف عن أمر آخر غير الحكم الّذي قد جعله الشارع سببا له ، كالبيّنة واليد ونحوهما ، فإنّهما سببان للعمل بمقتضاهما ووجوب التعويل عليهما مع كونهما كاشفين عن نفس المقتضى والمدلول ، وأين ذلك من كون الأسباب الشرعيّة معرّفات على وجه الإطلاق؟ وتعدّد الأسباب الشرعيّة ليس إلاّ كتعدّد الأسباب العقليّة ، فكما أنّ ذلك لا يقتضي الكاشفيّة فيها لا يقتضي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يراد من الأسباب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المحال هو تعدّد العلّة التامّة ، وتلك الأسباب ليست كذلك ، لرجوعها الى القدر المشترك كما في الأسباب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كونه أصلا يجوز التخلّف عنه بدليل ، نظرا إلى ظهور اللفظ في العلّية التامّة ؛ مضافا إلى أنّ كلماتهم مشحونة بما يدلّ على خلاف ما أفاده في موارد شتّى ، كما هو غير خفيّ على المتتبّع</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كلام في جواز التداخل فيما كان معرّفا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ذكره من الوجه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يعلم فرق في امتناع توارد العلل التامّة على معلول واحد بين أن يكون موجودا ذهنيّا أو خارجيّا ، بل وليس ذلك إلاّ الموجود الخارجي ، وأمّا الموجود الذهني فهو المعلوم دون العلم ، فإنّ وجود العلم في الخارج وإن كان من الامور الذهنيّة إنّما هو بواسطة المعرّف ، وطريق الامتناع واحد ، وهو لزوم خلاف الفرض فيما لم يكف إحداها في الوجود أو تحصيل الحاصل على تقدير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تعدّد الأدلّة فربّما يحتمل أن يكون لتحصيل مرتبة من الكشف لم يكن قبل ، كما هو المحسوس في الأمارات الظنّية التي تفيد اجتماعها العلم ، وإلاّ فلا بدّ من توجيه ذلك على ما وجّهنا به العلل في الموجودات الخارجيّة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عدم ارتفاع الصورة عند ظهور بطلان أحد الأدلّة فلم يظهر لنا وجه ارتباطه بالمقام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تفطّن بذلك واعتذر عنه بالفرق بين الموجود الذهني والخارجي ، حيث إنّه لا يمكن كون الشيئين في الخارج شيئا واحدا ، بخلاف الموجود الذهني فإنّه يصير ألف موجود ذهني موجودا واحدا ، بمعنى تطابق موجود واحد في الذهن لألف موجود خارجي ، فينتزع من كلّ ألف موجود صورة وهيئة كلّها منطبقة على موجود ذهني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تعدّد الموجود الذهني إنّما هو بتعدّد نفس الملاحظة والانتزاع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امتناع تلك الملاحظات كامتناع اتّحاد الموجودات الخارجيّة ، بل ما نحن فيه منها أيضا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اتّحاد تلك الصور المنتزعة من أفراد كليّ واحد فعلى تقدير تعدّد الملاحظات يراد به عدم اختلافها مع قطع النظر عن خصوصيّات الوجود الذهني ، إذ لا يرتاب عاقل في التغاير مع ملاحظتها ؛ على أنّ ذلك خلط بين التصوّر والتصديق ، فإنّ الاعتقاد ممّا لا يتصوّر فيه ما ذكره في الصورة الكلّية المتصوّرة ، فإنّه موجود علميّ واحد لا يشوبه شوب التعدّد ، كما هو ظاهر لمن ألقى السمع وهو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فلم يظهر لنا وجه في صحّة الابتناء المذكور فلا بدّ من التأمّل لعلّ اللّه يحدث بعد ذلك أمرا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بعضهم </w:t>
      </w:r>
      <w:r>
        <w:rPr>
          <w:rStyle w:val="FootnoteAnchor"/>
          <w:rtl w:val="true"/>
        </w:rPr>
        <w:footnoteReference w:id="91"/>
      </w:r>
      <w:r>
        <w:rPr>
          <w:rFonts w:ascii="Amiri" w:hAnsi="Amiri" w:eastAsia="Amiri" w:cs="Amiri"/>
          <w:color w:val="111111"/>
          <w:sz w:val="28"/>
          <w:sz w:val="28"/>
          <w:szCs w:val="28"/>
          <w:rtl w:val="true"/>
          <w:lang w:bidi="ar-SA"/>
        </w:rPr>
        <w:t xml:space="preserve">جريان النزاع المذكور فيما إذا قال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يوما وصم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 الأمر سبب للوجوب فيتعدّد السبب مع وحدة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يقال فيه ما يقال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اختصاص النزاع بما إذا كان الأمران مسبّبين عمّا جعله الشارع سببا أو ينتزع عمّا جعله الشارع </w:t>
      </w:r>
    </w:p>
    <w:p>
      <w:pPr>
        <w:pStyle w:val="BookText"/>
        <w:rPr/>
      </w:pPr>
      <w:r>
        <w:rPr>
          <w:rFonts w:ascii="IRNazanin" w:hAnsi="IRNazanin" w:eastAsia="IRNazanin"/>
          <w:color w:val="111111"/>
          <w:sz w:val="28"/>
          <w:sz w:val="28"/>
          <w:szCs w:val="28"/>
          <w:rtl w:val="true"/>
          <w:lang w:bidi="fa-IR"/>
        </w:rPr>
        <w:t xml:space="preserve">سببا </w:t>
      </w:r>
      <w:r>
        <w:rPr>
          <w:rStyle w:val="FootnoteAnchor"/>
          <w:rtl w:val="true"/>
        </w:rPr>
        <w:footnoteReference w:id="92"/>
      </w:r>
      <w:r>
        <w:rPr>
          <w:rFonts w:ascii="Amiri" w:hAnsi="Amiri" w:eastAsia="Amiri" w:cs="Amiri"/>
          <w:color w:val="111111"/>
          <w:sz w:val="28"/>
          <w:sz w:val="28"/>
          <w:szCs w:val="28"/>
          <w:rtl w:val="true"/>
          <w:lang w:bidi="ar-SA"/>
        </w:rPr>
        <w:t xml:space="preserve">أو ينتزع </w:t>
      </w:r>
      <w:r>
        <w:rPr>
          <w:rStyle w:val="FootnoteAnchor"/>
          <w:rtl w:val="true"/>
        </w:rPr>
        <w:footnoteReference w:id="93"/>
      </w:r>
      <w:r>
        <w:rPr>
          <w:rFonts w:ascii="Amiri" w:hAnsi="Amiri" w:eastAsia="Amiri" w:cs="Amiri"/>
          <w:color w:val="111111"/>
          <w:sz w:val="28"/>
          <w:sz w:val="28"/>
          <w:szCs w:val="28"/>
          <w:rtl w:val="true"/>
          <w:lang w:bidi="ar-SA"/>
        </w:rPr>
        <w:t>منه السببيّة على القول بعدم تعلّق الجعل بها على وجه 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وانتفاؤه فيما زعمه ظاهر ، وإن كان يمكن للعقل انتزاع السببيّة والمسببيّة من المصلحة الداعية إلى الأمر وإيجاب الشارع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المشهور في مثل ما فرضه هو تعدّد التكليف مع قطع النظر عن قرينة الاتّحاد كما إذا كان أحدهما منكّرا والآخر معرّفا ، أو قرينة التعدّد كالعطف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على وجه فيه عدا ما يظهر من بعض الأعلام من دعوى الظهور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وستعرف الكلام فيه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النزاع في هذه المسألة إنّما يؤول إلى اقتضاء معنى السببيّة عند التعدّد تعدّد المسبّبات وعدمه وإن </w:t>
      </w:r>
      <w:r>
        <w:rPr>
          <w:rStyle w:val="FootnoteAnchor"/>
          <w:rtl w:val="true"/>
        </w:rPr>
        <w:footnoteReference w:id="94"/>
      </w:r>
      <w:r>
        <w:rPr>
          <w:rFonts w:ascii="Amiri" w:hAnsi="Amiri" w:eastAsia="Amiri" w:cs="Amiri"/>
          <w:color w:val="111111"/>
          <w:sz w:val="28"/>
          <w:sz w:val="28"/>
          <w:szCs w:val="28"/>
          <w:rtl w:val="true"/>
          <w:lang w:bidi="ar-SA"/>
        </w:rPr>
        <w:t>لم يكن ذلك المعنى مدلولا عليه بدلالة لفظيّة ، كما إذا قام إجماع على سببيّة أمرين لوجوب شيئين ، فمع القطع بسببيّة الأمرين يمكن أن ينازع في الاقتضاء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يظهر من بعضهم في المقام من الاستدلال على مذهب المشهور بإطلاق الأدلّة ، لا وجه له </w:t>
      </w:r>
      <w:r>
        <w:rPr>
          <w:rStyle w:val="FootnoteAnchor"/>
          <w:rtl w:val="true"/>
        </w:rPr>
        <w:footnoteReference w:id="95"/>
      </w:r>
      <w:r>
        <w:rPr>
          <w:rFonts w:ascii="Amiri" w:hAnsi="Amiri" w:eastAsia="Amiri" w:cs="Amiri"/>
          <w:color w:val="111111"/>
          <w:sz w:val="28"/>
          <w:sz w:val="28"/>
          <w:szCs w:val="28"/>
          <w:rtl w:val="true"/>
          <w:lang w:bidi="ar-SA"/>
        </w:rPr>
        <w:t>فلعلّ مقصوده دفع منع آخر يتوجّه على عدم التداخل فيما إذا كان دليل السببيّة فيهما لفظا ، وإلاّ فالقائل بالتداخل لم يظهر منه دعوى التخصيص أو التقييد حتّى يتمسّك بالإطلاق في قباله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الأصل التداخل فيما إذا كان النزاع في تداخل الأسباب ، لرجوع الكلام على تقدير عدم التداخل إلى دعوى تعدّد التكاليف ، ولا ريب أنّه عند الشكّ في تعدّد التكليف الأصل البراءة عن المشكوك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وقضيّة الأصل عدم التداخل فيما لو كان المراد تداخل المسبّبات ، لأول البحث إلى أنّه بعد ما ثبت من تعدّد التكليف ، فهل يمكن أداؤه بفعل واحد أو لا؟ ولا ريب أنّه شكّ في سقوط المكلّف به بعد العلم بالتكليف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ما ذكرنا أوّلا ينظر ما حكاه البعض عن المشارق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ما يقال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عدم التداخل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 خال عن التحصيل ، فإنّه إن اريد به الظهور فممنوع ، بل الظاهر كفاية مسمّى المسبّب ، وإن اريد به الاستصحاب فهو ممّا لا يعقل له وجه ، وعلى تقديره فلا عبرة به ، وإن اريد به الغلبة والكثرة فهو أيضا باطل ، انتهى ملخّصا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التفاته قدس‌سره إلى ما ذكرنا ثانيا من المراد ، مع أنّه أجلّ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لبعض الأعلام </w:t>
      </w:r>
      <w:r>
        <w:rPr>
          <w:rStyle w:val="FootnoteAnchor"/>
          <w:rtl w:val="true"/>
        </w:rPr>
        <w:footnoteReference w:id="97"/>
      </w:r>
      <w:r>
        <w:rPr>
          <w:rFonts w:ascii="Amiri" w:hAnsi="Amiri" w:eastAsia="Amiri" w:cs="Amiri"/>
          <w:color w:val="111111"/>
          <w:sz w:val="28"/>
          <w:sz w:val="28"/>
          <w:szCs w:val="28"/>
          <w:rtl w:val="true"/>
          <w:lang w:bidi="ar-SA"/>
        </w:rPr>
        <w:t xml:space="preserve">في نظير المقام كلاما ، 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الأصل العملي التداخل فيما إذا علم تعدّد التكليف ، فيجزي الإتيان بالفعل الواحد عن مجموع التكاليف ، وإن كان الأصل اللفظي قاضيا بعدم الإجزاء ؛ فإنّ المتفاهم عند العرف تعدّد المكلّف به عند تعدّد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تعدّد التكاليف ، فإن قلنا بأنّ تعدّدها يوجب تعدّد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التحقيق على ما ستعرفه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لما أفاده من أنّ الأصل التداخل ، وإن قلنا بأنّ ذلك لا يقتضي التعدّد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يراه رحمه‌اللّه في تداخل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نعرف وجها لدعوى ظهور اللفظ في تعدّد المكلّف به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كلام فيما إذا كان في المقام ما يدلّ على الوحدة أو التعدّد ، مثل العطف الظاهر في المغايرة ، أو سوق الكلام على وجه يستفاد منه الاتّحاد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الكلام إنّما هو في مقتضى الدليل بحسب الوضع واللغة ، ولا شكّ أنّ الأمرين إذا تعلّقا بطبيعة واحدة لا يقتضيان إلاّ إيجاب تلك الطبيعة ، ولا دلالة في اللفظ على غير ذلك بحسب القواعد اللغويّة ، فلا وجه لدعوى فهم العرف من اللفظ تعدّد المكلّف به ، فلو كان ذلك قضيّة العرف فليس إلاّ من جهة أنّ تعدّد التكاليف قاض بتعدّد المكلّف به ، لما ذكرنا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الطبيعة الواحدة على وحدتها لا تتحمّل وجوبين لكونها من اجتماع المثلين ، فينصرف التكليف إلى الوجودات الخاصّة </w:t>
      </w:r>
      <w:r>
        <w:rPr>
          <w:rStyle w:val="FootnoteAnchor"/>
          <w:rtl w:val="true"/>
        </w:rPr>
        <w:footnoteReference w:id="98"/>
      </w:r>
      <w:r>
        <w:rPr>
          <w:rFonts w:ascii="Amiri" w:hAnsi="Amiri" w:eastAsia="Amiri" w:cs="Amiri"/>
          <w:color w:val="111111"/>
          <w:sz w:val="28"/>
          <w:sz w:val="28"/>
          <w:szCs w:val="28"/>
          <w:rtl w:val="true"/>
          <w:lang w:bidi="ar-SA"/>
        </w:rPr>
        <w:t>، فيجب تكرارها على حسب تكرار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التكاليف الثابتة باللفظ أو بغيره من الأدلّة اللبيّة ، كما تقدم إليه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فالأصل العملي يختلف على حسب ما عرفت ، فلا وجه لما يوجد في كلمات غير واحد منهم من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قد عرفت هذه الامور ، فاعلم أنّه ذكر بعض أجلاّء السادة الأعلام </w:t>
      </w:r>
      <w:r>
        <w:rPr>
          <w:rStyle w:val="FootnoteAnchor"/>
          <w:rtl w:val="true"/>
        </w:rPr>
        <w:footnoteReference w:id="99"/>
      </w:r>
      <w:r>
        <w:rPr>
          <w:rFonts w:ascii="Amiri" w:hAnsi="Amiri" w:eastAsia="Amiri" w:cs="Amiri"/>
          <w:color w:val="111111"/>
          <w:sz w:val="28"/>
          <w:sz w:val="28"/>
          <w:szCs w:val="28"/>
          <w:rtl w:val="true"/>
          <w:lang w:bidi="ar-SA"/>
        </w:rPr>
        <w:t xml:space="preserve">وجوها للقول المشهور ، أقواها ما احتجّ به الفاضل في محكيّ المختلف </w:t>
      </w:r>
      <w:r>
        <w:rPr>
          <w:rStyle w:val="FootnoteAnchor"/>
          <w:rtl w:val="true"/>
        </w:rPr>
        <w:footnoteReference w:id="100"/>
      </w:r>
      <w:r>
        <w:rPr>
          <w:rFonts w:ascii="Amiri" w:hAnsi="Amiri" w:eastAsia="Amiri" w:cs="Amiri"/>
          <w:color w:val="111111"/>
          <w:sz w:val="28"/>
          <w:sz w:val="28"/>
          <w:szCs w:val="28"/>
          <w:rtl w:val="true"/>
          <w:lang w:bidi="ar-SA"/>
        </w:rPr>
        <w:t xml:space="preserve">، وتبعه عليه السيّد في شرح الوافية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تعاقب السببان أو اقترنا ، فإمّا أن يقتضيا مسبّبين مستقلّين أو مسبّبا واحدا أو لا يقتضيا شيئا أو يقتضي أحدهما شيئا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والثلاثة الأخيرة باطلة ، فتعيّن الأوّل ، وهو المطلوب</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فلانحصار الصور في المذكورات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بطلان التوالي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 فلما عرفت سابقا من أنّ النزاع المذكور إنّما هو مبنيّ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 فلأنّ ذلك خلاف ما فرضناه من سببيّة كلّ واحد منهما على ما يقتضيه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الثالث ؛ فلأنّ استناده إلى المعيّن يوجب الترجيح بلا مرجّح مع أنّه خلاف المفروض من دليل السببية ، وإلى غير المعيّن يوجب الخلف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محصّل الوجه المذكور ينحلّ إلى مقدّمات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تأثير السبب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أثره غير أثر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تعدّد الأثر يوجب تعدّد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فالقائل بالتداخل لا بدّ له من منع إحدى المقدّمات المفروضة على سبيل منع الخلوّ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فتعلّق جماعة منهم منع </w:t>
      </w:r>
      <w:r>
        <w:rPr>
          <w:rStyle w:val="FootnoteAnchor"/>
          <w:rtl w:val="true"/>
        </w:rPr>
        <w:footnoteReference w:id="102"/>
      </w:r>
      <w:r>
        <w:rPr>
          <w:rFonts w:ascii="Amiri" w:hAnsi="Amiri" w:eastAsia="Amiri" w:cs="Amiri"/>
          <w:color w:val="111111"/>
          <w:sz w:val="28"/>
          <w:sz w:val="28"/>
          <w:szCs w:val="28"/>
          <w:rtl w:val="true"/>
          <w:lang w:bidi="ar-SA"/>
        </w:rPr>
        <w:t>المقدّمة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يستند في ذلك إلى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الظاهر من بعض الأعلام في تعليقاته على المعالم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كون المسبّب </w:t>
      </w:r>
      <w:r>
        <w:rPr>
          <w:rStyle w:val="FootnoteAnchor"/>
          <w:rtl w:val="true"/>
        </w:rPr>
        <w:footnoteReference w:id="103"/>
      </w:r>
      <w:r>
        <w:rPr>
          <w:rFonts w:ascii="Amiri" w:hAnsi="Amiri" w:eastAsia="Amiri" w:cs="Amiri"/>
          <w:color w:val="111111"/>
          <w:sz w:val="28"/>
          <w:sz w:val="28"/>
          <w:szCs w:val="28"/>
          <w:rtl w:val="true"/>
          <w:lang w:bidi="ar-SA"/>
        </w:rPr>
        <w:t xml:space="preserve">الثاني كاشفا عن المسبّب الأوّل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أن يكون لشيء واحد آثار متعدّدة ولوازم عديدة ، يستكشف عنه بتلك الآثار واللوازم ، سواء كانت مقترنة في الوجود أو لا ، وتعدّد اللوازم لا يدلّ على تعدّد الملزومات ،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أن يكون الأسباب </w:t>
      </w:r>
    </w:p>
    <w:p>
      <w:pPr>
        <w:pStyle w:val="BookText"/>
        <w:rPr/>
      </w:pPr>
      <w:r>
        <w:rPr>
          <w:rFonts w:ascii="Amiri" w:hAnsi="Amiri" w:eastAsia="Amiri" w:cs="Amiri"/>
          <w:color w:val="111111"/>
          <w:sz w:val="28"/>
          <w:sz w:val="28"/>
          <w:szCs w:val="28"/>
          <w:rtl w:val="true"/>
          <w:lang w:bidi="ar-SA"/>
        </w:rPr>
        <w:t>الشرعيّة من هذا القبيل ، فعلى المستدلّ إثبات هذه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 الفاضل النراقي لم يكتف بالمنع المذكور ، بل ادّعى أن الأسباب الشرعيّة ليست بأسباب حقيقيّة ، وإنّما هي معرّفات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 الدعوى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توارد الأسباب الشرعيّة على مسبّب واحد مع امتناعه في غيرها ، كما في توارد النوم والبول على وضوء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بعد ما فرغنا من أنّ الظاهر من الجملة الشرطيّة هو سببيّة الشرط للجزاء وتسالم عليه المانع المذكور لا وجه للمنع المذكور ، لرجوعه إلى مقدّمة ثابتة ؛ على أنّ الكلام لا يختصّ بالجملة الشرطيّة بل تجري فيما إذا ثبت السببيّة بالتصريح بها ، بل وفيما إذا قام عليها الإجماع ،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قد ثبت في بعض الموارد معرفيّة الأسباب فيقوم احتمالها ويرجّح على احتمال المؤثريّة ؛ نظرا إلى موافقته لأصالة عدم تعدّد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عبرة بالأصل في قبال الدليل الظاهر في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الدعوى المذكورة فيكفي في دفعها عدم دلالة دليل من العقل والنقل عليها ، وبعد ما عرفت من الظهور يتمّ 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دلالة في توارد الأسباب على المعرّفيّة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فبالنقض بالأسباب العقليّة والعاديّة ، فإنّها أيضا قد تجتمع على أمر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فبالحلّ ، وهو القول بأنّ القدر المشترك هاهنا سبب ، ولا غائلة فيه كما قدّمنا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مسألة الأحداث فلا تدلّ على مطلوبهم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المقصود بالوضوء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علم ذلك بالدليل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رفع الحدث ، وهي الحالة المانعة عن الدخول فيما هو مشروط بعدمها ، ولا شكّ أنّها بعد ارتفاعها بوضوء واحد لا يقبل المحلّ لوضوء آخر يقصد به رفع تلك الحالة ، فيكون ذلك من قبيل ما لا يقبل التكرار ، الخارج عن المتنازع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إثبات المعرّفية في الوضوء لا يجدي في إثباتها في غيره إلاّ على وجه القياس ولا نقول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الأسباب الشرعيّة معرّفات ، لكن ذلك يلازم تعدّد الأثر ؛ لامتناع توارد المعرّفات على معرّف واحد ، فتعدّد المعرّف كاشف عن تعدّد المعرّف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عدم دلالة تعدّد اللوازم على تعدّد الملزومات ، حيث إنّ ذلك إنّما يكون فيما إذا لم يقصد بها الاستكشاف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ولكنّه معرّف شأني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الدليل فعليّة المعرفيّة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فساد ما أفاده في التعليقة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السببيّة الشرعيّة لا تنافي عدم فعليّة التأثير ، لصدق السببيّة الشرعيّة مع شأنيّة التأثير قطعا ، كما في مسألة الأحداث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اريد بذلك الفرق بين الأسباب العاديّة والشرعيّة لعدم منافاتها للفعليّة في الثاني دون الأوّل ، فهو كلام خال عن التحصيل ، إذ لا يعقل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اريد به منع ظهور دليل السببيّة في الفعليّة فقد يظهر فساده بالرجوع إلى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كان ، فلا نعرف وجها للدعوى المذكورة عدا ما عرفت من مسألة تعاقب الأحداث وأشباهها ممّا لا دلالة فيها عليها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يظهر من بعض الأجلّة الاستناد إلى وجه آخر في الدعوى المذكورة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ما استشكل على القول بحجيّة المنصوص العلّة من أنّه ينافي القول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الشرع معرّفات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علل الشرع على ضربين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w:t>
      </w:r>
    </w:p>
    <w:p>
      <w:pPr>
        <w:pStyle w:val="BookText"/>
        <w:rPr/>
      </w:pPr>
      <w:r>
        <w:rPr>
          <w:rFonts w:ascii="Amiri" w:hAnsi="Amiri" w:eastAsia="Amiri" w:cs="Amiri"/>
          <w:color w:val="111111"/>
          <w:sz w:val="28"/>
          <w:sz w:val="28"/>
          <w:szCs w:val="28"/>
          <w:rtl w:val="true"/>
          <w:lang w:bidi="ar-SA"/>
        </w:rPr>
        <w:t>المجعولة في الشرع عللا وأسبابا لأحكام مخصوصة ، كالأحداث للطهارة ، وأسباب الكفّارة والعقود والإيقاعات لما يترتّب عليها ، فإنّها معرّفات لها ، وليست عللا حقيقيّة ، لانحصارها في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كونها من الماديّة والصوريّة واضح ، وكذا عدم كونها من الفاعليّة ، لاستناد جعل الأحكام الشرعيّة إليه تعالى ، لا إلى تلك الأسباب ؛ وكذا عدم كونها الغائيّة ، لظهور أن ليس المقصود بوضع تلك الأحكام ترتّب تلك الأسباب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التي هي منشأ حكم الحكيم وجهات حسن تشريعه وما يستند إليه مطلوبيّة الفعل أو مبغوضيته ، كإسكار الخمر الموجب لمبغوضيّتها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العلل علل حقيقيّة ، إذ مرجعها إلى العلّة الغائيّة ، فإنّ المقصود من تحريم الخمر حفظ المكلّف عن السكر وفساد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قولهم بأنّها معرّفات على القسم الأوّل ، وجعل مبنى القول بحجيّة المنصوص العلّة </w:t>
      </w:r>
      <w:r>
        <w:rPr>
          <w:rStyle w:val="FootnoteAnchor"/>
          <w:rtl w:val="true"/>
        </w:rPr>
        <w:footnoteReference w:id="107"/>
      </w:r>
      <w:r>
        <w:rPr>
          <w:rFonts w:ascii="Amiri" w:hAnsi="Amiri" w:eastAsia="Amiri" w:cs="Amiri"/>
          <w:color w:val="111111"/>
          <w:sz w:val="28"/>
          <w:sz w:val="28"/>
          <w:szCs w:val="28"/>
          <w:rtl w:val="true"/>
          <w:lang w:bidi="ar-SA"/>
        </w:rPr>
        <w:t xml:space="preserve">القسم الثاني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للإشكال المذكور ، إذ القول بالمعرّفيّة لا ينافي الحجيّة ، إذ لا ضير في كون الإسكار كاشفا عن علّة التحريم مع اطّراد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 قيل بكونها عللا ناقصة تمّ الإشكال المذكور ، ولا مدفع له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استند إليه في نفي كونها عللا حقيقيّة من انحصارها في الأربع غير مستقيم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دعوى الانحصار فيها باطلة ، كما أذعن به جماعة ، منهم شارح المقاصد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تقسيم الخارج إلى ما به الشيء وهي الفاعليّة ، وإلى ما لأجله الشيء وهي الغائيّة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دليل على انحصاره فيهما سوى الاستقراء </w:t>
      </w:r>
      <w:r>
        <w:rPr>
          <w:rStyle w:val="FootnoteAnchor"/>
          <w:rtl w:val="true"/>
        </w:rPr>
        <w:footnoteReference w:id="109"/>
      </w:r>
      <w:r>
        <w:rPr>
          <w:rFonts w:ascii="Amiri" w:hAnsi="Amiri" w:eastAsia="Amiri" w:cs="Amiri"/>
          <w:color w:val="111111"/>
          <w:sz w:val="28"/>
          <w:sz w:val="28"/>
          <w:szCs w:val="28"/>
          <w:rtl w:val="true"/>
          <w:lang w:bidi="ar-SA"/>
        </w:rPr>
        <w:t>، وهو أيضا ممنوع ، فإنّ موضوع العرض خارج لا فاعل ولا غاية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الانحصار ، ولكنّا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علل فاعليّة كما أنّ حركة اليد علّة فاعليّة لحركة المفتاح ، بل ولا بدّ من تعميم العلّة الفاعليّة على وجه يدخل فيها الشروط والآلات ، كما صنعه بعضهم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1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لاستناد جعل الأحكام إليه تعالى ، لا إلى تلك الأسباب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من الخلط ما لا يخفى ، سيّما على ما زعمه من مجعوليّة الأحكام الوضعيّة بنفسها ، فإنّه تعالى جاعل لسببيّة تلك الأسباب ، وأين ذلك من استناد المسبّبات لتلك الأسباب إليها ، فإنّ شرعيّة السبب لا تنافي استناد المسبّب إليه بعد تشريع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ما فيما أفاده من نفي كونها من الغائيّة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أفاده في القسم الثاني من أنّها علل حقيقيّة ، لا وجه له على ما زعمه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مرجعها إلى العلّة الغائيّة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يعقل أن يكون الإسكار غاية لحرمة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المقصود من تحريم الخمر حفظ المكلّف عن فساد العقل ممّا لا ربط له بالمقام لظهور الفرق بين داعى التحريم وهو الحفظ وبين غاية الحرمة التي هي معلول الإسكار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العلّة الغائيّة هي علّة فاعليّة الفاعل وسبب ترجيح الفاعل أحد طرفي المقدور ، فمعلولها لا بدّ أن يكون فعلا من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إنّما يصحّ غاية للتكليف الذي هو فعل المكلّف ، ولا دخل له بما نحن بصدده من فرض علّيّة الإسكار للحرمة التي هي من الأوصاف دون الأفعال ، وذلك ظاهر في الغاية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 هذا المستدلّ ذكر في خلال بيان اجتماع العلل 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الحكم قابلا للشدّة والضعف أو كان وعلم عدم الاشتداد بدليل جاز أن يكون علّيّة الثاني مشروطة بعدم سبق المتقدّم فيكون الثاني معرّفا وكاشفا محضا </w:t>
      </w:r>
      <w:r>
        <w:rPr>
          <w:rStyle w:val="FootnoteAnchor"/>
          <w:rtl w:val="true"/>
        </w:rPr>
        <w:footnoteReference w:id="11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أخذه من أخيه البارع في تعليقاته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نقله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مانع من كون المسبّب </w:t>
      </w:r>
      <w:r>
        <w:rPr>
          <w:rStyle w:val="FootnoteAnchor"/>
          <w:rtl w:val="true"/>
        </w:rPr>
        <w:footnoteReference w:id="113"/>
      </w:r>
      <w:r>
        <w:rPr>
          <w:rFonts w:ascii="Amiri" w:hAnsi="Amiri" w:eastAsia="Amiri" w:cs="Amiri"/>
          <w:color w:val="111111"/>
          <w:sz w:val="28"/>
          <w:sz w:val="28"/>
          <w:szCs w:val="28"/>
          <w:rtl w:val="true"/>
          <w:lang w:bidi="ar-SA"/>
        </w:rPr>
        <w:t xml:space="preserve">الثاني معرّفا وكاشفا عن المسبّب الأول </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أفاده ليس في محلّه ؛ فإنّه لا يعقل القول بأنّ الشيء إذا لم يكن مسبوقا بمثله فهو سبب وإذا كان فهو معرّف ؛ لاستواء الحالتين بالنسبة إلى دليل السببيّة ، فإن اقتضى السببيّة فالقول بالمعرفيّة لا وجه له ، وإن اقتضى المعرفيّة فلا وجه للقول بالسببيّة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الأسباب الشرعيّة ليست إلاّ كالأسباب العقليّة سواء كانت من جنس واحد أو من أجناس مختلفة ، لرجوع الكلّ إلى سببيّة القدر المشترك ، ضرورة امتناع اجتماع العلل على معلول واحد ، فإذا تواردت على شيء واحد غير قابل للتعدّد يمتنع تأثير الثاني ، لامتناع تحصيل الحاصل لو كان الأثر هو الأثر الحاصل بالأوّل ، وامتناع اجتماع الأمثال لو كان غيره ، فعدم تأثير السبب الثاني ليس بواسطة تصرّف لفظي في دليل السببيّة كما هو المشاهد في الأسباب العقليّة ، بل بواسطة عدم قابليّة المحل لحصول الأثر ، وذلك لا يقضي بالكاشفيّة </w:t>
      </w:r>
      <w:r>
        <w:rPr>
          <w:rStyle w:val="FootnoteAnchor"/>
          <w:rtl w:val="true"/>
        </w:rPr>
        <w:footnoteReference w:id="115"/>
      </w:r>
      <w:r>
        <w:rPr>
          <w:rFonts w:ascii="Amiri" w:hAnsi="Amiri" w:eastAsia="Amiri" w:cs="Amiri"/>
          <w:color w:val="111111"/>
          <w:sz w:val="28"/>
          <w:sz w:val="28"/>
          <w:szCs w:val="28"/>
          <w:rtl w:val="true"/>
          <w:lang w:bidi="ar-SA"/>
        </w:rPr>
        <w:t>، فلا وجه للقول بأنّ السبب 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هو سبب شأنيّ لمقارنته </w:t>
      </w:r>
    </w:p>
    <w:p>
      <w:pPr>
        <w:pStyle w:val="BookText"/>
        <w:rPr/>
      </w:pPr>
      <w:r>
        <w:rPr>
          <w:rFonts w:ascii="Amiri" w:hAnsi="Amiri" w:eastAsia="Amiri" w:cs="Amiri"/>
          <w:color w:val="111111"/>
          <w:sz w:val="28"/>
          <w:sz w:val="28"/>
          <w:szCs w:val="28"/>
          <w:rtl w:val="true"/>
          <w:lang w:bidi="ar-SA"/>
        </w:rPr>
        <w:t>وجود المانع عن التأثير ، وهو حصول الأثر في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 ففساد هذه الدعوى ظاهر لمن تأمّل الأسباب العقليّة والعاديّة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فساد ما زعمه أخيرا من احتمال عدم اشتراط السبق ، كما أفاده أوّلا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وجاز أن لا تكون مشروطة به فيشترط حينئذ استدامة التأثير به ، فيكون العلّة بعد تحقّقه هو والسابق ، كما في صورة التوارد في زمان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والأسبقيّة لا تصلح للترجيح حينئذ ، لأنّ العلّيّة إذا كانت مستدامة كانت بالنسبة إلى كلّ زمان كالعلّة الابتدائيّة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أراد بما أفاده أنّه يلتزم بتعدّد المسبّبات عند تعدّد الأسباب المتعاقبة ، لكن بواسطة اعتبار الزمان جزءا من المسبّب ، فالحدث الحاصل في القطعة الاولى من الزمان مسبّب عن النوم الأوّل مثلا وفي الثانية عن الثاني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العبارة غير خالية عن حزازة ، كما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بعد ما عرفت من العلاج لا حاجة إلى هذه التكلّفات التي لا يساعدها اعتبار ، فإنّ استفادة هذه التقييدات من دليل السببيّة فيما إذا كان لفظا ممّا لا سبيل إليها ، وإذا كان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الأسباب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تخلّف المعلول عن العلّة ، إذ المفروض أنّ السبب الأوّل إذا لم يتعاقبه السبب الثاني يكفي في الاستدامة أيضا ، فلحوق الثاني لا يترتّب عليه شيء قطعا ، وذلك ظاهر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من الأمرين </w:t>
      </w:r>
      <w:r>
        <w:rPr>
          <w:rStyle w:val="FootnoteAnchor"/>
          <w:rtl w:val="true"/>
        </w:rPr>
        <w:footnoteReference w:id="117"/>
      </w:r>
      <w:r>
        <w:rPr>
          <w:rFonts w:ascii="Amiri" w:hAnsi="Amiri" w:eastAsia="Amiri" w:cs="Amiri"/>
          <w:color w:val="111111"/>
          <w:sz w:val="28"/>
          <w:sz w:val="28"/>
          <w:szCs w:val="28"/>
          <w:rtl w:val="true"/>
          <w:lang w:bidi="ar-SA"/>
        </w:rPr>
        <w:t xml:space="preserve">اللذين يمكن الاستناد إليهما في منع المقدّمة الاولى من الدليل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استظهاره ممّا قدّمنا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قضيّة القواعد اللفظيّة فيما نحن بصدده وحدة الأثر والتكليف ؛ وذلك لأنّ اللفظ الواقع في الجزاء موضوع للطبيعة المرسلة التي لا يشوبها شوب التعدّد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المختار في وضع </w:t>
      </w:r>
      <w:r>
        <w:rPr>
          <w:rStyle w:val="FootnoteAnchor"/>
          <w:rtl w:val="true"/>
        </w:rPr>
        <w:footnoteReference w:id="118"/>
      </w:r>
      <w:r>
        <w:rPr>
          <w:rFonts w:ascii="Amiri" w:hAnsi="Amiri" w:eastAsia="Amiri" w:cs="Amiri"/>
          <w:color w:val="111111"/>
          <w:sz w:val="28"/>
          <w:sz w:val="28"/>
          <w:szCs w:val="28"/>
          <w:rtl w:val="true"/>
          <w:lang w:bidi="ar-SA"/>
        </w:rPr>
        <w:t xml:space="preserve">اسم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الماهيّة في تلك المرتبة واحدة فلا تتحمّل وجوبين ، إذ لا فرق في امتناع الأمثال بين أن يكون الوحدة شخصيّة أو نوعيّة ، فعند تعدّد الأسباب لا دليل على تعدّد الآثار والتكاليف ، لعدم صلاحيّة الفعل المتعلّق للتكليف المدلول عليه باللفظ المأخوذ في الجزاء للتعدّد ؛ ولذلك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تعدّد الأوامر الابتدائيّة لا دليل على ترجيح التأسيس على التأكيد ، فإنّ التأكيد </w:t>
      </w:r>
      <w:r>
        <w:rPr>
          <w:rStyle w:val="FootnoteAnchor"/>
          <w:rtl w:val="true"/>
        </w:rPr>
        <w:footnoteReference w:id="119"/>
      </w:r>
      <w:r>
        <w:rPr>
          <w:rFonts w:ascii="Amiri" w:hAnsi="Amiri" w:eastAsia="Amiri" w:cs="Amiri"/>
          <w:color w:val="111111"/>
          <w:sz w:val="28"/>
          <w:sz w:val="28"/>
          <w:szCs w:val="28"/>
          <w:rtl w:val="true"/>
          <w:lang w:bidi="ar-SA"/>
        </w:rPr>
        <w:t>بمقتضى اللفظ بعد كونه معنى انتزاعيّا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الماهيّة في تلك المرتبة متّحدة لا يجدي في دعوى الاتّحاد ، لأنّ الوحدة أيضا خارجة عنها وإن كانت متّصفة بها حقيقة ، فمدلول اللفظ لا ينافي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دلالة اللفظ على الكثرة كاف في المدّعى ، لإثبات الوحدة بالأصل عند عدم الدليل على خلافها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بعد الاعتراف بأنّ اللفظ الواقع في الجزاء إنّما هو موضوع لنفس الماهيّة الخارجة عنها الوحدة وغيرها من أوصاف الماهيّة ، لا ينبغي الارتياب في تعدّد الأثر والتكليف ؛ إذ الوحدة لا وجه لها حينئذ إلاّ الأصل ، وهو لا يقاوم الدليل ، وهو ظهور دليل السببيّة في الفعليّة ، ولازمها التعدّد في المحلّ القابل ، والمفروض قابليّة المحلّ أيضا ، لعدم مدخليّة الوحدة النوعيّة في الموضوع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التعدّد لا بدّ من تقييد إطلاق المسبّب أيضا ، فإنّ المطلوب في الثاني ليس نفس المطلوب في الأوّل ، بل لا بدّ أن يكون مغايرا ، فيؤول الأمر إلى القول بأنّ المطلوب هو الفرد المغاير للفرد الأوّل المطلوب بالسبب الأوّل ، ولا شكّ أنّ ذلك تقييد ، وأصالة الإطلاق محكّمة عند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ولكن ذلك التقييد ليس في عرض ظهور دليل السببيّة في الفعليّة ، بل إنّما يقضي به العقل بعد الأخذ بذلك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الاستناد إلى الإطلاق ليس بواسطة عدم البيان وانتفاء ما يقضي التقييد ، وبعد وجود ما يصلح له لا وجه للقول بمعارضة ظهور الإطلاق لظهور ذلك الصالح ، فإنّه بيان له كما قرّر في محلّه ، فبعد ما فرضنا من ظهور دليل السببيّة في الفعليّة لا بدّ من ذلك التقييد ، لأنّ ذلك الظهور دليل على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أنّه لا يقاس حال الأوامر الابتدائيّة بما نحن بصدده ، فإنّ مجرّد قابليّة الفعل المتعلّق للأمر لا يقتضي التعدّد كما هو الحال فيها ، بل لا بدّ من أمر آخر يقضي به ، كما في تعدّد الأسباب ، فظهر الفرق وبطل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وقع عن بعض الاعلام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تسليم ظهور الأوامر الابتدائيّة في التعدّد دون ما نحن فيه ، مع ما عرفت من أنّ التحقيق على خلافه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بما ذكرنا أيضا يظهر فساد ما توهّم بعضهم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المسبّب الثاني لا بدّ أن يكون مغايرا للمسبّب الأوّل ؛ إذ على تقدير التغاير يلزم استعمال اللفظ في </w:t>
      </w:r>
    </w:p>
    <w:p>
      <w:pPr>
        <w:pStyle w:val="BookText"/>
        <w:rPr/>
      </w:pPr>
      <w:r>
        <w:rPr>
          <w:rFonts w:ascii="Amiri" w:hAnsi="Amiri" w:eastAsia="Amiri" w:cs="Amiri"/>
          <w:color w:val="111111"/>
          <w:sz w:val="28"/>
          <w:sz w:val="28"/>
          <w:szCs w:val="28"/>
          <w:rtl w:val="true"/>
          <w:lang w:bidi="ar-SA"/>
        </w:rPr>
        <w:t>معنييه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اللزوم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سلّم عليك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 الإكرام طبيعة الإكرام عند انفراد السلام ، وإذا انضمّ إليه فرد آخر من السلام لا بدّ أن يراد منه الفرد المغاير ، وهو معنى مجازي للإكرام ، وهو المراد باللازم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يراد به إلاّ نفس الطبيعة ، وهذه التصرّفات ممّا يدلّ عليه العقل في مقام امتثال الأمر المتعلّق بتلك الطبيعة ، ألا ترى أنّه لو صرّح الآمر بأنّ المطلوب هو تعدّد الوجودات عند تعدّد الأفراد المندرجة في السبب ، لا يعدّ ذلك قرينة على الاستعمال المذكور ، ولو كان كما زعمه يلزمه وقوع ذلك الاستعمال في جميع الموارد التي ثبت فيها عدم التداخل ، ولا أظنّه راضيا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محصّل الكلام في إثبات المقدّمة القائلة بأنّ السبب الثاني لا بدّ وأنّ يكون مؤثّرا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المقدّمة الثانية </w:t>
      </w:r>
      <w:r>
        <w:rPr>
          <w:rStyle w:val="FootnoteAnchor"/>
          <w:rtl w:val="true"/>
        </w:rPr>
        <w:footnoteReference w:id="122"/>
      </w:r>
      <w:r>
        <w:rPr>
          <w:rFonts w:ascii="Amiri" w:hAnsi="Amiri" w:eastAsia="Amiri" w:cs="Amiri"/>
          <w:color w:val="111111"/>
          <w:sz w:val="28"/>
          <w:sz w:val="28"/>
          <w:szCs w:val="28"/>
          <w:rtl w:val="true"/>
          <w:lang w:bidi="ar-SA"/>
        </w:rPr>
        <w:t>التي يطلب فيها مغايرة الأثر الحاصل من السبب الأوّل للأثر الحاصل من الثاني ، فمنعها جماعة ، منهم المحقّق النراقي</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محكيّ العوائد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نقلنا منه من دعوى معرّفيّة الأسباب الشرعيّة ، ولا ضير في تواردها نظرا إلى إمكان ذلك في الموجود الذهني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شكّ في أنّ الأسباب الشرعيّة علل للأحكام المتعلّقة لأفعال المكلّف ، لا لنفس الأفعال ؛ ضرورة لزوم الانفكاك على تقدير علّيّتها لها لا لأحكامها ، فتعدّدها لا يوجب تعدّد الفعل ، وإنّما يوجب تعدّد معلولها وهو الوجوب ، وتعدّد الوجوب لا دلالة فيه على وجوب إيجاد الفعل متعدّدا ، لإمكان تعلّق فردين من حكم بفعل واحد ، كما في الإفطار بالحرام في نهار </w:t>
      </w:r>
    </w:p>
    <w:p>
      <w:pPr>
        <w:pStyle w:val="BookText"/>
        <w:rPr/>
      </w:pPr>
      <w:r>
        <w:rPr>
          <w:rFonts w:ascii="Amiri" w:hAnsi="Amiri" w:eastAsia="Amiri" w:cs="Amiri"/>
          <w:color w:val="111111"/>
          <w:sz w:val="28"/>
          <w:sz w:val="28"/>
          <w:szCs w:val="28"/>
          <w:rtl w:val="true"/>
          <w:lang w:bidi="ar-SA"/>
        </w:rPr>
        <w:t xml:space="preserve">رمضان وقتل زيد القاتل المرتدّ </w:t>
      </w:r>
      <w:r>
        <w:rPr>
          <w:rStyle w:val="FootnoteAnchor"/>
          <w:rtl w:val="true"/>
        </w:rPr>
        <w:footnoteReference w:id="123"/>
      </w:r>
      <w:r>
        <w:rPr>
          <w:rFonts w:ascii="IRNazanin" w:hAnsi="IRNazanin" w:eastAsia="IRNazanin"/>
          <w:color w:val="111111"/>
          <w:sz w:val="28"/>
          <w:sz w:val="28"/>
          <w:szCs w:val="28"/>
          <w:rtl w:val="true"/>
          <w:lang w:bidi="fa-IR"/>
        </w:rPr>
        <w:t>، انتهى ملخّصا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وأشعر به بعض الأعلام أيضا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تعدّد التكليف بنفسه لا يقتضي تعدّد المكلّف به إلاّ أن ينضمّ إليه ظهور عرفي </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أنّ الأسباب الشرعيّة أسباب حقيقيّة كالأسباب العقليّة والعاديّة لا وجه لما ذكره ، وتحقيقه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نلتزم بأنّ الأسباب الشرعيّة أسباب لنفس الأحكام لا لمتعلّقاتها ، ومع ذلك يجب تعدّد إيجاد الفعل في الخارج كما هو المطلوب ، فإنّ المسبّب حينئذ يكون هو اشتغال الذمّة بإيجاد الفعل ، ولا شكّ أنّ السبب الأوّل يقتضي ذلك ، فإذا فرضنا وجود مثله فيوجب استعمالا آخر ، إذ لو لم يقتض ذلك فإمّا أن يكون بواسطة نقص في السبب أو في المسبّب ، وليس شيء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هو المفروض ، 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قبول الاشتغال للتعدّد وعدمه إنّما هو تابع لقبول الفعل المتعلّق له وعدمه كما هو ظاهر للمتأمّل ، والمفروض قبوله للتعدّد ، إذ لا وحدة فيها لا شخصا ولا نوعا ، كما قرّرنا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تعلّق فردين من حكم بفعل واحد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إنّما هو بواسطة وحدة المحلّ وعدم قبوله للتعدّد ، فإنّ الإفطار بالحرام فعل خاصّ لا يحتمل التعدّد فلا يتحمّل وجوبين إلاّ على وجه التأكيد واضمحلال الضعيف في الشديد على وجه لا يكون هناك فردان من الوجوب ، لامتناع اجتماع الأمثال ، فلا يقاس ذلك بما إذا كان المحلّ قابلا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التأكيد معقولا فلا مانع من احتماله في المحلّ القابل أيضا ، فعلى المستدلّ رفع ذلك الاحتمال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ملاحظة الأسباب العقليّة رافعة لهذا الاحتمال ، فإنّه إذا فرضنا سببيّة كلّيّ لكلّيّ آخر قابل للتعدّد لا يعقل التأكيد ، إذ على تقديره لا دليل على وجود الأفراد المتعدّدة ، مع أنّه مشاهد بالعيان في الأسباب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المانع إنّما هو اعتبار وحدة المحلّ سواء كانت الوحدة شخصيّة أو 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السبب الأوّل يقتضي اشتغال ذمّة المكلّف بإيجاد الطبيعة المهملة ، والمفروض مماثلة السبب الثاني للأوّل في التأثير والمسبّب ، فيقتضي اشتغال الذمّة تارة اخرى ، كما في الأسباب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ما ذكره يتمّ في الأوامر الابتدائيّة مع قبول المحلّ أيضا ، لأنّ مجرّد القابليّة غير قاضية بالتعدّد ، بل إنّما يحتاج إلى ما يقتضيه ، والاشتغال الحاصل بالأمر الثاني فيها لا نسلّم مغايرته للأمر الأوّل حتّى يكون مقتضيا للتعدّد ، لاحتمال التأكيد الموافق لظاهر الأمر بالطبيعة ، كما أشرنا إليه سابقا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إن اريد من التأكيد المحتمل في المقام تأكيد مرتبة الطلب والوجوب وإن كان حصوله بواسطة لحوق جهة مغايرة للجهة الاولى ، كما في التأكيد الحاصل بالتحريم للإفطار في نهار رمضان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اريد التأكيد نحو الحاصل في الأوامر المتعدّدة الابتدائيّة كالأوامر المتعلّقة بالصلاة في الكتاب والسنّة ، ففساده أظهر من أن يخفى وإن كان يوهمه بعض عباراتهم ويتعاطونه طلبة عصرنا ، فإنّ الأمر الثاني مرتّب على الأمر الأوّل ووارد في مورده في التأكيدات ،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بخلاف ما نحن فيه ضرورة حصول الاشتغال والوجوب على وجه التعدّد قبل وجود السبب بنفس الكلام </w:t>
      </w:r>
    </w:p>
    <w:p>
      <w:pPr>
        <w:pStyle w:val="BookText"/>
        <w:rPr/>
      </w:pPr>
      <w:r>
        <w:rPr>
          <w:rFonts w:ascii="Amiri" w:hAnsi="Amiri" w:eastAsia="Amiri" w:cs="Amiri"/>
          <w:color w:val="111111"/>
          <w:sz w:val="28"/>
          <w:sz w:val="28"/>
          <w:szCs w:val="28"/>
          <w:rtl w:val="true"/>
          <w:lang w:bidi="ar-SA"/>
        </w:rPr>
        <w:t xml:space="preserve">الدالّ على السببيّة ، فتكون تلك الوجوبات كلّ واحد منها في عرض الآخر ، فهناك إيجابات متعدّدة في موارد متعدّدة بواسطة الكلام الدالّ على السببيّة ، ويتفرّع عليها وجوبات متعدّدة على وجه التعليق ، وبعد حصول المعلّق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وجود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الاشتغال بأفراد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يجاب بالتزام أنّها أسباب لنفس الأفعال لا لأحكامها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ضرورة لزوم الانفكاك </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جعليّ لا عقليّ ولا عاديّ ، ومعنى السبب الجعلي هو أنّ لها نحو اقتضاء في نظر الجاعل للغسل مثلا على وجه لو انقدح في نفوسنا لكنّا جازمين بالسببيّة ، يكشف عن ذلك ملاحظة قولك لعبدك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 زيد من السفر فأضفه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للضيافة نحو ارتباط بالمجيء ، فالقول بأنّها ليست بأسباب لنفس الأفعال ، لا وجه له ؛ ولذا اشتهر في الأفواه والألسن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أسباب الغسل والوضوء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الإنصاف أنّه لا يسمن </w:t>
      </w:r>
      <w:r>
        <w:rPr>
          <w:rStyle w:val="FootnoteAnchor"/>
          <w:rtl w:val="true"/>
        </w:rPr>
        <w:footnoteReference w:id="126"/>
      </w:r>
      <w:r>
        <w:rPr>
          <w:rFonts w:ascii="Amiri" w:hAnsi="Amiri" w:eastAsia="Amiri" w:cs="Amiri"/>
          <w:color w:val="111111"/>
          <w:sz w:val="28"/>
          <w:sz w:val="28"/>
          <w:szCs w:val="28"/>
          <w:rtl w:val="true"/>
          <w:lang w:bidi="ar-SA"/>
        </w:rPr>
        <w:t>فإنّ معنى جعليّة السبب ليس إلاّ مطلوبيّة المسبّب عند وجود السبب</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والارتباط المدّعي بين الشرط والجزاء حيث يكون الجزاء </w:t>
      </w:r>
      <w:r>
        <w:rPr>
          <w:rStyle w:val="FootnoteAnchor"/>
          <w:rtl w:val="true"/>
        </w:rPr>
        <w:footnoteReference w:id="127"/>
      </w:r>
      <w:r>
        <w:rPr>
          <w:rFonts w:ascii="Amiri" w:hAnsi="Amiri" w:eastAsia="Amiri" w:cs="Amiri"/>
          <w:color w:val="111111"/>
          <w:sz w:val="28"/>
          <w:sz w:val="28"/>
          <w:szCs w:val="28"/>
          <w:rtl w:val="true"/>
          <w:lang w:bidi="ar-SA"/>
        </w:rPr>
        <w:t xml:space="preserve">من الأفعال الاختياريّة هو كون الشرط موردا لانتزاع أمر يصحّ جعله غاية للفعل المذكور ، كما يظهر بملاحظة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قدم زيد من السفر فأضفه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السفر مورد لما هو الغاية ولو على وجه انتزاعي كما لا يخفى ، فالتعويل في دفع المنع المذكور على ما ذكرنا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الكلام في المقدّمة الثالثة </w:t>
      </w:r>
      <w:r>
        <w:rPr>
          <w:rStyle w:val="FootnoteAnchor"/>
          <w:rtl w:val="true"/>
        </w:rPr>
        <w:footnoteReference w:id="128"/>
      </w:r>
      <w:r>
        <w:rPr>
          <w:rFonts w:ascii="Amiri" w:hAnsi="Amiri" w:eastAsia="Amiri" w:cs="Amiri"/>
          <w:color w:val="111111"/>
          <w:sz w:val="28"/>
          <w:sz w:val="28"/>
          <w:szCs w:val="28"/>
          <w:rtl w:val="true"/>
          <w:lang w:bidi="ar-SA"/>
        </w:rPr>
        <w:t>القائلة بأنّ تعدّد الأثر يوجب تعدّد الفعل ولا يكفي إيجاد فعل واحد في مقام فعلين ، فلم أر مصرّحا بدعوى الكفاية بعد تسليم المقدّمتين السابقتين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يبعد حمل كلام المحقّق الخوانساري </w:t>
      </w:r>
      <w:r>
        <w:rPr>
          <w:rStyle w:val="FootnoteAnchor"/>
          <w:rtl w:val="true"/>
        </w:rPr>
        <w:footnoteReference w:id="129"/>
      </w:r>
      <w:r>
        <w:rPr>
          <w:rFonts w:ascii="Amiri" w:hAnsi="Amiri" w:eastAsia="Amiri" w:cs="Amiri"/>
          <w:color w:val="111111"/>
          <w:sz w:val="28"/>
          <w:sz w:val="28"/>
          <w:szCs w:val="28"/>
          <w:rtl w:val="true"/>
          <w:lang w:bidi="ar-SA"/>
        </w:rPr>
        <w:t xml:space="preserve">على ذلك وإن احتمل رجوعه إلى منع الثانية أيضا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اقتضاء كلّ من الأسباب مسمّى الغسل ، وهو متحقّق في ضمن فرد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احتماله للوجهين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يمكن استفادته من بعض الأعلام أيضا ، فإنّه عوّل في استفادة التعدّد في الأوامر الابتدائيّة على ما هو خارج عن مقتضى اللفظ ، حيث أجاب عمّا أورد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قضيّة إطلاق المادّة عدم التعدّد لكفاية المسمّى فمن أين يجيء التقييد؟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استناد ذلك إلى ضمّ أحد الأمرين إلى الآخر </w:t>
      </w:r>
      <w:r>
        <w:rPr>
          <w:rStyle w:val="FootnoteAnchor"/>
          <w:rtl w:val="true"/>
        </w:rPr>
        <w:footnoteReference w:id="130"/>
      </w:r>
      <w:r>
        <w:rPr>
          <w:rFonts w:ascii="Amiri" w:hAnsi="Amiri" w:eastAsia="Amiri" w:cs="Amiri"/>
          <w:color w:val="111111"/>
          <w:sz w:val="28"/>
          <w:sz w:val="28"/>
          <w:szCs w:val="28"/>
          <w:rtl w:val="true"/>
          <w:lang w:bidi="ar-SA"/>
        </w:rPr>
        <w:t>، فإنّ الفرق بين الأوامر الابتدائيّة والمسبوقة بالأسباب من هذه الجهة غير معقول ، وإن كان يظهر منه الفرق لكن بدعوى ظهور الابتدائيّة في التعدّد دون العكس ، كما أشرنا إليه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جواب السؤال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القول في المقام بإسناد الفهم المذكور إلى خصوص كلّ من الأمرين ، لقضاء كلّ منهما باستقلاله في إيجاب الطبيعة ووجوب الإتيان بها من جهته ، وقضيّة ذلك تعدّد الواجبين المقتضي للزوم الإتيان بهما كذلك </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دعوى ذلك في غير ذوات الأسباب لا أعرف الوجه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كان ، فيحتمل رجوع هذه الكلمات إلى المقدّمة الثانية ، كما يحتمل رجوعها إلى الثالثة ، وعلى الأوّل فقد استوفينا ما عندنا ، وعلى الثاني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قرّرنا في المقدّمة السابقة أنّ متعلّق التكاليف حينئذ هو الفرد المغاير للفرد الواجب بالسبب الأوّل ، ولا يعقل تداخل فردين من ماهيّة واحدة ، بل ولا يعقل ورود دليل على التداخل أيضا على ذلك التقدير ، إلاّ أن يكون ناسخا لحكم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تداخل الأغسال فبواسطة تداخل ماهيّاتها ، كما كشف عنه رواية الحقوق </w:t>
      </w:r>
      <w:r>
        <w:rPr>
          <w:rStyle w:val="FootnoteAnchor"/>
          <w:rtl w:val="true"/>
        </w:rPr>
        <w:footnoteReference w:id="132"/>
      </w:r>
      <w:r>
        <w:rPr>
          <w:rFonts w:ascii="Amiri" w:hAnsi="Amiri" w:eastAsia="Amiri" w:cs="Amiri"/>
          <w:color w:val="111111"/>
          <w:sz w:val="28"/>
          <w:sz w:val="28"/>
          <w:szCs w:val="28"/>
          <w:rtl w:val="true"/>
          <w:lang w:bidi="ar-SA"/>
        </w:rPr>
        <w:t xml:space="preserve">، مثل تداخل الإكرام والضيافة فيما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 زيد فأكرم عالما وإن سلّم عليك فأضف هاشميّا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وجود السببين يمكن الاكتفاء بإكرام العالم الهاشمي على وجه الضيافة فيما لو قصد امتثال الأمرين في التعبّديّات ، وأين ذلك من تداخل الفردين؟</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تعدّد الأسباب يحتمل أن يكون كاشفا عن تعدّد ماهيّات المسبّبات أيضا ، فيصحّ دعوى الاكتفاء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لفظ المسبّب في ماهيّة واحدة ممّا لا يقبل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سلّمنا فلا يجدي ، لعدم العلم بالتصادق لإمكان المباينة ، فالقاعدة قاضية بالتعدّد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ذكرنا محصّل الدليل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وجوه أخر كلّها مزيّفة لا فائدة في إيرادها ، فليراجع الى فوائد السيّد السند بحر العلوم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 يظهر احتجاج القائل بالتداخل أيضا من الأصل وغيره ، فلا نطيل بالإعادة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واحتجّ ابن إدريس رحمه‌اللّه على ما ذهب إليه من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التعدّد عند اختلاف الأجناس وعدمه عند الاتّحاد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الصدق على الثاني ، وبإطلاق السببيّة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محكيّ السرائر في مسألة تكرّر الكفّارة عند تكرّر وطء الحائض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اختار العدم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الأصل براءة الذمّة ، وأمّا العموم فلا يصحّ التعلّق به في مثل هذه المواضع ، لأنّ هذه أسماء أجناس </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بحث السجود ما يظهر منه الوجه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إذا اختلف الجنس فالأولى عندي بل الواجب الإتيان عند كلّ جنس بسجدتي السهو ، لعدم الدليل على تداخل الأجناس </w:t>
      </w:r>
      <w:r>
        <w:rPr>
          <w:rStyle w:val="FootnoteAnchor"/>
          <w:rtl w:val="true"/>
        </w:rPr>
        <w:footnoteReference w:id="13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والإنصاف أنّه لا وجه للتفصيل المزبور ؛ إذ بعد الإذعان بامتناع توارد الأسباب والعلل على معلول واحد ، لا بدّ من القول بأنّ العلّة هو القدر المشترك بين تلك الأجناس المختلفة على وجه لا مدخليّة لخصوصيّات تلك الأجناس ، كما لا مدخليّة لخصوصيّات أفراد تلك الأجناس وأشخاصها ، على ما أشرنا إلى تحقيقه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فإمّا نقول بعدم التداخل نظرا إلى الدليل المذكور ، أو لا نقول بواسطة تطرّق المنع إلى إحدى 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لا وجه للتفصيل ، فدعوى الصدق في متّحد الجنس تناقض دعوى الإطلاق في متعدّده</w:t>
      </w:r>
      <w:r>
        <w:rPr>
          <w:rFonts w:eastAsia="Amiri" w:cs="Amiri" w:ascii="Amiri" w:hAnsi="Amiri"/>
          <w:color w:val="111111"/>
          <w:sz w:val="28"/>
          <w:szCs w:val="28"/>
          <w:rtl w:val="true"/>
          <w:lang w:bidi="ar-SA"/>
        </w:rPr>
        <w:t xml:space="preserve">. </w:t>
      </w:r>
      <w:bookmarkStart w:id="46" w:name="pg16264_169379"/>
    </w:p>
    <w:p>
      <w:pPr>
        <w:pStyle w:val="Heading4"/>
        <w:numPr>
          <w:ilvl w:val="3"/>
          <w:numId w:val="1"/>
        </w:numPr>
        <w:rPr/>
      </w:pPr>
      <w:bookmarkStart w:id="47" w:name="__RefHeading___Toc4588560_1280447820"/>
      <w:bookmarkStart w:id="48" w:name="_Toc12"/>
      <w:bookmarkEnd w:id="46"/>
      <w:bookmarkEnd w:id="47"/>
      <w:r>
        <w:rPr>
          <w:rtl w:val="true"/>
        </w:rPr>
        <w:t>فائدتان</w:t>
      </w:r>
      <w:bookmarkEnd w:id="48"/>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أنّ التداخل تارة سببيّ ومرجعه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عدم تعدّد الأوامر والآثار والاشتغال والتكليف ، واخرى مسببيّ ومرجعه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صدق الامتثال والاكتفاء بفرد واحد عند تعدّد التكاليف والاشتغالات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 تعدّد الفعل في الخارج بقصد المشروعيّة غير جائز ، لعدم الدليل على ذلك حينئذ ، فيكون تشريعا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 فإمّا يكون الفرد الذي يراد الاكتفاء به في مقام امتثال التكاليف مجمعا لعناوين الأفعال التي تعلّق التكليف بها ولو عند عدم إرادة اجتماع تلك العناوين ، كما فيما فرضنا من مثال العالم الهاشمي ، وإمّا أن لا يكون كذلك ، بل الاجتماع موقوف على القصد وإرادته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أيضا لا يجوز إيجاد الفعل في الخارج متعدّدا إلاّ إذا كان أحدهما أو كلاهما عبادة مع عدم قصد الإطاعة فإنّه حينئذ يجب إيجاده متعدّدا لتوقّف الامتثال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فالتعدّد وعدمه موقوف على القصد ، فمن قصد إيجاد عنوانين من عناوين الفعل لا يجوز له تكرارهما ، بخلاف العنوان الغير المقصود ، فإنّه يجوز ترك الفعل قصدا إلى ذلك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ذلك أشرنا في صدر المسألة </w:t>
      </w:r>
      <w:r>
        <w:rPr>
          <w:rStyle w:val="FootnoteAnchor"/>
          <w:rtl w:val="true"/>
        </w:rPr>
        <w:footnoteReference w:id="136"/>
      </w:r>
      <w:r>
        <w:rPr>
          <w:rFonts w:ascii="Amiri" w:hAnsi="Amiri" w:eastAsia="Amiri" w:cs="Amiri"/>
          <w:color w:val="111111"/>
          <w:sz w:val="28"/>
          <w:sz w:val="28"/>
          <w:szCs w:val="28"/>
          <w:rtl w:val="true"/>
          <w:lang w:bidi="ar-SA"/>
        </w:rPr>
        <w:t xml:space="preserve">، حيث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التداخل على الأوّل عزيمة وعلى الثاني رخصة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في ذلك بين أن يكون المسبّب من التوصّليّات أو من التعبّديّات ، إذ بعد ما عرفت من أنّ المطلوب هو تكرّر وجودات الفعل على تقدير عدم تداخل الأسباب ، لا بدّ من إيجاد الفعل التوصّلي مرّتين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على تقدير التوصّليّة لا يجب ذلك لحصول المطلوب بالمرّة الاولى فيكون التداخل عزيمة ، فاسدة جدّا ؛ لأنّ قضيّة التوصّليّة ليست إلاّ عدم اعتبار قصد الامتثال فيه ، ولا مدخل لها في لزوم إيجاد الفعل مرّتين وعدمه كما هو المقصود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يثمر التوصّليّة فيما إذا كان هناك عنوانان ، أحدهما مسبّب والآخر مأمور به ابتداء ، كالوضوء المسبّب عن أحد أسبابه وغسل موضع الوضوء إذا كان نجسا ولم نشترط سبق الطهارة ، فإنّه يمكن القول بأنّ العنوان الابتدائي حيث كان توصّليّا يحصل في ضمن العنوان المسبّب ولا يجوز تكراره عزيمة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أنّه لا وجه لجعل هذه المسألة من موارد تداخل الأسباب ، فإنّ أحد العنوانين من الأوامر الابتدائيّة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أيضا يظهر أنّه في مورد التداخل وعدمه لا وجه للاحتياط من جهة حصول المأمور به وعدمه ، إذ على تقدير التداخل في السبب فالأمر ظاهر من هذه الجهة ، وأمّا احتمال عدم تداخل الأسباب فهو يورث احتياطا آخر من جهة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تداخل المسبّبات ففيما لم يتوقّف على القصد فالأمر أيضا ظاهر ، وفيما توقّف عليه لا بدّ منه عند إرادة الاكتفاء ، وعند عدمه يلزم التعدّد فلا يبقى محلّ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يبقى من حيث إنّ امتثال هذه المسألة من الاجتهاديّات النظريّة ، فيحسن الاحتياط من جهة الخروج عن شبهة الخلاف</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يتعدّد الأسباب الشرعيّة وتتوارد على مسبّب واحد غير الفعل ، مثل اجتماع عقدي الأب والجدّ على البنت لزوجين ، واجتماع بيع الوكيل والمالك في صيغة واحدة من شخصين ، واجتماع وصايا عديدة على مال واحد لأشخاص ، ونحو ذلك من الموارد المختلفة المتشتّتة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ويظهر من مطاوي كلماتهم تارة الحكم بالسقوط من الطرفين ، كما في المثالين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 الحكم بالتشريك كما في المثال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يظهر لنا وجه في ذلك إلاّ ما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بدّ من إعمال السببين بقدر الإمكان نظرا إلى إطلاق دليل السببيّة في مورد يقبل التشريك ، فلا وجه لرفع اليد عن إطلاق دليل 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وقضيّة ذلك التشريك في الوصايا ، وفي مورد لا يقبل ذلك يحكم بالسقوط ، كما في عقد الوليّين على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مع ذلك فلا يشفي العليل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الغضّ عن عدم الاطّراد ، كما يظهر لمن راجع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قضيّة القاعدة السقوط في جميع الموارد ، إذ بعد ما هو المقرّر من امتناع اجتماع العلل المتعدّدة لا بدّ من القول بأنّ العلّة هو القدر المشترك ، وأفراده إنّما هي علّة إذ لم تكن مسبوقة بأمثالها ، نظرا إلى امتناع اجتماع الأمثال وتحصيل الحاصل ، فإذا تقارن فردان من ماهيّة السبب لا وجه للقول بكلّ واحد منهما أو أحدهما سببا مؤثّرا ، لمقارنة كلّ واحد منهما مع ما يمنع عن استناد الأثر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ذلك لا بدّ من القول بالسقوط فيما إذا عقد الوليّان على الصغيرة لشخص واحد ، لعين ما ذكر من وجود المانع</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على ما عرفت هو القدر المشترك ، ولا عبرة بخصوص الوجودات ، ولا تعدّد في القدر المشترك ، فالوجودات الخاصّة مظاهر له ، فلا وجه للقول بالسقوط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بناء العرف والعقلاء على التشريك فيما يقبل ذلك ، ونحن لم نحقّقه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التشريك في خصوص الوصيّة لا يبعد الالتزام به ،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لظهور الفرق بينها وبين عقد الوليّين على صيغة واحدة من </w:t>
      </w:r>
      <w:r>
        <w:rPr>
          <w:rStyle w:val="FootnoteAnchor"/>
          <w:rtl w:val="true"/>
        </w:rPr>
        <w:footnoteReference w:id="138"/>
      </w:r>
      <w:r>
        <w:rPr>
          <w:rFonts w:ascii="Amiri" w:hAnsi="Amiri" w:eastAsia="Amiri" w:cs="Amiri"/>
          <w:color w:val="111111"/>
          <w:sz w:val="28"/>
          <w:sz w:val="28"/>
          <w:szCs w:val="28"/>
          <w:rtl w:val="true"/>
          <w:lang w:bidi="ar-SA"/>
        </w:rPr>
        <w:t>شخصين ، فإنّ تعدّد الوصايا وإنشائها إنّما يكون على وجه التعدّد والاستقلال لأشخاص متعدّدة من دون أولها إلى رجوع غير معقول ، وحيث إنّ الموصي إنّما يكون في مقام الإفادة وليس لاغيا فيصرف إلى إرادة التشريك ، ولا يضرّ ذلك عدم صراحة اللفظ في التشريك لوسعة الدائرة في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 كان ذلك في البيع لم يكن البيع نافذا ، لاشتراطهم صراحة اللفظ في عقد البيع وغيره من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في المقام ، فإنّه بعد محتاج إليه</w:t>
      </w:r>
      <w:r>
        <w:rPr>
          <w:rFonts w:eastAsia="Amiri" w:cs="Amiri" w:ascii="Amiri" w:hAnsi="Amiri"/>
          <w:color w:val="111111"/>
          <w:sz w:val="28"/>
          <w:szCs w:val="28"/>
          <w:rtl w:val="true"/>
          <w:lang w:bidi="ar-SA"/>
        </w:rPr>
        <w:t xml:space="preserve">. </w:t>
      </w:r>
      <w:bookmarkStart w:id="49" w:name="pg16264_169383"/>
    </w:p>
    <w:p>
      <w:pPr>
        <w:pStyle w:val="Heading3"/>
        <w:numPr>
          <w:ilvl w:val="2"/>
          <w:numId w:val="1"/>
        </w:numPr>
        <w:rPr/>
      </w:pPr>
      <w:bookmarkStart w:id="50" w:name="__RefHeading___Toc4588562_1280447820"/>
      <w:bookmarkStart w:id="51" w:name="_Toc13"/>
      <w:bookmarkEnd w:id="49"/>
      <w:bookmarkEnd w:id="50"/>
      <w:r>
        <w:rPr>
          <w:rtl w:val="true"/>
        </w:rPr>
        <w:t>هداية</w:t>
      </w:r>
      <w:bookmarkEnd w:id="51"/>
    </w:p>
    <w:p>
      <w:pPr>
        <w:pStyle w:val="Heading4"/>
        <w:numPr>
          <w:ilvl w:val="3"/>
          <w:numId w:val="1"/>
        </w:numPr>
        <w:rPr/>
      </w:pPr>
      <w:bookmarkStart w:id="52" w:name="__RefHeading___Toc4588564_1280447820"/>
      <w:bookmarkStart w:id="53" w:name="_Toc14"/>
      <w:bookmarkEnd w:id="52"/>
      <w:r>
        <w:rPr>
          <w:rtl w:val="true"/>
        </w:rPr>
        <w:t>اشارة</w:t>
      </w:r>
      <w:bookmarkEnd w:id="53"/>
    </w:p>
    <w:p>
      <w:pPr>
        <w:pStyle w:val="BookText"/>
        <w:rPr/>
      </w:pP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إثبات حكم لذات مأخوذة مع بعض صفاتها لا يستلزم انتفاء ذلك الحكم عند انتفاء تلك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 في العنوان أولى ممّا ذكره غير واحد ، منهم الآمدي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اختلفوا في الخطاب الدالّ على حكم مرتبط باسم عامّ مقيّد بصفة خاصّة </w:t>
      </w:r>
      <w:r>
        <w:rPr>
          <w:rFonts w:eastAsia="Amiri" w:cs="Amiri" w:ascii="Amiri" w:hAnsi="Amiri"/>
          <w:color w:val="111111"/>
          <w:sz w:val="28"/>
          <w:szCs w:val="28"/>
          <w:rtl w:val="true"/>
          <w:lang w:bidi="ar-SA"/>
        </w:rPr>
        <w:t xml:space="preserve">... »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لا يشمل ما إذا كان الموضوع وصفا من الأوصاف كأن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ودخوله فيما ذكرنا ظاهر ، حيث يصدق عليه أنّه إثبات حكم لذات ، سواء قلنا باعتبار الذات في المشتق أم لا ، وعلى الأوّل ظاهر ، وأمّا على الثاني فلأنّ النزاع يجري فيه على ذلك التقدير أيضا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عنوان الآمدي أولى من عنوان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تعليق الحكم بالصفة لا يدلّ على انتفائه بانتفائها ؛ كما صنعه المحقّق القمّي رحمه‌اللّه </w:t>
      </w:r>
      <w:r>
        <w:rPr>
          <w:rStyle w:val="FootnoteAnchor"/>
          <w:rtl w:val="true"/>
        </w:rPr>
        <w:footnoteReference w:id="140"/>
      </w:r>
      <w:r>
        <w:rPr>
          <w:rFonts w:ascii="Amiri" w:hAnsi="Amiri" w:eastAsia="Amiri" w:cs="Amiri"/>
          <w:color w:val="111111"/>
          <w:sz w:val="28"/>
          <w:sz w:val="28"/>
          <w:szCs w:val="28"/>
          <w:rtl w:val="true"/>
          <w:lang w:bidi="ar-SA"/>
        </w:rPr>
        <w:t>؛ لظهور أنّ اعتبار التعليق إنّما يناسب مفهوم الشرط ونحوه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 بخروج المثال المذكور عن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يظهر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بدخول الوصف الضمني في النزاع </w:t>
      </w:r>
      <w:r>
        <w:rPr>
          <w:rStyle w:val="FootnoteAnchor"/>
          <w:rtl w:val="true"/>
        </w:rPr>
        <w:footnoteReference w:id="141"/>
      </w:r>
      <w:r>
        <w:rPr>
          <w:rFonts w:ascii="Amiri" w:hAnsi="Amiri" w:eastAsia="Amiri" w:cs="Amiri"/>
          <w:color w:val="111111"/>
          <w:sz w:val="28"/>
          <w:sz w:val="28"/>
          <w:szCs w:val="28"/>
          <w:rtl w:val="true"/>
          <w:lang w:bidi="ar-SA"/>
        </w:rPr>
        <w:t xml:space="preserve">، كقوله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يمتلئ بطن الرجل قيحا </w:t>
      </w:r>
    </w:p>
    <w:p>
      <w:pPr>
        <w:pStyle w:val="BookText"/>
        <w:rPr/>
      </w:pPr>
      <w:r>
        <w:rPr>
          <w:rFonts w:ascii="Amiri" w:hAnsi="Amiri" w:eastAsia="Amiri" w:cs="Amiri"/>
          <w:color w:val="111111"/>
          <w:sz w:val="28"/>
          <w:sz w:val="28"/>
          <w:szCs w:val="28"/>
          <w:rtl w:val="true"/>
          <w:lang w:bidi="ar-SA"/>
        </w:rPr>
        <w:t xml:space="preserve">خير من أن يمتلئ شعرا </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فإنّ امتلاء البطن كناية عن الشعر الكثير ، فيدلّ بمفهومه على عدم البأس بالشعر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ليس ببعيد ، لجريان مناط الأقوال فيه كما في الكلمات المتضمّنة معنى الشرط في النزاع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الحال داخل في النزاع أو لا؟ صرّح بدخوله بعض الأفاضل </w:t>
      </w:r>
      <w:r>
        <w:rPr>
          <w:rStyle w:val="FootnoteAnchor"/>
          <w:rtl w:val="true"/>
        </w:rPr>
        <w:footnoteReference w:id="143"/>
      </w:r>
      <w:r>
        <w:rPr>
          <w:rFonts w:ascii="Amiri" w:hAnsi="Amiri" w:eastAsia="Amiri" w:cs="Amiri"/>
          <w:color w:val="111111"/>
          <w:sz w:val="28"/>
          <w:sz w:val="28"/>
          <w:szCs w:val="28"/>
          <w:rtl w:val="true"/>
          <w:lang w:bidi="ar-SA"/>
        </w:rPr>
        <w:t xml:space="preserve">إلاّ أنّ الظاهر من كلماتهم اختصاص النزاع بما كان قيدا للموضوع لا الحكم ، بل يحتمل إلحاقه بمفهوم الشرط ، فإنّ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اضرب زيدا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قائما فاضربه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أنّ مناط الأقوال موجود فيه ، بل ربما يحكى عن بعضهم </w:t>
      </w:r>
      <w:r>
        <w:rPr>
          <w:rStyle w:val="FootnoteAnchor"/>
          <w:rtl w:val="true"/>
        </w:rPr>
        <w:footnoteReference w:id="144"/>
      </w:r>
      <w:r>
        <w:rPr>
          <w:rFonts w:ascii="Amiri" w:hAnsi="Amiri" w:eastAsia="Amiri" w:cs="Amiri"/>
          <w:color w:val="111111"/>
          <w:sz w:val="28"/>
          <w:sz w:val="28"/>
          <w:szCs w:val="28"/>
          <w:rtl w:val="true"/>
          <w:lang w:bidi="ar-SA"/>
        </w:rPr>
        <w:t xml:space="preserve">عدّ جميع جهات التخصيص منه ، فالمعدود والمحدود موصوفان بالعدّ </w:t>
      </w:r>
      <w:r>
        <w:rPr>
          <w:rStyle w:val="FootnoteAnchor"/>
          <w:rtl w:val="true"/>
        </w:rPr>
        <w:footnoteReference w:id="145"/>
      </w:r>
      <w:r>
        <w:rPr>
          <w:rFonts w:ascii="Amiri" w:hAnsi="Amiri" w:eastAsia="Amiri" w:cs="Amiri"/>
          <w:color w:val="111111"/>
          <w:sz w:val="28"/>
          <w:sz w:val="28"/>
          <w:szCs w:val="28"/>
          <w:rtl w:val="true"/>
          <w:lang w:bidi="ar-SA"/>
        </w:rPr>
        <w:t>والحدّ ، إلاّ أنّ وجود المناط ممّا ينهض وجها للإلحاق لا للإدخال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فيما ذكرنا بين اعتبار الوصف في كلام إنشائي أو خبري ، وما يوجد في بعض كلماتهم من الاختصاص فمحمول على المثال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الوصف قد يكون مساويا للموصوف ، وقد يكون أخصّ مطلقا ، وقد يكون أخصّ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لا وجه للنزاع المذكور ، لعدم تحقّق موضوعه ، كما إذا كان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فالنزاع 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الثالث فهل يجري فيه النزاع بالنسبة إلى الافتراق من جانب الوصف كما يظهر من بعض الشافعيّة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الغنم السائمة 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عدم الزكاة </w:t>
      </w:r>
    </w:p>
    <w:p>
      <w:pPr>
        <w:pStyle w:val="BookText"/>
        <w:rPr/>
      </w:pPr>
      <w:r>
        <w:rPr>
          <w:rFonts w:ascii="Amiri" w:hAnsi="Amiri" w:eastAsia="Amiri" w:cs="Amiri"/>
          <w:color w:val="111111"/>
          <w:sz w:val="28"/>
          <w:sz w:val="28"/>
          <w:szCs w:val="28"/>
          <w:rtl w:val="true"/>
          <w:lang w:bidi="ar-SA"/>
        </w:rPr>
        <w:t xml:space="preserve">في معلوفة الإبل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يجري كما يظهر من جماعة؟ الظاهر هو الثاني ، حيث إنّ المطابقة بين المنطوق والمفهوم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وستعرف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الشروط ، واختلاف الموضوع من أشدّ أنحاء عدم المطابقة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يتمّ ذلك فيما لو قلنا بأنّ الوصف علّة مستقلّة كما في منصوص العلّة ، فيخرج بذلك عن مفهوم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حال المحكيّ عن العلاّمة </w:t>
      </w:r>
      <w:r>
        <w:rPr>
          <w:rStyle w:val="FootnoteAnchor"/>
          <w:rtl w:val="true"/>
        </w:rPr>
        <w:footnoteReference w:id="147"/>
      </w:r>
      <w:r>
        <w:rPr>
          <w:rFonts w:ascii="Amiri" w:hAnsi="Amiri" w:eastAsia="Amiri" w:cs="Amiri"/>
          <w:color w:val="111111"/>
          <w:sz w:val="28"/>
          <w:sz w:val="28"/>
          <w:szCs w:val="28"/>
          <w:rtl w:val="true"/>
          <w:lang w:bidi="ar-SA"/>
        </w:rPr>
        <w:t>حيث فصّل بين ما كان الوصف علّة وبين غيره ، فإنّ مجرّد العلّيّة إنّما يقضي بعدم التخلّف في موارد الوجود كما في منصوص العلّة ، وأين ذلك من الانتفاء عند الانتفاء المطلوب في المقام؟ اللّهم إلاّ أن يقال بأنّه يلزم ذلك فيما لو علم انحصار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إلاّ أنّه خروج عن محلّ النزاع ؛ فإنّ الكلام مع قطع النظر عن القرائن المفيدة للمفهوم مثل الأوصاف الواقعة في الحدود والتعاريف ، حيث إنّها يقصد بها الإصلاح طردا وعكسا الملازم لإرادة المفهوم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أوضح القرائن على إرادة المفهوم ما إذا كان الوصف عدميّا ،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رجلا لا يكون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وأشباه ذلك ، فالتفصيل بين هذه المقامات غير واقع في محلّه ، كما صدر عن الفاضل النراقي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المراد بالمفهوم في المقام هو ما نبّهنا عليه في مفهوم الشرط من أنّ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رفع الحكم الشخصي الثابت بالكلام ، فإنّ ذلك ليس من المفهوم في شيء ، فإنّ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إلاّ على وجوب </w:t>
      </w:r>
    </w:p>
    <w:p>
      <w:pPr>
        <w:pStyle w:val="BookText"/>
        <w:rPr/>
      </w:pPr>
      <w:r>
        <w:rPr>
          <w:rFonts w:ascii="Amiri" w:hAnsi="Amiri" w:eastAsia="Amiri" w:cs="Amiri"/>
          <w:color w:val="111111"/>
          <w:sz w:val="28"/>
          <w:sz w:val="28"/>
          <w:szCs w:val="28"/>
          <w:rtl w:val="true"/>
          <w:lang w:bidi="ar-SA"/>
        </w:rPr>
        <w:t>إكرام زيد ، وغير زيد لا يكون فيه ذلك الحكم قطعا بالخطاب المذكور ، بل المقصود رفع سنخ الحكم عن غير محلّ الوصف ، على وجه يكون القضيّة المشتملة على الوصف منحلّة إلى عقد إيجابيّ وهو الثبوت في محلّ الوصف ، وعقد سلبيّ في غير محلّه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اندفع ما توهّمه بعض </w:t>
      </w:r>
      <w:r>
        <w:rPr>
          <w:rStyle w:val="FootnoteAnchor"/>
          <w:rtl w:val="true"/>
        </w:rPr>
        <w:footnoteReference w:id="149"/>
      </w:r>
      <w:r>
        <w:rPr>
          <w:rFonts w:ascii="Amiri" w:hAnsi="Amiri" w:eastAsia="Amiri" w:cs="Amiri"/>
          <w:color w:val="111111"/>
          <w:sz w:val="28"/>
          <w:sz w:val="28"/>
          <w:szCs w:val="28"/>
          <w:rtl w:val="true"/>
          <w:lang w:bidi="ar-SA"/>
        </w:rPr>
        <w:t xml:space="preserve">من التنافي بين ما ذهب إليه المشهور من عدم المفهوم في الوصف ، وبين ما قالوا بالتخصيص في مباحث العامّ والخاصّ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الطوال ، فإنّه لا يجب إكرام القصار ، لا من حيث إنّ تقييد العلماء بالوصف دلّ على عدم الحكم في القصار حتّى يكون من المفهوم ، بل من حيث إنّ وجوب الإكرام في غير المنصوص بوجوبه يحتاج إلى دليل ، والنصّ مختصّ بمحلّ الوصف ، فلا يعارض ما دلّ الدليل على وجوبه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وأغرب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البعض </w:t>
      </w:r>
      <w:r>
        <w:rPr>
          <w:rStyle w:val="FootnoteAnchor"/>
          <w:rtl w:val="true"/>
        </w:rPr>
        <w:footnoteReference w:id="150"/>
      </w:r>
      <w:r>
        <w:rPr>
          <w:rFonts w:ascii="Amiri" w:hAnsi="Amiri" w:eastAsia="Amiri" w:cs="Amiri"/>
          <w:color w:val="111111"/>
          <w:sz w:val="28"/>
          <w:sz w:val="28"/>
          <w:szCs w:val="28"/>
          <w:rtl w:val="true"/>
          <w:lang w:bidi="ar-SA"/>
        </w:rPr>
        <w:t xml:space="preserve">من التنافي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الحيثيّات مختلفة ، فإنّ الوصف تارة يعتبر من حيث كونه مقتفيا بالعامّ واخرى من حيث نفسه ، فهما لمّا كانا مختلفين موضوعا ، فلا إشكال لو اختلفا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وأفسد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اجيب أيضا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من جهة تعليق الحكم على العامّ الموصوف ، والكلام إنّما هو فيما إذا كان الحكم على نفس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هذه كلمات صدرت عن غير تأمّل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 ذلك ما أورده شيخنا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القائلين بعدم حجيّة مفهوم الصفة قد قيّدوا بمفهومها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في الظهار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يكن </w:t>
      </w:r>
    </w:p>
    <w:p>
      <w:pPr>
        <w:pStyle w:val="BookText"/>
        <w:rPr/>
      </w:pPr>
      <w:r>
        <w:rPr>
          <w:rFonts w:ascii="Amiri" w:hAnsi="Amiri" w:eastAsia="Amiri" w:cs="Amiri"/>
          <w:color w:val="111111"/>
          <w:sz w:val="28"/>
          <w:sz w:val="28"/>
          <w:szCs w:val="28"/>
          <w:rtl w:val="true"/>
          <w:lang w:bidi="ar-SA"/>
        </w:rPr>
        <w:t xml:space="preserve">مفهوم الصفة حجّة عندهم كيف يقيّدون بها ، فما هذا إلاّ التناقض؟ وأجاب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مفهوم الوصف إمّا أن يكون في مقابله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المثال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 ففي الأوّل قالوا بالحجيّة ، وفي الثاني قالوا بعدم الحجّيّة ، فلا تناقض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المطلق على المقيّد إنّما هو من جهة المنطوق من غير ملاحظة المفهوم ، بل لو فرض اعتبار المفهوم فلقائل أن يقول بعدم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 فلأنّ محصّل الحمل هو أنّ المراد من المطلق هو المقيّد ، فيكون غير المقيّد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اعتق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واجب ، بمعنى أنّ اللفظ المذكور والإنشاء الخاصّ لا يدلّ على وجوبه مطلقا ، سواء كان وجوبا عينيّا أو وجوبا تخييريّا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 الوجوب العيني إنّما هو متعلّق بالمقيّد فلا يكون المطلق وغيره من أفراده المخالفة للمقيّد واجبا عينيّا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فلأنّ الوجوب التخييري إنّما هو من فروع تعلّق الوجوب العيني بالمطلق ، وقد فرضنا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ذلك ورود دليل آخر يدلّ على وجوب غير المقيّد عينا فيما إذا كان غير المطلق ؛ إذ على تقديره فلا بدّ من حمله أيضا ، إذ لا فرق بين تعدّد الأمر بالمطلق واتّحاده ، نعم يدلّ على عدم تعلّق الوجوب التخييري ، فلو دلّ دليل على ثبوته غير الإطلاق نقول بتعارضه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سبيل إلى توهّم أنّ نفي الوجوب التخييري من جهة المفهوم ، فإنّ ذلك من مقتضيات الحمل ؛ ولذلك نقول به في اللقب أيضا ، كما لا يخفى</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 فلأنّا لو قلنا بثبوت المفهوم للوصف كان التعارض بين المطلق والمقيّد من قبيل تعارض الظاهرين ، وقد تقرّر في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بدّ في مثله من التوقّف والحكم بمقتضى الاصول العمليّة ، فلا سبيل إلى الحمل ؛ لأنّه فرع </w:t>
      </w:r>
    </w:p>
    <w:p>
      <w:pPr>
        <w:pStyle w:val="BookText"/>
        <w:rPr/>
      </w:pPr>
      <w:r>
        <w:rPr>
          <w:rFonts w:ascii="Amiri" w:hAnsi="Amiri" w:eastAsia="Amiri" w:cs="Amiri"/>
          <w:color w:val="111111"/>
          <w:sz w:val="28"/>
          <w:sz w:val="28"/>
          <w:szCs w:val="28"/>
          <w:rtl w:val="true"/>
          <w:lang w:bidi="ar-SA"/>
        </w:rPr>
        <w:t>عدم المعارضة كما هو التحقيق في وجه الحمل بناء على أنّ المطلق حقيقة في الماهيّة لا بشرط شيء ، أو دعوى أظهريّة المقيّد من ظهور المطلق كالعامّ والخاصّ بناء على ما هو المنسوب إلى المشهور ، كما ستطّلع على تفاصيله في محلّه إن شاء اللّه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بيان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الحمل على ذلك التقدير موقوف على أن يراد من الكلام المشتمل على الصفة نفي سنخ الوجوب ، سواء كان تخييريّا أو عينيّا ، إذ لو كان عينيّا فقط لا سبيل إلى الحمل ، لعدم المنافاة بين عدم الوجوب العيني والوجوب التخييري ، فإن قلنا بكفاية هذا المقدار في ثبوت المفهوم ؛ نظرا إلى لزوم اتّحاد القضيتين في المفهوم والمنطوق ، فلا شكّ في عدم اقتضائه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بأنّ المعتبر في المفهوم نفي سنخ الوجوب ، سواء كان تخييريّا أو عينيّا ، فلا شكّ أنّ دلالة المقيّد عليه حينئذ بالظهور ، ولا ترجيح لهذا الظهور بالنسبة إلى ظهور المطلق في الوجوب التخييري ، بل قد يقال بأنّ الثاني أقوى ، نظرا إلى كونه مدلولا منطوقيّا ، إلاّ أن ذلك إنّما يتمّ على مذاق المشهور في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مشرب الواقع عندنا ، فلا وجه لذلك ، بل اعتبار المفهوم يؤكّد وجه الحمل كما ستعرف في محلّه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يؤيّد الاعتراض ما لو قلنا بثبوت المفهوم من جهة العقل وصونا لكلام الحكيم عن اللغويّة ، فإنّ في ذلك يكفي رفع الوجوب العيني ، فتدبّر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 يظهر فساد ما أورده رحمه‌اللّه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أيضا يندفع إشكال آخر ، وهو أنّ القائلين بعدم المفهوم متّفقون على أنّ الأمر وما يحذو حذوه ظاهر في الوجوب العيني ، وهو تناقض ؛ فإنّ مقتضى العينيّة عدم وجوب غير محلّ الوصف ، وهو معنى المفهوم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اريد مقتضى العينيّة نفي الوجوب العيني عن غير محلّ الوصف فهو غير سديد ؛ إذ لا ينافي ذلك ثبوت الوجوب العيني لغيره على القول بعدم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اريد أنّ مقتضاه نفي الوجوب التخييري لغيره </w:t>
      </w:r>
    </w:p>
    <w:p>
      <w:pPr>
        <w:pStyle w:val="BookText"/>
        <w:rPr/>
      </w:pPr>
      <w:r>
        <w:rPr>
          <w:rFonts w:ascii="Amiri" w:hAnsi="Amiri" w:eastAsia="Amiri" w:cs="Amiri"/>
          <w:color w:val="111111"/>
          <w:sz w:val="28"/>
          <w:sz w:val="28"/>
          <w:szCs w:val="28"/>
          <w:rtl w:val="true"/>
          <w:lang w:bidi="ar-SA"/>
        </w:rPr>
        <w:t>فهو غير مفيد ؛ لأنّ ذلك من لوازم تعليق الوجوب العيني به وعدم تعلّقه بالمطلق الخالي عن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فقد اختلف الأصوليّون في ثبوت المفهوم وعدمه على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فنسب إلى كثير من الاصوليّين والفقهاء القول بثبوته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المشهور بين أصحابنا هو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التفصيل بين ما كان في مقام البيان وغيره عن عبد اللّه البصري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عرفت نسبة التفصيل إلى العلاّمة بين ما كان علّة وبين غيره ، كالتفصيل بين كون الوصف من قبيل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المناهج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القول منحصر في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التفاصيل ففي موارد إثباتها خارجة عن حريم النزاع ، لاستناد الدلالة إلى القرائن الخارجيّة ، كما أشرنا إليه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النافي </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دلّ لكان بإحدى الثلاث ، والتالي باطل ، كما يشهد به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وثبوته في الشرط لا يقضي به في الصفة </w:t>
      </w:r>
      <w:r>
        <w:rPr>
          <w:rStyle w:val="FootnoteAnchor"/>
          <w:rtl w:val="true"/>
        </w:rPr>
        <w:footnoteReference w:id="156"/>
      </w:r>
      <w:r>
        <w:rPr>
          <w:rFonts w:ascii="Amiri" w:hAnsi="Amiri" w:eastAsia="Amiri" w:cs="Amiri"/>
          <w:color w:val="111111"/>
          <w:sz w:val="28"/>
          <w:sz w:val="28"/>
          <w:szCs w:val="28"/>
          <w:rtl w:val="true"/>
          <w:lang w:bidi="ar-SA"/>
        </w:rPr>
        <w:t xml:space="preserve">؛ لظهور 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دلالة الجملة الشرطيّة على علّيّة الشرط للجزاء على وجه الانحصار ، بخلاف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ملأ الأسماع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التعليق على الوصف يشعر بالعلّية ، فلا وجه للمنع</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الغضّ عن عدم اطّراده كما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اشتر لي عبدا 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وتسليم أصل الإشعار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يثمر في المقام ؛ إذ الإشعار بالعلّية لا ينفي </w:t>
      </w:r>
    </w:p>
    <w:p>
      <w:pPr>
        <w:pStyle w:val="BookText"/>
        <w:rPr/>
      </w:pPr>
      <w:r>
        <w:rPr>
          <w:rFonts w:ascii="Amiri" w:hAnsi="Amiri" w:eastAsia="Amiri" w:cs="Amiri"/>
          <w:color w:val="111111"/>
          <w:sz w:val="28"/>
          <w:sz w:val="28"/>
          <w:szCs w:val="28"/>
          <w:rtl w:val="true"/>
          <w:lang w:bidi="ar-SA"/>
        </w:rPr>
        <w:t>احتمال خصوصيّة المورد أيضا ، فلا إشعار على العلّيّة التامّة ، وعلى تقديره فلا ينفي احتمال التعدّد كما هو المقصود في إثبات المفهوم ، إلاّ أنّه لا ينافي ثبوت المفهوم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وجه الإشعار المدّعى ، فيحتمل أن يكون كثرة الفائدة المذكورة من بين الفوائد التي تدعو إلى التوصيف لا على وجه تنهض لصرف اللفظ عمّا وضع له من المعنى الأعمّ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ذلك إجمال المطلق في بعض مراتب تشكيكه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الدليل يرجع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الأوصاف ليست إلاّ مثل الجوامد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أسماء الأجناس لا دلالة فيها على أزيد من الإثبات المذكور نفيا أو إثباتا فكذلك الأوصاف ، غاية ما في الباب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موضوع للطبيعة مع قطع النظر عن اتّصافها بوصف </w:t>
      </w:r>
      <w:r>
        <w:rPr>
          <w:rStyle w:val="FootnoteAnchor"/>
          <w:rtl w:val="true"/>
        </w:rPr>
        <w:footnoteReference w:id="157"/>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موضوعة للطبيعة الملحوظة مع بعض أوصافها ، وذلك لا ينهض دليلا على نفي الحكم عمّا عدا الملحوظة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w:t>
      </w:r>
      <w:r>
        <w:rPr>
          <w:rStyle w:val="FootnoteAnchor"/>
          <w:rtl w:val="true"/>
        </w:rPr>
        <w:footnoteReference w:id="158"/>
      </w:r>
      <w:r>
        <w:rPr>
          <w:rFonts w:ascii="Amiri" w:hAnsi="Amiri" w:eastAsia="Amiri" w:cs="Amiri"/>
          <w:color w:val="111111"/>
          <w:sz w:val="28"/>
          <w:sz w:val="28"/>
          <w:szCs w:val="28"/>
          <w:rtl w:val="true"/>
          <w:lang w:bidi="ar-SA"/>
        </w:rPr>
        <w:t>أيضا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هو الاشتراك المعنوي فيما لو استعمل اللفظ في معنيين بينهما جامع قريب ، كما فيما نحن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المثبتون بوجوه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التبادر عرفا ، فإنّ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اشتر لي عبدا 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عدم مطلوبيّة شراء العبد الأبيض ، على وجه لو اشتراه لم يكن ممتثلا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عنه الشهيد الثاني بما عرفت </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التزام المفهوم في القيود الواقعة في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 يظهر الوجه في فساد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مطلوبيّة شراء الأبيض إنّما هو بواسطة المطلوبيّة بالأسود في الإنشاء الخاص ، والكلام ليس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 كان مفاده عدم مطلوبيّته مطلقا كان ذلك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يؤيّد التبادر المذكور بدعوى غلبة إرادة المفهوم في كلمات البلغاء ، وهي على تقديرها تنهض وجها للإشعار المدّعى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الزائد فلا نسلّم الغلبة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لولاه لزم اللغو في كلام الحكيم ، والتالي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الملازمة ، فلأنّه لا فائدة في التقييد إلاّ ذلك وعند انتفائها يلزم اللغو ، وهو المذكور في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إذا اعتمد الوصف على 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الحكم محمولا على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آية 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قرّروا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اجتمع فيه وصفان ، أحدهما ذاتيّ وهو كونه خبر الواحد ، والآخر عرضيّ وهو كون مخبره فاسقا ، والمقتضي للتثبّت هو الثاني ، فإنّ الفسق يناسب عدم القبول ، فلا يصلح الأوّل للعلّية ، وإلاّ لوجب الاستناد به ؛ إذ التعليل بالذاتي الصالح للعلّيّة أولى من التعليل بالعرضي ، لحصوله قبل حصول العرضيّ ، فيكون الحكم قد حصل قبل حصول العرضيّ</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الملازمة ؛ لاحتمال فائدة اخرى كالاهتمام بمحلّ الوصف ، 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والصلاة 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لعدم احتياج السامع إلى غيره ، أو لدفع توهّم اختصاص الحكم بغيره ، أو لسبق ذلك ، أو لعدم المصلحة في بيان غيره ، أو للتوضيح والكشف ، ونحو ذلك من دواعي التوصيف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ذلك على تقدير تسليمه لا ينهض وجها للمطلوب ؛ لأنّ الكلام في الدلالة اللفظيّة على حدّ غيره من المباحث المتعلّقة بالظواهر اللفظيّة</w:t>
      </w:r>
      <w:r>
        <w:rPr>
          <w:rFonts w:eastAsia="Amiri" w:cs="Amiri" w:ascii="Amiri" w:hAnsi="Amiri"/>
          <w:color w:val="111111"/>
          <w:sz w:val="28"/>
          <w:szCs w:val="28"/>
          <w:rtl w:val="true"/>
          <w:lang w:bidi="ar-SA"/>
        </w:rPr>
        <w:t xml:space="preserve">. </w:t>
      </w:r>
      <w:bookmarkStart w:id="54" w:name="pg16264_169392"/>
    </w:p>
    <w:p>
      <w:pPr>
        <w:pStyle w:val="BookText"/>
        <w:rPr/>
      </w:pPr>
      <w:bookmarkEnd w:id="54"/>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عبيدة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كونه من أهل اللسان الذين ينبغي الرجوع إليهم في تشخيص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فهم من 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مطل الغنيّ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مطل غيره ليس بظلم ، ومن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 الواجد يحلّ عقوبته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 غيره لا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اريد التمسّك بفهمه مع قطع النظر عن ملاحظة ظهور اللفظ في ما فهمه وعدمه ، فهو على تقدير كونه منزّلا منزلة إخباره بالوضع ، اعتباره مبنيّ على اعتبار قول اللغوي في الأوضاع ، ونحن لا نرى ذلك فيما إذا كان واحدا ولم يكن ما ذكره مؤيّدا بالأمارات الّتي يعوّل عليها في المطالب اللغويّة ، كالتبادر العرفي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 ففي الموارد الغير المعلومة لا بدّ في قبول قول اللغوي من اعتبار شروط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اريد بذلك تأييد التبادر المدّعى ، فبعد عدم وجداننا له في العرف لا جدوى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بالمعارضة بما ذكره الاخفش ، من أنّ الأصل في التوصيف 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اعتراضات وأجوبة ركيكة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الكلام فيما استدلّ بفهم ابن عبّاس في بعض الآيات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 w:name="__RefHeading___Toc4588566_1280447820"/>
      <w:bookmarkStart w:id="56" w:name="_Toc15"/>
      <w:bookmarkEnd w:id="55"/>
      <w:r>
        <w:rPr>
          <w:rtl w:val="true"/>
        </w:rPr>
        <w:t xml:space="preserve">تنبيهات </w:t>
      </w:r>
      <w:r>
        <w:rPr>
          <w:rtl w:val="true"/>
        </w:rPr>
        <w:t>:</w:t>
      </w:r>
      <w:bookmarkEnd w:id="5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تقرّر عند القائل بثبوت المفهوم في الصفة أنّه يشترط </w:t>
      </w:r>
    </w:p>
    <w:p>
      <w:pPr>
        <w:pStyle w:val="BookText"/>
        <w:rPr/>
      </w:pPr>
      <w:r>
        <w:rPr>
          <w:rFonts w:ascii="Amiri" w:hAnsi="Amiri" w:eastAsia="Amiri" w:cs="Amiri"/>
          <w:color w:val="111111"/>
          <w:sz w:val="28"/>
          <w:sz w:val="28"/>
          <w:szCs w:val="28"/>
          <w:rtl w:val="true"/>
          <w:lang w:bidi="ar-SA"/>
        </w:rPr>
        <w:t xml:space="preserve">أن لا يكون واردا مورد الغالب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وَرَبائِبُكُمُ اللاَّتِي فِي حُجُورِكُمْ </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فإنّ التوصيف في المقام لا يدلّ على انتفاء الحكم في الربائب اللاتي ليست في الحجور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وعلّله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الباعث على التخصيص هو العادة ، فإنّ الربيب غالبا يكون في الحجور ، وإذا احتمل أن يكون ذلك هو الوجه في التخصيص لم يغلب على الظنّ أنّ سببه نفي الحكم عمّا عداه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في ذلك جماعة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 يناسب القول بأنّ التزام المفهوم إنّما هو لأجل إخراج الكلام عن اللغويّة ، أو القول بأنّ أصالة الحقيقة إنّما لا يعوّل عليها إذا لم تكن مفيدة للظنّ ، وإلاّ فعلى القول بالدلالة الوضعيّة مع عدم اعتبار الظنّ لا وجه له ، كما هو ظاهر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وعلّله المحقّق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النادر هو المحتاج حكمه إلى التنبيه ، والأفراد الشائعة تحضر في الأذهان عند إطلاق اللفظ المعرّى ، فلو حصل احتياج في الانفهام من اللفظ فإنّما يحصل في النادر ، فالعلّة في المذكور </w:t>
      </w:r>
      <w:r>
        <w:rPr>
          <w:rStyle w:val="FootnoteAnchor"/>
          <w:rtl w:val="true"/>
        </w:rPr>
        <w:footnoteReference w:id="165"/>
      </w:r>
      <w:r>
        <w:rPr>
          <w:rFonts w:ascii="Amiri" w:hAnsi="Amiri" w:eastAsia="Amiri" w:cs="Amiri"/>
          <w:color w:val="111111"/>
          <w:sz w:val="28"/>
          <w:sz w:val="28"/>
          <w:szCs w:val="28"/>
          <w:rtl w:val="true"/>
          <w:lang w:bidi="ar-SA"/>
        </w:rPr>
        <w:t xml:space="preserve">لا بدّ أن تكون شيئا آخر لا تخصيص الحكم بالغالب ، وهو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وَرَبائِبُكُمُ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التشبيه بالولد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أراد أن مجرّد انصراف المطلق إلى الأفراد الشائعة الغالبة ينهض وجها في عدم إرادة التخصيص من التوصيف مع إمكان إرادة التخصيص في الوصف الغالب أيضا ، فهو مطالب بالفرق بين المقامين ، حيث إنّه لا يعتبر التخصيص في الوصف الغالب ويعتبر في غيره مع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الوصف الغالب بمنزلة الوصف المساوي للموصوف ، فكما لا وجه لاعتبار التخصيص فيه كذلك فيما إذا كان الوصف غالبيّا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تصحيح ذلك فيما لو قلنا بأنّ الانصراف في المطلق ينزّل منزلة التخصيص اللفظي ، فيكون الوصف مساويا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لم نقل به أو قلنا ولكن لا في جميع مراتب التشكيك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ستعرفه في محلّه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لذلك ، لإمكان إرادة إخراج الفرد النادر عن مورد الحكم وإثبات خلاف الحكم له ، كما هو مقتضى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أنّ الوصف الغالبي مع إرادة التخصيص منه واختصاص محلّ الحكم في الموصوف لا وجه لاعتبار المفهوم فيه نظرا إلى أنّ النادر إنّما هو المحتاج حكمه إلى التنبيه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ذكره في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بعضهم بأنّ غاية ما يلزم من انصراف المطلق إلى الفرد الغالب اختصاص الحكم به ، وهو غير الدلالة على الانتفاء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 التقييد بالوصف الغالب للدلالة على المفهوم على القول به في غيره ، بل المقام أولى به من غيره ، لانتفاء بعض الفوائد التي لأجل احتمالها طرحنا القول بالمفهوم ، كما لا يخفى</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الإنصاف أنّ الظاهر من كلامه هو أنّ الغلبة في الوصف مانعة عن إرادة التخصيص به ، وبعد عدم إرادة التخصيص من الوصف لا يعقل ثبوت المفهوم ، لأنّ الانتفاء فرع الاختصاص ، إلاّ أنّه بعد مطالب بالفرق ،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بسطنا لك القول في مفهوم الشرط ، من أنّ اللازم في أخذ المفهوم الأخذ بجميع مجامع الكلام وقيوده سوى النفي والإثبات ، فمفهوم الوصف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غنم سائمة فيه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من غير السائمة فيه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جماعة من الفحول تخيّلوا اختلافهما في الكمّ أيضا ، فمفهوم الموجبة الكلّيّة السالبة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بعد ما عرفت أنّ السور في القضايا إنّما هو آلة لملاحظة ما تعلّق به ولا يعتبر موضوعا فيها تحكم بفساد الخيال المذكور ، ولا حاجة إلى إطالة الكلام بعد ذلك</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نسبة القول بالتفصيل بين ما كان الوصف علّة وبين غيره إلى العلاّمة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أيضا أنّ مرجعه إلى القول بحجّيّة مفهوم العلّة </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عليه في محكيّ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لم يلزم من عدمه العدم لزم ثبوت المعلول بدون العلّة أو يلزم خروج الوصف عن كونه علّة ، لأنّ ثبوت الحكم مع عدمه لا بدّ له من مستند آخر ، فالوصف يكون إحدى العلّتين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دعوى ظهور اللفظ الظاهر في العلّية في الانحصار أيضا ، وإلاّ فلا وجه لما جعله تاليا في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يرد عليه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تعدّد العلّة في الشرعيات غير عزيز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يرد عليه منع الظهور في الانحصار في الوصف الظاهر في العلّية ، فتدبّر</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16264_169397"/>
      <w:bookmarkStart w:id="58" w:name="pg16264_169397"/>
      <w:bookmarkEnd w:id="58"/>
    </w:p>
    <w:p>
      <w:pPr>
        <w:pStyle w:val="Heading3"/>
        <w:numPr>
          <w:ilvl w:val="2"/>
          <w:numId w:val="1"/>
        </w:numPr>
        <w:rPr/>
      </w:pPr>
      <w:bookmarkStart w:id="59" w:name="pg16264_169397"/>
      <w:bookmarkStart w:id="60" w:name="__RefHeading___Toc4588568_1280447820"/>
      <w:bookmarkStart w:id="61" w:name="_Toc16"/>
      <w:bookmarkEnd w:id="59"/>
      <w:bookmarkEnd w:id="60"/>
      <w:r>
        <w:rPr>
          <w:rtl w:val="true"/>
        </w:rPr>
        <w:t>هداية</w:t>
      </w:r>
      <w:bookmarkEnd w:id="61"/>
    </w:p>
    <w:p>
      <w:pPr>
        <w:pStyle w:val="BookText"/>
        <w:rPr/>
      </w:pP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كثير من أهل التحقيق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الحكم المغيّا بغاية يرتفع بعد حصول الغاية على وجه لو قيل بثبوته بعدها كان مناقضا للدليل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المراد بمفهوم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وتنقيح المبحث موقوف على رسم مقدّمة ،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يطلق ويراد به النهاية ، كما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منه الغاية الداعية إلى الفعل والعلّة الغائيّة ، حيث إنّه يترتّب عليه بعد وصوله إلى نهايته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يطلق ويراد به المسافة ، كما صرّح به التفتازاني في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لابتداء الغاية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لانتهاء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محكيّ التلويح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بالغاية في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لابتداء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المسافة ؛ إطلاقا لاسم الجزء على الكلّ ، فالغاية هي النهاية وليس لها ابتداء </w:t>
      </w:r>
      <w:r>
        <w:rPr>
          <w:rStyle w:val="FootnoteAnchor"/>
          <w:rtl w:val="true"/>
        </w:rPr>
        <w:footnoteReference w:id="17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خصوص المكان والزمان وإن كان يعطيه ظاهر بعض الكلمات في بعض المقامات ، بل المراد مطلق الامتداد الحاصل في غير المكان والزمان أيضا ، كما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أنشدت القصيدة من أوّلها إلى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المسافة المعقولة في ذلك ليست مكانيّة ولا زمانيّة ،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ظاهر التفتازاني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استعمال الغاية في المسافة إنّما هو مجاز عن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نهاية الشيء هو ضدّه ، وضدّ الشيء لا يكون جزءا منه ، فلا وجه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إطلاقا لاسم الجزء على الكلّ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وأجاب عنه الچلبي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الجزء المجاور للنهاية اطلق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علاقة المجاورة ، ثم اطلق ذلك الاسم على الكلّ ، فيكون مجازا بمرتبتين ، وهو غير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وجّه الاستعمال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المراد من الغاية هو الحدّ وإضافة الابتداء والانتهاء إليه بيانيّة ، من قبيل إضافة الفرد إلى الجنس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ما لا يخفى ؛ لأنّ انسباك المجاز عن مثله على تقدير جوازه عزيز الوجود جدّا ، مع أنّ الظاهر في الإضافة أن تكون لاميّة ، مضافا إلى أنّ استعمال الغاية في مطلق الحدّ الشامل للابتداء ممّا لم نقف عليه إلى الآن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في دفع الاعتراض عمّا أفاده التفتازاني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أنّ نهاية الشيء هو ضدّه ، بل النهاية ليست إلاّ أمرا اعتباريّا يصحّ انتزاعه من الشيء بعد فرض انقطاعه بملاحظة ما يغايره ويضادّه ، كالبداية ، فإنّها أيضا أمر منتزع من الشيء الممتدّ في أوّل أجزاء وجوده بملاحظة ما يغايره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المنتزع وإن لم يكن جزءا من الشيء ، إلاّ أنّ منشأ انتزاع جزء منه كمنشإ انتزاع البداية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حيث إنّه قلنا بامتناع الجزء الجوهري فلا بدّ أن لا يكون منشأ الانتزاع موجودا فعليّا في ذلك الممتدّ ، بل يجب أن يكون مفروضا كما في سائر الأقسام الفرضيّة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 ذلك فلا يخلو ما ذكره التفتازاني عن شيء ؛ نظرا إلى ظاهر كلام القاموس والصحاح ، حيث جعلا من معاني الغاية مدى الشيء ، فلا حاجة إلى ارتكاب التأويل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بأنّه لا يزيد على مجرّد الاستعمال فالظاهر أنّه من توابع استعمال الغاية فيما هو المقصود ؛ نظرا إلى أنّ غاية الشيء إنّما هي مقصودة ، فتدبّر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المقصود فيما نحن بصدده يحتمل أن يكون النهاية ، 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المفروض نهايته بإحدى آلات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ينتفي بعد حصول النهاية أو لا؟ ويحتمل أن يكون المراد منه مدخول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مدخول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أن يكون نهاية على الحقيقة ، فإنّ مدخول تلك الآلات قد يكون ممّا يشتمل على أجزاء من الامور الممتدّة كالكوفة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 من البصرة إلى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أَتِمُّوا الصِّيامَ إِلَى اللَّيْلِ </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وقد لا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مدخول الأداة لا يجب أن يكون نهاية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على الثاني 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فقد وقع الخلاف بينهم في أنّ الحكم المنطوقي الثابت لما قبل الغاية هل هو ثابت لنفس الغاية أو لا؟ ولا وجه لما زعمه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قيل بخروج الغاية كان النزاع المذكور في العنوان أوّلا غير متصوّر ، لأنّ اللفظ إذا دلّ على نفس الغاية كان ما بعدها أولى بالخروج ، فإنّ ذلك خلط بين النزاع في ثبوت المفهوم للغاية وبين دلالة المنطوق على ثبوت الحكم لنفس الغاية ، ولعلّه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ذكرنا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النزاع الثاني لا يحتمل إلاّ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بعض الأجلّة اتّحادهما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تمهّد تلك المقدّمة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لهم في المقام نزاعين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الغاية هل تدخل في المغيّا أو لا؟</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المغيّا هل ينتفي بعد حصول الغاية أو لا؟</w:t>
      </w:r>
    </w:p>
    <w:p>
      <w:pPr>
        <w:pStyle w:val="BookText"/>
        <w:rPr/>
      </w:pPr>
      <w:r>
        <w:rPr>
          <w:rFonts w:ascii="Amiri" w:hAnsi="Amiri" w:eastAsia="Amiri" w:cs="Amiri"/>
          <w:color w:val="111111"/>
          <w:sz w:val="28"/>
          <w:sz w:val="28"/>
          <w:szCs w:val="28"/>
          <w:rtl w:val="true"/>
          <w:lang w:bidi="ar-SA"/>
        </w:rPr>
        <w:t>ولنذكر كلّ واحد في 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المقام الأوّل ، فاختلف القوم فيه على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نجم الأئمة إلى الخروج مطلقا </w:t>
      </w:r>
      <w:r>
        <w:rPr>
          <w:rStyle w:val="FootnoteAnchor"/>
          <w:rtl w:val="true"/>
        </w:rPr>
        <w:footnoteReference w:id="174"/>
      </w:r>
      <w:r>
        <w:rPr>
          <w:rFonts w:ascii="Amiri" w:hAnsi="Amiri" w:eastAsia="Amiri" w:cs="Amiri"/>
          <w:color w:val="111111"/>
          <w:sz w:val="28"/>
          <w:sz w:val="28"/>
          <w:szCs w:val="28"/>
          <w:rtl w:val="true"/>
          <w:lang w:bidi="ar-SA"/>
        </w:rPr>
        <w:t>؛ نظرا إلى أنّ حدود الشيء خارجة عنه ، وحمل الموارد الّتي يظهر فيها الدخول على وجود القرينة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بالدخول مطلقا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وفصّل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بالدخول في الأوّل وبعدمه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اختاره الزمخشري على ما نسب إليه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وادّعى بعض النحاة الإجماع على الدخول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خلط بين العاطفة والخافضة ، كما نصّ عليه ابن هشام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وفصّل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 إذا كان ما قبل الغاية وما بعدها متّحدين في الجنس فقال بالدخول ، وبين غيره </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أقوال 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الأظهر بمقتضى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مطلقا ، حيث قد عرفت من أنّها الأمر المنتزع عمّا نفرض جزءا أخيرا للشيء المفروض امتداده بملاحظة ما يغايره ويضادّه في 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حال الابتداء في كلمة الابتداء ، فإنّه أيضا ينتزع من الجزء الأوّل للشيء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ذلك لا يجدي فيما هو محلّ الكلام ؛ إذ لا يعقل النزاع المذكور فيما إذا كان مدخول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بالمعنى المذكور ، بل لا بدّ من أن يكون ذلك المدخول ممّا يفرض له أجزاء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نبّهنا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 يكون نهاية في الحقيقة ، بل هو تسامح في جعل ما ينتهي عنده الشيء المغاير له نهاية ، إذ من الواضح افتراق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 ينتهي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النهاية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ينتهي عنده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الضدّ على ما زعمه المعترض المتقدّم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أدوات النهاية إنّما هي موضوعة لأن يلاحظ حال ما لحقت به من الأفعال على وجه النهاية ، ولا ريب في أنّ النهاية الحقيقيّة غير قابلة لأن ينازع في دخولها في ذيها ، لا نفسها ولا ما ينتزع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فلكونه أمرا اعتباريّا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فلبداهة دخول جزء الشيء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يستعمل تلك الأدوات فيما ليست نهاية حقيقيّة ، بل ولعلّ أغلب موارد استعمالها كذلك ، فيكون مدخول الأدوات نهاية تسامحيّة ، فيمكن أن ينازع فيه بالدخول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الأظهر خروج مثل هذه الغاية عمّا قبلها ، ولذلك ذهب إليه الأكثر واستظهره نجم الأئمة ، والتعليل الّذي استند إليه حينئذ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حيث كان 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ذلك تسامحا ، فيمكن فرض الكلام على وجه يستظهر منه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الأمثلة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القرائن ، وعند عدم القرينة فمع العلم بأنّ النهاية ليست نهاية حقيقيّة ، فلا بدّ من الرجوع إلى ما يقتضيه الأصل في كلّ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للرجوع إلى أصالة عدم الدخول ، فإنّه إن اريد بها عدم دخول الغاية في المغيّا موضوعا ، فذلك معلوم وجدانا 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اريد بها عدم دخولها فيه حكما فذلك ممّا يختلف فيه قضيّة الأصل بحسب اختلاف موارده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عدم العلم بذلك فالظاهر أنّه يحكم بالدخول نظرا إلى أصالة الحقيقة لو قلنا بأنّ الأداة </w:t>
      </w:r>
      <w:r>
        <w:rPr>
          <w:rStyle w:val="FootnoteAnchor"/>
          <w:rtl w:val="true"/>
        </w:rPr>
        <w:footnoteReference w:id="180"/>
      </w:r>
      <w:r>
        <w:rPr>
          <w:rFonts w:ascii="Amiri" w:hAnsi="Amiri" w:eastAsia="Amiri" w:cs="Amiri"/>
          <w:color w:val="111111"/>
          <w:sz w:val="28"/>
          <w:sz w:val="28"/>
          <w:szCs w:val="28"/>
          <w:rtl w:val="true"/>
          <w:lang w:bidi="ar-SA"/>
        </w:rPr>
        <w:t>موضوعة للنهاية الحقيقيّة ،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المقام الثاني ، فاختلفوا في أنّ تقييد الحكم بالغاية هل يوجب انتفاء الحكم رأسا وسنخا عمّا بعد الغاية على وجه لو ثبت له مثل الحكم المذكور بدليل آخر كان معارضا لذلك التقييد أو لا يوجب؟ فالمشهور بل المعظم على الأوّل ، وذهب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السيّد </w:t>
      </w:r>
      <w:r>
        <w:rPr>
          <w:rStyle w:val="FootnoteAnchor"/>
          <w:rtl w:val="true"/>
        </w:rPr>
        <w:footnoteReference w:id="181"/>
      </w:r>
      <w:r>
        <w:rPr>
          <w:rFonts w:ascii="Amiri" w:hAnsi="Amiri" w:eastAsia="Amiri" w:cs="Amiri"/>
          <w:color w:val="111111"/>
          <w:sz w:val="28"/>
          <w:sz w:val="28"/>
          <w:szCs w:val="28"/>
          <w:rtl w:val="true"/>
          <w:lang w:bidi="ar-SA"/>
        </w:rPr>
        <w:t xml:space="preserve">والشيخ </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 اعتبار المفهوم في المقام على القول به إنّما هو مثل اعتباره في الشرط ، من انتفاء سنخ الحكم في جانب المفهوم ، وإلاّ فانتفاء الحكم الشخصي ثابت في اللقب والوصف أيضا ، بل وذلك ضروريّ ؛ ضرورة اختصاص كلّ حكم مختص بموضوع بذلك الموضوع</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ذهب إلى القول الأوّل ومع ذلك يقول يجوز أن يكون الحكم فيما بعد الغاية كالحكم فيما قبلها بالنظر إلى خطاب آخر ، فقد أتى بشيء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إن </w:t>
      </w:r>
    </w:p>
    <w:p>
      <w:pPr>
        <w:pStyle w:val="BookText"/>
        <w:rPr/>
      </w:pPr>
      <w:r>
        <w:rPr>
          <w:rFonts w:ascii="Amiri" w:hAnsi="Amiri" w:eastAsia="Amiri" w:cs="Amiri"/>
          <w:color w:val="111111"/>
          <w:sz w:val="28"/>
          <w:sz w:val="28"/>
          <w:szCs w:val="28"/>
          <w:rtl w:val="true"/>
          <w:lang w:bidi="ar-SA"/>
        </w:rPr>
        <w:t>أراد بالجواز المذكور إمكانه بالنظر إلى ترجيح في جانب الخطاب الآخر فهو جار في جميع المفاهيم ، إذ لا يمنع ترك الظاهر بواسطة ما هو أظهر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عدم المعارضة فهو ممّن لا يقول باعتبار المفهوم قطعا ، فلا وجه لعدّ نفسه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صرّح بأنّ مفهوم الغاية أقوى من مفهوم الشرط وصرّح بظهور الثمرة عند التعارض بتقديم الأقوى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وأغرب من ذلك ما وجدناه في كلام بعض الأجلّة </w:t>
      </w:r>
      <w:r>
        <w:rPr>
          <w:rStyle w:val="FootnoteAnchor"/>
          <w:rtl w:val="true"/>
        </w:rPr>
        <w:footnoteReference w:id="184"/>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النزاع يتصوّر هنا في 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 التقييد بالغاية هل يقتضي مخالفة ما بعدها لما قبلها مطلقا أو لا؟ الثاني أنّ التقييد بها هل يقتضي المخالفة بالنسبة إلى الحكم المذكور أو لا؟ فاختار في الأوّل العدم وفي الثاني اختار الدلالة مع اعترافه بأنّ ظاهر كلامهم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استدلّ على مطلوبه في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يقتضي عرفا ولغة تعلّق طلبه بالصوم المغيّا بالليل ، وظاهر أنّ هذا لا ينافي تعلّق أمره أيضا بصوم الليل إلى الصبح بطلب مستقلّ ، فإنّ مرجع الأمرين إلى طلب الصومين المحدودين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يستدعي خروجه عمّا يقتضيه ظاهر الأمر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المفهوم من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انقطاع الصوم المأمور به بذلك الخطاب ببلوغ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حقّق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توابع الفعل من القيود اللاحقة للموضوع ، فيجري ذلك مجرى الوصف ، فكما لا نقول به فيه ، فكذلك فيما نحن فيه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أفاده ممّا لا يرجع إلى طائل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الانتفاء في المقام الثاني ممّا لا حاجة فيه إلى تجشّم الاستدلال ، ضرورة ارتفاع الحكم بارتفاع الموضوع فلا يعقل توجيه النزاع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ذكره وجها في المقام الأوّل ممّا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تعليق الفعل بالغاية ، كما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 من البصرة إلى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يلاحظ السير المبتدأ من البصرة المنتهى إلى الكوفة ويأمر به بواسطة اشتمال هذه القطعة من السير على مصلحة أو ينهى عنه مع قطع النظر عن سائر قطعات السير وجودا وعدما ، ومرجعه إلى طلب فعل واحد أوّله كذا وآخره كذا ، فالطلب إنّما تعلّق بالفعل المحدود ابتداء وانتهاء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يلاحظ السير المطلوب فعله أو تركه أوّلا ثمّ بعد اعتبار تعلّق طلبه به يلاحظ تحديده بداية ونهاية بما يصلح لذلك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لا وجه لاستعمال أداة الغاية والتعليق بها ، بل لو كان المراد ذلك فمن حقّه استعمال الغاية على جهة التوصيف ، إذ الكلام في أمثال المقام إنّما هو في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فمن حقّه استعمال التركيب المتنازع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إمكان رجوعه إلى التوصيف لا يجدي ، إذ لم يقم دليل على امتناعه في الشرط أيضا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ذكرنا يظهر فساد ما زعمه في توجيه ما صار إليه ، من أنّ توابع الفعل من القيود اللاحقة للمادّة لا للهيئة </w:t>
      </w:r>
      <w:r>
        <w:rPr>
          <w:rStyle w:val="FootnoteAnchor"/>
          <w:rtl w:val="true"/>
        </w:rPr>
        <w:footnoteReference w:id="186"/>
      </w:r>
      <w:r>
        <w:rPr>
          <w:rFonts w:ascii="Amiri" w:hAnsi="Amiri" w:eastAsia="Amiri" w:cs="Amiri"/>
          <w:color w:val="111111"/>
          <w:sz w:val="28"/>
          <w:sz w:val="28"/>
          <w:szCs w:val="28"/>
          <w:rtl w:val="true"/>
          <w:lang w:bidi="ar-SA"/>
        </w:rPr>
        <w:t>، نظرا إلى أنّ مفادها معنى حرفيّ ؛ فإنّ ذلك لا يقضي بما زعمه ، مضافا إلى عدم قدحه فيما إذا كان الطلب مثلا ، ولا ينافي ذلك كونه إنشاء لا إخبارا ،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لا فرق في الوجه الثاني بين أن يكون المطلوب المحدود ملحوظا على وجه يكون فعلا واحدا كما عرفت في الوجه الأوّل ، أو أفعالا متعدّدة فينحلّ إلى مطلوبات متعدّدة لكنّها محدودة بالغاية المذكورة ، أو يكون على وجه التوسعة فيكون المطلوب التخيير في الأفعال الّتي يمكن إيجادها في الوقت المضروب إلى زمان الغاية المفروضة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يدّعى ظهور الجملة المغيّاة بالغاية في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كثيرا من الموارد ممّا لا وجه لإرجاعها إليه ، كما في أغلب موارد التحريم والإباحة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تَقْرَبُوهُنَّ حَتَّى يَطْهُرْنَ </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وقوله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كُلُوا وَاشْرَبُوا حَتَّى يَتَبَيَّنَ لَكُمُ الْخَيْطُ الْأَبْيَضُ مِنَ الْخَيْطِ الْأَسْوَدِ </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إذ على تقديره يكون المراد تحريم المقاربة التي يكون غايتها الطهر وإباحة الأكل والشرب الذي يكون غايته التبيّن ، وذلك واضح الفساد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بعض الموارد ممّا يصلح لذلك ، كما في بعض الأمثلة ، إلاّ أنّك قد عرفت أنّ مجرّد الصلاحيّة مع ظهور اللفظ في الخلاف ممّا لا يجدي في مثل المقام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أفاد في أثناء احتجاجه على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إمساك مقيّد يكون نهايته الليل ، فلو فرض أنّ المطلوب إنّما هو إمساك ما زاد عليه لم يكن الإمساك إلى الليل مطلوبا لنفسه ، وهو خلاف ما يقتضيه ظاهر اللفظ ، فلا بدّ حينئذ إمّا من حمل الأمر على الطلب الغيري وهو عندنا وإن كان حقيقة إلاّ أنّه خلاف الظاهر من الإطلاق ، أو حمل الليل على الجزء المتأخّر عنه </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وهو بظاهره يشعر بإمكان دلالة الكلام المذكور على ما زاد على الإمساك إلى الليل ، وإنّما المانع منه ظهور الأمر في الوجوب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وفساده ظاهر ؛ لما عرفت من أنّ عدم الدلالة على الزيادة على الحكم الخاصّ على تقدير عدم المفهوم من أجلى الضروريّات ، سواء كان الأمر ظاهرا في الوجوب النفسي أو الغيري ، إذ على الثاني أيضا لا يمكن التجاوز عن مدلول اللفظ ،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الأمر ظاهرا في الوجوب النفسي ، فلو ورد بعد ذلك خطاب آخر يعلم باتّحاد التكليف منه ومن الخطاب الأوّل لا بدّ من حمل الأمر على الوجوب الغيري ، لأنّ دلالة الأمر على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بالإطلاق ، ومع وجود ما يصلح للتقييد لا يبقى له ظهور كما هو الشأن في جميع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هو الباعث إلى مصيره إليه فأثبت مقامين وزعم أنّ الثاني أيضا من المفهوم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ذكره بعينه جار في الوصف واللقب وأضرابها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تفطّن به أيضا ، إلاّ أنّه دفعه بأنّه لا يظهر هناك ثمرة ، بخلافه في المقام حيث نعلم اتّحاد التكليف ، كما لو ورد أمر بالصوم إلى سقوط القرص وورد أمر آخر إلى سقوط الحمرة فيحكم بينهما بالتعارض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التعارض إن كان بواسطة دلالة الغاية على انتفاء الأمر ، فعدم مجيئه بالوصف مسلّم ، إلاّ أنّه خلاف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بواسطة ظهور الأمر في النفسي بعد فرض اتّحاد التكليف فهو منقوض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إذا علّق الحكم على صفة خاصّة ثمّ علّق على صفة عامّة مع القطع باتّحاد التكليف ، فانّ الظاهر من الأوّل عدم تجاوز الحكم عن موضوعه ، والظاهر من الثاني تجاوزه عن الموضوع الأوّل وإن لم يتجاوز عن موضوعه ، فيقع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إنّ ذلك ليس من المفهوم ولا يعدّ من التعارض أيضا ، ضرورة حمل المطلق على المقيّد في الثاني وعدم الاعتداد بظهور الأمر الأوّل في النفسي بعد ورود الأمر الثاني ، كما نبّهنا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أنّ الأظهر في المقام هو القول بالدلالة ، ولا حاجة إلى تطويل الكلام في بيان المرام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النافي بما قدّمناه في مفهوم الوصف ، من انتفاء الدلالات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العرف شاهد على ثبوت الدلالة الالتزاميّة ، فبطلان التالي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الدلالة المذكورة كما هي ثابتة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ثبوت نظيرها </w:t>
      </w:r>
      <w:r>
        <w:rPr>
          <w:rStyle w:val="FootnoteAnchor"/>
          <w:rtl w:val="true"/>
        </w:rPr>
        <w:footnoteReference w:id="191"/>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الابتدائيّة أيضا كما صرّح به جماعة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استفادة الترتيب أيضا من الكلام المشتمل على الكلمتين إلاّ ما أخرجه الدليل ، فيصار إلى المجاز بدليله ، كما في آية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الهادي إلى سواء السبيل</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16264_169409"/>
      <w:bookmarkStart w:id="63" w:name="pg16264_169409"/>
      <w:bookmarkEnd w:id="63"/>
    </w:p>
    <w:p>
      <w:pPr>
        <w:pStyle w:val="Heading3"/>
        <w:numPr>
          <w:ilvl w:val="2"/>
          <w:numId w:val="1"/>
        </w:numPr>
        <w:rPr/>
      </w:pPr>
      <w:bookmarkStart w:id="64" w:name="pg16264_169409"/>
      <w:bookmarkStart w:id="65" w:name="__RefHeading___Toc4588570_1280447820"/>
      <w:bookmarkStart w:id="66" w:name="_Toc17"/>
      <w:bookmarkEnd w:id="64"/>
      <w:bookmarkEnd w:id="65"/>
      <w:r>
        <w:rPr>
          <w:rtl w:val="true"/>
        </w:rPr>
        <w:t>هداية</w:t>
      </w:r>
      <w:bookmarkEnd w:id="66"/>
    </w:p>
    <w:p>
      <w:pPr>
        <w:pStyle w:val="BookText"/>
        <w:rPr/>
      </w:pPr>
      <w:r>
        <w:rPr>
          <w:rFonts w:ascii="Amiri" w:hAnsi="Amiri" w:eastAsia="Amiri" w:cs="Amiri"/>
          <w:color w:val="111111"/>
          <w:sz w:val="28"/>
          <w:sz w:val="28"/>
          <w:szCs w:val="28"/>
          <w:rtl w:val="true"/>
          <w:lang w:bidi="ar-SA"/>
        </w:rPr>
        <w:t>في ما يفيد الحصر ، سواء كان الدالّ مادّة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الإضرابيّة ومادّة الحصر والقصر وأشباهها ، كتقديم ما هو حقّه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الاستثناء ، وهو من النفي يفيد إثبات الحكم للمستثنى فقولك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جاءني أحد إلاّ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الإثبات يفيد انتفاء الحكم له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جاءني القوم إلاّ زيدا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نعثر على حكاية خلاف في الحكمين إلاّ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إنّه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حكي </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الإفادة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والمعقول من كلامه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المستفاد من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جاءني إلاّ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عدم دخول زيد في الحكم المذكور ، وأمّا حكمه فيحتمل أن يكون موافقا أو مخالفا ، إلاّ أنّ شيئا منهما غير مستفاد من الكلام المذكور ، فغاية ما يفيده الاستثناء خروج المستثنى عن كونه مخبرا عنه بالنفي والإثبات</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w:t>
      </w:r>
      <w:r>
        <w:rPr>
          <w:rStyle w:val="FootnoteAnchor"/>
          <w:rtl w:val="true"/>
        </w:rPr>
        <w:footnoteReference w:id="194"/>
      </w:r>
      <w:r>
        <w:rPr>
          <w:rFonts w:ascii="Amiri" w:hAnsi="Amiri" w:eastAsia="Amiri" w:cs="Amiri"/>
          <w:color w:val="111111"/>
          <w:sz w:val="28"/>
          <w:sz w:val="28"/>
          <w:szCs w:val="28"/>
          <w:rtl w:val="true"/>
          <w:lang w:bidi="ar-SA"/>
        </w:rPr>
        <w:t xml:space="preserve">بمثل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على تقدير عدمه يلزم أن يكون الطهارة المقرونة مع فقد الشرائط 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ضعيف جدّا ؛ فإنّ الحصر إضافيّ بالنسبة إلى حالة فقدان الطهارة مع فرض نفي </w:t>
      </w:r>
      <w:r>
        <w:rPr>
          <w:rStyle w:val="FootnoteAnchor"/>
          <w:rtl w:val="true"/>
        </w:rPr>
        <w:footnoteReference w:id="195"/>
      </w:r>
      <w:r>
        <w:rPr>
          <w:rFonts w:ascii="IRNazanin" w:hAnsi="IRNazanin" w:eastAsia="IRNazanin"/>
          <w:color w:val="111111"/>
          <w:sz w:val="28"/>
          <w:sz w:val="28"/>
          <w:szCs w:val="28"/>
          <w:rtl w:val="true"/>
          <w:lang w:bidi="fa-IR"/>
        </w:rPr>
        <w:t>الأجزاء والشرائط ، ومجرّد الاستعمال أعمّ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وشواهد خلافه كثيرة ، أقواها التبادر كما يحكم به الوجدان السليم وادّعى جماعة الإجماع على ذلك ، ومنهم العضدي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وقبول رسول اللّه صلى‌اللّه‌عليه‌وآله إسلام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أعدل الشواهد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بأنّ ذلك للقرينة أو أنّها تدلّ على التوحيد شرعا بمكان من السخافة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 الإجماع المذكور ذهاب جماعة في دفع التناقض في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الاستناد إنّما هو بعد الإخراج ، لأنّ الكلام في دلالة الإخراج سواء كان قبل الاستناد أو بعده ، وعلى تقدير التنافي فذهابهم إلى ذلك باطل ، كما اعترض عليهم المحقّق القمّي رحمه‌اللّه أيضا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إنّهم اختلفوا في كلمة الطيّبة التوحيديّة بين من يقول باستغناء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الخبر كما ذهب إليه التميميّون </w:t>
      </w:r>
      <w:r>
        <w:rPr>
          <w:rStyle w:val="FootnoteAnchor"/>
          <w:rtl w:val="true"/>
        </w:rPr>
        <w:footnoteReference w:id="198"/>
      </w:r>
      <w:r>
        <w:rPr>
          <w:rFonts w:ascii="Amiri" w:hAnsi="Amiri" w:eastAsia="Amiri" w:cs="Amiri"/>
          <w:color w:val="111111"/>
          <w:sz w:val="28"/>
          <w:sz w:val="28"/>
          <w:szCs w:val="28"/>
          <w:rtl w:val="true"/>
          <w:lang w:bidi="ar-SA"/>
        </w:rPr>
        <w:t xml:space="preserve">، وبين من يقول بأنّ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والأظهر الأوّل ، وتحقيقه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الوجود كما قد يؤخذ محمولا وقد يؤخذ رابطة ، فكذلك العدم قد يكون محمولا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معدوم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رابطة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ليس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 يحتاج إلى الطرفين ، لامتناع تحقّق الرابط </w:t>
      </w:r>
    </w:p>
    <w:p>
      <w:pPr>
        <w:pStyle w:val="BookText"/>
        <w:rPr/>
      </w:pPr>
      <w:r>
        <w:rPr>
          <w:rFonts w:ascii="Amiri" w:hAnsi="Amiri" w:eastAsia="Amiri" w:cs="Amiri"/>
          <w:color w:val="111111"/>
          <w:sz w:val="28"/>
          <w:sz w:val="28"/>
          <w:szCs w:val="28"/>
          <w:rtl w:val="true"/>
          <w:lang w:bidi="ar-SA"/>
        </w:rPr>
        <w:t>بدونهما ، والأوّل لا يحتاج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فالعدم المستفاد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طريقة التميميّين عدم محمول </w:t>
      </w:r>
      <w:r>
        <w:rPr>
          <w:rStyle w:val="FootnoteAnchor"/>
          <w:rtl w:val="true"/>
        </w:rPr>
        <w:footnoteReference w:id="200"/>
      </w:r>
      <w:r>
        <w:rPr>
          <w:rFonts w:ascii="Amiri" w:hAnsi="Amiri" w:eastAsia="Amiri" w:cs="Amiri"/>
          <w:color w:val="111111"/>
          <w:sz w:val="28"/>
          <w:sz w:val="28"/>
          <w:szCs w:val="28"/>
          <w:rtl w:val="true"/>
          <w:lang w:bidi="ar-SA"/>
        </w:rPr>
        <w:t>ولا يحتاج إلى تقدير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عنوان الإلهيّة مطلقا إلاّ في اللّه ، كما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مال ولا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يراد منه انتفى المال والأهل ، وهذا المعنى لا يحتاج إلى خبر ، لتمام الكلام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يشكل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نجد من صرّح بأنّها ترد اسميّة ، وهذا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معنى رابطيّا ومدلولا حرفيّا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أن يكون استعارة عمّا يصلح لإفادة ذلك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رجل ولا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وأضرابهما غير محتاج إلى تقدير الخبر ، بل الكلام المذكور في قوّة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ورجل ، ولا شيء ومال ، ولا شيء وإله ، ففي الحقيقة يكون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مع ذلك لا يخلو عن إشكال ، فإنّ التزام ذلك في المقام إنّما هو بواسطة ما يلزم على القول بالاحتياج إلى الخبر من المحاذير ، 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المحاذير على تقدير عدم الحاجة أيضا ثابتة ، فإنّ إثبات عنوان الإلهيّة لله تعالى إمّا أن يكون بالفعل أو بالإمكان ، فعلى الأوّل لا يدلّ على نفي إمكان الغير ، وعلى الثاني لا يدل على ثبوت العنوان له تعالى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يتصوّر الفرق بينهما أنّه على تقدير الاحتياج إلى الخبر إنّما يتوجّه الترديد المذكور بالنسبة إلى نفس الخبر ، وعلى تقدير عدمه إنّما يتوجّه بالنسبة إلى مادّة القضيّة وكيفيّة ثبوت المحمول للموضوع ، وذلك لا يجدي في دفع المحذور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التجأ بعضهم إلى القول بالنقل الشرعي في الكلام المزبور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فالأوجه على ما صرّح به بعض المحقّقين </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المنساق من ذلك ليس إلاّ إثبات عنوان الإلهيّة لله تعالى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نفي إمكان غيره فإنّما هو بواسطة ملازمة واقعيّة بينهما ، ولا يضرّ خفاء تلك الملازمة ، فإنّ ما اختفى منها إنّما هو الالتفات اليها تفصيلا ، بمعنى عدم الشعور بعلمها ، وأمّا العلم بنفس الملازمة فإنّما هو ممّا فطر اللّه تعالى عليه عامّة الخلق ، كما ذهب إليه جماعة من العرفاء والحكماء الالهيّين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 الاختفاء فلا مانع من القول بكفاية ذلك في الحكم بالإسلام ، سيّما في صدر الإسلام كما صرّح به جماعة أيضا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إنّهم اختلفوا في كون الدلالة المذكورة هل بالمنطوق أو بالمفهوم؟ فإن أرادوا بذلك ترتيب أحكام أحد القسمين عليها عند التشخيص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نعرف حكما يخصّ بأحدهما ، إذ ليسا مأخوذين في عنوان دليل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تقديم المنطوق عند التعارض فقد عرفت ما فيه ، إذ المدار على الأقوائيّة والظهور ، ولا دليل على دورانهما مدارهما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أرادوا بذلك تشخيص ما هو الواقع بحسب الاصطلاح ، فالظاهر أنّه من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زيد إلاّ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يشتمل على 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سلب جميع المحمولات عن زيد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القيام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مستفاد منطوقا ، والثاني مفهوما ، نظرا إلى ما وجّهنا حدّيهما فيما تقدّم ، إلاّ أنّه مع ذلك لا طائل تحته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الإضراب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ما جيء به للترقّى فلا يفيد الحصر قطعا ، إذ لا وجه لاستفادة الحصر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من جزم بعدم إفادتها الحصر </w:t>
      </w:r>
    </w:p>
    <w:p>
      <w:pPr>
        <w:pStyle w:val="BookText"/>
        <w:rPr/>
      </w:pPr>
      <w:r>
        <w:rPr>
          <w:rFonts w:ascii="Amiri" w:hAnsi="Amiri" w:eastAsia="Amiri" w:cs="Amiri"/>
          <w:color w:val="111111"/>
          <w:sz w:val="28"/>
          <w:sz w:val="28"/>
          <w:szCs w:val="28"/>
          <w:rtl w:val="true"/>
          <w:lang w:bidi="ar-SA"/>
        </w:rPr>
        <w:t>فيما إذا دخلت على الجملة وادّعى الوفاق فإنّما أراد ما ذكرنا ؛ نظرا إلى أنّ الأغلب كونها للترقّي ، بخلاف ما إذا كان بعدها مفرد ، فيحتمل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ففيما إذا كانت إضرابيّة اختلفوا فيها على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إفادتها الحصر مطلقا سواء كان في الإيجاب أو النفي ، وهو المنسوب إلى الحاجبي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مطلقا ، وهو المنسوب إلى الزمخشري </w:t>
      </w:r>
      <w:r>
        <w:rPr>
          <w:rStyle w:val="FootnoteAnchor"/>
          <w:rtl w:val="true"/>
        </w:rPr>
        <w:footnoteReference w:id="205"/>
      </w:r>
      <w:r>
        <w:rPr>
          <w:rFonts w:ascii="Amiri" w:hAnsi="Amiri" w:eastAsia="Amiri" w:cs="Amiri"/>
          <w:color w:val="111111"/>
          <w:sz w:val="28"/>
          <w:sz w:val="28"/>
          <w:szCs w:val="28"/>
          <w:rtl w:val="true"/>
          <w:lang w:bidi="ar-SA"/>
        </w:rPr>
        <w:t xml:space="preserve">، فقولك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جاءني زيد بل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يدلّ على صرف الحكم المقصود بالكلام إنشاؤه عن زيد وإثباته لعمرو من غير دلالة على حكم المتبوع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النفي فيدلّ ، والإثبات فلا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اليه جماعة منهم نجم الائمّة </w:t>
      </w:r>
      <w:r>
        <w:rPr>
          <w:rStyle w:val="FootnoteAnchor"/>
          <w:rtl w:val="true"/>
        </w:rPr>
        <w:footnoteReference w:id="206"/>
      </w:r>
      <w:r>
        <w:rPr>
          <w:rFonts w:ascii="Amiri" w:hAnsi="Amiri" w:eastAsia="Amiri" w:cs="Amiri"/>
          <w:color w:val="111111"/>
          <w:sz w:val="28"/>
          <w:sz w:val="28"/>
          <w:szCs w:val="28"/>
          <w:rtl w:val="true"/>
          <w:lang w:bidi="ar-SA"/>
        </w:rPr>
        <w:t xml:space="preserve">والتفتازاني </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بعض أعاظم المتأخّرين </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واستند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احتمال الغلط في النفي بعيد ، بخلافه في الإثبات</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ينبغي أن لا يكون من موضع الخلاف ما إذا كانت مسبوقة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حينئذ كالنصّ في ثبوت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دعوى الوفاق ، إلاّ أنّ ابن هشام جعله لتأكيد الإضراب </w:t>
      </w:r>
      <w:r>
        <w:rPr>
          <w:rStyle w:val="FootnoteAnchor"/>
          <w:rtl w:val="true"/>
        </w:rPr>
        <w:footnoteReference w:id="209"/>
      </w:r>
      <w:r>
        <w:rPr>
          <w:rFonts w:ascii="Amiri" w:hAnsi="Amiri" w:eastAsia="Amiri" w:cs="Amiri"/>
          <w:color w:val="111111"/>
          <w:sz w:val="28"/>
          <w:sz w:val="28"/>
          <w:szCs w:val="28"/>
          <w:rtl w:val="true"/>
          <w:lang w:bidi="ar-SA"/>
        </w:rPr>
        <w:t>فلو كان لمجرّد الصرف عنده كان مخالفا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الحصر بإنّما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في ذلك ، والمشهور على الإفادة ، وذهب بعضهم إلى العدم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واحتجّوا بامور ، أقواها تصريح اهل اللغة كالأزهري </w:t>
      </w:r>
      <w:r>
        <w:rPr>
          <w:rStyle w:val="FootnoteAnchor"/>
          <w:rtl w:val="true"/>
        </w:rPr>
        <w:footnoteReference w:id="211"/>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أظفر بمخالف فيه </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بعضهم إجماع النحاة على ذلك </w:t>
      </w:r>
      <w:r>
        <w:rPr>
          <w:rStyle w:val="FootnoteAnchor"/>
          <w:rtl w:val="true"/>
        </w:rPr>
        <w:footnoteReference w:id="213"/>
      </w:r>
      <w:r>
        <w:rPr>
          <w:rFonts w:ascii="Amiri" w:hAnsi="Amiri" w:eastAsia="Amiri" w:cs="Amiri"/>
          <w:color w:val="111111"/>
          <w:sz w:val="28"/>
          <w:sz w:val="28"/>
          <w:szCs w:val="28"/>
          <w:rtl w:val="true"/>
          <w:lang w:bidi="ar-SA"/>
        </w:rPr>
        <w:t xml:space="preserve">، وهو المنقول عن أئمة التفسير أيضا </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 المبرّد في جواب من سأله عن اختلاف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زيدا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زيد قائم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الأوّل إخبار عن قيامه فقط والثاني إخبار عن قيامه مع اختصاصه به </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اختلاف المدلول باختلاف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 ذلك بدعوى التبادر عند استعمال تلك اللفظة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والانصاف أنّه لا سبيل لنا إلى ذلك ؛ فإنّ موارد استعمال هذه اللفظة مختلفة ، ولا يعلم بما هو مرادف لها في عرفنا حتّى يستكشف منها ما هو المتبادر منها ، بخلاف ما هو بأيدينا من الألفاظ المترادفة قطعا لبعض الكلمات العربيّة ، كما في أداة الشرط ونحوها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النقل المذكور فاعتباره في المقام موقوف على اعتبار قول اللغوي في تشخيص الأوضاع على تقدير أن لا يكون ذلك منهم اجتهادا ، ولم يثبت ذلك إلاّ على تقدير اعتبار مطلق الظنّ كما قرّر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يتمسّك بأنّ العلماء لا يزالون يتمسّكون بحديث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الأعمال بالنيّات </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xml:space="preserve">بفساد العمل بلا نيّة ، كاعتمادهم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الولاء لمن أعتق </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يجدي شيئا ، إذ بعد الغضّ عمّا فيه لا يزيد عن مجرّد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فقد صرّح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الموجب للحصر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ما </w:t>
      </w:r>
      <w:r>
        <w:rPr>
          <w:rStyle w:val="FootnoteAnchor"/>
          <w:rtl w:val="true"/>
        </w:rPr>
        <w:footnoteReference w:id="218"/>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Style w:val="FootnoteAnchor"/>
          <w:rtl w:val="true"/>
        </w:rPr>
        <w:footnoteReference w:id="219"/>
      </w:r>
      <w:r>
        <w:rPr>
          <w:rFonts w:ascii="Amiri" w:hAnsi="Amiri" w:eastAsia="Amiri" w:cs="Amiri"/>
          <w:color w:val="111111"/>
          <w:sz w:val="28"/>
          <w:sz w:val="28"/>
          <w:szCs w:val="28"/>
          <w:rtl w:val="true"/>
          <w:lang w:bidi="ar-SA"/>
        </w:rPr>
        <w:t xml:space="preserve">، وهو تضمّنها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اجتماع حرفي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الموجب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ليس إلاّ الوضع ، وإلاّ فمجرّد ما زعمه في الموجب فاسد جدّا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الوضع ممّا لا شاهد عليها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المسند إليه </w:t>
      </w:r>
      <w:r>
        <w:rPr>
          <w:rStyle w:val="FootnoteAnchor"/>
          <w:rtl w:val="true"/>
        </w:rPr>
        <w:footnoteReference w:id="220"/>
      </w:r>
      <w:r>
        <w:rPr>
          <w:rFonts w:ascii="Amiri" w:hAnsi="Amiri" w:eastAsia="Amiri" w:cs="Amiri"/>
          <w:color w:val="111111"/>
          <w:sz w:val="28"/>
          <w:sz w:val="28"/>
          <w:szCs w:val="28"/>
          <w:rtl w:val="true"/>
          <w:lang w:bidi="ar-SA"/>
        </w:rPr>
        <w:t xml:space="preserve">باللام إذا كان الخبر خاصّا ،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الانسان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الخبر أعمّ مطلقا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الانسان 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من وجه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الإنسان 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التفتازاني إلحاقه بالأوّل ، ونصّ عليه بعض الأفاضل </w:t>
      </w:r>
      <w:r>
        <w:rPr>
          <w:rStyle w:val="FootnoteAnchor"/>
          <w:rtl w:val="true"/>
        </w:rPr>
        <w:footnoteReference w:id="221"/>
      </w:r>
      <w:r>
        <w:rPr>
          <w:rFonts w:ascii="Amiri" w:hAnsi="Amiri" w:eastAsia="Amiri" w:cs="Amiri"/>
          <w:color w:val="111111"/>
          <w:sz w:val="28"/>
          <w:sz w:val="28"/>
          <w:szCs w:val="28"/>
          <w:rtl w:val="true"/>
          <w:lang w:bidi="ar-SA"/>
        </w:rPr>
        <w:t xml:space="preserve">، وربّما يؤيّده أيضا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التوكّل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الخبر في هذه التراكيب لا يكون أخصّ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عدم اختصاصه بما إذا كان المسند إليه وصفا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الظاهر أنّ الوجه في إفادة الحصر وعدم تجاوز المبتدأ عن الخبر هو التعريف كما يظهر من عنوان البحث ، إلاّ أنّه يلوح من بعض كلماتهم أنّ الوجه في ذلك هو كون المعنى موضوعا لما هو المحمول في الكلام ، وعلى ذلك فعنوان البحث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المسند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وجه له إلاّ بواسطة ما يتوصّل به إلى جعل المعرّف مسندا إليه ، وهو كما ترى خلاف الظاهر ، سيّما بملاحظة ما ذكروه في تعريف المسند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كان فاختلفوا في ذلك ، فالأكثر على الإفادة ، وذهب بعضهم إلى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والقائلون بالإفادة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من صرّح بأنّ ذلك بواسطة المقام وليس لذلك </w:t>
      </w:r>
      <w:r>
        <w:rPr>
          <w:rStyle w:val="FootnoteAnchor"/>
          <w:rtl w:val="true"/>
        </w:rPr>
        <w:footnoteReference w:id="222"/>
      </w:r>
      <w:r>
        <w:rPr>
          <w:rFonts w:ascii="Amiri" w:hAnsi="Amiri" w:eastAsia="Amiri" w:cs="Amiri"/>
          <w:color w:val="111111"/>
          <w:sz w:val="28"/>
          <w:sz w:val="28"/>
          <w:szCs w:val="28"/>
          <w:rtl w:val="true"/>
          <w:lang w:bidi="ar-SA"/>
        </w:rPr>
        <w:t xml:space="preserve">كاشف لفظيّ كما نقله البعض عن إمام الحرمين </w:t>
      </w:r>
      <w:r>
        <w:rPr>
          <w:rStyle w:val="FootnoteAnchor"/>
          <w:rtl w:val="true"/>
        </w:rPr>
        <w:footnoteReference w:id="223"/>
      </w:r>
      <w:r>
        <w:rPr>
          <w:rFonts w:ascii="Amiri" w:hAnsi="Amiri" w:eastAsia="Amiri" w:cs="Amiri"/>
          <w:color w:val="111111"/>
          <w:sz w:val="28"/>
          <w:sz w:val="28"/>
          <w:szCs w:val="28"/>
          <w:rtl w:val="true"/>
          <w:lang w:bidi="ar-SA"/>
        </w:rPr>
        <w:t>، وهو الظاهر من كلّ من تمسّك في المقام بأنّ العدول عن الترتيب الطبيعي إلى خلافه يحتاج إلى نكتة ، وبين من يرى ذلك بواسطة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الأوّلون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ظهور إجماع البيانيّين كما يظهر من إرسالهم ذلك إرسال المسلّمات ، والتبادر على ما يساعد عليه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بوجوه ، أقواها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التفتازاني في المسند المعرّف </w:t>
      </w:r>
      <w:r>
        <w:rPr>
          <w:rStyle w:val="FootnoteAnchor"/>
          <w:rtl w:val="true"/>
        </w:rPr>
        <w:footnoteReference w:id="224"/>
      </w:r>
      <w:r>
        <w:rPr>
          <w:rFonts w:ascii="Amiri" w:hAnsi="Amiri" w:eastAsia="Amiri" w:cs="Amiri"/>
          <w:color w:val="111111"/>
          <w:sz w:val="28"/>
          <w:sz w:val="28"/>
          <w:szCs w:val="28"/>
          <w:rtl w:val="true"/>
          <w:lang w:bidi="ar-SA"/>
        </w:rPr>
        <w:t>، لكنّه جار في المقام أيضا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الأمير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حملت على الاستغراق فأمره ظاهر ، وإن حملت على الجنس فهو يفيد أنّ جنس الأمير </w:t>
      </w:r>
    </w:p>
    <w:p>
      <w:pPr>
        <w:pStyle w:val="BookText"/>
        <w:rPr/>
      </w:pPr>
      <w:r>
        <w:rPr>
          <w:rFonts w:ascii="Amiri" w:hAnsi="Amiri" w:eastAsia="Amiri" w:cs="Amiri"/>
          <w:color w:val="111111"/>
          <w:sz w:val="28"/>
          <w:sz w:val="28"/>
          <w:szCs w:val="28"/>
          <w:rtl w:val="true"/>
          <w:lang w:bidi="ar-SA"/>
        </w:rPr>
        <w:t xml:space="preserve">وماهيّته متّحد مع زيد كما هو قضية الحمل وهو المطلوب ، أو يجب حينئذ أن لا يصدق جنس الأمير إلاّ حيث </w:t>
      </w:r>
      <w:r>
        <w:rPr>
          <w:rStyle w:val="FootnoteAnchor"/>
          <w:rtl w:val="true"/>
        </w:rPr>
        <w:footnoteReference w:id="225"/>
      </w:r>
      <w:r>
        <w:rPr>
          <w:rFonts w:ascii="Amiri" w:hAnsi="Amiri" w:eastAsia="Amiri" w:cs="Amiri"/>
          <w:color w:val="111111"/>
          <w:sz w:val="28"/>
          <w:sz w:val="28"/>
          <w:szCs w:val="28"/>
          <w:rtl w:val="true"/>
          <w:lang w:bidi="ar-SA"/>
        </w:rPr>
        <w:t>يصدق زيد ، وهو معنى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على نفسه سؤالا في الخبر المعرّف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بالخبر المنكّر كما في القضايا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المحمول فيها مفهوم الفرد ، ثمّ تنظّر فيه وبيّنه بأنّ اعتبار مفهوم الفرد خارج عن طريق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 لأنّ الفرديّة أمر منتزع من حمل الماهيّة الإنسانيّة على زيد مثلا ، فكيف يمكن اعتبارها في المحمول؟ مع أنّ اعتبار مفهوم الفرد يوجب التسلسل ، فإنّه أيضا 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المحمول هو نفس مفهوم الإنسان ومفاد القضيّة الحمليّة هو أنّ زيدا وجود الإنسان في الخارج ، بمعنى أنّ هذا المفهوم الّذي في الذهن موجود علميّ في الخارج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الاعتبار ينتزع الفرديّة من زيد والكلّية من الإنسان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المقام وتوضيحه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الماهيّة الواقعة في مقام المحمول أو الموضوع تارة يمكن اعتبارها على وجه يستفاد من حملها أو وضعها الحصر ، كما إذا اعتبرت على ما هي معتبرة في الحمل الذاتي الأوّلي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الإنسان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اريد بيان اتّحاد المعنى دون التساوي في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يمكن اعتبارها على وجه لا يستفاد منها الحصر ، سواء كانت موضوعا كما إذا قيل لمن سمع الأسد ولم يشاهد فردا من أفراده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محمولا معرّفا كقولك في المقام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منكّرا كما في جميع القضايا المتعارفة ، أو كانت متعلّقة للأمر كما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عهد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وبعبارة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الحمل هو الاتّحاد المفهومي في الأوّل ، والخارجي مع بقاء اختلاف المفهومين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يظهر لنا اختلاف المفهومين </w:t>
      </w:r>
      <w:r>
        <w:rPr>
          <w:rStyle w:val="FootnoteAnchor"/>
          <w:rtl w:val="true"/>
        </w:rPr>
        <w:footnoteReference w:id="226"/>
      </w:r>
      <w:r>
        <w:rPr>
          <w:rFonts w:ascii="Amiri" w:hAnsi="Amiri" w:eastAsia="Amiri" w:cs="Amiri"/>
          <w:color w:val="111111"/>
          <w:sz w:val="28"/>
          <w:sz w:val="28"/>
          <w:szCs w:val="28"/>
          <w:rtl w:val="true"/>
          <w:lang w:bidi="ar-SA"/>
        </w:rPr>
        <w:t>على وجه لو كان اللفظ موضوعا لأحدهما لم يكن استكشاف الآخر منه إلاّ على وجه المجاز ، بل الظاهر أنّ هذا الاختلاف بواسطة اختلاف الأحكام في الواردة على الماهيّة ، وإنّما اللفظ موضوع لنفس الماهيّة الّتي هي هي في المقامين ، كما يظهر بملاحظة الأمثلة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فالمستدلّ إن أراد تعيين أحد الوجهين من اللفظ مع قطع النظر عمّا يفيد ذلك من المقام والحكم ونحوهما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تحكّم 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سبيل إلى دعوى ظهور الحمل في الحمل الذاتي ، إذ لو لم نقل بظهوره في المتعارفي فلا أقلّ من 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أنّ تعيين ذلك إنّما هو بواسطة التعريف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إنّها وضعت للإشارة إلى نفس الماهيّة من حيث إنّها معهودة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التعريف لا يقضي بذلك ، كما يظهر بملاحظة ما إذا وقع علم الجنس محمولا ،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اسامة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في العلم الجنس على تقدير كونه تعريفا معنويّا كما يراه البعض </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تعريفا لفظيّا كما يراه نجم الأئمة </w:t>
      </w:r>
      <w:r>
        <w:rPr>
          <w:rStyle w:val="FootnoteAnchor"/>
          <w:rtl w:val="true"/>
        </w:rPr>
        <w:footnoteReference w:id="228"/>
      </w:r>
      <w:r>
        <w:rPr>
          <w:rFonts w:ascii="IRNazanin" w:hAnsi="IRNazanin" w:eastAsia="IRNazanin"/>
          <w:color w:val="111111"/>
          <w:sz w:val="28"/>
          <w:sz w:val="28"/>
          <w:szCs w:val="28"/>
          <w:rtl w:val="true"/>
          <w:lang w:bidi="fa-IR"/>
        </w:rPr>
        <w:t xml:space="preserve">وبعض آخر </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بالإشارة ، بخلاف التعريف في المعرّف باللام ، فإنّ أداة التعريف يشاربها إلى نفس الحقيقة ، ومن المعلوم أنّه إذا فرض اتّحاد نفس الحقيقة مع شيء يلزمه القصر كما هو المفروض في الدليل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نفس الحقيقة قد عرفت عدم اقتضائه الحمل الذاتي ، بل هو أعمّ منه ومن المتعارفي ، والمطلوب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ذكروا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لتعريف الجنس ، وهذه الجهة إنّما تلحق الماهيّة من حيث عمومها وكلّيّتها ، وكذلك لا يسري الحكم بالجنسيّة إلى أفرادها ، ضرورة اختلاف اعتبار الماهيّة على وجه ينتزع منه الجنسيّة واعتبارها فيما إذا كان محمولا لمصاديقها ، وإذا فرض اتّحاد شيء مع الماهيّة بالاعتبار الأوّل فلازمه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وهم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الجنس في قولهم إنّما هو عنوان لنفس الماهيّة ، كما يشعر بذلك تعبير غير واحد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وأشباهها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المقصود في مقام الحصر ليس دعوى اتّحاد الشيء مع الماهيّة الملحوظة بهذه الملاحظة ، فإنّها في هذه المرتبة ليست إلاّ أمرا اعتباريّا ومعقولا ثانويّا ، كما هو ظاهر جدّا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وزعم بعض الأجلّة أنّ الوجه في التبادر المدّعى في المقام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اخذت حقيقة الرجل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مقيّدة باعتبار الخارج ، فاعتبرت من حيث تمام تحقّقها فيه بقرينة الإشارة إليها باللام ، فإنّ الإشارة تستدعي تعيّن المشار إليه ، ولا تعيّن للماهيّة الخارجيّة عند عدم العهد إلاّ بهذا الاعتبار ، وبنى على ذلك في الردّ على ما ذكره التفتازاني من ظهور الحصر ، بناء على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الاستغراق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أخذ الطبيعة 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لم نقف على ما يكشف عن ذلك مع قطع النظر عن الأحكام الواردة على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لما أفاده إلى آخره ، فإنّ أخذ الطبيعة مقيّدة باعتبار الخارج إمّا على وجه الاستغراق وهو لا يقول به ، أو العهد الخارجي أو الذهني وشيء منهما لا يقضي بما ذكره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نعقل اعتبار الماهيّة الخارجيّة عدا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فبيان وجه الإفادة كما هو المتبادر بحسب القواعد اللفظيّة المقرّرة في غاية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توهّمه بعض المعاصرين </w:t>
      </w:r>
      <w:r>
        <w:rPr>
          <w:rStyle w:val="FootnoteAnchor"/>
          <w:rtl w:val="true"/>
        </w:rPr>
        <w:footnoteReference w:id="232"/>
      </w:r>
      <w:r>
        <w:rPr>
          <w:rFonts w:ascii="Amiri" w:hAnsi="Amiri" w:eastAsia="Amiri" w:cs="Amiri"/>
          <w:color w:val="111111"/>
          <w:sz w:val="28"/>
          <w:sz w:val="28"/>
          <w:szCs w:val="28"/>
          <w:rtl w:val="true"/>
          <w:lang w:bidi="ar-SA"/>
        </w:rPr>
        <w:t xml:space="preserve">في دفع ما أورده التفتازاني من النظر ،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أراد بالمفهوم معنى حاقّ اللفظ بدون ملاحظة ما تعتوره من اللواحق كالتنوين واللام ونحوهما فلا نسلّم اعتباره في المفهوم ، وإن أراد به مفهومه مع ملاحظة ما لحقه من التنوين فاعتباره مسلّم لكن الفرق ظاهر حيث إنّ المحمول على التعريف هو نفس الطبيعة بخلافه على التنكير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ممّا لا ينبغي أن يصغى إليه ؛ ضرورة أنّ التنوين اللاحق لاسم الجنس ليس في الأغلب إلاّ تنوين التمكّن وهو لا يقضي بالفرديّة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كون التنوين للتنكير ، لكنّه لا ينافي الحصر أيضا ، فإنّ القائل بوضع اسم الجنس للفرد المنتشر لا يمنع من الحصر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المحقّق الشريف بإمكان استفادة الحصر على القولين </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 لا بدّ من ملاحظة ما وقع في جانب المحمول على الوجه الّذي أشرنا إليه عند إرادة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نفرّق في ذلك كون المحمول هو الصفة أو الفرد المنتشر ، فتدبّر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المعرّف إذا وقع محكوما عليه ولم ينحصر في المحكوم به لزم الإخبار بالخاصّ على العامّ والتالي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الملازمة فظاهرة ، إذ المفروض </w:t>
      </w:r>
    </w:p>
    <w:p>
      <w:pPr>
        <w:pStyle w:val="BookText"/>
        <w:rPr/>
      </w:pPr>
      <w:r>
        <w:rPr>
          <w:rFonts w:ascii="Amiri" w:hAnsi="Amiri" w:eastAsia="Amiri" w:cs="Amiri"/>
          <w:color w:val="111111"/>
          <w:sz w:val="28"/>
          <w:sz w:val="28"/>
          <w:szCs w:val="28"/>
          <w:rtl w:val="true"/>
          <w:lang w:bidi="ar-SA"/>
        </w:rPr>
        <w:t>فيما لم يفد الحصر هو الأعمّيّة وعدم اختصاص الوصف المحكوم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بطلان التالي فلأنّ ما ثبت للشيء ثبت لجميع جزئيّاته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مدخل له في التعريف ، والمقصود في المقام استفادة الحصر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يتمّ فيما إذا اريد من الحمل بيان اتّحاد المحمول بحسب المفهوم لما جعل موضوعا ، والحمل لا يستدعي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العبارة في </w:t>
      </w:r>
      <w:r>
        <w:rPr>
          <w:rStyle w:val="FootnoteAnchor"/>
          <w:rtl w:val="true"/>
        </w:rPr>
        <w:footnoteReference w:id="234"/>
      </w:r>
      <w:r>
        <w:rPr>
          <w:rFonts w:ascii="Amiri" w:hAnsi="Amiri" w:eastAsia="Amiri" w:cs="Amiri"/>
          <w:color w:val="111111"/>
          <w:sz w:val="28"/>
          <w:sz w:val="28"/>
          <w:szCs w:val="28"/>
          <w:rtl w:val="true"/>
          <w:lang w:bidi="ar-SA"/>
        </w:rPr>
        <w:t>جعل العام محمولا كما في القضايا المتعارفة ، ولو قدّم واريد منه المعنى المذكور فلا بدّ من القول بأنّه خبر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فيما تقدّم صحّة ذلك بدون اعتبار التقديم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عرف الأسد ولم يشاهده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سبيل إلى جعله للعهد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خلاف الظاهر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إنّما هو في بيان وجه الظهور ولا سبيل إليه ، ولذلك عدل المحقّق الشريف في الخبر المعرّف إلى وجه آخر </w:t>
      </w:r>
      <w:r>
        <w:rPr>
          <w:rStyle w:val="FootnoteAnchor"/>
          <w:rtl w:val="true"/>
        </w:rPr>
        <w:footnoteReference w:id="235"/>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تعريف المحمول باللام ، لو كان مجرّد الاتّحاد في الوجود يصاغ التعريف لاستفادته من الخبر المنكّر أيضا ، فالعدول منه إليه دليل على أنّ المقصود الاتّحاد في الحقيقة والمفهوم ولو 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بظاهره أيضا فاسد ، لأنّ العدول لا يتحقّق من تركيب إلى تركيب لأجل إفادة أمر إلاّ بعد فرض دلالة التركيب الثاني على ذلك الأمر بخلاف التركيب الأوّل ، والمفروض انتفاء الدلالة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بالقول بأنّ التعريف يلازم قرينة تفيد ذلك ، وهو أيضا إحالة على المجهول ،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يتمسّك في المقام بما ذكره الشيخ عبد القاهر واختاره الزمخشري على ما نسب إليهما </w:t>
      </w:r>
      <w:r>
        <w:rPr>
          <w:rStyle w:val="FootnoteAnchor"/>
          <w:rtl w:val="true"/>
        </w:rPr>
        <w:footnoteReference w:id="236"/>
      </w:r>
      <w:r>
        <w:rPr>
          <w:rFonts w:ascii="Amiri" w:hAnsi="Amiri" w:eastAsia="Amiri" w:cs="Amiri"/>
          <w:color w:val="111111"/>
          <w:sz w:val="28"/>
          <w:sz w:val="28"/>
          <w:szCs w:val="28"/>
          <w:rtl w:val="true"/>
          <w:lang w:bidi="ar-SA"/>
        </w:rPr>
        <w:t xml:space="preserve">في مثل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الأسد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أنّ المراد اتّحاد الجنس مع الفرد مبالغة في كماله في الفرديّة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بالأسد وتعرف حقيقته؟ فزيد هو بعينه ، وهو الحصر بل أعلى منه ، لأنّ قضيّة الحصر ليس إلاّ انحصار المسند إليه في المسند ، وهذا يفيد التساوي وعدم تجاوز المسند منه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أرادوا التمسّك بقولهم من حيث إنّهم من أئمّة اللغة فله وجه على تقدير الاكتفاء بأمثاله في مثل المقام ، وإلاّ فإن اريد استفادة المعنى المذكور من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الأسد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بمقايسة العبارة المذكورة فهو ممّا لا سبيل لنا إليه ، إذ الكلام إنّما هو في وجه ذلك بحسب قواعد اللغة وظهور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سمعت بالأسد وتعرف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والحمل الذاتي لا يقضي بالظهور في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المقصود في المقام إنّما هو بيان أنّ تعريف المسند إليه يفيد الحصر ، حتّى إذا وردت رواية مشتملة على ذلك يحكم بعدم تجاوز المسند إليه عن المسند ، كما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الأئمّة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 ترى إنّما يفيد فيما إذا لم يعلم أخصيّة المسند إليه من المسند ، وأمّا إذا علم فليس ذلك من الحصر الحقيقي قطعا ، بل الحصر فيه ادّعائي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وأغلب ما يذكر في المقام من كلمات البيانيّين إنّما يلائم الحصر الادّعائيّ ، كما لعلّه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الأوّل ، لكنّه نجده من العرف إجمالا ولم نحصّله تفصيلا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أفاد الحصر كان تعريف المسند أيضا مفيدا له ، والتالي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فلاتّحاد الوجه فيهما ، ولأنّه لو لم يفد لزم استناده إلى الهيئة لاتّحاد المادّة وهو غير معهود ، إذ لم يعهد تأثير الهيئة في اختلاف معنى المادّة بحسب اللغة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بالالتزام ، إذ لا دليل على بطلان التالي ، بل قد عرفت أنّ جملة من كلمات أهل البيان إنّما هو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بإبداء الفارق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الوصف إذا وقع محكوما عليه كان معناه الذات بالوصف العنواني ، وإذا وقع محكوما كان معناه ذات موصوفة به وهو عارض للأوّل ، والاتّحاد مع الذات الموصوفة يقتضي الحصر ، بخلاف الاتّحاد مع عارض له ، فإنّه لا ينافي مشاركة معروض آخر 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الفرق المذكور ممّا لا يرتضيه من يرى الحصر عند تعريف المسند أيضا كالتفتازاني ، فاعترض عليه بأنّ ما ذكر إنّما يتّجه في الوصف المنكّر دون المعرّف ، فإنّ معناه الذات الموصوفة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أراد بذلك الإشارة إلى ما تقدّم نقله منه في الدليل الأوّل ، من الفرق بين المحمول المعرّف والمنكّر ، من اقتضاء الأوّل الحصر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بعض الناظرين في كلامه </w:t>
      </w:r>
      <w:r>
        <w:rPr>
          <w:rStyle w:val="FootnoteAnchor"/>
          <w:rtl w:val="true"/>
        </w:rPr>
        <w:footnoteReference w:id="237"/>
      </w:r>
      <w:r>
        <w:rPr>
          <w:rFonts w:ascii="Amiri" w:hAnsi="Amiri" w:eastAsia="Amiri" w:cs="Amiri"/>
          <w:color w:val="111111"/>
          <w:sz w:val="28"/>
          <w:sz w:val="28"/>
          <w:szCs w:val="28"/>
          <w:rtl w:val="true"/>
          <w:lang w:bidi="ar-SA"/>
        </w:rPr>
        <w:t xml:space="preserve">على أنّه إذا كان المحمول معرّفا فيراد منه الذات ، وإذا كان منكّرا يراد منه المفهوم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إنّما يراد إذا كانت اللام موصولة ، وأما إذا كانت للتعريف فلا فرق بين حمل المعرّف بها وحمل المنكّر في كون المحمول فيهما المفهوم دون الذات</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بأنّ ذلك ممّا لا مساس له بكلامه ، إذ لم يظهر من كلامه الفرق المذكور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 يجدي في دفع الجواب ، وأنّ اعتبار الذات في المحمول أو المفهوم ممّا لا دخل له بالجواب المذكور كما هو ظاهر ؛ مضافا إلى أنّ ما ذكره من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الذات في المحمول إذا كان اللام للموصول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مناف لما قد اشتهر عندهم ، من أنّ المعتبر في المحمول هو المفهوم دون الذات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ولبعض الأجلّة في المقام كلمات لا تخلو عن مناقشة يظهر بعضها ممّا ذكرنا ، فراجعه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إنّا في غنية عن التعريض لتعريف المسند أيضا ، كما تجشّمه البعض في المقام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يظهر الوجه في إفادة الحصر من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صديقي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من كلّ تركيب يقدّم فيه ما حقّه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الكلّ بواسطة أمر خارج عن الوضع والموضوع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ما يغني عن الإطالة ، فتدبّر جدّا واللّه الهادي إلى سواء السبيل</w:t>
      </w:r>
      <w:r>
        <w:rPr>
          <w:rFonts w:eastAsia="Amiri" w:cs="Amiri" w:ascii="Amiri" w:hAnsi="Amiri"/>
          <w:color w:val="111111"/>
          <w:sz w:val="28"/>
          <w:szCs w:val="28"/>
          <w:rtl w:val="true"/>
          <w:lang w:bidi="ar-SA"/>
        </w:rPr>
        <w:t xml:space="preserve">. </w:t>
      </w:r>
      <w:bookmarkStart w:id="67" w:name="pg16264_169425"/>
    </w:p>
    <w:p>
      <w:pPr>
        <w:pStyle w:val="Heading3"/>
        <w:numPr>
          <w:ilvl w:val="2"/>
          <w:numId w:val="1"/>
        </w:numPr>
        <w:rPr/>
      </w:pPr>
      <w:bookmarkStart w:id="68" w:name="__RefHeading___Toc4588572_1280447820"/>
      <w:bookmarkStart w:id="69" w:name="_Toc18"/>
      <w:bookmarkEnd w:id="67"/>
      <w:bookmarkEnd w:id="68"/>
      <w:r>
        <w:rPr>
          <w:rtl w:val="true"/>
        </w:rPr>
        <w:t>هداية</w:t>
      </w:r>
      <w:bookmarkEnd w:id="69"/>
    </w:p>
    <w:p>
      <w:pPr>
        <w:pStyle w:val="BookText"/>
        <w:rPr/>
      </w:pP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أهل الحقّ وجماعة من مخالفينا </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مفهوم في اللقب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ما يجعل أحد أركان الكلام ، كالفاعل والمفعول والمبتدأ والخبر وغير ذلك ، سواء كان صالحا لأن يؤخذ منه مفهوم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المبتدأ أو الفاعل أو غير ذلك وصفا أو زمانا أو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يعمّ فيما إذا كان وصفا ، فيستفاد منه المفهوم على القول بثبوته فيه وفي المقام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جماعة منهم الدقّاق والصيرفي وأصحاب أحمد </w:t>
      </w:r>
      <w:r>
        <w:rPr>
          <w:rStyle w:val="FootnoteAnchor"/>
          <w:rtl w:val="true"/>
        </w:rPr>
        <w:footnoteReference w:id="241"/>
      </w:r>
      <w:r>
        <w:rPr>
          <w:rFonts w:ascii="Amiri" w:hAnsi="Amiri" w:eastAsia="Amiri" w:cs="Amiri"/>
          <w:color w:val="111111"/>
          <w:sz w:val="28"/>
          <w:sz w:val="28"/>
          <w:szCs w:val="28"/>
          <w:rtl w:val="true"/>
          <w:lang w:bidi="ar-SA"/>
        </w:rPr>
        <w:t>إلى ثبوت المفهوم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الدلالات الثلاث ، يكشف عنه أنّه لا دلالة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تعالى ليس بموجود ، وقولك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محمد صلى‌اللّه‌عليه‌وآله ليس برسول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ادّعى ذلك فقد لبس عليه وجدانه ولا يحسن مناظراته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اشتهر على الألسن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إثبات الشيء لا ينفي الحكم عن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محلّ له إلاّ في أمثال المقام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العراء عن الفائدة لولاه ، وبأنّ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أنا بزان ولا اختي زانية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للمخاطب ولاخته بالزنا ، ولذلك أوجبوا عليه الحد</w:t>
      </w:r>
      <w:r>
        <w:rPr>
          <w:rFonts w:eastAsia="Amiri" w:cs="Amiri" w:ascii="Amiri" w:hAnsi="Amiri"/>
          <w:color w:val="111111"/>
          <w:sz w:val="28"/>
          <w:szCs w:val="28"/>
          <w:rtl w:val="true"/>
          <w:lang w:bidi="ar-SA"/>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الأوّل بمنع الملازمة كما تقدّم 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الثاني بأنّ ذلك بواسطة قرينة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وللعامّة في مباحث العلوم العقليّة والنقليّة خرافات وهذيانات لا تحصى</w:t>
      </w:r>
      <w:r>
        <w:rPr>
          <w:rFonts w:eastAsia="Amiri" w:cs="Amiri" w:ascii="Amiri" w:hAnsi="Amiri"/>
          <w:color w:val="111111"/>
          <w:sz w:val="28"/>
          <w:szCs w:val="28"/>
          <w:rtl w:val="true"/>
          <w:lang w:bidi="ar-SA"/>
        </w:rPr>
        <w:t xml:space="preserve">! </w:t>
      </w:r>
      <w:bookmarkStart w:id="70" w:name="pg16264_169427"/>
    </w:p>
    <w:p>
      <w:pPr>
        <w:pStyle w:val="Heading3"/>
        <w:numPr>
          <w:ilvl w:val="2"/>
          <w:numId w:val="1"/>
        </w:numPr>
        <w:rPr/>
      </w:pPr>
      <w:bookmarkStart w:id="71" w:name="__RefHeading___Toc4588574_1280447820"/>
      <w:bookmarkStart w:id="72" w:name="_Toc19"/>
      <w:bookmarkEnd w:id="70"/>
      <w:bookmarkEnd w:id="71"/>
      <w:r>
        <w:rPr>
          <w:rtl w:val="true"/>
        </w:rPr>
        <w:t>هداية</w:t>
      </w:r>
      <w:bookmarkEnd w:id="72"/>
    </w:p>
    <w:p>
      <w:pPr>
        <w:pStyle w:val="Heading4"/>
        <w:numPr>
          <w:ilvl w:val="3"/>
          <w:numId w:val="1"/>
        </w:numPr>
        <w:rPr/>
      </w:pPr>
      <w:bookmarkStart w:id="73" w:name="__RefHeading___Toc4588576_1280447820"/>
      <w:bookmarkStart w:id="74" w:name="_Toc20"/>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 xml:space="preserve">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لجمع كثير من أصحابنا ومخالفينا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مفهوم في العدد ، بل وادّعى بعضهم وفاق أصحابنا فيه </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القول بالإثبات مطلقا </w:t>
      </w:r>
      <w:r>
        <w:rPr>
          <w:rStyle w:val="FootnoteAnchor"/>
          <w:rtl w:val="true"/>
        </w:rPr>
        <w:footnoteReference w:id="243"/>
      </w:r>
      <w:r>
        <w:rPr>
          <w:rFonts w:ascii="Amiri" w:hAnsi="Amiri" w:eastAsia="Amiri" w:cs="Amiri"/>
          <w:color w:val="111111"/>
          <w:sz w:val="28"/>
          <w:sz w:val="28"/>
          <w:szCs w:val="28"/>
          <w:rtl w:val="true"/>
          <w:lang w:bidi="ar-SA"/>
        </w:rPr>
        <w:t>، ولم نعرف قائله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وفصّل جماعة منهم الآمدي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الحكم إذا قيّد بعدد مخصوص ، فمنه ما يدلّ على ثبوت ذلك الحكم فيما زاد على ذلك العدد بطريق أولى كما لو حرم اللّه جلد الزاني بمائة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بلغ الماء قلّتين لم يحمل خبثا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ما لا يدلّ على ثبوت الحكم فيما زاد عليه بطريق أولى ، وذلك كما إذا أوجب جلد الزاني بمائة أو أباحه ، فإنّه مسكوت عنه ، مختلف في دلالته على نفي الوجوب والإباحة فيما زاد ، متّفق على أنّ حكم ما نقص كحكم المائة لدخوله تحتها لكن يمنع الاقتصار </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 في الأوّل الدلالة وفي الثاني العدم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وفصّل بعضهم </w:t>
      </w:r>
      <w:r>
        <w:rPr>
          <w:rStyle w:val="FootnoteAnchor"/>
          <w:rtl w:val="true"/>
        </w:rPr>
        <w:footnoteReference w:id="245"/>
      </w:r>
      <w:r>
        <w:rPr>
          <w:rFonts w:ascii="Amiri" w:hAnsi="Amiri" w:eastAsia="Amiri" w:cs="Amiri"/>
          <w:color w:val="111111"/>
          <w:sz w:val="28"/>
          <w:sz w:val="28"/>
          <w:szCs w:val="28"/>
          <w:rtl w:val="true"/>
          <w:lang w:bidi="ar-SA"/>
        </w:rPr>
        <w:t xml:space="preserve">بين ما وقع جوابا عن المقيّد كأن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هل اجلد الزاني ثمانين؟ فلا يفيد ؛ لظهور كون الفائدة فيه غير المفهوم ، وبين ما إذا وقع جوابا عن المطلق فمع عدم ظهور فائدة غير المفهوم فانّه لا بدّ من حمله على المفهوم ، لئلاّ يلزم العراء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أنّ شيئا من القولين ليس بتفصيل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 فلأنّ البحث في المقام إنّما هو في أنّ التقييد بالعدد الخاصّ هل يستلزم نفي الحكم عمّا فوقه وعمّا دونه أو لا؟ وما حكم فيه بالدلالة لا ربط له بهذه المسألة ، بل اختار مشاركة الفوق لما تحته بمفهوم الموافقة في تلك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اختار فيه العدم إن حملناه على عدم الدلالة على المشاركة بقرينة الإثبات فعدم كونه مرتبطا بالمقام ظاهر ، وإلاّ كان من النافين مطلقا ، حيث إنّ اختياره الدلالة على المشاركة لا ينافي عدم الدلالة على النفي بل يؤكّده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 فعدم كونه تفصيلا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على ما صرنا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انتفاء الدلالات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احتجّوا بالعراء عن الفائدة لولاه ، و </w:t>
      </w:r>
      <w:r>
        <w:rPr>
          <w:rStyle w:val="FootnoteAnchor"/>
          <w:rtl w:val="true"/>
        </w:rPr>
        <w:footnoteReference w:id="246"/>
      </w:r>
      <w:r>
        <w:rPr>
          <w:rFonts w:ascii="Amiri" w:hAnsi="Amiri" w:eastAsia="Amiri" w:cs="Amiri"/>
          <w:color w:val="111111"/>
          <w:sz w:val="28"/>
          <w:sz w:val="28"/>
          <w:szCs w:val="28"/>
          <w:rtl w:val="true"/>
          <w:lang w:bidi="ar-SA"/>
        </w:rPr>
        <w:t xml:space="preserve">بقوله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لأزيدنّ على السبعين </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بعد نزول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تَسْتَغْفِرْ لَهُمْ سَبْعِينَ مَرَّةً فَلَنْ يَغْفِرَ اللّهُ لَهُمْ </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 xml:space="preserve">وبلزوم تحصيل الحاصل لو كان الحكم ثابتا لما دون وما زاد ، فقوله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طهور إنائكم إذا ولغ الكلب فيه أن تغسله سبعا </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يدلّ على حصوله بها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 الأوّل ، فبما مرّ مرارا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فبعدم صحّة الرواية ، كما يؤيّده سياق الآية ، فإنّ الظاهر أنّها واردة في مقام الكناية عن الكثرة ، إذ الظاهر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تفيد السببية ، إذ لا يعقل أن يكون عدم المغفرة مسبّبا عن الاستغفار ولو مرّة ، بل الظاهر أنّها </w:t>
      </w:r>
      <w:bookmarkStart w:id="75" w:name="pg16264_169429"/>
    </w:p>
    <w:p>
      <w:pPr>
        <w:pStyle w:val="BookText"/>
        <w:rPr/>
      </w:pPr>
      <w:bookmarkEnd w:id="75"/>
      <w:r>
        <w:rPr>
          <w:rFonts w:ascii="Amiri" w:hAnsi="Amiri" w:eastAsia="Amiri" w:cs="Amiri"/>
          <w:color w:val="111111"/>
          <w:sz w:val="28"/>
          <w:sz w:val="28"/>
          <w:szCs w:val="28"/>
          <w:rtl w:val="true"/>
          <w:lang w:bidi="ar-SA"/>
        </w:rPr>
        <w:t>هي الوصليّة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يبعد صدور هذا الكلام عن النبيّ صلى‌اللّه‌عليه‌وآله ولو سلّم صحّتها فلا تفيد في المقام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w:t>
      </w:r>
      <w:r>
        <w:rPr>
          <w:rStyle w:val="FootnoteAnchor"/>
          <w:rtl w:val="true"/>
        </w:rPr>
        <w:footnoteReference w:id="250"/>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بواسطة مفهوم الشرط ، وهو ممّا لا محصّل له ؛ لأنّ قضيّة ذلك حصول المغفرة عند عدم الاستغفار مطلقا لو لم نقل بمفهوم العدد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ذلك إنّما يتمّ إذ وقع العدد في مقام التحديد كما في الرواية ، وهو خارج عن المتنازع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تقدير وروده في مقام التحديد فالملازمة إنّما تتم على تقدير امتناع التخيير بين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يظهر فساد القول الرابع أيضا على تقدير كونه من أقوال المسألة ، ولا حاجة إلى الإطالة</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4588578_1280447820"/>
      <w:bookmarkStart w:id="77" w:name="_Toc21"/>
      <w:bookmarkEnd w:id="76"/>
      <w:r>
        <w:rPr>
          <w:rtl w:val="true"/>
        </w:rPr>
        <w:t xml:space="preserve">تذنيب </w:t>
      </w:r>
      <w:r>
        <w:rPr>
          <w:rtl w:val="true"/>
        </w:rPr>
        <w:t>:</w:t>
      </w:r>
      <w:bookmarkEnd w:id="77"/>
    </w:p>
    <w:p>
      <w:pPr>
        <w:pStyle w:val="BookText"/>
        <w:rPr/>
      </w:pPr>
      <w:r>
        <w:rPr>
          <w:rFonts w:ascii="Amiri" w:hAnsi="Amiri" w:eastAsia="Amiri" w:cs="Amiri"/>
          <w:color w:val="111111"/>
          <w:sz w:val="28"/>
          <w:sz w:val="28"/>
          <w:szCs w:val="28"/>
          <w:rtl w:val="true"/>
          <w:lang w:bidi="ar-SA"/>
        </w:rPr>
        <w:t>العدد المأخوذ في متعلّق الحكم إمّا يعلم بكونه مأخوذا لا بشرط الزيادة أو النقيصة ، أو يعلم بكونه مأخوذا بشرط عدم النقيصة والزيادة معا ، أو بشرط عدم الزيادة فقط ، أو النقيصة فقط ، أو لا يعلم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الأخير فلا بدّ من إجراء أحكام ما علم كونه مأخوذا لا بشرط ، إذ اللفظ إنّما هو كاشف عن العدد المعيّن ولا يدلّ على شيء آخر سواه ، فلا داعي على اعتباره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الأوّل ، فإمّا أن يكون الحكم وجوديّا كما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صوم ثلاثين يوما ، وإمّا أن يكون عدميّا كما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جلد الزاني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w:t>
      </w:r>
    </w:p>
    <w:p>
      <w:pPr>
        <w:pStyle w:val="BookText"/>
        <w:rPr/>
      </w:pPr>
      <w:r>
        <w:rPr>
          <w:rFonts w:ascii="Amiri" w:hAnsi="Amiri" w:eastAsia="Amiri" w:cs="Amiri"/>
          <w:color w:val="111111"/>
          <w:sz w:val="28"/>
          <w:sz w:val="28"/>
          <w:szCs w:val="28"/>
          <w:rtl w:val="true"/>
          <w:lang w:bidi="ar-SA"/>
        </w:rPr>
        <w:t>يدلّ على وجوب صوم كلّ يوم من الثلاثين تبعا ، وهل يدلّ على وجوبه أصالة أيضا؟ الظاهر العدم إذا لم يعلم تعدّد التكاليف ، ولا يدلّ على وجوب الزائد وهو ظاهر ، ولا ينافيه أيضا نظرا إلى عدم المفهوم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فيدلّ على حرمة الزائد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اخذ بشرط عدم الزيادة والنقيصة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الوجودي يجب الجميع تبعا ، فإن زاد عليه أو نقص لم يمتثل ؛ لعدم الإتيان بالمأمور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العدمي لا يحرم في الناقص قطعا ، وفي الزائد فإن لم يكن تدريجا فلا يحرم أيضا ، وإن كان تدريجا ففي تحريم ما وصل إلى مرتبة ذلك العدد المعيّن وعدمه وجهان مبنيّان على تشخيص ذلك بالقصد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اخذ بشرط عدم الزيادة فقط فلا حرمة ولا وجوب فيما زاد عليه إذا كان دفعيّا ، وفي التدريجي فالوجهان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دونه أيضا لا حرمة ولا وجوب ، أمّا أصالة فظاهر بناء على عدم تعدّد التكليف ، وأما تبعا ففي العدمي ظاهر ، وأما في الوجودي فلأنّ اتّصافه بالوجوب التبعي إنّما هو بعد قصد الكلّ ، فلو قصده كان واجبا كما في سائر المقدّمات على ما حقّقناه في مقامه ، وإلاّ فلا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اخذ بشرط عدم النقيصة فقط ففي العدمي لا حرمة إلاّ بعد التمام ، ويدلّ على حرمة الزائد بالإطلاق ، ويحتمل الأولويّة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الوجودي لا وجوب إلاّ في التمام أصالة ، وتبعا قد عرفت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وجوب الزائد فلا دلالة في اللفظ عليه نفيا وإثباتا ، إلاّ أنّه لو زاد على العدد يحكم بالامتثال نظرا إلى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 ظاهر جدّا ، واللّه الهادي إلى سواء السبيل</w:t>
      </w:r>
      <w:r>
        <w:rPr>
          <w:rFonts w:eastAsia="Amiri" w:cs="Amiri" w:ascii="Amiri" w:hAnsi="Amiri"/>
          <w:color w:val="111111"/>
          <w:sz w:val="28"/>
          <w:szCs w:val="28"/>
          <w:rtl w:val="true"/>
          <w:lang w:bidi="ar-SA"/>
        </w:rPr>
        <w:t xml:space="preserve">. </w:t>
      </w:r>
      <w:bookmarkStart w:id="78" w:name="pg16264_169431"/>
    </w:p>
    <w:p>
      <w:pPr>
        <w:pStyle w:val="BookText"/>
        <w:rPr/>
      </w:pPr>
      <w:bookmarkEnd w:id="78"/>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79" w:name="__RefHeading___Toc4588580_1280447820"/>
      <w:bookmarkStart w:id="80" w:name="_Toc22"/>
      <w:bookmarkEnd w:id="79"/>
      <w:r>
        <w:rPr>
          <w:rtl w:val="true"/>
        </w:rPr>
        <w:t>القول في العموم والخصوص</w:t>
      </w:r>
      <w:bookmarkEnd w:id="8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 w:name="__RefHeading___Toc4588582_1280447820"/>
      <w:bookmarkStart w:id="82" w:name="_Toc23"/>
      <w:bookmarkEnd w:id="81"/>
      <w:r>
        <w:rPr>
          <w:rtl w:val="true"/>
        </w:rPr>
        <w:t>اشارة</w:t>
      </w:r>
      <w:bookmarkEnd w:id="8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صرف الوقت في تزييف ما ذكروه في الحدود الواردة للعامّ وبعض المسائل المتعلّقة بالعموم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إفادة المعرّف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وأمثال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وجه ؛ لوجود ما هو الأهمّ منها ، فالأولى أن نتعرّض لما هو المفيد في المباحث الفقهيّة أو ما هو كاللازم في المباحث في طيّ هدايات </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16264_169435"/>
      <w:bookmarkStart w:id="84" w:name="pg16264_169435"/>
      <w:bookmarkEnd w:id="84"/>
    </w:p>
    <w:p>
      <w:pPr>
        <w:pStyle w:val="Heading3"/>
        <w:numPr>
          <w:ilvl w:val="2"/>
          <w:numId w:val="1"/>
        </w:numPr>
        <w:rPr/>
      </w:pPr>
      <w:bookmarkStart w:id="85" w:name="pg16264_169435"/>
      <w:bookmarkStart w:id="86" w:name="__RefHeading___Toc4588584_1280447820"/>
      <w:bookmarkStart w:id="87" w:name="_Toc24"/>
      <w:bookmarkEnd w:id="85"/>
      <w:bookmarkEnd w:id="86"/>
      <w:r>
        <w:rPr>
          <w:rtl w:val="true"/>
        </w:rPr>
        <w:t>هداية</w:t>
      </w:r>
      <w:bookmarkEnd w:id="87"/>
    </w:p>
    <w:p>
      <w:pPr>
        <w:pStyle w:val="BookText"/>
        <w:rPr/>
      </w:pPr>
      <w:r>
        <w:rPr>
          <w:rFonts w:ascii="Amiri" w:hAnsi="Amiri" w:eastAsia="Amiri" w:cs="Amiri"/>
          <w:color w:val="111111"/>
          <w:sz w:val="28"/>
          <w:sz w:val="28"/>
          <w:szCs w:val="28"/>
          <w:rtl w:val="true"/>
          <w:lang w:bidi="ar-SA"/>
        </w:rPr>
        <w:t xml:space="preserve">إذا خصّص العامّ بأمر معلوم مفهوما ومصداقا ، فلا ينبغي الإشكال في حجيّة العامّ في الباقي ، وليس ممّا يتطرّق عليه الاشتباه كما عليه المشهور ، بل ولم يظهر من أصحابنا فيه خلاف ، وإنّما نسب الخلاف إلى بعض العامّة كأبي ثور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البلخي على ما حكي </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التفصيل بين المخصّص 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كالوصف والغاية وبدل البعض والاستثناء ، على تأمّل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بالحجّيّة ، وبين المنفصل فقال بعدمها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العامّ في الباقي بعد التخصيص على وجه لا يشوبه شائبة الإنكار في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انقطاع عذر العبد المأمور بإكرام العلماء إلاّ زيدا عند عدم الامتثال به كما هو ظاهر ، ولا نعني بالحجيّة في المقام إلاّ ذلك ، ويظهر بالرجوع إلى الوجدان الخالي عن الاعتساف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 ظهورا بملاحظة الاحتجاجات الواردة في كلمات الأئمّة وأرباب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النبي صلى‌اللّه‌عليه‌وآله من أهل اللسان والعلماء في موارد جمّة ، على وجه لا يمكن إنكاره ، بل ولولاه لا نسدّ باب الاجتهاد ؛ فإنّ رحى الاجتهاد تدور على العمل بالعمومات ، مع أنّ من السائر في الأفواه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عامّ إلاّ وقد 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العام المخصّص أقوى ظهورا من غيره ؛ لكونه مظنّة له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واحتجّ النافي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الباقي بعد التخصيص مرتبة من مراتب المجاز ، وهي متساوية ، فتعيّن الباقي دون غيره ترجيح من غير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المرجّح هو أقربية الباقي لمدلول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اريد من الأقربيّة ما هي معتبرة في الترجيح فلا نسلّم تحقّقها ، إذ الأقربيّة المعتبرة ما تكون منوطة بغلبة استعمال اللفظ بعد صرفه عن الحقيقة ، مثل استعمال الأسد في الشجاع لا في الأبخر مثلا ، ولا سبيل إلى إثبات غلبة استعمال العامّ المخصّص في الباقي ، إذ المراد مصداق الباقي وهو مختلف جدّا ، فلا يتحقّق غلبة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اريد غيرها فلا يكفي في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مجازيّة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دلالة العامّ على كلّ فرد من أفراده غير منوطة بدلالته على فرد آخر من أفراده ولو كانت دلالة مجازيّة ، إذ هي إنّما بواسطة عدم شموله للأفراد المخصوصة لا بواسطة دخول غيرها في مدلوله ، فالمقتضي للحمل على الباقي موجود والمانع مفقود ؛ لأنّ المانع في مثل المقام إنّما هو ما يوجب صرف اللفظ عن مدلوله ، والمفروض انتفاؤه بالنسبة إلى الباقي ، لاختصاص المخصّص بغيره ، فلو شكّ فالأصل عدمه ، فليس ذلك على حدّ سائر المجازات حتى يحتاج إلى معيّن آخر بعد الصرف مع تعدّدها ، فإنّ الباقي متعيّن على حسب تعيّن الجميع عند عدم المخصّص مطلقا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يظهر سرّ الظهور العرفي ، فلا يرد ما 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وجه له ؛ إذ على تقدير المجازيّة لا وضع حتى يستند إليه والمفروض أيضا عدم القرينة ، وعلى تقدير عدمها فالحقائق متعدّدة أيضا ، فالوجه هو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الدفع هو ما ذكرنا من عدم إناطة دلالة العامّ على فرد على دلالته على فرد آخر بالوضع ، وعدم إرادة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بعد ذلك حقيقة أو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عدم دلالة العامّ </w:t>
      </w:r>
    </w:p>
    <w:p>
      <w:pPr>
        <w:pStyle w:val="BookText"/>
        <w:rPr/>
      </w:pPr>
      <w:r>
        <w:rPr>
          <w:rFonts w:ascii="Amiri" w:hAnsi="Amiri" w:eastAsia="Amiri" w:cs="Amiri"/>
          <w:color w:val="111111"/>
          <w:sz w:val="28"/>
          <w:sz w:val="28"/>
          <w:szCs w:val="28"/>
          <w:rtl w:val="true"/>
          <w:lang w:bidi="ar-SA"/>
        </w:rPr>
        <w:t>على الأفراد الباقية بالوضع ، وحيث لا صارف فيحمل عليه اللفظ ، على ما هو المعتاد في حمل اللفظ بعد ثبوت الدلالة وعدم الصارف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يحتجّ للمفصّل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للعامّ عند اتّصال المخصّص به ظهورا ثانويا في الباقي ، بخلافه عند انفصاله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لذلك ، إذ لا نجد فرقا في المقامين ، فدعوى الظهور في المتّصل دون غيره ممّا لا شاهد لها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بينهما في غاية الظهور ، ويرشدك ملاحظة ما قيل في المجاز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إرادة المعنى العاري عن القرينة اعتمادا على القرائن المنفصلة ربّما يوجب إجمال اللفظ الموجب للتوقّف ، بخلاف ما إذا اقترنت القرينة باللفظ ، فإنّه لا يكاد يصل إلى حدّ الإجمال وإن بلغ الاستعمال ما بلغ ، فانفصال المخصّص ربما يوجب وهنا في الظهور بخلاف المتّصل ، ومن هنا قال بعضهم بجواز تخصيص الأكثر في المتّصل دون غيره </w:t>
      </w:r>
      <w:r>
        <w:rPr>
          <w:rStyle w:val="FootnoteAnchor"/>
          <w:rtl w:val="true"/>
        </w:rPr>
        <w:footnoteReference w:id="254"/>
      </w:r>
      <w:r>
        <w:rPr>
          <w:rFonts w:ascii="Amiri" w:hAnsi="Amiri" w:eastAsia="Amiri" w:cs="Amiri"/>
          <w:color w:val="111111"/>
          <w:sz w:val="28"/>
          <w:sz w:val="28"/>
          <w:szCs w:val="28"/>
          <w:rtl w:val="true"/>
          <w:lang w:bidi="ar-SA"/>
        </w:rPr>
        <w:t>وستعرف وجها آخر في الفرق في ما سيأتي إن شاء اللّه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الإنصاف أنّه ليس الفرق بمثابة لا يمكن القول بالبيان والاعتبار عند الانفصال ، نظرا إلى 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مقتضى الحمل على الباقي موجود والمانع مفقود ، وإمكان الإجمال في صورة الانفصال لا يقضي به ، كما هو ظاهر في القرائن المنفصلة في سائر المجازات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 فلا إشكال في ذلك ، فلا بدّ من صرف الكلام إلى ما هو 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الهادي</w:t>
      </w:r>
      <w:r>
        <w:rPr>
          <w:rFonts w:eastAsia="Amiri" w:cs="Amiri" w:ascii="Amiri" w:hAnsi="Amiri"/>
          <w:color w:val="111111"/>
          <w:sz w:val="28"/>
          <w:szCs w:val="28"/>
          <w:rtl w:val="true"/>
          <w:lang w:bidi="ar-SA"/>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16264_169439"/>
      <w:bookmarkStart w:id="89" w:name="pg16264_169439"/>
      <w:bookmarkEnd w:id="89"/>
    </w:p>
    <w:p>
      <w:pPr>
        <w:pStyle w:val="Heading3"/>
        <w:numPr>
          <w:ilvl w:val="2"/>
          <w:numId w:val="1"/>
        </w:numPr>
        <w:rPr/>
      </w:pPr>
      <w:bookmarkStart w:id="90" w:name="pg16264_169439"/>
      <w:bookmarkStart w:id="91" w:name="__RefHeading___Toc4588586_1280447820"/>
      <w:bookmarkStart w:id="92" w:name="_Toc25"/>
      <w:bookmarkEnd w:id="90"/>
      <w:bookmarkEnd w:id="91"/>
      <w:r>
        <w:rPr>
          <w:rtl w:val="true"/>
        </w:rPr>
        <w:t>هداية</w:t>
      </w:r>
      <w:bookmarkEnd w:id="92"/>
    </w:p>
    <w:p>
      <w:pPr>
        <w:pStyle w:val="BookText"/>
        <w:rPr/>
      </w:pPr>
      <w:r>
        <w:rPr>
          <w:rFonts w:ascii="Amiri" w:hAnsi="Amiri" w:eastAsia="Amiri" w:cs="Amiri"/>
          <w:color w:val="111111"/>
          <w:sz w:val="28"/>
          <w:sz w:val="28"/>
          <w:szCs w:val="28"/>
          <w:rtl w:val="true"/>
          <w:lang w:bidi="ar-SA"/>
        </w:rPr>
        <w:t>الحقّ عدم صحّة التعويل على العامّ عند عروض الاشتباه في أفراد المخصّص إذا فرض له عنوان مع انتفاء أصل يوجب تعيين ذلك المشتبه في مقام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لما يظهر من جماعة من الأخباريّة </w:t>
      </w:r>
      <w:r>
        <w:rPr>
          <w:rStyle w:val="FootnoteAnchor"/>
          <w:rtl w:val="true"/>
        </w:rPr>
        <w:footnoteReference w:id="255"/>
      </w:r>
      <w:r>
        <w:rPr>
          <w:rFonts w:ascii="Amiri" w:hAnsi="Amiri" w:eastAsia="Amiri" w:cs="Amiri"/>
          <w:color w:val="111111"/>
          <w:sz w:val="28"/>
          <w:sz w:val="28"/>
          <w:szCs w:val="28"/>
          <w:rtl w:val="true"/>
          <w:lang w:bidi="ar-SA"/>
        </w:rPr>
        <w:t xml:space="preserve">، حيث إنّهم يتمسّكون في موارد الاستصحابات الموضوعيّة بعموم الدليل مع إنكارهم الاستصحاب فيها أيضا ، وقد أشرنا إليه في محلّه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منهم ليس بعجيب وإنّما العجب من الشهيد الثاني ؛ حيث إنّه قال 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والمرأة لا تقتل بالارتداد ، وكذا الخنثى ؛ للشكّ في ذكوريّته المسلّطة على قتله ، ويحتمل أن يلحقه حكم الرجل ؛ لعموم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بدّل دينه فاقتلوه </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 xml:space="preserve">خرج منه المرأة ويبقى الباقي داخلا في العموم ؛ إذ لا نصّ على الخنثى بخصوصه </w:t>
      </w:r>
      <w:r>
        <w:rPr>
          <w:rStyle w:val="FootnoteAnchor"/>
          <w:rtl w:val="true"/>
        </w:rPr>
        <w:footnoteReference w:id="25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وستعرف وجها يمكن تصحيحه ، مضافا إلى احتمال كون الشبهة حكميّة على تقدير إمكان الواسطة بين النوعين ، فيكون من جزئيّات الهداية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كان ، فلنا في المقام دعويان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التعويل عند وجود أصل رافع للاشتباه ، كما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إلاّ فسّاقهم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 في زيد العالم أنّه هل هو فاسق بعد العلم بعدالته سابقا أو لا؟ فاستصحاب العدالة يوجب تحكيم العامّ في المورد المشكوك ، كما أنّ استصحاب الفسق في مورده يوجب تحكيم عنوان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عدول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 في زيد العالم في عدالته ، فبأصالة عدم حصول الملكة له يحكم بعدم وجوب إكرامه ، ولا إشكال في ذلك على ما قرّرنا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التمسّك بالعامّ في مورد الاشتباه عند انتفاء أصل 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 الاستدلال بدليل والداعي إليه إنّما هو رفع الشكّ الذي أوجب النظر والفحص ، إذ مع عدمه بعد الالتفات لا حاجة إلى الاستدلال قطعا والشكّ في المقام ممّا لا نعقل رفعه بالتمسّك بالعامّ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منشأ الشكّ في الشبهة الموضوعيّة هو التردّد في الأمور الخارجيّة التي لا مدخل لإرادة المتكلّم فيها بوجه ، بل ذلك التردّد والاشتباه كثيرا ما يقع للمتكلّم أيضا ، بل قد يقطع المتكلّم بخلاف ما هو الواقع في المصاديق أيضا ، فمن حاول رفع هذه الشبهة فلا بدّ من رجوعه إلى ما هو المعدّ في الواقع لإزالة هذه الشكوك والشبهات من اختبار وتجربة وإحساس ونحوها ، وما يمكن رفعه بالرجوع إلى العام هو الشكّ في مراد المتكلّم على وجه لو صرّح بمراده بعد الرجوع إليه لم يقع الشكّ فيه ، ففيما إذا شكّ في أنّ زيدا عادل لو راجعنا المتكلّم أيضا لا يرتفع الشكّ المذكور من حيث هو متكلّم ، فلا وجه لتحكيم العامّ في مورد </w:t>
      </w:r>
    </w:p>
    <w:p>
      <w:pPr>
        <w:pStyle w:val="BookText"/>
        <w:rPr/>
      </w:pPr>
      <w:r>
        <w:rPr>
          <w:rFonts w:ascii="Amiri" w:hAnsi="Amiri" w:eastAsia="Amiri" w:cs="Amiri"/>
          <w:color w:val="111111"/>
          <w:sz w:val="28"/>
          <w:sz w:val="28"/>
          <w:szCs w:val="28"/>
          <w:rtl w:val="true"/>
          <w:lang w:bidi="ar-SA"/>
        </w:rPr>
        <w:t>الشكّ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ونسبة المشكوك إلى العنوانين نسبة واحدة ، فالتزام دخوله في أحدهما من غير أن يكون ذلك مستفادا من أصل أو دليل 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فالمتكلّم والمخاطب سيّان في هذه الشبهة ، لثبوتها مع قطع النظر عن المتكلّم وإن كان قد يوجب التفاتا إليها أيضا ، ولا يلزم على المتكلّم قبح عند التكلّم بالعامّ مع شكّ المخاطب في مصاديق العنوانين من حيث هو متكلّم من جهة إقامته بما هو الوظيفة في المتعارف من التعبير بما هو الكاشف عن مراده من دون قصور فيه ولا 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أمر ظاهر لا سترة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يحتجّ للخصم تارة بالاستصحاب فيما لو عمل بالعامّ في المشكوك بواسطة القطع باندراجه ثم طرأ الشكّ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الإغماض عن كونه رجوعا عن التمسّك بالعامّ إلى التعويل على الاستصحاب وعدم نهوضه للشكوك البدوية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يجدي ؛ لارتفاع الحكم بعد ارتفاع القطع ؛ لكونه دائرا مداره ، كما نبّهنا على عدم جريان الاستصحاب في أمثال المقام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 بأنّ الظاهر من عنوان العامّ والمخصّص أن يكون الأوّل مقتضيا والثاني مانعا عن الحكم ، ففي موارد الاشتباه يؤول الأمر إلى الشكّ في وجود المانع بعد إحراز المقتضي ، والأصل عدمه ، فلا بدّ من الحكم بوجود المقتضي</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نسلّم أنّ الظاهر من العنوانين أن يكون العامّ مقتضيا والخاصّ مانعا ، فإنّ قضيّة التخصيص لا تزيد على صرف الحكم عن الأفراد المخصّصة وتخصيصه بالأفراد الباقية من غير إشعار بأنّ العلم هو المقتضي والفسق هو المانع ، لكونه أعمّ من أن يكون العامّ مقتضيا والآخر مانعا كما هو مطلوب المستدلّ ، أو أن يكون عنوان العامّ هو الجزء الآخر للعلّة التامّة بالنسبة إلى الحكم ويكون عنوان المخصّص كاشفا عن عدم شرط في بعض أفراده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 فلا دليل على التزام كون العامّ مقتضيا والمخصّص مانعا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القضايا الغير المعلّلة بعلّة عند عدم استنادها إلى عللها الواقعيّة </w:t>
      </w:r>
      <w:r>
        <w:rPr>
          <w:rStyle w:val="FootnoteAnchor"/>
          <w:rtl w:val="true"/>
        </w:rPr>
        <w:footnoteReference w:id="259"/>
      </w:r>
      <w:r>
        <w:rPr>
          <w:rFonts w:ascii="Amiri" w:hAnsi="Amiri" w:eastAsia="Amiri" w:cs="Amiri"/>
          <w:color w:val="111111"/>
          <w:sz w:val="28"/>
          <w:sz w:val="28"/>
          <w:szCs w:val="28"/>
          <w:rtl w:val="true"/>
          <w:lang w:bidi="ar-SA"/>
        </w:rPr>
        <w:t xml:space="preserve">أن يكون الموضوع هو العلّة في ثبوت المحمول أو ما هو ثابت في مورده قطعا ، وإلاّ لزم أن يكون كلّ شيء صالحا لأن يحكم عليه بكلّ شيء ، وهو ضروريّ الفساد ، ولذلك لا حاجة إلى إحراز أمر آخر في ترتيب الحكم بعد إحراز ما جعل موضوعا في القضيّة ، فإذا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إلاّ فسّاقهم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نعلم أنّ علّة وجوب الإكرام إنّما هو العلم الغير الجامع للفسق ، ولا شكّ أنّ العلم حينئذ يكون مقتضيا كما هو مأخوذ في عنوان العامّ والفسق مانعا كما هو مقرّر في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القول باعتبار مفهوم الوصف واللقب وأضرابهما كما هو قضيّة العلّيّة المدّعاة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يلزم لو قلنا بأنّ الظاهر انحصار العلّة ليلزم من ارتفاعه ارتفاع سنخ الحكم ولا نقول به ، بل المقصود إثبات الاطّراد في الوجود فقط ، فإنّ ذلك يكفي فيما نحن فيه وإن أمكن ثبوت الحكم في مورد آخر أيضا ، فلا يلزم محذور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أنّه بعد إحراز ما هو الموضوع في القضية يلزم ترتيب الحكم عليه ولا حاجة معه إلى أمر آخر ، بل يكفي فيه ذلك ولو فرض ارتفاع جميع الموجودات أو وجود جميع المعدومات كما هو قضيّة الإطلاق ، لكن ذلك لازمه القول بأنّ العلّة في الحكم أو في العلم به </w:t>
      </w:r>
      <w:r>
        <w:rPr>
          <w:rStyle w:val="FootnoteAnchor"/>
          <w:rtl w:val="true"/>
        </w:rPr>
        <w:footnoteReference w:id="260"/>
      </w:r>
      <w:r>
        <w:rPr>
          <w:rFonts w:ascii="IRNazanin" w:hAnsi="IRNazanin" w:eastAsia="IRNazanin"/>
          <w:color w:val="111111"/>
          <w:sz w:val="28"/>
          <w:sz w:val="28"/>
          <w:szCs w:val="28"/>
          <w:rtl w:val="true"/>
          <w:lang w:bidi="fa-IR"/>
        </w:rPr>
        <w:t xml:space="preserve">عنوان العامّ مع انتفاء عنوان </w:t>
      </w:r>
    </w:p>
    <w:p>
      <w:pPr>
        <w:pStyle w:val="BookText"/>
        <w:rPr/>
      </w:pPr>
      <w:r>
        <w:rPr>
          <w:rFonts w:ascii="Amiri" w:hAnsi="Amiri" w:eastAsia="Amiri" w:cs="Amiri"/>
          <w:color w:val="111111"/>
          <w:sz w:val="28"/>
          <w:sz w:val="28"/>
          <w:szCs w:val="28"/>
          <w:rtl w:val="true"/>
          <w:lang w:bidi="ar-SA"/>
        </w:rPr>
        <w:t>المخصّص ولا حاجة إلى إحراز أمر آخر في الحكم المذكور ، ولا دلالة فيه بوجه على تعيين المقتضي والمانع كما هو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نعني بالمقتضي إلاّ الأمر الوجودي المؤثّر في وجود المعلول ، وبالمانع إلاّ ما يكون عدمه معتبرا في الوجود ، ولا شكّ في صدق ذلك على العنوانين كما عرفت بأنّ العلّة هو العلم مع انتفاء 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ليس مستفادا من ظاهر الدليل وإنّما هو أمر يمكن اعتباره كذلك ، كما يمكن اعتباره بوجه آخر أيضا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فمن الجائز أن يكون الأفراد الباقية مشتملة على علّة الحكم بعناوينها الخاصّة ، بخلاف الفرد المخرج ، لارتفاع بعض أجزاء العلّة فيها ، ويكون الداعي إلى التعبير على الوجه المذكور هو تعذّر إحصاء الأفراد الباقية بعناوينها أو غيرها ، وحينئذ لا دلالة على المطلوب بوجه كما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أهل هذه البلدة إلاّ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العام بعد تخصيصه بالمنفصل يصير كالدليل اللبّي وينهدم أساس عنوان الموضوع ، فإنّه حينئذ ذوات الأشخاص الباقية كما إذا قيل مشيرا إليها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ومشيرا إلى الأفراد الخارجة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هؤلاء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ذلك خلاف الإنصاف ، لظهور الفرق بين الإشارة وعنواني العامّ والمخصّص ، فإنّ للعالميّة مدخلا في الحكم جزما ، لارتفاع الحكم فيما لو انقلب جاهلا ، بخلافه في صورة الإشارة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الدعوى المذكورة ممّا لا سبيل إليها في مثل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إكرام الناس إلاّ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الأحكام السلبيّة ، إلاّ أنّه لا بد من التأويل فيها بعد ذلك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كون العامّ مقتضيا والمخصّص مانعا ، إلاّ أنّه لا بدّ من إحراز عدم المانع بدليل ، ومجرّد الشكّ في وجود المانع مع قطع النظر عن الحالة السابقة لا يقتضي الحكم بالعدم ، وأمّا الحالة السابقة فليست معلومة في المقام حتّى يؤخذ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الفسق المفروض وجوده مانعا قد يكون معلوما قبل زمان الشكّ كما إذا كان زيد المشكوك دخوله في العنوانين معلوم العدالة في السابق ، وقد لا يكون كما إذا كان الشكّ في فسقه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إلى تجشّم إثبات كون العام مقتضيا والمخصّص مانعا ، لكفاية الأصل الموضوعي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يجدي إثبات كونه مانعا أيضا ، لعدم ما يقضي بعدمه في الواقع من الدليل أو في الظاهر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المانع إذا كان مشكوكا فالأصل فيه العدم ، سواء كان مسبوقا بالحالة السابقة أو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 ذلك احتجاج المحقّق في الاستصحاب بعد إحراز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احتمال وجود المانع معارض باحتمال عدمه </w:t>
      </w:r>
      <w:r>
        <w:rPr>
          <w:rStyle w:val="FootnoteAnchor"/>
          <w:rtl w:val="true"/>
        </w:rPr>
        <w:footnoteReference w:id="262"/>
      </w:r>
      <w:r>
        <w:rPr>
          <w:rFonts w:ascii="Amiri" w:hAnsi="Amiri" w:eastAsia="Amiri" w:cs="Amiri"/>
          <w:color w:val="111111"/>
          <w:sz w:val="28"/>
          <w:sz w:val="28"/>
          <w:szCs w:val="28"/>
          <w:rtl w:val="true"/>
          <w:lang w:bidi="ar-SA"/>
        </w:rPr>
        <w:t>، فإنّ ذلك لا وجه له إلاّ على تقدير عدم الاعتناء بوجود المانع بمجرّد الشكّ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كفاية الشكّ في وجود المانع في الحكم بعدمه ، لا عقلا لعدم استقلاله به ، ولا نقلا لعدم اندراجه تحت قاعدة من القواعد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احتجاج المحقّق فقد نبّهنا على ما فيه في محلّه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يتوهّم الفرق في المقام بين ما كان الأفراد الباقية والخارجة معلومة الأعداد والأشخاص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 العدول مثلا عشرة والفسّاق أيضا عشرة فاشتبه </w:t>
      </w:r>
    </w:p>
    <w:p>
      <w:pPr>
        <w:pStyle w:val="BookText"/>
        <w:rPr/>
      </w:pPr>
      <w:r>
        <w:rPr>
          <w:rFonts w:ascii="Amiri" w:hAnsi="Amiri" w:eastAsia="Amiri" w:cs="Amiri"/>
          <w:color w:val="111111"/>
          <w:sz w:val="28"/>
          <w:sz w:val="28"/>
          <w:szCs w:val="28"/>
          <w:rtl w:val="true"/>
          <w:lang w:bidi="ar-SA"/>
        </w:rPr>
        <w:t xml:space="preserve">واحد منهم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ما لم يكن كذلك ، بل كان الاشتباه لأجل حصول عنوان المخصّص في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بعدم تحكيم العامّ ، لما مرّ من أنّ الحكم بدخوله في أحد العنوانين خاصّة ترجيح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بتحكيم العامّ في مورد الاشتباه ، نظرا إلى وجوب الأخذ بالعامّ مهما أمكن ، فما لم يعلم خروج فرد من العامّ يجب الأخذ به ، لعدم وصول المعارض إلينا من جانب المولى كما جرى عليه ديدن العقلاء في مقام امتثال الأوامر المتعلّقة بهم ،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على الأوّل 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الثاني ، فما ذكر في وجه التحكيم فإنّما يناسب فيما لو كان المراد من المخصّص مجملا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عنوان المخصّص معلوم المراد فلا وجه للفرق بين الموردين بوجه ، لاتّحاد ما هو المناط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جريان ديدن العقلاء على تحكيم العامّ في مثل ما نحن فيه ممنوعة جدّا ، ألا ترى أنّهم يتوقّفون في مائع لم يعلم كونه خلاّ أو خمرا ولا يستندون فيه إلى عموم التحليل والتحريم؟ والوجه في ذلك هو ما نبّهنا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الشكّ في المقام ممّا لا يزول بالأخذ بالعموم ، فإنّ الاصول اللفظيّة تارة يقصد بها إثبات الوضع والمفروض في المقام عدم الشكّ فيه في أحد من العنوانين ، وتارة يقصد بها إثبات المراد من اللفظ وهو أيضا معلوم فيهما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ملخّص ما يمكن أن يقال في الفرق بين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الشك في دخول زيد في عنوان الخاصّ على الأوّل لا يستلزم الشكّ في تخصيص العامّ زيادة على ما علم تخصيصه ، لأنّ دخول زيد تحته يوجب خروج فرد آخر منه ، لانحصار أفراده في عشرة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الشكّ فيه على الثاني ، فإنّه يشكّ في أنّ زيدا هل خصّص من العامّ أو لا؟ بعد العلم بتخصيصه بالنسبة إلى عمرو وأصالة عدم التخصيص في الأقلّ معارضة بمثلها كما في الشبهة المحصورة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فلا معارض لها ، لكونه من قبيل الشبهة البدويّة</w:t>
      </w:r>
      <w:r>
        <w:rPr>
          <w:rFonts w:eastAsia="Amiri" w:cs="Amiri" w:ascii="Amiri" w:hAnsi="Amiri"/>
          <w:color w:val="111111"/>
          <w:sz w:val="28"/>
          <w:szCs w:val="28"/>
          <w:rtl w:val="true"/>
          <w:lang w:bidi="ar-SA"/>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وملخّص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لا يجدي في الرجوع إلى العامّ ، لأنّ منشأ الشكّ في التخصيص وإن كان الشكّ بدويّا هو الاشتباه في الأمر الخارجي ولا يمكن زواله بالرجوع إلى العامّ 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بمكان من الظهور والوضوح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بهداية اللّه </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وهو الهادي</w:t>
      </w:r>
      <w:r>
        <w:rPr>
          <w:rFonts w:eastAsia="Amiri" w:cs="Amiri" w:ascii="Amiri" w:hAnsi="Amiri"/>
          <w:color w:val="111111"/>
          <w:sz w:val="28"/>
          <w:szCs w:val="28"/>
          <w:rtl w:val="true"/>
          <w:lang w:bidi="ar-SA"/>
        </w:rPr>
        <w:t xml:space="preserve">. </w:t>
      </w:r>
      <w:bookmarkStart w:id="93" w:name="pg16264_169447"/>
    </w:p>
    <w:p>
      <w:pPr>
        <w:pStyle w:val="Heading3"/>
        <w:numPr>
          <w:ilvl w:val="2"/>
          <w:numId w:val="1"/>
        </w:numPr>
        <w:rPr/>
      </w:pPr>
      <w:bookmarkStart w:id="94" w:name="__RefHeading___Toc4588588_1280447820"/>
      <w:bookmarkStart w:id="95" w:name="_Toc26"/>
      <w:bookmarkEnd w:id="93"/>
      <w:bookmarkEnd w:id="94"/>
      <w:r>
        <w:rPr>
          <w:rtl w:val="true"/>
        </w:rPr>
        <w:t>هداية</w:t>
      </w:r>
      <w:bookmarkEnd w:id="95"/>
    </w:p>
    <w:p>
      <w:pPr>
        <w:pStyle w:val="Heading4"/>
        <w:numPr>
          <w:ilvl w:val="3"/>
          <w:numId w:val="1"/>
        </w:numPr>
        <w:rPr/>
      </w:pPr>
      <w:bookmarkStart w:id="96" w:name="__RefHeading___Toc4588590_1280447820"/>
      <w:bookmarkStart w:id="97" w:name="_Toc27"/>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إذا علم تخصيص العامّ بما لم يؤخذ عنوانا في موضوع الحكم ، فالحقّ صحّة التعويل عليه عند الشكّ في فرد أنّه من أيّهما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استيناسه من مذاق العلماء في جملة من الموارد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قال المولى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وعلمنا من نفسه ومن تعبيره وتخصيصه للعامّ أنّه لا يريد إكرام الفاسق ، فإنّه إذا شكّ في زيد هل هو فاسق أو لا يجب تحكيم العامّ فيه والقول بوجوب إكرامه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التخصيص تارة يوجب تعدّد الموضوعين وتنويعهما ، كالعالم الفاسق والعالم الغير الفاسق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 لا يوجب ذلك ، كما إذا لم يعتبر المتكلّم صفة في موضوع الحكم غير ما أخذه عنوانا في العامّ وإن علمنا بأنّه لو فرض في أفراد العامّ من هو فاسق لا يريد إكرامه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لتحكيم العام ، لما عرفت في الهداية السابقة ، وأغلب ما يكون ذلك إنّما هو في التخصيصات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تحكيم العامّ وأغلب ما يكون ذلك إنّما هو في التخصيصات اللبيّة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يقضي بذلك أمران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أنّه يجب ترتيب الحكم فيما لو علمنا بعدم ما هو المخصّص واقعا ، وكذا فيما لو شكّ فيه لملازمته لأصل موضوعيّ به يرتفع الشكّ ، وهو أصالة عدم كونه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يرد فيه ما أوردناه في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بدون الحالة السابقة لا دليل على اعتبار الأصل ومعها يخرج عن عنوان البحث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عدم وجود الفاسق الأزلي يكفي في المقام بعد إحراز عنوان العامّ في الفرد المشكوك ، ولا يكفي في القسم الأوّل ، لأنّ مجرّد عدم إحراز وجود الفاسق بالأصل لا يجوب إحراز ما هو الموضوع في الحكم من عنوان العامّ مع ما هو ضدّ لعنوان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اريد من استصحاب عدم الفاسق إثبات أنّ المشكوك ليس فاسقا ، فهو ممّا لا تعويل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اريد استصحابه بدون ذلك فالشكّ في محلّه ، فلا وجه في تحكيم العامّ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اريد استصحاب عدم الفسق في هذا المشكوك الخاصّ ، ففيه أنّ هذا الفرد متى يكون لا فاسقا حتى يستصحب؟</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في القسم الأوّل ربما يترتّب على نفس عدم الفاسق ، كما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هذا الوجه لو تمّ لم يكن تحكيما للعامّ كما هو المراد ، بل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 أيضا مجمل في المقام لم يكن كذبا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الرجوع إلى العامّ في المقام يوجب رفع الشكّ الموضوعي المفروض في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التعبير بالعموم من دون أخذ عنوان آخر يكشف من أنّ المتكلّم لا يرى في أفراد ذلك العامّ ما يصلح لمعارضة العامّ ، وإلاّ كان عليه التخصيص بغيره ، فالخطاب المنفصل لبيان الحكم إنّما يستفاد منه بيان الموضوع أيضا ولو بملاحظة أصالة عدم التخصيص ، وكلّ من يجب إكرامه ليس بفاسق ، لما قد فرضنا أنّ المولى لا يريد إكرام الفاسق ، فينتج أنّ زيدا ليس بفاسق ، فالتمسّك بالعامّ لا يحتاج إلى رفع الشكّ ، بل بالعموم يستكشف واقع المشكوك فيه ، ومن هذا القبيل التمسّك بعموم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xml:space="preserve">لعصمة </w:t>
      </w:r>
    </w:p>
    <w:p>
      <w:pPr>
        <w:pStyle w:val="BookText"/>
        <w:rPr/>
      </w:pPr>
      <w:r>
        <w:rPr>
          <w:rFonts w:ascii="Amiri" w:hAnsi="Amiri" w:eastAsia="Amiri" w:cs="Amiri"/>
          <w:color w:val="111111"/>
          <w:sz w:val="28"/>
          <w:sz w:val="28"/>
          <w:szCs w:val="28"/>
          <w:rtl w:val="true"/>
          <w:lang w:bidi="ar-SA"/>
        </w:rPr>
        <w:t xml:space="preserve">النبي صلى‌اللّه‌عليه‌وآله والتمسّك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العن بني اميّة قاطبة </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xml:space="preserve">على عدم وجاهة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هذه التمسّكات في كلمات العلماء كثيرة ، بل العرف أيضا شاهد على ذلك ، كما يلاحظ في كثير من محاوراتهم ، كما إذا أمر المولى عبده بإتيان كلّ بطيخ في بيته مع العلم بأنّه لا يريد الفاسد منه ، أو أمر المولى بإكرام جيرانه عموما مع العلم بأنّه لا يريد إكرام عدوّه ، فإنّه يستكشف من الأوّل أنّ المولى لا يعتقد فسادا فيما هو في بيته من البطّيخ ، ومن الثاني أنّه لا يرى من هو عدوّ في جيرانه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ظاهر ، وإنّما الإشكال في تشخيص مورد القسمين ، وبيان ما هو المعيار في تمييز أحدهما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ما أخذناه في عنوان الهداية يوجب التمييز في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علمنا بأنّ العداوة مانعة عن اقتضاء عنوان العامّ للحكم ، فلا فرق بين التصريح بالتخصيص كما في القسم الأوّل وبين غيره كما فيما نحن فيه ، لظهور أنّ الحكم إنّما يلحق موضوعه وبعد العلم بالممانعة نشكّ في ثبوت الموضوع كما قرّر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مداخلة العداوة في الموضوع ما لم يصرّح بالتخصيص ، غاية الأمر أنّا نعلم بملازمة بين العداوة وبين عدم الإكرام ، وذلك لا يضرّ التمسّك بالعامّ بل يؤكّده ، حيث إنّا نستكشف من ثبوت الإكرام الملازم لعدم العداوة عدم كونه عدوّا كما هو الشأن في جميع ضروب الاستدلال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إنّما يتّجه إذا لم يعلم بوجود المخصّص في الخارج أصلا ، وأمّا إذا علم بوجوده ولو واحدا ، فيكفي في أخذه عنوانا والحكم بالتنويع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ذلك بين العلم بوجوده وبين عدمه ، إذ المدار على الاستكشاف المذكور لجريان أصالة عدم التخصيص ، فكما أنّه لو شكّ ابتداء في تخصيص العامّ بفرد بعد العلم بتخصيصه بفرد آخر يجب التمسّك بالعموم ولا ينافيه العلم بتخصيصه بالنسبة إلى فرد غيره ، فكذا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فملاك الأمر في المقام على تشخيص الموضوع ، ولا تفاوت فيه بين أقسامه وأحواله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كان أخذ عنوان المخصّص قيدا في موضوع الحكم ممكنا وأمرا معقولا ، كما عرفت من الأمثلة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لا يمكن أخذه في الموضوع ولا يعقل ذلك فيه ، فلا ينبغي الإشكال في أنّه يؤخذ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فتوضيح المطلب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بعدم إرادة المولى بعض ما يلاحظ كونه فردا عند إيراده عنوان العامّ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اعتباره في الموضوع كالجار الصديق والعالم العادل ونحو ذلك</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يمكن ذلك فيه ولا يعقل اعتباره فيه ، كما إذا كان ذلك الوصف منتزعا من مجرّد إرادة المولى المتعلّقة بما هو المراد وعدم إرادته لما ليس مرادا كالصحّة والفساد سواء كانت في العبادات أو في المعاملات ، فإنّهما وصفان اعتباريّان منتزعان من تعلّق إرادة المولى بما هو المقصود وعدمه في غيره ، فهما إنّما يعتبران في محلّهما بعد ملاحظة الأمر والجعل ، فلا يعقل اعتبارهما في متعلّق الأمر والجعل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الكلام فيه بما لا مزيد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فالتمسّك بالعموم فيه كاد أن يكون ملحقا بالضروريّات ، فإذا شككنا في أنّ عتق الرقبة الكافرة هل هو صحيح أو لا؟ يجب الأخذ بالعموم أو الإطلاق ، ولا سبيل للقول بأنّا نعلم بأنّ غير الصحيح من العتق غير مراد للمولى والشكّ إنّما </w:t>
      </w:r>
    </w:p>
    <w:p>
      <w:pPr>
        <w:pStyle w:val="BookText"/>
        <w:rPr/>
      </w:pPr>
      <w:r>
        <w:rPr>
          <w:rFonts w:ascii="Amiri" w:hAnsi="Amiri" w:eastAsia="Amiri" w:cs="Amiri"/>
          <w:color w:val="111111"/>
          <w:sz w:val="28"/>
          <w:sz w:val="28"/>
          <w:szCs w:val="28"/>
          <w:rtl w:val="true"/>
          <w:lang w:bidi="ar-SA"/>
        </w:rPr>
        <w:t>هو في ذلك ، فمن حاول التمسّك بالعموم لا بدّ له أوّلا من إثبات الصحّة ثمّ بعد ذلك يتمسّك بالعموم ، فإنّ ذلك باطل جدّا ، لأنّ الصحّة ليست إلاّ ما ينتزع من المأمور به ، والعموم يفيد كونه مأمورا به فيكون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يعقل اعتبار الصحّة في المأمور به ، لما قد نبّهنا عليه في محلّه ، فلا يجب إحرازه قبل التمسّك على تقدير لزوم إحراز كلّ ما هو لازم للموضوع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جرى ديدن العلماء في التمسّك بالعمومات والإطلاقات في جميع أبواب العبادات والمعاملات من الأنكحة والبيوع وغيرها على وجه لا يحسن إنكاره من المكابر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فساد ما أفاده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 إمضاء الشارع إنّما يتعلّق بالعقد الصحيح الجامع للشرائط والأجزاء الواقعيّة المعتبرة عنده ، دون الفاسد والفاقد لبعضها ، فإذا شكّ في صحة العقد وفساده ، فلا بدّ أوّلا من إثبات صحّته بمعنى كونه تام الأجزاء والشرائط ثمّ الاستناد إلى العموم المزبور في الصحّة بمعنى ترتّب الأثر ، بحيث إذا لم يحرز ذلك سقط اعتبار ذلك العموم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القبيل اعتراض بعض القائلين بوضع أسماء العبادات للصحيحة على من زعم أنّها موضوعة للأعمّ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وجه للتمسّك بالإطلاق على تقديره أيضا ، للعلم بأنّ الشارع لا يريد منها إلاّ الصحيحة ، فلا بدّ من إحراز صحّتها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إنّ ذلك في غاية السقوط جدّا ، ومع ذلك أولى ممّا ذكره في الحدائق ، لاعترافه بسقوط الإطلاق على هذا الاعتبار الفاسد عن الاعتبار ، بخلافه حيث إنّه يظهر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الاستناد إلى العموم في الصحّة بمعنى ترتّب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متمسّك ومستدلّ بالإطلاق</w:t>
      </w:r>
      <w:r>
        <w:rPr>
          <w:rFonts w:eastAsia="Amiri" w:cs="Amiri" w:ascii="Amiri" w:hAnsi="Amiri"/>
          <w:color w:val="111111"/>
          <w:sz w:val="28"/>
          <w:szCs w:val="28"/>
          <w:rtl w:val="true"/>
          <w:lang w:bidi="ar-SA"/>
        </w:rPr>
        <w:t xml:space="preserve">. </w:t>
      </w:r>
      <w:bookmarkStart w:id="98" w:name="pg16264_169452"/>
    </w:p>
    <w:p>
      <w:pPr>
        <w:pStyle w:val="BookText"/>
        <w:rPr/>
      </w:pPr>
      <w:bookmarkEnd w:id="98"/>
      <w:r>
        <w:rPr>
          <w:rFonts w:ascii="Amiri" w:hAnsi="Amiri" w:eastAsia="Amiri" w:cs="Amiri"/>
          <w:color w:val="111111"/>
          <w:sz w:val="28"/>
          <w:sz w:val="28"/>
          <w:szCs w:val="28"/>
          <w:rtl w:val="true"/>
          <w:lang w:bidi="ar-SA"/>
        </w:rPr>
        <w:t>وكيف كان لا وجه للتردّد في أمثال هذه المطالب الواضحة وإن صعب مأخذه بواسطة عدم التدرّب في كيفيّة المأخذ ، ولقد فصّلنا القول في دفع هذه الشبهة في مباحث الصحيح والأعمّ فراجعه</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4588592_1280447820"/>
      <w:bookmarkStart w:id="100" w:name="_Toc28"/>
      <w:bookmarkEnd w:id="99"/>
      <w:r>
        <w:rPr>
          <w:rtl w:val="true"/>
        </w:rPr>
        <w:t xml:space="preserve">تنبيهات </w:t>
      </w:r>
      <w:r>
        <w:rPr>
          <w:rtl w:val="true"/>
        </w:rPr>
        <w:t>:</w:t>
      </w:r>
      <w:bookmarkEnd w:id="100"/>
    </w:p>
    <w:p>
      <w:pPr>
        <w:pStyle w:val="Heading5"/>
        <w:numPr>
          <w:ilvl w:val="4"/>
          <w:numId w:val="1"/>
        </w:numPr>
        <w:rPr/>
      </w:pPr>
      <w:bookmarkStart w:id="101" w:name="__RefHeading___Toc4588594_1280447820"/>
      <w:bookmarkStart w:id="102" w:name="_Toc29"/>
      <w:bookmarkEnd w:id="101"/>
      <w:r>
        <w:rPr>
          <w:rtl w:val="true"/>
        </w:rPr>
        <w:t xml:space="preserve">الأوّل </w:t>
      </w:r>
      <w:r>
        <w:rPr>
          <w:rtl w:val="true"/>
        </w:rPr>
        <w:t>:</w:t>
      </w:r>
      <w:bookmarkEnd w:id="102"/>
    </w:p>
    <w:p>
      <w:pPr>
        <w:pStyle w:val="BookText"/>
        <w:rPr/>
      </w:pPr>
      <w:r>
        <w:rPr>
          <w:rFonts w:ascii="Amiri" w:hAnsi="Amiri" w:eastAsia="Amiri" w:cs="Amiri"/>
          <w:color w:val="111111"/>
          <w:sz w:val="28"/>
          <w:sz w:val="28"/>
          <w:szCs w:val="28"/>
          <w:rtl w:val="true"/>
          <w:lang w:bidi="ar-SA"/>
        </w:rPr>
        <w:t xml:space="preserve">أنّه يظهر من بعضهم التمسّك بالعمومات في ما إذا شكّ في فرد من غير جهة العموم ، كما إذا شكّ في صحّة الغسل أو الوضوء ، بمائع مضاف فيستكشف صحّته بعموم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متعلّقا للنذر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الفرد من الوضوء يجب الوفاء به ، لعموم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يجب الوفاء به يجب أن يكون صحيحا ، فيجب أن يكون الوضوء صحيحا ، أمّا الصغرى فبالعموم وأمّا الكبرى فللقطع بأنّ ما ليس صحيحا لا يجب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شاع التمسّك بمثل ذلك في كلمات بعضهم </w:t>
      </w:r>
      <w:r>
        <w:rPr>
          <w:rStyle w:val="FootnoteAnchor"/>
          <w:rtl w:val="true"/>
        </w:rPr>
        <w:footnoteReference w:id="267"/>
      </w:r>
      <w:r>
        <w:rPr>
          <w:rFonts w:ascii="Amiri" w:hAnsi="Amiri" w:eastAsia="Amiri" w:cs="Amiri"/>
          <w:color w:val="111111"/>
          <w:sz w:val="28"/>
          <w:sz w:val="28"/>
          <w:szCs w:val="28"/>
          <w:rtl w:val="true"/>
          <w:lang w:bidi="ar-SA"/>
        </w:rPr>
        <w:t>، كما لا يخفى على المتتبّع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فاسد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النذر وأمثاله من العناوين الثانوية التي لا ترد إلاّ على محل يعلم قبوله له ، ولا يمكن استكشاف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الأحكام الواردة في الشريعة على ضربين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تؤخذ ضدّه في موضوع ذلك الحكم كإباحة السكّر وحرمة الخمر ووجوب الصلاة ونحوها ، فإنّه لا يعقل القول بأنّه يباح السكّر </w:t>
      </w:r>
      <w:bookmarkStart w:id="103" w:name="pg16264_169453"/>
    </w:p>
    <w:p>
      <w:pPr>
        <w:pStyle w:val="BookText"/>
        <w:rPr/>
      </w:pPr>
      <w:bookmarkEnd w:id="103"/>
      <w:r>
        <w:rPr>
          <w:rFonts w:ascii="Amiri" w:hAnsi="Amiri" w:eastAsia="Amiri" w:cs="Amiri"/>
          <w:color w:val="111111"/>
          <w:sz w:val="28"/>
          <w:sz w:val="28"/>
          <w:szCs w:val="28"/>
          <w:rtl w:val="true"/>
          <w:lang w:bidi="ar-SA"/>
        </w:rPr>
        <w:t>الذي ليس بحرام ، فإنّه في مقام إنشاء الإباحة التي في عرض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يمكن تقييد موضوعه بأمر ذلك ليوجب </w:t>
      </w:r>
      <w:r>
        <w:rPr>
          <w:rStyle w:val="FootnoteAnchor"/>
          <w:rtl w:val="true"/>
        </w:rPr>
        <w:footnoteReference w:id="268"/>
      </w:r>
      <w:r>
        <w:rPr>
          <w:rFonts w:ascii="Amiri" w:hAnsi="Amiri" w:eastAsia="Amiri" w:cs="Amiri"/>
          <w:color w:val="111111"/>
          <w:sz w:val="28"/>
          <w:sz w:val="28"/>
          <w:szCs w:val="28"/>
          <w:rtl w:val="true"/>
          <w:lang w:bidi="ar-SA"/>
        </w:rPr>
        <w:t>الحرمة كأكل المسكر المضرّ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يؤخذ في موضوعه أحد الأحكام المتعلّقة بالأفعال بعناوينها الأوّلية ، كوجوب إطاعة الوالدين في الامور المباحة أو الغير المحرّمة ، وكإمضاء وصايا الميّت في الامور الغير المحرّمة ، وكإجابة الأخ المؤمن في الامور المباحة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اصطلحنا على تسمية الأوّل بالعناوين الأوّليّة والثاني بالعناوين الثانوية ، فموضوع هذه الأحكام إنّما اخذ فيه الجواز وليس الجواز ما يتفرّع على وجوب النذر حتّى يمكن استكشافه بالعموم ، بل يجب أوّلا إحراز الجواز مع قطع النظر عن لحوق هذه الأحكام للموضوع ، ثمّ بعد ذلك التمسّك بالعموم في وجوب ترتيب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صحّ التمسّك بالعموم في مثل المقام لم يبق لنا مشكوك من الامور إلاّ ويمكن استكشافه من العموم ، كما إذا شكّ في جواز شرب مائع فيتمسّك بأدلّة استحباب قضاء الحاجة ويشرب فيما لو أراده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باطل جدّا ، فتأمّل كيلا يختلط عليك الأمر في الموارد المتقدّمة ، فإنّها بعد تباعدها متقاربة جدّا</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4588596_1280447820"/>
      <w:bookmarkStart w:id="105" w:name="_Toc30"/>
      <w:bookmarkEnd w:id="104"/>
      <w:r>
        <w:rPr>
          <w:rtl w:val="true"/>
        </w:rPr>
        <w:t xml:space="preserve">الثاني </w:t>
      </w:r>
      <w:r>
        <w:rPr>
          <w:rtl w:val="true"/>
        </w:rPr>
        <w:t>:</w:t>
      </w:r>
      <w:bookmarkEnd w:id="10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علمنا أنّ زيدا مثلا ممّن لا يجب إكرامه وشككنا في أنّه عالم وخصّص في هذا المورد أو ليس عالما فلا تخصيص ، وأصالة عدم التخصيص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bookmarkStart w:id="106" w:name="pg16264_169454"/>
    </w:p>
    <w:p>
      <w:pPr>
        <w:pStyle w:val="BookText"/>
        <w:rPr/>
      </w:pPr>
      <w:bookmarkEnd w:id="106"/>
      <w:r>
        <w:rPr>
          <w:rFonts w:ascii="Amiri" w:hAnsi="Amiri" w:eastAsia="Amiri" w:cs="Amiri"/>
          <w:color w:val="111111"/>
          <w:sz w:val="28"/>
          <w:sz w:val="28"/>
          <w:szCs w:val="28"/>
          <w:rtl w:val="true"/>
          <w:lang w:bidi="ar-SA"/>
        </w:rPr>
        <w:t>ليس بعالم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ولو تردّد زيد بين شخصين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عالم ، والآخر جاهل ، وسمعنا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نحكم بأنّه زيد الجاهل ، لأصالة عدم التخصيص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عالم يجب إكرامه بالعموم ، وينعكس بعكس النقيض إلى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لم يجب إكرامه ليس بعالم ،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جرى ديدنهم في الاستدلالات الفقهيّة ، كاستدلالهم على طهارة ماء الغسالة على أنّها لا ينجّس المحلّ ، فإن كان نجسا غير منجّس يلزم تخصيص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نجس ينجّس</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4588598_1280447820"/>
      <w:bookmarkStart w:id="108" w:name="_Toc31"/>
      <w:bookmarkEnd w:id="107"/>
      <w:r>
        <w:rPr>
          <w:rtl w:val="true"/>
        </w:rPr>
        <w:t xml:space="preserve">الثالث </w:t>
      </w:r>
      <w:r>
        <w:rPr>
          <w:rtl w:val="true"/>
        </w:rPr>
        <w:t>:</w:t>
      </w:r>
      <w:bookmarkEnd w:id="108"/>
    </w:p>
    <w:p>
      <w:pPr>
        <w:pStyle w:val="BookText"/>
        <w:rPr/>
      </w:pPr>
      <w:r>
        <w:rPr>
          <w:rFonts w:ascii="Amiri" w:hAnsi="Amiri" w:eastAsia="Amiri" w:cs="Amiri"/>
          <w:color w:val="111111"/>
          <w:sz w:val="28"/>
          <w:sz w:val="28"/>
          <w:szCs w:val="28"/>
          <w:rtl w:val="true"/>
          <w:lang w:bidi="ar-SA"/>
        </w:rPr>
        <w:t xml:space="preserve">الحكم المتعلّق بالعامّ إذا علّل بعلّة فإن علمنا بعدم المطابقة عموما وخصوصا فالحكم يدور مدار العلّة في التعميم والتخصيص ، كما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 الرمّان لأنّه حامض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فيخصّ بالحامض منه ويعمّ غير الرمّان أيضا ولا مجال لتوهّم كشف الحموضة من العموم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يعلم بالمطابقة فبأصالة عدم التخصيص يحكم بالمطابقة ، فكلّ رمّان يحكم بحموضته ، وذلك ظاهر في الجملة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بدّ من التأمّل في الموارد كيلا يشتبه الأمر فيها ، فإنّ تشخيصها موكول إلى نظر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الهادي</w:t>
      </w:r>
      <w:r>
        <w:rPr>
          <w:rFonts w:eastAsia="Amiri" w:cs="Amiri" w:ascii="Amiri" w:hAnsi="Amiri"/>
          <w:color w:val="111111"/>
          <w:sz w:val="28"/>
          <w:szCs w:val="28"/>
          <w:rtl w:val="true"/>
          <w:lang w:bidi="ar-SA"/>
        </w:rPr>
        <w:t xml:space="preserve">. </w:t>
      </w:r>
      <w:bookmarkStart w:id="109" w:name="pg16264_169455"/>
    </w:p>
    <w:p>
      <w:pPr>
        <w:pStyle w:val="Heading3"/>
        <w:numPr>
          <w:ilvl w:val="2"/>
          <w:numId w:val="1"/>
        </w:numPr>
        <w:rPr/>
      </w:pPr>
      <w:bookmarkStart w:id="110" w:name="__RefHeading___Toc4588600_1280447820"/>
      <w:bookmarkStart w:id="111" w:name="_Toc32"/>
      <w:bookmarkEnd w:id="109"/>
      <w:bookmarkEnd w:id="110"/>
      <w:r>
        <w:rPr>
          <w:rtl w:val="true"/>
        </w:rPr>
        <w:t>هداية</w:t>
      </w:r>
      <w:bookmarkEnd w:id="111"/>
    </w:p>
    <w:p>
      <w:pPr>
        <w:pStyle w:val="Heading4"/>
        <w:numPr>
          <w:ilvl w:val="3"/>
          <w:numId w:val="1"/>
        </w:numPr>
        <w:rPr/>
      </w:pPr>
      <w:bookmarkStart w:id="112" w:name="__RefHeading___Toc4588602_1280447820"/>
      <w:bookmarkStart w:id="113" w:name="_Toc33"/>
      <w:bookmarkEnd w:id="112"/>
      <w:r>
        <w:rPr>
          <w:rtl w:val="true"/>
        </w:rPr>
        <w:t>اشارة</w:t>
      </w:r>
      <w:bookmarkEnd w:id="113"/>
    </w:p>
    <w:p>
      <w:pPr>
        <w:pStyle w:val="BookText"/>
        <w:rPr/>
      </w:pPr>
      <w:r>
        <w:rPr>
          <w:rFonts w:ascii="Amiri" w:hAnsi="Amiri" w:eastAsia="Amiri" w:cs="Amiri"/>
          <w:color w:val="111111"/>
          <w:sz w:val="28"/>
          <w:sz w:val="28"/>
          <w:szCs w:val="28"/>
          <w:rtl w:val="true"/>
          <w:lang w:bidi="ar-SA"/>
        </w:rPr>
        <w:t xml:space="preserve">إجمال المخصّص يسري إلى العامّ فيوجب إجماله عند أكثر المحقّقين ، بل نفى الخلاف فيه جماعة </w:t>
      </w:r>
      <w:r>
        <w:rPr>
          <w:rStyle w:val="FootnoteAnchor"/>
          <w:rtl w:val="true"/>
        </w:rPr>
        <w:footnoteReference w:id="269"/>
      </w:r>
      <w:r>
        <w:rPr>
          <w:rFonts w:ascii="Amiri" w:hAnsi="Amiri" w:eastAsia="Amiri" w:cs="Amiri"/>
          <w:color w:val="111111"/>
          <w:sz w:val="28"/>
          <w:sz w:val="28"/>
          <w:szCs w:val="28"/>
          <w:rtl w:val="true"/>
          <w:lang w:bidi="ar-SA"/>
        </w:rPr>
        <w:t xml:space="preserve">وادّعى بعضهم الإجماع صريحا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وينبغي أن يكون مرادهم من سراية الإجمال أنّه لا يؤخذ بعمومه كما يؤخذ به فيما إذا لم يكن مجملا ، وليس مرادهم سقوطه عن الاعتبار بالمرّة فلا يستفاد منه شيء بوجه من الوجوه ، ولعلّه يشعر بذلك تصريح جماعة بسقوطه من جهة إجماله </w:t>
      </w:r>
      <w:r>
        <w:rPr>
          <w:rStyle w:val="FootnoteAnchor"/>
          <w:rtl w:val="true"/>
        </w:rPr>
        <w:footnoteReference w:id="271"/>
      </w:r>
      <w:r>
        <w:rPr>
          <w:rFonts w:ascii="Amiri" w:hAnsi="Amiri" w:eastAsia="Amiri" w:cs="Amiri"/>
          <w:color w:val="111111"/>
          <w:sz w:val="28"/>
          <w:sz w:val="28"/>
          <w:szCs w:val="28"/>
          <w:rtl w:val="true"/>
          <w:lang w:bidi="ar-SA"/>
        </w:rPr>
        <w:t>، فلو كان مبيّنا من جهة اخرى يلزم الأخذ ، لوجود المقتضي وانتفاء المانع</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في جهة البيان بين أن يكون المبيّن أمرا معلوما من جميع الجهات كما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اقتلوا الكفّار إلاّ بعض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غير اليهود ممّا يجب الأخذ فيه بعموم العامّ فيهم من دون حاجة إلى أمر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جميع العمومات والمطلقات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أن يكون المبيّن أمرا مجملا كأن يعلم بالتكليف مجملا في مورد العامّ ، كما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الاجتناب من هذه الآنية إلاّ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صريح في ثبوت التكليف إجمالا فيها وإن لم يعلم المكلّف به شخصا ، </w:t>
      </w:r>
    </w:p>
    <w:p>
      <w:pPr>
        <w:pStyle w:val="BookText"/>
        <w:rPr/>
      </w:pPr>
      <w:r>
        <w:rPr>
          <w:rFonts w:ascii="Amiri" w:hAnsi="Amiri" w:eastAsia="Amiri" w:cs="Amiri"/>
          <w:color w:val="111111"/>
          <w:sz w:val="28"/>
          <w:sz w:val="28"/>
          <w:szCs w:val="28"/>
          <w:rtl w:val="true"/>
          <w:lang w:bidi="ar-SA"/>
        </w:rPr>
        <w:t xml:space="preserve">فلا بدّ من الأخذ بالمعلوم ، فإن اقتضى العلم الإجمالي ثبوت التكليف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التحقيق في مورد الشبهة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وإلاّ فلا بدّ من العمل بما يقتضيه الاصول في ذلك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فالمراد من نفي الحجّيّة في العامّ المخصّص بالمجمل عدم الأخذ به في القدر الذي لا يمكن الاستكشاف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يمكن استكشافه تفصيلا كما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إلاّ بعض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البعض معيّنا عنده كوجوب </w:t>
      </w:r>
      <w:r>
        <w:rPr>
          <w:rStyle w:val="FootnoteAnchor"/>
          <w:rtl w:val="true"/>
        </w:rPr>
        <w:footnoteReference w:id="272"/>
      </w:r>
      <w:r>
        <w:rPr>
          <w:rFonts w:ascii="Amiri" w:hAnsi="Amiri" w:eastAsia="Amiri" w:cs="Amiri"/>
          <w:color w:val="111111"/>
          <w:sz w:val="28"/>
          <w:sz w:val="28"/>
          <w:szCs w:val="28"/>
          <w:rtl w:val="true"/>
          <w:lang w:bidi="ar-SA"/>
        </w:rPr>
        <w:t>إكرام غير النحويّين ، فلا إشكال عندهم في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إجمالا كوجوب إكرام بعض النحويّين في المثال المذكور ، ثم الأخذ بما يقتضيه القواعد المقرّرة في أمثال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الاحتياط في بعض الموارد والتخيير في آخر ، أو الرجوع إلى البراءة كما هو غير خفيّ على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 ذلك بين القول بأنّ العامّ المخصّص حقيقة في الباقي أو مجاز ، فإنّ التكليف التفصيلي ممّا لا يمكن استفادته منه ، والإجمالي ما </w:t>
      </w:r>
      <w:r>
        <w:rPr>
          <w:rStyle w:val="FootnoteAnchor"/>
          <w:rtl w:val="true"/>
        </w:rPr>
        <w:footnoteReference w:id="273"/>
      </w:r>
      <w:r>
        <w:rPr>
          <w:rFonts w:ascii="Amiri" w:hAnsi="Amiri" w:eastAsia="Amiri" w:cs="Amiri"/>
          <w:color w:val="111111"/>
          <w:sz w:val="28"/>
          <w:sz w:val="28"/>
          <w:szCs w:val="28"/>
          <w:rtl w:val="true"/>
          <w:lang w:bidi="ar-SA"/>
        </w:rPr>
        <w:t xml:space="preserve">لا مانع من استفادته ، لما قرّرنا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المجاز في العامّ المخصّص ليس على حدّ سائر المجازات التي على تقدير تعذّر الحقيقة وتعدّدها يصير اللفظ مجملا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يظهر فساد ما قد يفصّل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المناهج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اختيار الجملة </w:t>
      </w:r>
      <w:r>
        <w:rPr>
          <w:rStyle w:val="FootnoteAnchor"/>
          <w:rtl w:val="true"/>
        </w:rPr>
        <w:footnoteReference w:id="274"/>
      </w:r>
      <w:r>
        <w:rPr>
          <w:rFonts w:ascii="Amiri" w:hAnsi="Amiri" w:eastAsia="Amiri" w:cs="Amiri"/>
          <w:color w:val="111111"/>
          <w:sz w:val="28"/>
          <w:sz w:val="28"/>
          <w:szCs w:val="28"/>
          <w:rtl w:val="true"/>
          <w:lang w:bidi="ar-SA"/>
        </w:rPr>
        <w:t xml:space="preserve">فيما إذا كان العامّ المخصّص حقيقة ، وعدمها إذا كان مجازا </w:t>
      </w:r>
      <w:r>
        <w:rPr>
          <w:rStyle w:val="FootnoteAnchor"/>
          <w:rtl w:val="true"/>
        </w:rPr>
        <w:footnoteReference w:id="275"/>
      </w:r>
      <w:r>
        <w:rPr>
          <w:rFonts w:ascii="Amiri" w:hAnsi="Amiri" w:eastAsia="Amiri" w:cs="Amiri"/>
          <w:color w:val="111111"/>
          <w:sz w:val="28"/>
          <w:sz w:val="28"/>
          <w:szCs w:val="28"/>
          <w:rtl w:val="true"/>
          <w:lang w:bidi="ar-SA"/>
        </w:rPr>
        <w:t>وبيّن الحجيّة على الأوّل بما حاصله يرجع إلى الأخذ بما يستفاد من العامّ على وجه الإجمال ، وعدمها على الثاني بعدم ظهوره في شيء من المراتب المجازية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وجه الفساد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يظهر من القائل بالإجمال نفي الحكم الإجمالي المستفاد من الخطاب المجمل ، كيف وقد وضعوا لذلك بابا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تقدير المجازيّة أيضا يجب الأخذ بما هو المعلوم إجمالا ، لما عرفت من الفرق بين المجاز اللازم في المقام على تقدير </w:t>
      </w:r>
      <w:r>
        <w:rPr>
          <w:rStyle w:val="FootnoteAnchor"/>
          <w:rtl w:val="true"/>
        </w:rPr>
        <w:footnoteReference w:id="276"/>
      </w:r>
      <w:r>
        <w:rPr>
          <w:rFonts w:ascii="Amiri" w:hAnsi="Amiri" w:eastAsia="Amiri" w:cs="Amiri"/>
          <w:color w:val="111111"/>
          <w:sz w:val="28"/>
          <w:sz w:val="28"/>
          <w:szCs w:val="28"/>
          <w:rtl w:val="true"/>
          <w:lang w:bidi="ar-SA"/>
        </w:rPr>
        <w:t>المجازية وبين غيره ، كما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كلامه مواقع للنظر يطّلع عليها الخبير بموارد الكلام ، ومن أراد الاطّلاع فعليه الرجوع إليه ، ونحن لا نطيل الكلام بذكره ، فراجعه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الإجمال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مردّدا بين المتباينين ،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إلاّ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اشتراكه بين آحاد من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مردّدا بين الأقل والأكثر وهو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الأقلّ داخلا في الأكثر ويكون دخوله في الباقي معلوما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 في العدالة هل هي الملكة أو حسن الظاهر؟</w:t>
      </w:r>
    </w:p>
    <w:p>
      <w:pPr>
        <w:pStyle w:val="BookText"/>
        <w:rPr/>
      </w:pPr>
      <w:r>
        <w:rPr>
          <w:rFonts w:ascii="Amiri" w:hAnsi="Amiri" w:eastAsia="Amiri" w:cs="Amiri"/>
          <w:color w:val="111111"/>
          <w:sz w:val="28"/>
          <w:sz w:val="28"/>
          <w:szCs w:val="28"/>
          <w:rtl w:val="true"/>
          <w:lang w:bidi="ar-SA"/>
        </w:rPr>
        <w:t>فصاحب الملكة دخوله في المقام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دخوله في المخصّص معلوما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ولا تكرّم الفسّاق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 في معنى الفاسق هل هو مرتكب الكبائر فقط أو يعمّه ومرتكب الصغائر فمرتكب الكبائر دخوله في المخصّص قطعي والشكّ إنّما هو في الزائد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الأقلّ داخلا تحت الأكثر ،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إلاّ الزيدين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وتردّد الأمر بين أن يراد من المخصّص فردان من العلماء لتسمية كلّ منهما زيدا أو فردا واحدا مسمّى بزيدين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المخصّص إمّا أن يكون متّصلا كالشرط والغاية وبدل البعض والصفة والاستثناء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تأمّل فيه كما ستعرف 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منفصلا ، والثاني ظاهر ، فهذه صور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بالإجمال في صورة دوران الأمر بين المتباينين في محلّه سواء كان التخصيص بالمتّصل أو بالمنفصل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 ظاهر ، حيث إنّ اللفظ لا يكون حاملا للمكلّف إلاّ بعد العلم أو الظنّ المعتبر بما اريد منه ، والمفروض انتفاؤه ؛ وكذا في صورة دوران الأمر بين الأقلّ الذي لا يشمله الأكثر سواء كان المخصّص متّصلا أو منفصلا ، لعدم ما يوجب البيان ، لا من اللفظ ولا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فظاهر ، وأمّا الثاني فغاية ما يمكن أن يقال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عدم خروج الأكثر ، وهو معارض بأنّ الأصل عدم خروج الأقلّ ، فإنّ الأقلّ حينئذ بمنزلة المتباينين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خروج الواحد يقينيّ فلا يجري فيه الأصل ، فأصالة عدم خروج الأكثر سليمة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المعلوم خروجه هو الواحد مفهوما ، والعلم بخروجه غير مجد بعد ابتلاء الأصل الجاري في المصداق بالمعارض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بخروج فردين ولو كانا متغايرين يشتمل على زيادة تخصيص في العامّ ، بخلاف الحكم بخروج فرد واحد ، فهو مخالف لأصل واحد ، والأوّل مخالف لأصلين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ذلك يجدي فيما لو قلنا بأنّ توحيد الاصول يوجب الترجيح ، ونحن قد بيّنا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ممّا لا يوجب له </w:t>
      </w:r>
      <w:r>
        <w:rPr>
          <w:rStyle w:val="FootnoteAnchor"/>
          <w:rtl w:val="true"/>
        </w:rPr>
        <w:footnoteReference w:id="277"/>
      </w:r>
      <w:r>
        <w:rPr>
          <w:rFonts w:ascii="Amiri" w:hAnsi="Amiri" w:eastAsia="Amiri" w:cs="Amiri"/>
          <w:color w:val="111111"/>
          <w:sz w:val="28"/>
          <w:sz w:val="28"/>
          <w:szCs w:val="28"/>
          <w:rtl w:val="true"/>
          <w:lang w:bidi="ar-SA"/>
        </w:rPr>
        <w:t>في غير الأدلّة الاجتهادية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بالقول بأنّ الاصول اللفظيّة أيضا منها ، لابتنائها على الظنون النوعيّة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إذا دار الأمر بين الأقلّ والأكثر مع شمول الأكثر للأقل ، ففيما إذا كان التخصيص بالمتّصل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كالشرط والغاية والصفة وبدل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الإجمال أيضا في محلّه لسريان الإجمال في العامّ ، فيسقط عن الاعتبار بالنسبة إلى تلك الأفراد المشكوكة فيها ، فيرجع فيها إلى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غيرها فالعامّ فيها مبيّن لا إجمال فيها ، لأنّ العدالة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القيود المعتبرة في الموضوع ، وإجمال المقيّد بعد إجمال القيد من الامور الواضحة ، فكان الموضوع في المقام هو نفس العدالة ، كما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عدول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اشتباهها بين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التخصيص بالمنفصل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فسّاق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القريب جدّا عدم سراية إجمال المخصّص إلى العامّ فيؤخذ في المعلوم المتيقّن المخصّص وهو مرتكب الكبائر ، ويدفع الزائد بأصالة عدم التخصيص ، فيؤخذ فيه بالعموم ، فلا وجه للرجوع إلى الاصول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خروج أهل الكبائر بواسطة القرينة معلوم وأمّا خروج غيرهم فغير معلوم ، والأصل عدم الخروج</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بينه وبين 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العامّ في المتّصل لم يتمّ دلالته وظهوره على الأفراد المندرجة فيه قبل الإتيان بالقيد ، فإنّ المتكلّم ما لم ينته كلامه فكلّ قيد يأتي به فهو مأخوذ في موضوعه أو محموله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بخلافه في المنفصل ، فإنّ التخصيص فيه لأجل التعارض كسائر المعارضات بعد تماميّة الدلالة في العام ، فكما إذا قامت قرينة على صرف الظاهر يجب التعويل عليه ، وإن لم نعلم بما هو القرينة فالأصل عدمه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bookmarkStart w:id="114" w:name="pg16264_169460"/>
    </w:p>
    <w:p>
      <w:pPr>
        <w:pStyle w:val="BookText"/>
        <w:rPr/>
      </w:pPr>
      <w:bookmarkEnd w:id="114"/>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المقام إنّما هو في كون الشيء قرينة ، وهذا ممّا لا يجري فيه الأصل ، إذ لم يعلم أنّه لا يكون قرينة في زمان حتّى 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وجود القرينة مطلقا تجدي في المقام بعد ما عرفت من أنّ العامّ ظاهر في جميع المراتب ، وعدم ظهوره في البعض محتاج إلى القرينة ، فأصالة عدم القرينة مجدية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 لا يبعد الفرق المذكور ، كما لعلّه يساعد عليه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غير الاستثناء ، وأمّا في الاستثناء ففيه إشكال ، من حيث إنّه لم يظهر كونه من المخصّصات المتّصلة أو غيرها ، ولا يبعد دعوى الاتّصال فيه أيضا ، فيلحقه حكمه</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4588604_1280447820"/>
      <w:bookmarkStart w:id="116" w:name="_Toc34"/>
      <w:bookmarkEnd w:id="115"/>
      <w:r>
        <w:rPr>
          <w:rtl w:val="true"/>
        </w:rPr>
        <w:t xml:space="preserve">تذنيب </w:t>
      </w:r>
      <w:r>
        <w:rPr>
          <w:rtl w:val="true"/>
        </w:rPr>
        <w:t>:</w:t>
      </w:r>
      <w:bookmarkEnd w:id="11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ورد مخصّصان متعارضان ، كما إذا علمنا بتخصيص العامّ بأحدهما يقينا وعدم تخصيصه بالآخر أيضا ، فإن أمكن الترجيح فهو ، وإلاّ فالحكم فيه ما عرفت في المخصّص المجمل ، فيجب الرجوع في محلّ الاشتباه إلى الاصول إن قلنا به ، وإلاّ فيتخيّر بينهما ،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الهادي</w:t>
      </w:r>
      <w:r>
        <w:rPr>
          <w:rFonts w:eastAsia="Amiri" w:cs="Amiri" w:ascii="Amiri" w:hAnsi="Amiri"/>
          <w:color w:val="111111"/>
          <w:sz w:val="28"/>
          <w:szCs w:val="28"/>
          <w:rtl w:val="true"/>
          <w:lang w:bidi="ar-SA"/>
        </w:rPr>
        <w:t xml:space="preserve">. </w:t>
      </w:r>
      <w:bookmarkStart w:id="117" w:name="pg16264_169461"/>
    </w:p>
    <w:p>
      <w:pPr>
        <w:pStyle w:val="Heading3"/>
        <w:numPr>
          <w:ilvl w:val="2"/>
          <w:numId w:val="1"/>
        </w:numPr>
        <w:rPr/>
      </w:pPr>
      <w:bookmarkStart w:id="118" w:name="__RefHeading___Toc4588606_1280447820"/>
      <w:bookmarkStart w:id="119" w:name="_Toc35"/>
      <w:bookmarkEnd w:id="117"/>
      <w:bookmarkEnd w:id="118"/>
      <w:r>
        <w:rPr>
          <w:rtl w:val="true"/>
        </w:rPr>
        <w:t>هداية</w:t>
      </w:r>
      <w:bookmarkEnd w:id="119"/>
    </w:p>
    <w:p>
      <w:pPr>
        <w:pStyle w:val="Heading4"/>
        <w:numPr>
          <w:ilvl w:val="3"/>
          <w:numId w:val="1"/>
        </w:numPr>
        <w:rPr/>
      </w:pPr>
      <w:bookmarkStart w:id="120" w:name="__RefHeading___Toc4588608_1280447820"/>
      <w:bookmarkStart w:id="121" w:name="_Toc36"/>
      <w:bookmarkEnd w:id="120"/>
      <w:r>
        <w:rPr>
          <w:rtl w:val="true"/>
        </w:rPr>
        <w:t>اشارة</w:t>
      </w:r>
      <w:bookmarkEnd w:id="12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 كما عليه المحقّقون عدم جواز الأخذ بالعامّ قبل الفحص عن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نفي الخلاف فيه كما عن الغزالي </w:t>
      </w:r>
      <w:r>
        <w:rPr>
          <w:rStyle w:val="FootnoteAnchor"/>
          <w:rtl w:val="true"/>
        </w:rPr>
        <w:footnoteReference w:id="279"/>
      </w:r>
      <w:r>
        <w:rPr>
          <w:rFonts w:ascii="Amiri" w:hAnsi="Amiri" w:eastAsia="Amiri" w:cs="Amiri"/>
          <w:color w:val="111111"/>
          <w:sz w:val="28"/>
          <w:sz w:val="28"/>
          <w:szCs w:val="28"/>
          <w:rtl w:val="true"/>
          <w:lang w:bidi="ar-SA"/>
        </w:rPr>
        <w:t xml:space="preserve">والآمدي </w:t>
      </w:r>
      <w:r>
        <w:rPr>
          <w:rStyle w:val="FootnoteAnchor"/>
          <w:rtl w:val="true"/>
        </w:rPr>
        <w:footnoteReference w:id="280"/>
      </w:r>
      <w:r>
        <w:rPr>
          <w:rFonts w:ascii="Amiri" w:hAnsi="Amiri" w:eastAsia="Amiri" w:cs="Amiri"/>
          <w:color w:val="111111"/>
          <w:sz w:val="28"/>
          <w:sz w:val="28"/>
          <w:szCs w:val="28"/>
          <w:rtl w:val="true"/>
          <w:lang w:bidi="ar-SA"/>
        </w:rPr>
        <w:t xml:space="preserve">، بل ادّعي عليه الإجماع كما عن النهاية </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 ظاهر التهذيب اختيار الجواز </w:t>
      </w:r>
      <w:r>
        <w:rPr>
          <w:rStyle w:val="FootnoteAnchor"/>
          <w:rtl w:val="true"/>
        </w:rPr>
        <w:footnoteReference w:id="282"/>
      </w:r>
      <w:r>
        <w:rPr>
          <w:rFonts w:ascii="Amiri" w:hAnsi="Amiri" w:eastAsia="Amiri" w:cs="Amiri"/>
          <w:color w:val="111111"/>
          <w:sz w:val="28"/>
          <w:sz w:val="28"/>
          <w:szCs w:val="28"/>
          <w:rtl w:val="true"/>
          <w:lang w:bidi="ar-SA"/>
        </w:rPr>
        <w:t xml:space="preserve">، وتبعه العميدي </w:t>
      </w:r>
      <w:r>
        <w:rPr>
          <w:rStyle w:val="FootnoteAnchor"/>
          <w:rtl w:val="true"/>
        </w:rPr>
        <w:footnoteReference w:id="283"/>
      </w:r>
      <w:r>
        <w:rPr>
          <w:rFonts w:ascii="Amiri" w:hAnsi="Amiri" w:eastAsia="Amiri" w:cs="Amiri"/>
          <w:color w:val="111111"/>
          <w:sz w:val="28"/>
          <w:sz w:val="28"/>
          <w:szCs w:val="28"/>
          <w:rtl w:val="true"/>
          <w:lang w:bidi="ar-SA"/>
        </w:rPr>
        <w:t xml:space="preserve">والمدقّق الشيرواني </w:t>
      </w:r>
      <w:r>
        <w:rPr>
          <w:rStyle w:val="FootnoteAnchor"/>
          <w:rtl w:val="true"/>
        </w:rPr>
        <w:footnoteReference w:id="284"/>
      </w:r>
      <w:r>
        <w:rPr>
          <w:rFonts w:ascii="Amiri" w:hAnsi="Amiri" w:eastAsia="Amiri" w:cs="Amiri"/>
          <w:color w:val="111111"/>
          <w:sz w:val="28"/>
          <w:sz w:val="28"/>
          <w:szCs w:val="28"/>
          <w:rtl w:val="true"/>
          <w:lang w:bidi="ar-SA"/>
        </w:rPr>
        <w:t xml:space="preserve">وجماعة من الأخباريّة ، منهم صاحب الوافية </w:t>
      </w:r>
      <w:r>
        <w:rPr>
          <w:rStyle w:val="FootnoteAnchor"/>
          <w:rtl w:val="true"/>
        </w:rPr>
        <w:footnoteReference w:id="285"/>
      </w:r>
      <w:r>
        <w:rPr>
          <w:rFonts w:ascii="IRNazanin" w:hAnsi="IRNazanin" w:eastAsia="IRNazanin"/>
          <w:color w:val="111111"/>
          <w:sz w:val="28"/>
          <w:sz w:val="28"/>
          <w:szCs w:val="28"/>
          <w:rtl w:val="true"/>
          <w:lang w:bidi="fa-IR"/>
        </w:rPr>
        <w:t xml:space="preserve">وشارحها </w:t>
      </w:r>
      <w:r>
        <w:rPr>
          <w:rStyle w:val="FootnoteAnchor"/>
          <w:rtl w:val="true"/>
        </w:rPr>
        <w:footnoteReference w:id="286"/>
      </w:r>
      <w:r>
        <w:rPr>
          <w:rFonts w:ascii="Amiri" w:hAnsi="Amiri" w:eastAsia="Amiri" w:cs="Amiri"/>
          <w:color w:val="111111"/>
          <w:sz w:val="28"/>
          <w:sz w:val="28"/>
          <w:szCs w:val="28"/>
          <w:rtl w:val="true"/>
          <w:lang w:bidi="ar-SA"/>
        </w:rPr>
        <w:t xml:space="preserve">، ومال إليه بعض الأفاضل في المناهج </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من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مراد القائل بالجواز وجوب الاعتقاد بالعموم واقعا حتّى يظهر المخصّص فيحكم بكونه ناسخا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اللّهم إلاّ أن يكون مرادا لبعض من </w:t>
      </w:r>
      <w:r>
        <w:rPr>
          <w:rStyle w:val="FootnoteAnchor"/>
          <w:rtl w:val="true"/>
        </w:rPr>
        <w:footnoteReference w:id="289"/>
      </w:r>
      <w:r>
        <w:rPr>
          <w:rFonts w:ascii="Amiri" w:hAnsi="Amiri" w:eastAsia="Amiri" w:cs="Amiri"/>
          <w:color w:val="111111"/>
          <w:sz w:val="28"/>
          <w:sz w:val="28"/>
          <w:szCs w:val="28"/>
          <w:rtl w:val="true"/>
          <w:lang w:bidi="ar-SA"/>
        </w:rPr>
        <w:t>لم نقف على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التفصيل بين ضيق الوقت فالجواز وبين عدمه </w:t>
      </w:r>
      <w:r>
        <w:rPr>
          <w:rStyle w:val="FootnoteAnchor"/>
          <w:rtl w:val="true"/>
        </w:rPr>
        <w:footnoteReference w:id="290"/>
      </w:r>
      <w:r>
        <w:rPr>
          <w:rStyle w:val="FootnoteAnchor"/>
          <w:rtl w:val="true"/>
        </w:rPr>
        <w:footnoteReference w:id="291"/>
      </w:r>
      <w:r>
        <w:rPr>
          <w:rFonts w:ascii="IRNazanin" w:hAnsi="IRNazanin" w:eastAsia="IRNazanin"/>
          <w:color w:val="111111"/>
          <w:sz w:val="28"/>
          <w:sz w:val="28"/>
          <w:szCs w:val="28"/>
          <w:rtl w:val="true"/>
          <w:lang w:bidi="fa-IR"/>
        </w:rPr>
        <w:t xml:space="preserve">فالمنع عن بعض </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مبنيّ على </w:t>
      </w:r>
      <w:r>
        <w:rPr>
          <w:rStyle w:val="FootnoteAnchor"/>
          <w:rtl w:val="true"/>
        </w:rPr>
        <w:footnoteReference w:id="293"/>
      </w:r>
      <w:r>
        <w:rPr>
          <w:rFonts w:ascii="Amiri" w:hAnsi="Amiri" w:eastAsia="Amiri" w:cs="Amiri"/>
          <w:color w:val="111111"/>
          <w:sz w:val="28"/>
          <w:sz w:val="28"/>
          <w:szCs w:val="28"/>
          <w:rtl w:val="true"/>
          <w:lang w:bidi="ar-SA"/>
        </w:rPr>
        <w:t xml:space="preserve">جواز تأخير البيان عن وقت الخطاب </w:t>
      </w:r>
      <w:r>
        <w:rPr>
          <w:rStyle w:val="FootnoteAnchor"/>
          <w:rtl w:val="true"/>
        </w:rPr>
        <w:footnoteReference w:id="294"/>
      </w:r>
      <w:r>
        <w:rPr>
          <w:rFonts w:ascii="Amiri" w:hAnsi="Amiri" w:eastAsia="Amiri" w:cs="Amiri"/>
          <w:color w:val="111111"/>
          <w:sz w:val="28"/>
          <w:sz w:val="28"/>
          <w:szCs w:val="28"/>
          <w:rtl w:val="true"/>
          <w:lang w:bidi="ar-SA"/>
        </w:rPr>
        <w:t>، وهو على تقدير صحّته ممّا ينادي كلام المجوّز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فمن اللازم تقديم مقدّمة يعلم فيها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صرّح شيخنا البهائي وغيره على أنّ النزاع في هذه المسألة من جزئيّات النزاع في جواز العمل بالأدلّة الشرعيّة قبل الفحص عن المعارض ولو كان الدليلان متباينين ، وأمّا الوجه في إفرادهم هذا نظرا إلى أنّ وجود المعارض هنا أقوى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يتوهّم أنّ مرجع النزاع إلى جواز العمل بأصالة الحقيقة قبل الفحص عن القرينة انظر الفصول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لأنّ الاصول المعمولة في الألفاظ من تشخيص أوضاعها ومراداتها لم يعهد من أحد الخلاف فيه ، ولم يظهر من العرف توقّف في العمل بها قبل الفحص ، بل وذلك ديدنهم على وجه لا يقبل الإنكار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يظهر من بعضهم </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الخلاف إنّما في حجّيّة العامّ قبل الفحص ، فقال في مقام استنهاض الحجّة على ما اختاره من العدم بعد دعوى العلم الإجمالي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حجّيّة تلك العمومات مطلقا حتى عند عدم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وكلامه ظاهر في نفي الدليل على اعتبار أصالة الحقيقة عند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الدليل بعينه يجري في سائر الأدلّة الظنّيّة ، سواء كانت ظنّيّتها من حيث السند كخبر الواحد ، أو من حيث المتن كالأمر والنهي والمطلق وغيرها من الظواهر 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إلى مثل ذلك ينظر المتمسّك بإطلاق أدلّة الحجّية كما عن بعض المجوّزين </w:t>
      </w:r>
      <w:r>
        <w:rPr>
          <w:rStyle w:val="FootnoteAnchor"/>
          <w:rtl w:val="true"/>
        </w:rPr>
        <w:footnoteReference w:id="297"/>
      </w:r>
      <w:r>
        <w:rPr>
          <w:rFonts w:ascii="Amiri" w:hAnsi="Amiri" w:eastAsia="Amiri" w:cs="Amiri"/>
          <w:color w:val="111111"/>
          <w:sz w:val="28"/>
          <w:sz w:val="28"/>
          <w:szCs w:val="28"/>
          <w:rtl w:val="true"/>
          <w:lang w:bidi="ar-SA"/>
        </w:rPr>
        <w:t>وإلاّ فلا وجه لكلّ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هذا النزاع بعد الفراغ عن الحجّية ، فإنّ ترك الأخذ بالدليل بواسطة احتمال ما زاحمه من سنخه لا ينافي الحجّيّة بل تؤكّدها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كلام في حجّية تلك الأدلّة على وجه الإطلاق حتّى يحتاج إثباته إلى التمسّك بالإطلاق ، وإنّما الكلام في وجود المانع عن العمل بهذه الأدلّة الثابتة حجّيّتها سندا كما في المتباينين ، ودلالة كما في العموم والخصوص ، فالمجوّز إنّما يحكم بالجواز لعدم ما يصلح للمنع عنده بعد إحراز المقتضي ، بخلاف المانع فإنّه يعتقد وجود مانع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تجويز النزاع في العامّ والخاصّ هدم لما قرّرت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الاصول المعمولة في الألفاظ لم يعهد منهم الخلاف فيه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مع قطع النظر عمّا يوجب المنع كما هو مقصود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الاتّفاق على وجه الإطلاق ، 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المخصّصات المنفصلة </w:t>
      </w:r>
    </w:p>
    <w:p>
      <w:pPr>
        <w:pStyle w:val="BookText"/>
        <w:rPr/>
      </w:pPr>
      <w:r>
        <w:rPr>
          <w:rFonts w:ascii="Amiri" w:hAnsi="Amiri" w:eastAsia="Amiri" w:cs="Amiri"/>
          <w:color w:val="111111"/>
          <w:sz w:val="28"/>
          <w:sz w:val="28"/>
          <w:szCs w:val="28"/>
          <w:rtl w:val="true"/>
          <w:lang w:bidi="ar-SA"/>
        </w:rPr>
        <w:t>عن العامّ بمنزلة المعارضات ، فليست من قبيل قرائن المجاز ؛ وذلك لأنّ القرائن المتعارفة إذا اطّلع عليها المخاطب فلا يتأمّل في الحكم بإرادة المتكلّم خلاف ظاهر اللفظ ، بخلاف المقام فإنّ الحكم بقرينيّة الخاصّ للعامّ في المنفصل بهذه المثابة ، سيّما في الأخبار التي بأيدينا اليوم ، فإنّه قد يكون العامّ واردا عن معصوم والخاصّ عن معصوم آخر ، والحكم بكونه قرينة يتوقّف على كون المتكلّم بهما بمنزلة متكلّم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فالفرق ظاهر بين المخصّص المتّصل وبين المنفصل ، فدعوى الاتّفاق على العمل بالاصول المعمولة في الألفاظ إنّما تتمّ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صحّتها على وجه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الشكّ في المخصّص المتّصل دون المنفصل ، لكونه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من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معدودا في المعارضات عند العرف ، فتدبّر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يتوهّم أنّ الوجه في وجوب الفحص في المقام هو الوجه فيه عند إعمال الاصول العمليّة كالبراءة في الأحكام الشرعيّة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المقامين متغايران ، حيث إنّ العمدة في وجوب الفحص عند العمل بالبراءة في الحكم الشرعي عدم جريان دليل البراءة عند عدم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فلانحصار المعذوريّة فيما إذا كان الجاهل متفحّصا عن الحكم ، ضرورة عدم معذوريّة غير المتفحّص مطلقا عند العقل ، ولذلك يحكم العقل بوجوب النظر في 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مخالفته لما هو المستفاد من العقل وتسليم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الروايات </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فالإجماع واقع على وجوب تقييده بالفحص ، إذ لم </w:t>
      </w:r>
      <w:bookmarkStart w:id="122" w:name="pg16264_169465"/>
    </w:p>
    <w:p>
      <w:pPr>
        <w:pStyle w:val="BookText"/>
        <w:rPr/>
      </w:pPr>
      <w:bookmarkEnd w:id="122"/>
      <w:r>
        <w:rPr>
          <w:rFonts w:ascii="Amiri" w:hAnsi="Amiri" w:eastAsia="Amiri" w:cs="Amiri"/>
          <w:color w:val="111111"/>
          <w:sz w:val="28"/>
          <w:sz w:val="28"/>
          <w:szCs w:val="28"/>
          <w:rtl w:val="true"/>
          <w:lang w:bidi="ar-SA"/>
        </w:rPr>
        <w:t>نجد من يظهر منه الخلاف في وجوب الفحص في العمل بالبراءة فيترك التعويل على البراءة عند عدم الفحص لعدم المقتضي ، بخلاف المقام فإنّ المقتضي في المقام ممّا لا ينبغي الكلام فيه ، لظهور اعتبار العامّ سندا ودلالة ما لم يمنع منه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جملة الأدلّة على وجوب الفحص عن الدليل عند العمل بالبراءة هو العلم الإجمالي في موارد الأصل ، لوجود العلم الإجمالي فيها بالتكليف ، وهذا الوجه بعينه موجود في المقام ، وقضيّة ذلك وجوب الفحص عن الحكم الواقعي وتحصيل التكاليف الواقعية عند الشكّ في المعارض ، فالمقامان من واد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اريد من ذلك أنّ العامل بالعامّ قبل الفحص بمنزلة العامل بالبراءة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ذلك من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سديد ، لظهور الفرق بينهما ، حيث إنّ العامل بالعامّ إنّما عوّل على دليل اجتهاديّ به يخرج الواقعة عن أطراف العلم الإجمالي المقتضي للتكليف المانع عن العمل بالبراءة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اريد أنّ في المقام أيضا علما إجماليا بوجود المعارض فهو متين ، لكنّه لا يكون وجها لاتّحاد المقامين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قد عرفت هذا ، فاعلم أنّه يظهر من مطاوي كلماتهم وجوه من الدليل على المختار </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4588610_1280447820"/>
      <w:bookmarkStart w:id="124" w:name="_Toc37"/>
      <w:bookmarkEnd w:id="123"/>
      <w:r>
        <w:rPr>
          <w:rtl w:val="true"/>
        </w:rPr>
        <w:t xml:space="preserve">[ </w:t>
      </w:r>
      <w:r>
        <w:rPr>
          <w:rtl w:val="true"/>
        </w:rPr>
        <w:t xml:space="preserve">وجوه القول بعدم جواز الاخذ بالعامّ قبل الفحص </w:t>
      </w:r>
      <w:r>
        <w:rPr>
          <w:rtl w:val="true"/>
        </w:rPr>
        <w:t>: ]</w:t>
      </w:r>
      <w:bookmarkEnd w:id="12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بعض الأعلام في الإشارات بعد ما نقله عن الوافية ،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إطاعة اللّه وإطاعة خلفائه واجبة وهي لا تتحقّق إلاّ بعد العلم بالمراد أو الظنّ ، وهو لا يحصل إلاّ بالفحص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فظاهر ، وأمّا الثاني فللشكّ في صدق الإطاعة عند عدم العلم أو الظنّ بالمراد ، وأمّا الثالث فهو ظاهر أيضا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واعترض عليه في الوافية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عدم حصول الظنّ في كلّ فرد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ظنّ أصل التخصيص ، لقلّة المخرج غالبا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بتخصيص العامّ لا يوجب عدم الظنّ في جميع الأفراد ؛ لأنّ الغالب في التخصيصات عدم خروج غالب الأفراد ، فإذا شكّ في فرد أنّه هل خصّص أو لا ، فبغلبة عدم تخصيص أغلب الأفراد في العمومات يحصل الظنّ بأنّ هذا العامّ ممّا لم يخصّص أغلب أفراده ، بل لو كان مخصّصا فالخارج هو غير الغالب ، ومنه يحصل الظنّ بعدم تخصيص هذا الفرد ، والظنّ بدخوله في العامّ يستلزم الظنّ بالإطاعة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فساد ما أورد عليه في الإشارات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اقتلوا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يأتي بأقلّ الأفراد أو أكثرها أو الكلّ ، والأوّل لا يوجب الظنّ بالامتثال وهو ظاهر ، وكذا الأخير ، إذ المفروض العلم بوجود المخصّص في الجملة ، وأمّا الثاني فلبعد المطابقة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نختار الثاني ، والظنّ بعدم الخروج في الفرد الملحق بالغالب يوجب الظنّ بالامتثال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يرد على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يتمّ إلاّ بعد فرض العلم الإجمالي بوجود المعارض للعمومات ، وإلاّ فمع عدمه لا وجه لطرح أصالة عدم التخصيص ولو مع الظنّ بالتخصيص ، اللّهم إلاّ على القول باعتبار الظنّ الشخصي في تشخيص مراد اللافظ ، فإنّه لا وجه للتعويل على الأصل ما لم يفد الظنّ بعدم التخصيص</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المستدلّ ممّن لا يرى ذلك ، فلا بدّ من الأخذ بالأصل في المقام ، وبذلك يحصل الإطاعة الواجبة إذ المدار في تشخيص الإطاعة هو </w:t>
      </w:r>
    </w:p>
    <w:p>
      <w:pPr>
        <w:pStyle w:val="BookText"/>
        <w:rPr/>
      </w:pPr>
      <w:r>
        <w:rPr>
          <w:rFonts w:ascii="Amiri" w:hAnsi="Amiri" w:eastAsia="Amiri" w:cs="Amiri"/>
          <w:color w:val="111111"/>
          <w:sz w:val="28"/>
          <w:sz w:val="28"/>
          <w:szCs w:val="28"/>
          <w:rtl w:val="true"/>
          <w:lang w:bidi="ar-SA"/>
        </w:rPr>
        <w:t>الرجوع إلى العقلاء والعرف ، وبعد ما فرضنا من اعتبار أصالة العموم ولو عند عدم الظنّ عند العقلاء يصدق الإطاعة قطعا ، فلا موجب للفحص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إشكال في أنّ الخاصّ أقوى من العامّ والعمل بأقوى الدليلين واجب إجماعا ونصّا </w:t>
      </w:r>
      <w:r>
        <w:rPr>
          <w:rStyle w:val="FootnoteAnchor"/>
          <w:rtl w:val="true"/>
        </w:rPr>
        <w:footnoteReference w:id="301"/>
      </w:r>
      <w:r>
        <w:rPr>
          <w:rFonts w:ascii="Amiri" w:hAnsi="Amiri" w:eastAsia="Amiri" w:cs="Amiri"/>
          <w:color w:val="111111"/>
          <w:sz w:val="28"/>
          <w:sz w:val="28"/>
          <w:szCs w:val="28"/>
          <w:rtl w:val="true"/>
          <w:lang w:bidi="ar-SA"/>
        </w:rPr>
        <w:t>، فيجب تحصيله ؛ لكونه من الواجبات المطلقة ، وهو المراد بالفحص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يجدي مع قطع النظر عن العلم الإجمالي ، لوجود الأقوى سندا كان أو دلالة ؛ لأنّ أصالة عدم المعارض لا مانع من جريانها في هذا المقام ، كما يظهر بملاحظة حال الموالي والعبيد في أمثال أوامرهم ونواهيهم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سبيل إلى تشخيص تخصيص </w:t>
      </w:r>
      <w:r>
        <w:rPr>
          <w:rStyle w:val="FootnoteAnchor"/>
          <w:rtl w:val="true"/>
        </w:rPr>
        <w:footnoteReference w:id="302"/>
      </w:r>
      <w:r>
        <w:rPr>
          <w:rFonts w:ascii="Amiri" w:hAnsi="Amiri" w:eastAsia="Amiri" w:cs="Amiri"/>
          <w:color w:val="111111"/>
          <w:sz w:val="28"/>
          <w:sz w:val="28"/>
          <w:szCs w:val="28"/>
          <w:rtl w:val="true"/>
          <w:lang w:bidi="ar-SA"/>
        </w:rPr>
        <w:t xml:space="preserve">المراد من العامّ إلاّ بأصالة عدم التخصيص ، وهي موهونة في المقام لامور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في الزبدة ، من ابتناء تلك الاصول على الظنون الشخصيّة </w:t>
      </w:r>
      <w:r>
        <w:rPr>
          <w:rStyle w:val="FootnoteAnchor"/>
          <w:rtl w:val="true"/>
        </w:rPr>
        <w:footnoteReference w:id="303"/>
      </w:r>
      <w:r>
        <w:rPr>
          <w:rFonts w:ascii="Amiri" w:hAnsi="Amiri" w:eastAsia="Amiri" w:cs="Amiri"/>
          <w:color w:val="111111"/>
          <w:sz w:val="28"/>
          <w:sz w:val="28"/>
          <w:szCs w:val="28"/>
          <w:rtl w:val="true"/>
          <w:lang w:bidi="ar-SA"/>
        </w:rPr>
        <w:t xml:space="preserve">، كما هو ديدنه في مطلق الاستصحاب أيضا </w:t>
      </w:r>
      <w:r>
        <w:rPr>
          <w:rStyle w:val="FootnoteAnchor"/>
          <w:rtl w:val="true"/>
        </w:rPr>
        <w:footnoteReference w:id="304"/>
      </w:r>
      <w:r>
        <w:rPr>
          <w:rFonts w:ascii="Amiri" w:hAnsi="Amiri" w:eastAsia="Amiri" w:cs="Amiri"/>
          <w:color w:val="111111"/>
          <w:sz w:val="28"/>
          <w:sz w:val="28"/>
          <w:szCs w:val="28"/>
          <w:rtl w:val="true"/>
          <w:lang w:bidi="ar-SA"/>
        </w:rPr>
        <w:t xml:space="preserve">، على ما نبّهنا عليه في محلّه </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على تقدير القول به لا وجه له ؛ لعدم حصول الظنّ الشخصي من الأصل المذكور على تقدير انتفاء العلم الإجمالي بوجود المخصّص ، فإنّ دعوى </w:t>
      </w:r>
    </w:p>
    <w:p>
      <w:pPr>
        <w:pStyle w:val="BookText"/>
        <w:rPr/>
      </w:pPr>
      <w:r>
        <w:rPr>
          <w:rFonts w:ascii="Amiri" w:hAnsi="Amiri" w:eastAsia="Amiri" w:cs="Amiri"/>
          <w:color w:val="111111"/>
          <w:sz w:val="28"/>
          <w:sz w:val="28"/>
          <w:szCs w:val="28"/>
          <w:rtl w:val="true"/>
          <w:lang w:bidi="ar-SA"/>
        </w:rPr>
        <w:t>حصول الظنّ فعلا من الأصل في غير ما نحن فيه دونه بعد تساويهما من حيث وجود المقتضى وعدم المانع فيهما معا مكابرة لا ينبغي الإصغاء إليه ؛ مضافا إلى أنّ المعنى أيضا فاسد ، لإطباق أهل اللسان على العمل بتلك الاصول ولو لم يحصل منها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فيه إشكالا لو لم يكن تلك الاصول حجّة شرعيّة تعبّديّة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احتمله بعضهم </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ضعيفا جدّا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يعقل اعتماد العقلاء على الشكّ إذا لم يكونوا متعبّدين ، لكونه ترجيحا بلا مرجّح ، بل لا يعقل الاعتماد على الظنّ من حيث هو ظنّ ما لم يفرض ما ينسدّ معه احتمال الخلاف ، كما لا يخفى على المتدبّر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 يستفاد من مطاوي كلمات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كالمحقّق القمّي وغيره </w:t>
      </w:r>
      <w:r>
        <w:rPr>
          <w:rStyle w:val="FootnoteAnchor"/>
          <w:rtl w:val="true"/>
        </w:rPr>
        <w:footnoteReference w:id="30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أنّه لا دليل على اعتبار تلك الاصول بالنسبة إلى غير المشافه أو من قصد تفهيمه باللفظ</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أراد استكشاف مراد المتكلّم إمّا أن يكون مشافها ومخاطبا فعلا ، لا إشكال في استقرار السيرة وجريان العادة على التعويل على الاصول المعمولة في الألفاظ في هذا القسم كاستقرارها وجريانها فيما إذا كان مرادا بالاستفادة ومقصودا للمتكلّم وإن لم يكن مخاطبا فعليّا ومشافها ، كما هو الحال في الكتب المؤلّفة وما يرسم في سجّل الأوقاف والوصايا والأقارير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ذلك بعد عدم احتمال السهو ونحوه في كلام الحكيم المطلق ، وندوره على وجه لا يعتنى به في كلام غيره ، وأنّ المتكلّم حيث علمنا بكونه في </w:t>
      </w:r>
    </w:p>
    <w:p>
      <w:pPr>
        <w:pStyle w:val="BookText"/>
        <w:rPr/>
      </w:pPr>
      <w:r>
        <w:rPr>
          <w:rFonts w:ascii="Amiri" w:hAnsi="Amiri" w:eastAsia="Amiri" w:cs="Amiri"/>
          <w:color w:val="111111"/>
          <w:sz w:val="28"/>
          <w:sz w:val="28"/>
          <w:szCs w:val="28"/>
          <w:rtl w:val="true"/>
          <w:lang w:bidi="ar-SA"/>
        </w:rPr>
        <w:t>مقام الإفادة وعلمنا بكونه عالما بطرق التأدية واختلافها في مفادها ، فمتى حاول إفادة مطلب يجب عليه التعويل على ما هو المعهود في إفادة ذلك المطلب في عرفهم ، وإلاّ لم يكن في صدد الإفادة ، أو كان ولم يكن عالما بطريقها ، أو كان وكان مقصّرا في التأدية ناقضا لغرضه المنزّه عن جميع ذلك العقلاء ، فضلا عن ربّهم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الوجه في اعتبار تلك الاصول وأنّها ليست من جهة الاستصحاب ، ولذلك لم ينكره من أنكره على وجه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يندفع الإشكال الذي أشرنا إليه آنفا ، فإنّ الشكّ في وجود القرينة يرتفع بعد فرض المقدّمات المفروضة ، فتدبّر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لا يكون مشافها </w:t>
      </w:r>
      <w:r>
        <w:rPr>
          <w:rStyle w:val="FootnoteAnchor"/>
          <w:rtl w:val="true"/>
        </w:rPr>
        <w:footnoteReference w:id="308"/>
      </w:r>
      <w:r>
        <w:rPr>
          <w:rFonts w:ascii="Amiri" w:hAnsi="Amiri" w:eastAsia="Amiri" w:cs="Amiri"/>
          <w:color w:val="111111"/>
          <w:sz w:val="28"/>
          <w:sz w:val="28"/>
          <w:szCs w:val="28"/>
          <w:rtl w:val="true"/>
          <w:lang w:bidi="ar-SA"/>
        </w:rPr>
        <w:t xml:space="preserve">ولا مرادا بالإفادة والاستفادة كما في الكتاب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زعمه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ليس من قبيل تأليف المؤلّفين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في الكلام المسموع من وراء الجدار لمن هو غير مخاطب به وغير مراد بالإفادة ، ففي هذا القسم لا دليل على اعتبار الاصول المعمولة في الألفاظ في تشخيص مراداتها ، إذ لو فرضنا إهمال بعض ما يوجب خفاء المراد من اللفظ بالنسبة إلى ذلك الغير لم يلزم على المتكلّم قبيح</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 قد تقرّر ذلك نقول بأنّ حالنا في زماننا هذا حال من يريد استفادة المطالب من الكلام الذي لا يكون مخاطبا ولا مرادا باستفادته منه ، كما ستعرف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فظاهر ، وأمّا الثاني فلعدم ما يقضي بذلك ، وقد عرفت عدم اعتبار الأصل حينئذ ، فلا بدّ من تحصيل القطع بعدم المخصّص أو ما قام الإجماع على قيامه مقامه ، وهو الظنّ الحاصل بعد الفحص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الإجماع على اعتبار الظنّ بعدم المخصّص على تقدير عدم اعتبار الأصل اللفظي مجازفة 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كلام في العمل بالأصل بعد الفحص ، لكنّه ليس بناء العامل به على عدم اعتباره كما هو المفروض في الدليل ، بل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الأصل بعد الفحص مثل الأصل قبل الفحص في كلام قصد إفهامه للغير مخاطبا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الأصل على ما ذكره مبنيّ على أصالة حجّيّة الظنّ المطلق ، إذ بدونه لا وجه للعمل بالأصل بعد الفحص أيضا ما لم يحصل منه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مدار العرف على الأخذ بالاصول المذكورة ولو في مقام لم يقصد إفهام العامل بتلك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الأغلب في المحاورات عدم التفرقة بين القسمين ، وأنّ من المشاهد عدم اختلاف حال المتكلّم في التعبير عن مراده عند إرادة إفهام غير المخاطب أيضا وعدمها ، فإنّه يبالغ في ما يفيد مقصوده من غير ملاحظة الفرق في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وإن كان ممكنا إلاّ أنّ الواقع على خلافه على وجه لا يعمل بذلك الاحتمال عندهم ، مثل احتمال السهو والنسيان والخطاء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بذلك ملاحظة حال السلف ، فإنّ أصحاب الأئمّة عليهم‌السلام كانوا إذا سمعوا خبرا من ثقة أو استند أحد المتخاصمين إلى ظاهر رواية اعتمدوا عليه وسكتوا وأخذوا بظاهر ما يقتضيه ظاهرها مثل المشافهين ، بل وملاحظة العرف أيضا يشهد بذلك ، فإنّه لا يتوقّف أحد في الشهادة فيما لو سمع من وراء الجدار إقرار زيد لعمرو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أبطلنا التفصيل المذكور في محلّه بما لا مزيد عليه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الأخذ بأصالة عدم التخصيص إنّما يجب إذا كان ذكر العامّ وإرادة الخاصّ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ممنوع ، لاحتمال وجود مصلحة داعية على إيراد العامّ غير مقترن بما هو قرينة على المراد من العامّ ، فلا قبح في إغراء المخاطب </w:t>
      </w:r>
    </w:p>
    <w:p>
      <w:pPr>
        <w:pStyle w:val="BookText"/>
        <w:rPr/>
      </w:pPr>
      <w:r>
        <w:rPr>
          <w:rFonts w:ascii="Amiri" w:hAnsi="Amiri" w:eastAsia="Amiri" w:cs="Amiri"/>
          <w:color w:val="111111"/>
          <w:sz w:val="28"/>
          <w:sz w:val="28"/>
          <w:szCs w:val="28"/>
          <w:rtl w:val="true"/>
          <w:lang w:bidi="ar-SA"/>
        </w:rPr>
        <w:t>بالجهل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إخفاء الحكم الواقعي ليس خلافا للطف الواجب على الحكيم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واقع جزما ، ضرورة أنّ الأحكام الشرعيّة إنّما بيّنها الشارع الأقدس على وجه التدريج ، وكلّ من لاحظ الأحكام يعلم أنّ في بدء البعثة وابتداء التكليف لم يكن النبيّ صلى‌اللّه‌عليه‌وآله يبيّن جميع الأحكام الواقعيّة في الصلاة وغيرها من العبادات والمعاملات ، فيكون التكليف بالعمومات أحكاما ظاهريّة لمن لم يطّلع على المخصّص وأحكاما واقعيّة لمن اطّلع عليه ؛ ولذلك ترى أنّ العامّ إنّما ورد من النبيّ صلى‌اللّه‌عليه‌وآله والخاصّ من العسكري عليه‌السلام أو الهادي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العامّ الصادر كان مقترنا بقرينة يكشف عنها الخاصّ الصادر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ممّا يقطع بفساده في جميع العمومات ، كما هو ظاهر على المتأمّل المنصف ، فلا وجه للأخذ بأصالة عدم التخصيص ، فإذا علمنا بالعامّ يجب في مورده الفحص عن المخصّص حتى يظهر التكليف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أنّ العامّ يحتمل أن يكون حكما ظاهريّا لهم ، إلاّ أنّ قاعدة الاشتراك في التكليف تفيد لنا وجوب الأخذ بالعامّ ولو كان تكليفا ظاهريّا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الاشتراك إلاّ في الأحكام الواقعيّة ، فلا دليل على الاشتراك مطلقا حتّى في الأحكام الظاهريّة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 فمن الجائز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يريد الشارع تعبّدهم بالحكم الظاهريّ لمصلحة تدعو إليه ، وحينئذ لا وجه للأخذ بالأصل ، بل ولو مع العلم بعدم المخصّص هناك أيضا ما لم يثبت كون العام مفيدا للحكم الواقعي ، وهو موقوف بعد التعويل على الأصل اللفظيّ على أصل عمليّ ، وهو أصالة عدم جعل حكم آخر وعدم ورود خطاب غيره حتّى يكون العامّ مفيدا للحكم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 الاتّكال على الاصول العمليّة موقوف على الفحص إجماعا وقولا واحدا ؛ ولذلك لم يذهب وهم إلى الجواز هناك كما أشرنا إليه سابقا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من قبيل الشبهة في مقابل الضرورة ، ضرورة استقرار السيرة على الأخذ بتلك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كون المصلحة في الإخفاء ممّا لا وجه للاعتناء به ، إذ لا فرق في ذلك بين كلام الشارع وكلام غيره من العقلاء وأهل العرف ، فإنّ الإنصاف أعدل شاهد على أنّ المتداول عند أهل اللسان الأخذ بالعموم والبناء على أنّه الحكم الواقعي ما لم يظهر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 ظهور المخصّص يعلم أنّه كان حكما ظاهريّا ، لا أنّه قبل ظهوره يحكم بكونه من الأحكام الظاهريّة ، لعدم الاعتبار بذلك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الفحص ممّا لا يثمر في المقام أيضا إلاّ بناء على أصالة حجّية الظنّ المطلق ، إلاّ أنّه موهون عند المحقّقين ، سيّما في الظنون اللفظيّة ، على ما نبّهنا عليه في محلّه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العمدة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العلم الإجمالي بورود معارضات كثيرة بين الأمارات الشرعيّة التي بأيدينا اليوم حاصل لمن لاحظ الكتب الفقهيّة واستشعر اختلاف الأخبار ، والمنكر إنّما ينكره باللسان وقلبه مطمئنّ بالإيمان بذلك ، ولا يمكن إجراء الاصول في أطراف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قرّرنا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العمومات عن الحجّيّة ، للعلم بتخصيصها إجمالا عند عدم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بعد الفحص فيستكشف الواقع ويعلم أطراف الشبهة تفصيلا بواسطة الفحص ، فلا يرد ما أوردناه على السابقين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تخصيص العامّ تارة يكون بدئيّا غير مسبوق بالعلم الإجمالي ، واخرى يكون من حيث إنّه أحد أطراف المعلوم بالإجمال ، وقد يجتمع في عامّ واحد كلاهما ، كأن يكون محتمل التخصيص بدءا ومحتمله بواسطة سبق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وارتفاع الاحتمال من جهة لا يلازم ارتفاعه من جهة اخرى ، كما أنّ إبقاءه من جهة لا يلازم إبقاء الاخرى ، كما هو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 قد تمهّد ذلك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العمومات التي بأيدينا اليوم في الأخبار يحتمل تخصيصها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علمنا الإجمالي بوجود مخصّصات لها في الأخبار التي يمكن الوصول إليها في زماننا ، وغيرها من الأمارات الظنّية على تقدير القول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احتمال ورود التخصيص عليه في الواقع مع عدم وصوله إلينا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والاحتمال الثاني بدئيّ يعمل في دفعه أصالة عدم التخصيص من دون معارض ، والاحتمال الأوّل بعد الفحص يستكشف واقعه ويعلم أنّه من العمومات التي خصّصت أو من غيرها ، إذ المفروض دعوى العلم الإجمالي فيما هو بأيدينا وما يمكن لنا الوصول إليها من المخصّصات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فالفحص من حيث تشخيص الواقع ، لا من حيث إجراء أصالة عدم التخصيص ، لأنّ الجهة البدئيّة غير محتاجة إلى الفحص ، والجهة المسبوقة بالعلم الإجمالي تصير معلوم التخصيص تارة ومعلوم العدم اخرى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العلم الإجمالي إنّما هو من شعب العلم الإجمالي بمطلق التكاليف الشرعيّة التي تمنع عن الرجوع إلى الاصول في مواردها ، واحتمال ثبوت التكليف في موارد العامّ وأفراده إنّما هو بواسطة ذلك العلم الإجمالي ، وحكم ذلك العلم الإجمالي باق بعد الفحص ما لم يقطع بعدم المخصّص ، وقيام الظنّ مقامه يوجب التعويل على الظنّ المطلق ، كما عرفت فيما تقدّم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بثبوت مطلق التكاليف الذي أوجب الفحص عن مطلق الدليل يكفي في رفع حكمة الأخذ بظاهر العموم المعوّل عليه في الاصول ، وما هو المدّعى في المقام يغاير ذلك العلم الإجمالي ، ولا مدخل لأحدهما بالآخر وجودا وعدما ، كما لا يخفى على المتأمّل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في المعالم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شاع التخصيص حتى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عامّ إلاّ وقد 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احتمال ثبوته مساويا لاحتمال عدمه وتوقّف ترجيح أحد الأمرين على الفحص والتفتيش </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يشير إلى ما صرّح به في الزبدة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توقّف إعمال الأصل على الظنّ الشخصي </w:t>
      </w:r>
      <w:r>
        <w:rPr>
          <w:rStyle w:val="FootnoteAnchor"/>
          <w:rtl w:val="true"/>
        </w:rPr>
        <w:footnoteReference w:id="310"/>
      </w:r>
      <w:r>
        <w:rPr>
          <w:rFonts w:ascii="Amiri" w:hAnsi="Amiri" w:eastAsia="Amiri" w:cs="Amiri"/>
          <w:color w:val="111111"/>
          <w:sz w:val="28"/>
          <w:sz w:val="28"/>
          <w:szCs w:val="28"/>
          <w:rtl w:val="true"/>
          <w:lang w:bidi="ar-SA"/>
        </w:rPr>
        <w:t>، ولا يقول بكونه من المجاز المشهور حتّى يقال بأنّ الفحص لا يوجب الإجمال حينئذ ؛ مضافا إلى عدم نهوضه في العامّ المعلوم تخصيصه ، إذ لا 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فلا وجه له مع انتفاء العلم الإجمالي ، إذ لو قلنا بحجّيّة الأصل ولو مع عدم الظنّ فالأمر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قلنا بدورانها مدار الظنّ فلا مانع من حصوله بعد عدم العلم الإجمالي ، فدعوى الحصول في مثله دونه مكابرة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على الفحص والالتزام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ويكشف عن تحقّقه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ما عرفت من نقله في لسان جماعة منهم العلاّمة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 ملاحظة حال الفقهاء خلفا عن سلف ، فإنّه قد استقرّ رأي أرباب الفتوى والاجتهاد على البحث والتفتيش في طلب الأدلّة عموما وخصوصا ، ومعارضاتها موافقا ومخالفا ، مجتهدا وأخباريّا ، والمنكر إنّما يناقض عمله قوله ، ولا يجوز عنده البدار بالفتوى بمجرّد عموم رواية أو آية دلّ على مطلوب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كذلك لكان الواجب عليه الاقتصار في كلّ باب على عموم وارد فيه ، فيأخذ بإطلاق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وَأَنْزَلْنا مِنَ السَّماءِ ماءً طَهُوراً </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ويفتي </w:t>
      </w:r>
      <w:r>
        <w:rPr>
          <w:rStyle w:val="FootnoteAnchor"/>
          <w:rtl w:val="true"/>
        </w:rPr>
        <w:footnoteReference w:id="313"/>
      </w:r>
      <w:r>
        <w:rPr>
          <w:rFonts w:ascii="Amiri" w:hAnsi="Amiri" w:eastAsia="Amiri" w:cs="Amiri"/>
          <w:color w:val="111111"/>
          <w:sz w:val="28"/>
          <w:sz w:val="28"/>
          <w:szCs w:val="28"/>
          <w:rtl w:val="true"/>
          <w:lang w:bidi="ar-SA"/>
        </w:rPr>
        <w:t xml:space="preserve">بما يقتضيه ، فهل المجوّز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 xml:space="preserve">يتفصّى في تحصيل الأحكام الشرعيّة بتحصيل المخصّصات والفحص عنها وترك التعويل على العموم </w:t>
      </w:r>
      <w:r>
        <w:rPr>
          <w:rStyle w:val="FootnoteAnchor"/>
          <w:rtl w:val="true"/>
        </w:rPr>
        <w:footnoteReference w:id="315"/>
      </w:r>
      <w:r>
        <w:rPr>
          <w:rFonts w:ascii="Amiri" w:hAnsi="Amiri" w:eastAsia="Amiri" w:cs="Amiri"/>
          <w:color w:val="111111"/>
          <w:sz w:val="28"/>
          <w:sz w:val="28"/>
          <w:szCs w:val="28"/>
          <w:rtl w:val="true"/>
          <w:lang w:bidi="ar-SA"/>
        </w:rPr>
        <w:t>،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الإنصاف أنّ عدم اجترائه في الأخذ بالعمومات ابتداء وإتعاب نفسه في تحصيل المدارك بعد الأخذ بالعموم إنّما هو من أقوى الشواهد على أنّه لا يجوّز ذلك بحسب ما فطره اللّه عليه ، وإن كانت تلك الفطرة الإلهيّة قد اكتساها غواشي الأوهام في الظاهر ويعمل على غير شاكلتها في مقام الجدل ، وإن كان المجوّز مجترئا بالفتوى بمجرّد اطّلاعه على رواية من دون فحص ، وهل هذا إلاّ هرج ومرج وتغيّر في دين اللّه وتبديل لشريعة الرسول مع أنّه بالغ في حفظه ، فيا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الفقيه إذا اطّلع على الفقيه يكتفي به عن الكافي ، وكيف يستغني في تهذيب المطلوب عن التهذيب؟ اللّهم إلاّ أن يكون من دون استبصار ، فالمرجوّ من كرمه تعالى أن يحفظنا عن الخطاء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أنّ في الكتاب والسنّة عامّا وخاصّا ومطلقا ومقيّدا ، كما ورد في نهج البلاغة </w:t>
      </w:r>
      <w:r>
        <w:rPr>
          <w:rStyle w:val="FootnoteAnchor"/>
          <w:rtl w:val="true"/>
        </w:rPr>
        <w:footnoteReference w:id="316"/>
      </w:r>
      <w:r>
        <w:rPr>
          <w:rFonts w:ascii="Amiri" w:hAnsi="Amiri" w:eastAsia="Amiri" w:cs="Amiri"/>
          <w:color w:val="111111"/>
          <w:sz w:val="28"/>
          <w:sz w:val="28"/>
          <w:szCs w:val="28"/>
          <w:rtl w:val="true"/>
          <w:lang w:bidi="ar-SA"/>
        </w:rPr>
        <w:t xml:space="preserve">وغيره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والإنصاف عدم ظهور دلالة تلك الأخبار على المدّعى وهو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يدلّ على وجوب الأخذ بعد الاطّلاع ، وهو من الامور الضروريّة التي لا تحتاج إلى تجشّم استدلال في المقام</w:t>
      </w:r>
      <w:r>
        <w:rPr>
          <w:rFonts w:eastAsia="Amiri" w:cs="Amiri" w:ascii="Amiri" w:hAnsi="Amiri"/>
          <w:color w:val="111111"/>
          <w:sz w:val="28"/>
          <w:szCs w:val="28"/>
          <w:rtl w:val="true"/>
          <w:lang w:bidi="ar-SA"/>
        </w:rPr>
        <w:t xml:space="preserve">. </w:t>
      </w:r>
      <w:bookmarkStart w:id="125" w:name="pg16264_169476"/>
    </w:p>
    <w:p>
      <w:pPr>
        <w:pStyle w:val="Heading4"/>
        <w:numPr>
          <w:ilvl w:val="3"/>
          <w:numId w:val="1"/>
        </w:numPr>
        <w:rPr/>
      </w:pPr>
      <w:bookmarkStart w:id="126" w:name="__RefHeading___Toc4588612_1280447820"/>
      <w:bookmarkStart w:id="127" w:name="_Toc38"/>
      <w:bookmarkEnd w:id="125"/>
      <w:bookmarkEnd w:id="126"/>
      <w:r>
        <w:rPr>
          <w:rtl w:val="true"/>
        </w:rPr>
        <w:t xml:space="preserve">احتج المجوّز بامور </w:t>
      </w:r>
      <w:r>
        <w:rPr>
          <w:rtl w:val="true"/>
        </w:rPr>
        <w:t>:</w:t>
      </w:r>
      <w:bookmarkEnd w:id="127"/>
    </w:p>
    <w:p>
      <w:pPr>
        <w:pStyle w:val="BookText"/>
        <w:rPr/>
      </w:pPr>
      <w:r>
        <w:rPr>
          <w:rFonts w:ascii="Amiri" w:hAnsi="Amiri" w:eastAsia="Amiri" w:cs="Amiri"/>
          <w:color w:val="111111"/>
          <w:sz w:val="28"/>
          <w:sz w:val="28"/>
          <w:szCs w:val="28"/>
          <w:rtl w:val="true"/>
          <w:lang w:bidi="ar-SA"/>
        </w:rPr>
        <w:t xml:space="preserve">الأول ما حكي عن الصيرفي من التعويل على الظنّ الحاصل من أصالة عدم التخصيص </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واعترضه في محكيّ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بمعارضتها لأصالة عدم حجّيّة الظنّ </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له على تقدير جريان الأصل اللفظي ، ضرورة ثبوت التعويل على الظنون اللفظيّة الكاشفة عن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هو ما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موهونة بواسطة العلم الإجمالي بالتخصيص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بعض من قارب عصرنا </w:t>
      </w:r>
      <w:r>
        <w:rPr>
          <w:rStyle w:val="FootnoteAnchor"/>
          <w:rtl w:val="true"/>
        </w:rPr>
        <w:footnoteReference w:id="320"/>
      </w:r>
      <w:r>
        <w:rPr>
          <w:rFonts w:ascii="Amiri" w:hAnsi="Amiri" w:eastAsia="Amiri" w:cs="Amiri"/>
          <w:color w:val="111111"/>
          <w:sz w:val="28"/>
          <w:sz w:val="28"/>
          <w:szCs w:val="28"/>
          <w:rtl w:val="true"/>
          <w:lang w:bidi="ar-SA"/>
        </w:rPr>
        <w:t>تارة بأنّ العلم الإجمالي لا يمنع عن العمل بالأصل إلاّ إذا كانت الشبهة محصورة ، وجعل ذلك من باب الشبهة المحصورة من غرائب الجعليّات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كان ذلك من باب المحصور ، فأين غير المحصور؟</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سهو من مثله ، إذ لا إشكال في كون المقام من المحصور نظرا إلى كثرة المعلوم بالإجمال وإن كانت الأطراف أيضا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 بأنّ كونها من باب المحصور مسلّم ، لكن لا تجب الموافقة القطعيّة فيه ، كما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قرّر في محلّه من لزومها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دعوى العلم الإجمالي تارة تكون في جميع العمومات ، واخرى تكون في عامّ واحد ، وعدم وجوب الموافقة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w:t>
      </w:r>
    </w:p>
    <w:p>
      <w:pPr>
        <w:pStyle w:val="BookText"/>
        <w:rPr/>
      </w:pPr>
      <w:r>
        <w:rPr>
          <w:rFonts w:ascii="Amiri" w:hAnsi="Amiri" w:eastAsia="Amiri" w:cs="Amiri"/>
          <w:color w:val="111111"/>
          <w:sz w:val="28"/>
          <w:sz w:val="28"/>
          <w:szCs w:val="28"/>
          <w:rtl w:val="true"/>
          <w:lang w:bidi="ar-SA"/>
        </w:rPr>
        <w:t xml:space="preserve">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في الأوّل دون الثاني ، لأوله إلى كون العامّ مخصّصا بمجمل ، وقد عرفت الحال فيه فيما تقدّم ، إلاّ أنّ ذلك لا يمنع المعترض أيضا ، حيث إنّه ذهب إلى حجّيّة هذا العامّ المخصّص بالمجمل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أنّه لو وجب الفحص عن المخصّص لوجب الفحص عن قرينة المجاز أيضا ، والتالي باطل ، والملازمة ظاهرة ، حيث إنّه لا 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بطلان التالي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بشيوع التخصيص وغلبته ، فالفارق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وعورض بأنّ المجاز أيضا شائع حتى قيل بأنّ أكثر ألفاظ العرب مجازات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واورد عليه بأنّه إغراق ، سلّمنا لكنّه لا يجديهم فيما أرادوا من كون المجاز اللغويّ أكثر من الحقيقة ، لاحتمال المجاز العقليّ ، والاستعارة التمثيليّة ، والمجاز في الإعراب بالحذف والزيادة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الإحاطة بما قدّمنا لا حاجة إلى إطالة الكلام في إبطال هذه الكلمات ، إذ بدون العلم الإجمالي لا يعقل وجه لطرح الأصل في المقامين ، ومعه لا وجه للأخذ به فيهما ، من غير فرق في ذلك بين الأدلّة الشرعيّة وغيرها من الكلمات المستعملة عندهم في المحاورات ، من غير فرق بين القرائن المعمولة في المجازات اللغويّة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فساد الإيراد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احتمال هذه الوجوه من المجاز يؤيّد ما ذهب إليه ابن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أكثر كلام العرب مجازات </w:t>
      </w:r>
      <w:r>
        <w:rPr>
          <w:rStyle w:val="FootnoteAnchor"/>
          <w:rtl w:val="true"/>
        </w:rPr>
        <w:footnoteReference w:id="321"/>
      </w:r>
      <w:r>
        <w:rPr>
          <w:rFonts w:ascii="Amiri" w:hAnsi="Amiri" w:eastAsia="Amiri" w:cs="Amiri"/>
          <w:color w:val="111111"/>
          <w:sz w:val="28"/>
          <w:sz w:val="28"/>
          <w:szCs w:val="28"/>
          <w:rtl w:val="true"/>
          <w:lang w:bidi="ar-SA"/>
        </w:rPr>
        <w:t>؛ إذ لم يصرّح ولم يظهر منه المجاز في الكلمة ، 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إطلاق ما دلّ من الآيات وغيرها على اعتبار أخبار الآحاد كآية النبأ </w:t>
      </w:r>
      <w:r>
        <w:rPr>
          <w:rStyle w:val="FootnoteAnchor"/>
          <w:rtl w:val="true"/>
        </w:rPr>
        <w:footnoteReference w:id="322"/>
      </w:r>
      <w:r>
        <w:rPr>
          <w:rFonts w:ascii="IRNazanin" w:hAnsi="IRNazanin" w:eastAsia="IRNazanin"/>
          <w:color w:val="111111"/>
          <w:sz w:val="28"/>
          <w:sz w:val="28"/>
          <w:szCs w:val="28"/>
          <w:rtl w:val="true"/>
          <w:lang w:bidi="fa-IR"/>
        </w:rPr>
        <w:t xml:space="preserve">والنفر </w:t>
      </w:r>
      <w:r>
        <w:rPr>
          <w:rStyle w:val="FootnoteAnchor"/>
          <w:rtl w:val="true"/>
        </w:rPr>
        <w:footnoteReference w:id="323"/>
      </w:r>
      <w:r>
        <w:rPr>
          <w:rFonts w:ascii="IRNazanin" w:hAnsi="IRNazanin" w:eastAsia="IRNazanin"/>
          <w:color w:val="111111"/>
          <w:sz w:val="28"/>
          <w:sz w:val="28"/>
          <w:szCs w:val="28"/>
          <w:rtl w:val="true"/>
          <w:lang w:bidi="fa-IR"/>
        </w:rPr>
        <w:t xml:space="preserve">والسؤال </w:t>
      </w:r>
      <w:r>
        <w:rPr>
          <w:rStyle w:val="FootnoteAnchor"/>
          <w:rtl w:val="true"/>
        </w:rPr>
        <w:footnoteReference w:id="324"/>
      </w:r>
      <w:r>
        <w:rPr>
          <w:rFonts w:ascii="Amiri" w:hAnsi="Amiri" w:eastAsia="Amiri" w:cs="Amiri"/>
          <w:color w:val="111111"/>
          <w:sz w:val="28"/>
          <w:sz w:val="28"/>
          <w:szCs w:val="28"/>
          <w:rtl w:val="true"/>
          <w:lang w:bidi="ar-SA"/>
        </w:rPr>
        <w:t>فإنّ قضيّة إطلاقها وجوب الأخذ بالخبر من دون انتظار أمر آخر من الفحص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الاعتماد على أخبار الآحاد موقوف على سدّ خلل السند والدلالة وجهة الصدور مع خلوّها عن المعارض ، وقد وضعوا لكلّ واحد من هذه المقامات مقاما وعقدوا بابا على حدة ، والمنعقد للمقام الأوّل هو مسألة حجّيّة الأخبار ، والآيات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يصحّ التمسّك بها فيما إذا كان الشكّ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شكّ من جهة اخرى فالتعويل على هذه الإطلاقات في دفع الشكّ المذكور ممّا لا وجه له ، فهل ترى أنّه إذا شكّ في جواز الاعتماد على الظنّ الحاصل من أصالة الحقيقة ولو بعد الفحص يصحّ التمسّك بالإطلاق المذكور؟ فالإنصاف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الاستدلال المذكور أجنبيّ عن طريقة أهل الاستدلال وإن كان المستدلّ </w:t>
      </w:r>
      <w:r>
        <w:rPr>
          <w:rStyle w:val="FootnoteAnchor"/>
          <w:rtl w:val="true"/>
        </w:rPr>
        <w:footnoteReference w:id="325"/>
      </w:r>
      <w:r>
        <w:rPr>
          <w:rFonts w:ascii="Amiri" w:hAnsi="Amiri" w:eastAsia="Amiri" w:cs="Amiri"/>
          <w:color w:val="111111"/>
          <w:sz w:val="28"/>
          <w:sz w:val="28"/>
          <w:szCs w:val="28"/>
          <w:rtl w:val="true"/>
          <w:lang w:bidi="ar-SA"/>
        </w:rPr>
        <w:t>بمنزلة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أنّه يحتمل تفطّنه بذلك حيث أورد على نفسه بقوله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يتمّ في نفي اشتراط القطع ، وأمّا اشتراط الظنّ فللخصم أن يدّعي أنّ المعنى أنّ الخبر الذي يفهم المراد منه ظنّا أو قطعا لا يجب التثبّت عند مجيء العادل به ، وأمّا الخبر الذي لا يظنّ بالمراد منه فخارج عن مدلول الآية ومفهومها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يوجب تقييد الإطلاق ، ولو صحّ ذلك لصحّ القول باعتبار الظنّ في السند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في إبداء الفارق بين المجمل وبين العامّ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استقباح العقل التعبّد بالمجمل ، بخلاف العامّ ، وحكم بخروج الأوّل عن الآية بالإجماع ، بخلاف الثاني ، إذ لا إجماع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عرفت من اختلاف الجهات المذكورة يظهر وجوه الفساد فيما أفاده ، إذ الشكّ في المقام ليس من جهة السند حتّى يؤخذ بالإطلاق وإن صحّ ذلك فيما لو قيل باعتبار الظنّ في السند على تقدير دلالة الآية على حجّيّة السند تعبّدا ، وإلاّ لم يكن ذلك أيضا تقييدا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والمجمل ليس بخارج من الإطلاق قطعا وإن لم يمكن الانتفاع به من جهة عدم إحراز جميع شرائط الانتفاع بالدليل اللفظيّ ، كما هو ظاهر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ما أشار إليه المستدلّ المتقدّم </w:t>
      </w:r>
      <w:r>
        <w:rPr>
          <w:rStyle w:val="FootnoteAnchor"/>
          <w:rtl w:val="true"/>
        </w:rPr>
        <w:footnoteReference w:id="327"/>
      </w:r>
      <w:r>
        <w:rPr>
          <w:rFonts w:ascii="Amiri" w:hAnsi="Amiri" w:eastAsia="Amiri" w:cs="Amiri"/>
          <w:color w:val="111111"/>
          <w:sz w:val="28"/>
          <w:sz w:val="28"/>
          <w:szCs w:val="28"/>
          <w:rtl w:val="true"/>
          <w:lang w:bidi="ar-SA"/>
        </w:rPr>
        <w:t xml:space="preserve">واعتمد عليه في الوافية </w:t>
      </w:r>
      <w:r>
        <w:rPr>
          <w:rStyle w:val="FootnoteAnchor"/>
          <w:rtl w:val="true"/>
        </w:rPr>
        <w:footnoteReference w:id="328"/>
      </w:r>
      <w:r>
        <w:rPr>
          <w:rFonts w:ascii="IRNazanin" w:hAnsi="IRNazanin" w:eastAsia="IRNazanin"/>
          <w:color w:val="111111"/>
          <w:sz w:val="28"/>
          <w:sz w:val="28"/>
          <w:szCs w:val="28"/>
          <w:rtl w:val="true"/>
          <w:lang w:bidi="fa-IR"/>
        </w:rPr>
        <w:t xml:space="preserve">وقرّره بوجه أتمّ وأتقن بعض الأفاضل </w:t>
      </w:r>
      <w:r>
        <w:rPr>
          <w:rStyle w:val="FootnoteAnchor"/>
          <w:rtl w:val="true"/>
        </w:rPr>
        <w:footnoteReference w:id="329"/>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الضرورة الدينيّة واقعة على اشتراكنا مع الموجودين المشافهين في التكليف ، ولازمه لزوم تحصيل تكليفاتهم ، ولا يمكن ذلك إلاّ بالرجوع إلى ما خوطبوا به ، وتحصيل تكليفهم منها لا يمكن إلاّ بتحصيل طرق فهمهم ، وهو الغرض من تأسيس الاصول اللفظيّة ، ولازم ذلك استخراج </w:t>
      </w:r>
    </w:p>
    <w:p>
      <w:pPr>
        <w:pStyle w:val="BookText"/>
        <w:rPr/>
      </w:pPr>
      <w:r>
        <w:rPr>
          <w:rFonts w:ascii="Amiri" w:hAnsi="Amiri" w:eastAsia="Amiri" w:cs="Amiri"/>
          <w:color w:val="111111"/>
          <w:sz w:val="28"/>
          <w:sz w:val="28"/>
          <w:szCs w:val="28"/>
          <w:rtl w:val="true"/>
          <w:lang w:bidi="ar-SA"/>
        </w:rPr>
        <w:t xml:space="preserve">الأحكام من الأخبار بطريق استخراجهم ، وإذا علمنا أنّهم لا يتربّصون للفحص عن المخصّص كما هو معلوم لمن استعلم حال السلف ، فإنّ الصحابة والتابعين كانوا يعملون بالعمومات ويحتجّون بها على المتنازعين ولم يطلب أحد من المتنازعين في المسألة التوقف من صاحبه حتّى يبحث عن المعارض ، فكيف نتربّص في العمل بهذه العمومات ، فهل هذا إلاّ التناقض </w:t>
      </w:r>
      <w:r>
        <w:rPr>
          <w:rStyle w:val="FootnoteAnchor"/>
          <w:rtl w:val="true"/>
        </w:rPr>
        <w:footnoteReference w:id="330"/>
      </w:r>
      <w:r>
        <w:rPr>
          <w:rFonts w:ascii="Amiri" w:hAnsi="Amiri" w:eastAsia="Amiri" w:cs="Amiri"/>
          <w:color w:val="111111"/>
          <w:sz w:val="28"/>
          <w:sz w:val="28"/>
          <w:szCs w:val="28"/>
          <w:rtl w:val="true"/>
          <w:lang w:bidi="ar-SA"/>
        </w:rPr>
        <w:t>؟ ومن هنا يظهر وجه آخر ، وهو تقرير الإمام عليه‌السلام العامل بها من دون فحص ، فيكون حجّة اخرى على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الضرورة الدينيّة واقعة على الاشتراك فيما إذا اتّحد موضوعنا وموضوع المشافهين ، وأمّا إذا اختلفا موضوعا فالضرورة واقعة على عدم الاشتراك ، وما نحن فيه من الثاني ، لوجود العلم الإجمالي بكثرة المعارضات على وجه لا يجوز معه الرجوع إلى الاصول ، كما عرفت في دليل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 الاختلاف في المقام ممّا يجب أن يكون موجودا فيهم أيضا ، فلا سبيل إلى دعوى اختلاف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إبلاغ الرسول للأحكام الدينيّة لم يكن دفعة واحدة بل إنّما كان على وجه التدريج ، ولازم ذلك اختلاف موضوع المشافه بالخطاب الصادر في أوّل الشريعة والمشافه عند كمالها مثلا ، فيحتمل أن يكون الموجودون في زمن الأئمّة من الصحابة والتابعين لم يطّلعوا إلاّ على العمومات لا تفصيلا ولا إجمالا على وجه يوجب الفحص ، لاحتمال أن يكون كلّ عامّ في نظرهم من أطراف الشبهة الغير المحصورة التي لا توجب الموافقة القطعيّة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لو لم نقل بوجود العلم الإجمالي لهم بأجمعهم فلا بدّ من القول به في زمان الصادقين عليهما‌السلام ومن بعدهما من الأئمّة عليهم‌السلام ومع ذلك فلم نجد في زبرهم ما يبيّن فيه وجوب الفحص في العمل بالأدلّة المعمولة عندهم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أنّهم كانوا يعملون بالعمومات بعد العلم الإجمالي بكثرة المعارضات والمخصّصات بالأدلّة والعمومات من دون فحص في زمان اجتماع الأخبار وانتظام الآثار ، فإنّ ذلك لعلّه من مقتضيات الجبلّة ولوازم الفطرة كما أشعرنا به ، فكيف يسوغ لك فرض العلم الإجمالي الموجب للفحص لرؤساء الشريعة وأمنائها من أصحاب الأئمة عليهم‌السلام مع عدم فحصهم عن المخصّص؟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حيث إنّهم كانوا مشافهين للأئمّة عليهم‌السلام وكان تأخير البيان عن وقت الحاجة غير محتمل عندهم ، فلذلك كانوا يقنعون بالعموم الملقى إليهم من دون الفحص ، ولا أقلّ من أن يكون أكثر العمومات الملقاة إليهم كذلك ، ومن أين علمنا أنّ القبيل الذي لم يكن وروده في محلّ الحاجة لم يتفحّص فيه الراوي؟ ولا ملازمة بين وقوعه ونقله مع هذه الندرة ، لعدم عموم البلوى به ، ولذلك ترى أنّ أرباب التصنيف وأصحاب التأليف أخذوا فيهما ما قصروا في الفحص على وجه يعلم منه أنّ إتعاب أنفسهم في تحصيل الكتب العلميّة وتحمّلهم لمشاقّ الفحص ولوازمه إنّما هو لملزم شرعي أو عقلي لذلك ، إذ لم يعهد إلى الآن استمرار طريقتهم على الوجه المذكور على أمر غير لازم عندهم كما هو معلوم لمن أنصف وتأمّل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 يظهر الجواب عن التقرير المذكور في آخر الاحتجاج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ما استدلّ به بعض الأفاضل </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أخبار التسامح المستفيضة الواردة في من بلغه ثواب </w:t>
      </w:r>
      <w:r>
        <w:rPr>
          <w:rStyle w:val="FootnoteAnchor"/>
          <w:rtl w:val="true"/>
        </w:rPr>
        <w:footnoteReference w:id="332"/>
      </w:r>
      <w:r>
        <w:rPr>
          <w:rFonts w:ascii="Amiri" w:hAnsi="Amiri" w:eastAsia="Amiri" w:cs="Amiri"/>
          <w:color w:val="111111"/>
          <w:sz w:val="28"/>
          <w:sz w:val="28"/>
          <w:szCs w:val="28"/>
          <w:rtl w:val="true"/>
          <w:lang w:bidi="ar-SA"/>
        </w:rPr>
        <w:t>، فإنّ إطلاق تلك الأخبار يدلّ على كون العامل بالعموم مثابا في جميع أفراده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استدلال عجيب بعد ما عرفت من جهة الشكّ في المقام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وأعجب منه استدلاله </w:t>
      </w:r>
      <w:r>
        <w:rPr>
          <w:rStyle w:val="FootnoteAnchor"/>
          <w:rtl w:val="true"/>
        </w:rPr>
        <w:footnoteReference w:id="333"/>
      </w:r>
      <w:r>
        <w:rPr>
          <w:rFonts w:ascii="Amiri" w:hAnsi="Amiri" w:eastAsia="Amiri" w:cs="Amiri"/>
          <w:color w:val="111111"/>
          <w:sz w:val="28"/>
          <w:sz w:val="28"/>
          <w:szCs w:val="28"/>
          <w:rtl w:val="true"/>
          <w:lang w:bidi="ar-SA"/>
        </w:rPr>
        <w:t xml:space="preserve">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علينا إلقاء الاصول وعليكم التفريع </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فإنّ المراد بالاصول العمومات وقد امرنا بالتفريع وتطبيقها على الجزئيّات من دون تقييد بالفحص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وأغرب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w:t>
      </w:r>
      <w:r>
        <w:rPr>
          <w:rStyle w:val="FootnoteAnchor"/>
          <w:rtl w:val="true"/>
        </w:rPr>
        <w:footnoteReference w:id="335"/>
      </w:r>
      <w:r>
        <w:rPr>
          <w:rFonts w:ascii="Amiri" w:hAnsi="Amiri" w:eastAsia="Amiri" w:cs="Amiri"/>
          <w:color w:val="111111"/>
          <w:sz w:val="28"/>
          <w:sz w:val="28"/>
          <w:szCs w:val="28"/>
          <w:rtl w:val="true"/>
          <w:lang w:bidi="ar-SA"/>
        </w:rPr>
        <w:t xml:space="preserve">بالأخبار الواردة في تعيين ما فيه الزكاة بعد ما سئل عنه ، فأجاب الإمام عليه‌السلام بأنّها في تسعة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وعفا رسول اللّه صلى‌اللّه‌عليه‌وآله عمّا سوى ذلك ، فقال الراوي عندنا شيء كثير مثل الأرز هل فيه الزكاة؟ فردّ الإمام عليه‌السلام بأنّي 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عفا عما سوى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أرزّ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قياس حال المشافه الواقع في محلّ الحاجة بغيره قياس قد عرفت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رواية التفريع فقد عرفت أنّ إطلاقها لا يجدي في مثل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أيضا </w:t>
      </w:r>
      <w:r>
        <w:rPr>
          <w:rStyle w:val="FootnoteAnchor"/>
          <w:rtl w:val="true"/>
        </w:rPr>
        <w:footnoteReference w:id="337"/>
      </w: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ما آتاها </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وتقريب الاستدلال بأمثال هذه الأدلّة فيما نحن بصدده مما لا سبيل إليه للمنصف ، فكيف بإتمامها والتحويل عليها؟ ولعمري أنّه نظير الاستدلالات الموروثة عن بعض الأخباريّين في المسائل الخلافيّة بينهم وبين المجتهدين ، </w:t>
      </w:r>
      <w:bookmarkStart w:id="128" w:name="pg16264_169483"/>
    </w:p>
    <w:p>
      <w:pPr>
        <w:pStyle w:val="BookText"/>
        <w:rPr/>
      </w:pPr>
      <w:bookmarkEnd w:id="128"/>
      <w:r>
        <w:rPr>
          <w:rFonts w:ascii="Amiri" w:hAnsi="Amiri" w:eastAsia="Amiri" w:cs="Amiri"/>
          <w:color w:val="111111"/>
          <w:sz w:val="28"/>
          <w:sz w:val="28"/>
          <w:szCs w:val="28"/>
          <w:rtl w:val="true"/>
          <w:lang w:bidi="ar-SA"/>
        </w:rPr>
        <w:t xml:space="preserve">مثل استدلالهم بالأخبار الواردة في فضيلة العلماء </w:t>
      </w:r>
      <w:r>
        <w:rPr>
          <w:rStyle w:val="FootnoteAnchor"/>
          <w:rtl w:val="true"/>
        </w:rPr>
        <w:footnoteReference w:id="340"/>
      </w:r>
      <w:r>
        <w:rPr>
          <w:rFonts w:ascii="Amiri" w:hAnsi="Amiri" w:eastAsia="Amiri" w:cs="Amiri"/>
          <w:color w:val="111111"/>
          <w:sz w:val="28"/>
          <w:sz w:val="28"/>
          <w:szCs w:val="28"/>
          <w:rtl w:val="true"/>
          <w:lang w:bidi="ar-SA"/>
        </w:rPr>
        <w:t xml:space="preserve">، مثل ما دلّ على ترجيح مدادهم على دماء الشهداء </w:t>
      </w:r>
      <w:r>
        <w:rPr>
          <w:rStyle w:val="FootnoteAnchor"/>
          <w:rtl w:val="true"/>
        </w:rPr>
        <w:footnoteReference w:id="341"/>
      </w:r>
      <w:r>
        <w:rPr>
          <w:rFonts w:ascii="Amiri" w:hAnsi="Amiri" w:eastAsia="Amiri" w:cs="Amiri"/>
          <w:color w:val="111111"/>
          <w:sz w:val="28"/>
          <w:sz w:val="28"/>
          <w:szCs w:val="28"/>
          <w:rtl w:val="true"/>
          <w:lang w:bidi="ar-SA"/>
        </w:rPr>
        <w:t>على جواز تقليد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الأدلّة من أقوى الأدلّة على أنّ المستدلّ إنّما لم يبلغ إلى ما هو المبحوث عنه في المقام ، وإلاّ فهو أجلّ من ذلك</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4588614_1280447820"/>
      <w:bookmarkStart w:id="130" w:name="_Toc39"/>
      <w:bookmarkEnd w:id="129"/>
      <w:r>
        <w:rPr>
          <w:rtl w:val="true"/>
        </w:rPr>
        <w:t xml:space="preserve">تذنيب </w:t>
      </w:r>
      <w:r>
        <w:rPr>
          <w:rtl w:val="true"/>
        </w:rPr>
        <w:t>:</w:t>
      </w:r>
      <w:bookmarkEnd w:id="130"/>
    </w:p>
    <w:p>
      <w:pPr>
        <w:pStyle w:val="BookText"/>
        <w:rPr/>
      </w:pPr>
      <w:r>
        <w:rPr>
          <w:rFonts w:ascii="Amiri" w:hAnsi="Amiri" w:eastAsia="Amiri" w:cs="Amiri"/>
          <w:color w:val="111111"/>
          <w:sz w:val="28"/>
          <w:sz w:val="28"/>
          <w:szCs w:val="28"/>
          <w:rtl w:val="true"/>
          <w:lang w:bidi="ar-SA"/>
        </w:rPr>
        <w:t xml:space="preserve">اختلف القائلون بوجوب الفحص في مقداره ، فنسب إلى القاضي لزوم تحصيل القطع </w:t>
      </w:r>
      <w:r>
        <w:rPr>
          <w:rStyle w:val="FootnoteAnchor"/>
          <w:rtl w:val="true"/>
        </w:rPr>
        <w:footnoteReference w:id="342"/>
      </w:r>
      <w:r>
        <w:rPr>
          <w:rFonts w:ascii="Amiri" w:hAnsi="Amiri" w:eastAsia="Amiri" w:cs="Amiri"/>
          <w:color w:val="111111"/>
          <w:sz w:val="28"/>
          <w:sz w:val="28"/>
          <w:szCs w:val="28"/>
          <w:rtl w:val="true"/>
          <w:lang w:bidi="ar-SA"/>
        </w:rPr>
        <w:t xml:space="preserve">والأكثرون على كفاية الظنّ واحتجّ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القطع ممّا يتيسّر حصوله للمجتهد بالفحص ، فلا بد من 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الحكم المستفاد من العامّ إن كان ممّا كثر البحث عنه ولم يطّلع على ما يوجب تخصيصه ، فالعادة قاضية بالقطع بانتفائه ولو قبل الفحص ، وإلاّ فبحث المجتهد يوجب القطع بانتفائه ، إذ لو اريد بالعامّ الخاصّ لأطلع عليه ، فإذا حصل الفحص ولم يطّلع عليه وجب البناء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فلقضاء صريح العقل بعدم الاقتناع بالظنّ عند إمكان تحصيل العلم ، إلاّ أن يدلّ على ذلك دليل من الشرع</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واجيب عنه بوجوه مرجعها إلى منع حصول القطع من الفحص ، فلا بدّ من الاكتفاء بالظنّ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واعترض عليه المدقّق الشيرواني بأنّ عدم إمكان حصول القطع في الغالب لا يوجب جواز الاكتفاء بالظنّ عند إمكانه فلا بدّ من الالتزام باشتراطه إلاّ إذا تعذّر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الفحص إلى أن يرتفع ما يقتضي الفحص ، وقد عرفت أنّ ما يقتضي الفحص عندهم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القول باعتبار الظنّ الشخصي ومنع حصوله قبل الفحص لا بدّ من القول بكفاية الظنّ بعدم المخصّص عند حصول الظنّ بالمراد بعد الفحص ، وإن كان ذلك غير مرضيّ عندنا ، كما نبّهنا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اخترنا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المانع عن العمل بالعامّ هو العلم الإجمالي وارتفاعه بالفحص ، يظهر أنّ الفحص يفيد القطع بعدم المخصّص الذي كان احتماله مانعا من الأخذ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احتمال التخصيص البدئيّ فلا يمنع من العموم ، ويكفي في دفعه أصالة عدم المخصّص ، كما عرفت ذلك في دليل المختار مفصّلا ، فراجعه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ممّا ذكرنا في مناط وجوب الفحص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يجب استقصاء البحث في جميع أبواب الكتب الجوامع الفقهيّة والأخباريّة ، بل يكفي في العمل بعمومات باب الطهارة استقصاء ذلك الباب ، إذ لا نعلم المعارض لذلك العام في غير الأخبار المذكورة في ذلك الباب ، فأصالة عدم المعارض والمخصّص سليمة لا بدّ من الأخذ بها ، ولا سيّما فيما إذا تفحّصنا عن المعارض </w:t>
      </w:r>
      <w:r>
        <w:rPr>
          <w:rStyle w:val="FootnoteAnchor"/>
          <w:rtl w:val="true"/>
        </w:rPr>
        <w:footnoteReference w:id="345"/>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مثل كتاب الوسائل والكتب الفقهيّة المفصّلة المصنّفة في زمان العلاّمة والشهيدين ومن تأخّر منهم إلى زماننا ، فإنّهم قد بالغوا في ضبط الأخبار وجمعها ، فلو فرضنا أنّ في باب لباس المصلّي خبرا يناسب باب الطهارة فقد تعرّضوا لذكره ولو بالإشارة الكافية لأهل الدراية ، فشكر اللّه مساعيهم الجميلة وجزاهم اللّه عن الإسلام والمسلمين خير جزاء السابقين واللاحقين بمحمّد وآله الطيّبين الطاهرين</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16264_169487"/>
      <w:bookmarkStart w:id="132" w:name="pg16264_169487"/>
      <w:bookmarkEnd w:id="132"/>
    </w:p>
    <w:p>
      <w:pPr>
        <w:pStyle w:val="Heading3"/>
        <w:numPr>
          <w:ilvl w:val="2"/>
          <w:numId w:val="1"/>
        </w:numPr>
        <w:rPr/>
      </w:pPr>
      <w:bookmarkStart w:id="133" w:name="pg16264_169487"/>
      <w:bookmarkStart w:id="134" w:name="__RefHeading___Toc4588616_1280447820"/>
      <w:bookmarkStart w:id="135" w:name="_Toc40"/>
      <w:bookmarkEnd w:id="133"/>
      <w:bookmarkEnd w:id="134"/>
      <w:r>
        <w:rPr>
          <w:rtl w:val="true"/>
        </w:rPr>
        <w:t>هداية</w:t>
      </w:r>
      <w:bookmarkEnd w:id="135"/>
    </w:p>
    <w:p>
      <w:pPr>
        <w:pStyle w:val="Heading4"/>
        <w:numPr>
          <w:ilvl w:val="3"/>
          <w:numId w:val="1"/>
        </w:numPr>
        <w:rPr/>
      </w:pPr>
      <w:bookmarkStart w:id="136" w:name="__RefHeading___Toc4588618_1280447820"/>
      <w:bookmarkStart w:id="137" w:name="_Toc41"/>
      <w:bookmarkEnd w:id="136"/>
      <w:r>
        <w:rPr>
          <w:rtl w:val="true"/>
        </w:rPr>
        <w:t>اشارة</w:t>
      </w:r>
      <w:bookmarkEnd w:id="137"/>
    </w:p>
    <w:p>
      <w:pPr>
        <w:pStyle w:val="BookText"/>
        <w:rPr/>
      </w:pPr>
      <w:r>
        <w:rPr>
          <w:rFonts w:ascii="Amiri" w:hAnsi="Amiri" w:eastAsia="Amiri" w:cs="Amiri"/>
          <w:color w:val="111111"/>
          <w:sz w:val="28"/>
          <w:sz w:val="28"/>
          <w:szCs w:val="28"/>
          <w:rtl w:val="true"/>
          <w:lang w:bidi="ar-SA"/>
        </w:rPr>
        <w:t xml:space="preserve">الحقّ إمكان شمول الخطاب للمعدومين على وجه الحقيقة ، وتوضيح المرام بعد رسم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كلماتهم قد اختلفت في تحرير العنوان فقال في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وضع لخطاب المشافهة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يعمّ بصيغته من تأخّر عن زمن الخطاب وإنّما يثبت حكمه لهم بدليل آخر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المثالين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بعد تصرّف في الثاني بتجريده عن الماضويّة ، أو بالقول بأنّ المناط اتّصافهم بالإيمان حال وجودهم وتعبير الماضوية بالنسبة إليها ، كما قيل </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أن يكون في تلو أداة الخطاب لفظ شامل للمتأخّر عن زمن الخطاب لو لا المخاطبة </w:t>
      </w:r>
      <w:r>
        <w:rPr>
          <w:rStyle w:val="FootnoteAnchor"/>
          <w:rtl w:val="true"/>
        </w:rPr>
        <w:footnoteReference w:id="348"/>
      </w:r>
      <w:r>
        <w:rPr>
          <w:rFonts w:ascii="Amiri" w:hAnsi="Amiri" w:eastAsia="Amiri" w:cs="Amiri"/>
          <w:color w:val="111111"/>
          <w:sz w:val="28"/>
          <w:sz w:val="28"/>
          <w:szCs w:val="28"/>
          <w:rtl w:val="true"/>
          <w:lang w:bidi="ar-SA"/>
        </w:rPr>
        <w:t xml:space="preserve">فيرجع النزاع إلى 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توجيه لغير المخاطب في نفسه هل يصلح له بعد الخطاب أيضا لعدم ما يقضي بالتقييد والتخصيص ، أو لا يصلح لاقتضاء أداة الخطاب ذلك؟ وقال بعض الأجلّة في فصوله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أنّ الألفاظ التي وضعت للخطاب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يكون خطابا لغير الموجودين ويعمّهم بصيغته أو لا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وأنت خبير بأنّه لا يعقل النزاع في عموم صيغة الخطاب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مثّل به ويقتضيه ظاهر الضمير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بصيغته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البحث على هذا لا يلائم مباحث العامّ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 ذلك في وجه ما عنون به بعض الأعاظم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إمكان عموم خطاب المشافهة لغير الموجودين وعدمه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الذبّ عنه بأنّ المراد ليس عموم الخطاب ، بل عموم اللفظ الواقع في تلو أداته ، فينطبق على التحرير الأوّل ، إلاّ أنّه لا يخلو عن تمحّل في الأوّل ،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فعلى ما هو الظاهر من العالم الأورع </w:t>
      </w:r>
      <w:r>
        <w:rPr>
          <w:rStyle w:val="FootnoteAnchor"/>
          <w:rtl w:val="true"/>
        </w:rPr>
        <w:footnoteReference w:id="351"/>
      </w:r>
      <w:r>
        <w:rPr>
          <w:rFonts w:ascii="Amiri" w:hAnsi="Amiri" w:eastAsia="Amiri" w:cs="Amiri"/>
          <w:color w:val="111111"/>
          <w:sz w:val="28"/>
          <w:sz w:val="28"/>
          <w:szCs w:val="28"/>
          <w:rtl w:val="true"/>
          <w:lang w:bidi="ar-SA"/>
        </w:rPr>
        <w:t>في عدم شمول الخطابات الخاصّة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وأشباهها ، لعدم تعقّل الشمول إلاّ على وجه بعيد كذكر المقيّد وإرادة المطلق ، وأما مثل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وصيغ الجمع من الأمر الحاضر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فلا دليل على خروجه مع ظهور اتّحاد المناط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 التوني التمثيل بذلك أيضا </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فلا يخلو عن تأمّل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بمعناه المصدري عبارة عن توجيه الكلام نحو الغير للإفهام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أسقط القيد الأخير </w:t>
      </w:r>
      <w:r>
        <w:rPr>
          <w:rStyle w:val="FootnoteAnchor"/>
          <w:rtl w:val="true"/>
        </w:rPr>
        <w:footnoteReference w:id="353"/>
      </w:r>
      <w:r>
        <w:rPr>
          <w:rFonts w:ascii="Amiri" w:hAnsi="Amiri" w:eastAsia="Amiri" w:cs="Amiri"/>
          <w:color w:val="111111"/>
          <w:sz w:val="28"/>
          <w:sz w:val="28"/>
          <w:szCs w:val="28"/>
          <w:rtl w:val="true"/>
          <w:lang w:bidi="ar-SA"/>
        </w:rPr>
        <w:t xml:space="preserve">وظاهر المحكيّ عن الطريحي أنّه معناه لغة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وصرّح به بعض الأعاظم أيضا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يطلق ويراد به الكلام الموجّه نحو الغير للإفهام ، فيكون اسم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مجاز من الأوّل ، من حيث إنّه حاصل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بعضهم أنّه الحاصل لذلك المصدر </w:t>
      </w:r>
      <w:r>
        <w:rPr>
          <w:rStyle w:val="FootnoteAnchor"/>
          <w:rtl w:val="true"/>
        </w:rPr>
        <w:footnoteReference w:id="356"/>
      </w:r>
      <w:r>
        <w:rPr>
          <w:rFonts w:ascii="Amiri" w:hAnsi="Amiri" w:eastAsia="Amiri" w:cs="Amiri"/>
          <w:color w:val="111111"/>
          <w:sz w:val="28"/>
          <w:sz w:val="28"/>
          <w:szCs w:val="28"/>
          <w:rtl w:val="true"/>
          <w:lang w:bidi="ar-SA"/>
        </w:rPr>
        <w:t>، فإن أراد ما هو المتعارف في غير المقام ، ففيه نظر واضح ، حيث إنّ الكلام ليس حاصلا لذلك المصدر ، بل هو أيضا مصدر آخر يعمّ نفس الكلام يمكن اعتباره حاصلا لمصدره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حصوله بسببه ولو بوجه تجوّزيّ وإن لم يكن حاصلا له ، فهو حقّ ،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ظاهر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بالكلام معناه اللغويّ ، فيشمل المخاطبة بنحو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نقل بكونه كلاما نحويّا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فما ذكر من معنى الخطاب يحصل بمجرّد المواجهة بالكلام نحو الغير وإن لم يكن الكلام مقرونا بواحدة من أدوات الخطاب كالنداء ونحوه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قد يكون الكلام مقرونا بأداة الخطاب ، كما عرفت من 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النزاع إنّما هو في الثاني لا في الأوّل ، إذ لم نجد مخالفا في شمول حكم الآية السابقة لمن تأخّر عن زمن الخطاب ، ولا يلازم ذلك مخاطبة المعدوم حتّى يشاجر في إمكانه وامتناعه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هناك لفظ خوطب به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حقيقة أو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اختصاص التوجيه والخطاب بواحد ، كما إذا وجّه الخطاب بواحد وكان غيره مكلّفا ، نحو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زيد يجب على عمرو كذا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لو فرض إرادة المواجهة بالكلام والمخاطبة به للمعدوم أو لغير الحاضرين توجّه النزاع في أنّه هل يمكن مخاطبة المعدوم أو لا؟</w:t>
      </w:r>
    </w:p>
    <w:p>
      <w:pPr>
        <w:pStyle w:val="BookText"/>
        <w:rPr/>
      </w:pPr>
      <w:r>
        <w:rPr>
          <w:rFonts w:ascii="Amiri" w:hAnsi="Amiri" w:eastAsia="Amiri" w:cs="Amiri"/>
          <w:color w:val="111111"/>
          <w:sz w:val="28"/>
          <w:sz w:val="28"/>
          <w:szCs w:val="28"/>
          <w:rtl w:val="true"/>
          <w:lang w:bidi="ar-SA"/>
        </w:rPr>
        <w:t xml:space="preserve">وممّا ذكرنا يظهر النظر في كلام المعالم في بحث الأخبار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أحكام الكتاب كلّها من قبيل خطاب المشافهة وقد مرّ أنّه مخصوص بالموجودين </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 xml:space="preserve">إذ الأحكام المستفادة من الكتاب قد تكون مستفادة من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نزاع في شموله لغير الحاضرين وإن اختصّ خطابه بهم على تقدير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يذبّ عنه بأنّ الاختصاص بالحاضرين يستند إلى 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في الموجودين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خبط وخلط ولا يخفى على أحد ، إذ الظاهر أنّه قياس اسم الجنس الواقع في تلو أداة النداء بغيره ، حيث إنّ المنادى على تقدير امتناع نداء المعدوم يجب أن يكون موجودا حال النداء ، وأمّا اسم الجنس الخالي عن النداء فعلى تقدير اعتبار الوجود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خلاف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يقتضي ما زعمه من عدم الشمول ، فإنّ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الموجودين إنّما هو باعتبار حال وجودهم ، ولا إشكال أنّه حقيقة حينئذ على هذا القول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النزاع المذكور عقليّ أو لغويّ؟ يشهد للثاني ظاهر عنوان الحاجبي </w:t>
      </w:r>
      <w:r>
        <w:rPr>
          <w:rStyle w:val="FootnoteAnchor"/>
          <w:rtl w:val="true"/>
        </w:rPr>
        <w:footnoteReference w:id="359"/>
      </w:r>
      <w:r>
        <w:rPr>
          <w:rFonts w:ascii="IRNazanin" w:hAnsi="IRNazanin" w:eastAsia="IRNazanin"/>
          <w:color w:val="111111"/>
          <w:sz w:val="28"/>
          <w:sz w:val="28"/>
          <w:szCs w:val="28"/>
          <w:rtl w:val="true"/>
          <w:lang w:bidi="fa-IR"/>
        </w:rPr>
        <w:t xml:space="preserve">وصاحب المعالم </w:t>
      </w:r>
      <w:r>
        <w:rPr>
          <w:rStyle w:val="FootnoteAnchor"/>
          <w:rtl w:val="true"/>
        </w:rPr>
        <w:footnoteReference w:id="360"/>
      </w:r>
      <w:r>
        <w:rPr>
          <w:rFonts w:ascii="Amiri" w:hAnsi="Amiri" w:eastAsia="Amiri" w:cs="Amiri"/>
          <w:color w:val="111111"/>
          <w:sz w:val="28"/>
          <w:sz w:val="28"/>
          <w:szCs w:val="28"/>
          <w:rtl w:val="true"/>
          <w:lang w:bidi="ar-SA"/>
        </w:rPr>
        <w:t xml:space="preserve">وجماعة آخرين </w:t>
      </w:r>
      <w:r>
        <w:rPr>
          <w:rStyle w:val="FootnoteAnchor"/>
          <w:rtl w:val="true"/>
        </w:rPr>
        <w:footnoteReference w:id="361"/>
      </w:r>
      <w:r>
        <w:rPr>
          <w:rFonts w:ascii="Amiri" w:hAnsi="Amiri" w:eastAsia="Amiri" w:cs="Amiri"/>
          <w:color w:val="111111"/>
          <w:sz w:val="28"/>
          <w:sz w:val="28"/>
          <w:szCs w:val="28"/>
          <w:rtl w:val="true"/>
          <w:lang w:bidi="ar-SA"/>
        </w:rPr>
        <w:t xml:space="preserve">حيث إنّهم جعلوا النزاع في </w:t>
      </w:r>
    </w:p>
    <w:p>
      <w:pPr>
        <w:pStyle w:val="BookText"/>
        <w:rPr/>
      </w:pPr>
      <w:r>
        <w:rPr>
          <w:rFonts w:ascii="Amiri" w:hAnsi="Amiri" w:eastAsia="Amiri" w:cs="Amiri"/>
          <w:color w:val="111111"/>
          <w:sz w:val="28"/>
          <w:sz w:val="28"/>
          <w:szCs w:val="28"/>
          <w:rtl w:val="true"/>
          <w:lang w:bidi="ar-SA"/>
        </w:rPr>
        <w:t xml:space="preserve">عموم الصيغة وعدمه ، وظاهر أنّ هذا من الأبحاث اللغويّة وإن كان البحث </w:t>
      </w:r>
      <w:r>
        <w:rPr>
          <w:rStyle w:val="FootnoteAnchor"/>
          <w:rtl w:val="true"/>
        </w:rPr>
        <w:footnoteReference w:id="362"/>
      </w:r>
      <w:r>
        <w:rPr>
          <w:rFonts w:ascii="Amiri" w:hAnsi="Amiri" w:eastAsia="Amiri" w:cs="Amiri"/>
          <w:color w:val="111111"/>
          <w:sz w:val="28"/>
          <w:sz w:val="28"/>
          <w:szCs w:val="28"/>
          <w:rtl w:val="true"/>
          <w:lang w:bidi="ar-SA"/>
        </w:rPr>
        <w:t>في العموم والخصوص ممّا يرجع إلى أمر عقليّ من إمكان مخاطبة المعدوم وامتناعه ، إذ المدار في كون المسألة لغويّة أو عقليّة إنّما هو على ما هو المسئول عنه في عنوانها دون ما ينتهي إليه مداركها ، كما يشهد له عدّ المسألة في عداد مسائل العامّ والخاصّ ، فإنّ إمكان مخاطبة المعدوم وامتناعه لا ربط له بها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جنح إليه التفتازاني من الشمول فيما إذا كان الخطاب للمعدومين والموجودين على وجه التلفيق فمجاز لا حقيقة ويؤيّده استناده إلى التبادر في تشخيص معنى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قريبا أن يكون ذلك بواسطة تسجيل معنى الخطاب وتعيينه حتّى يتمكّن من دعوى الاستحالة والامتناع ، بل هو المصرّح في كلمات جملة منهم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 فظاهر جملة من الأمارات يشهد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جملة اخرى يشهد للأوّل ، كإحالة المنكر الامتناع </w:t>
      </w:r>
      <w:r>
        <w:rPr>
          <w:rStyle w:val="FootnoteAnchor"/>
          <w:rtl w:val="true"/>
        </w:rPr>
        <w:footnoteReference w:id="364"/>
      </w:r>
      <w:r>
        <w:rPr>
          <w:rFonts w:ascii="Amiri" w:hAnsi="Amiri" w:eastAsia="Amiri" w:cs="Amiri"/>
          <w:color w:val="111111"/>
          <w:sz w:val="28"/>
          <w:sz w:val="28"/>
          <w:szCs w:val="28"/>
          <w:rtl w:val="true"/>
          <w:lang w:bidi="ar-SA"/>
        </w:rPr>
        <w:t>إلى الوجدان ورمي المخالف إلى المكابرة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وصريح عنوان بعضهم كما تقدّم عن بعض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والإنصاف على ما ظهر لي بعد التأمّل إمكان الجمع بين هذه الأمارات ، بل لا يبعد أن يكون هو الواقع في كلام المتنازعين أيضا </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أنّ النزاع في أمر لغويّ ، وهو شمول الصيغة للغائبين والمعدومين أو اختصاصها بالموجودين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الوجه في الاختصاص هو ما يدّعيه المانع من امتناع شمول الخطاب حقيقة أو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الشمول هو ما يراه المجوّز من إمكان ذلك حقيقة أو مجازا ، فلو لوحظ ما هو مناط القولين يمكن القول بأنّ النزاع عقليّ ، ولو لوحظ نفس الخلاف يمكن القول بكونه لغويّا ، ولكل وجهة هو مولّيها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تقدير النزاع العقليّ قد عرفت إمكان جريانه بالنسبة إلى الخطابات التي لم يدلّ عليها بكاشف </w:t>
      </w:r>
      <w:r>
        <w:rPr>
          <w:rStyle w:val="FootnoteAnchor"/>
          <w:rtl w:val="true"/>
        </w:rPr>
        <w:footnoteReference w:id="366"/>
      </w:r>
      <w:r>
        <w:rPr>
          <w:rFonts w:ascii="Amiri" w:hAnsi="Amiri" w:eastAsia="Amiri" w:cs="Amiri"/>
          <w:color w:val="111111"/>
          <w:sz w:val="28"/>
          <w:sz w:val="28"/>
          <w:szCs w:val="28"/>
          <w:rtl w:val="true"/>
          <w:lang w:bidi="ar-SA"/>
        </w:rPr>
        <w:t xml:space="preserve">لفظيّ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غير مفيد ، كما أومأنا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لو قلنا بشمول الخطاب للمعدومين ففي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يكون في تلو أداة الخطاب لفظا عامّا لجميع أفراده المعدومة والموجودة ، فالمقتضي للحمل على العموم موجود لمكان ذلك اللفظ ، والمانع مفقود كما هو المفروض ، فيحمل على العموم بخلاف ما إذا لم يكن الخطاب مدلولا عليه بدلالة لفظيّة ، فإنّ غاية ما يكون هناك أن لا يكون مانع عن الخطاب بالمعدوم ، أمّا أنّه خاطب وأراد بذلك الكلام الخطاب العامّ للمعدوم والموجود فلا قاضي به من اللفظ ، لإمكان اختصاص المخاطبة بشخص خاصّ مع عموم الحكم المستفاد من ذلك الكلام ، فكلّ ما لا مانع من أن يكون خطابا للمعدوم لا يكفي في القول بالعموم ، بل لا بدّ من وجود المقتضي أيضا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يظهر الوجه فيما قلنا من دخول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 في النزاع ، حيث إنّ المخاطبة بها وأشباهها موقوفة على القصد وإرادة عموم الخطاب وشموله للمعدوم والغائب ، وذلك ممّا لا كاشف له ظاهرا بحسب الوضع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على تقدير النزاع اللفظيّ ، فهل الخلاف في الشمول على نحو الحقيقة ، أو في الأعمّ منه ومن المجاز ، أو في خصوص المجاز إمكانا على وجه لا خلاف في وقوعه على تقدير إمكانه ، أو وقوعا على وجه لا خلاف في إمكانه؟ وجوه يمكن استفادة كلّ منها من مطاوي كلماتهم عنوانا واحتجاجا واعتراضا ، على ما هو غير خفيّ على المتتبّع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قد عرفت ذلك ، فاعلم أنّ المنقول منهم في المقام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في الوافية </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الشمول ، من دون تصريح بكونه على وجه الحقيقة أو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الشمول حقيقة لغة ، حكاه البعض عن الفاضل النراقي </w:t>
      </w:r>
      <w:r>
        <w:rPr>
          <w:rStyle w:val="FootnoteAnchor"/>
          <w:rtl w:val="true"/>
        </w:rPr>
        <w:footnoteReference w:id="368"/>
      </w:r>
      <w:r>
        <w:rPr>
          <w:rFonts w:ascii="IRNazanin" w:hAnsi="IRNazanin" w:eastAsia="IRNazanin"/>
          <w:color w:val="111111"/>
          <w:sz w:val="28"/>
          <w:sz w:val="28"/>
          <w:szCs w:val="28"/>
          <w:rtl w:val="true"/>
          <w:lang w:bidi="fa-IR"/>
        </w:rPr>
        <w:t>أنّه نسبه إلى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الشمول حقيقة شرعا ، ونفي عنه البعد الفاضل المذكور فيما حكي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الشمول مجازا ، حكاه البعض عن التفتازاني </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دعوى ذهابه إلى أنّ الخطابات القرآنيّة تعمّ الغائبين أو المعدومين على وجه المجازية فعلا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وظنّي أنّه ليس في محلّه ، فإنّ ما يظهر من كلامه المحكيّ دعوى إمكان الشمول على وجه المجاز ولم يظهر منه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قد اختاره في المناهج </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عن والده في الأنيس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الشمول على وجه المجاز بنحو من التنزيل والادّعاء إذا كان فيه فائدة يتعلّق بها أغراض أرباب المحاورة وأصحاب المشاورة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المشهور كما قيل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والأظهر عندي القول بإمكان الشمول على وجه الحقيقة إن اريد من المجاز المبحوث عنه في المقام المجاز في أداة الخطاب ، كما يظهر من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بعض الأجلّة </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صرّحوا بأنّ الأداة حقيقة في خطاب الموجود الحاضر ، واستعماله في غير ذلك سواء كان على وجه التغليب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انضمّ إلى الموجودين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اختصّ بغيرهم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إن اريد من المجاز ما هو المعهود مثله في المجاز العقليّ ، بمعنى أنّ التصرّف إنّما هو في أمر عقليّ من دون سرايته إلى اللفظ</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أداة الخطاب إنّما هي موضوعة لأن يخاطب بها ، والمخاطبة إنّما تقتضي أن تكون إلى مخاطب يتوجّه إليه الخطاب ، وذلك لا يعقل في حقّ المعدوم ، إلاّ بتنزيله منزلة الموجود وادّعاء أنّه الموجود ، ومجرّد ذلك يكفي في استعمال اللفظ الموضوع للمخاطبة من دون استلزام لتصرّف آخر في اللفظ باستعماله في غير معناه ، وهل هذا إلاّ مثل استعمال الأسد في الرجل الشجاع بادّعاء أنّه الحيوان المفترس حقيقة؟ وما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الأسد مجاز حينئذ لأنّه موضوع للحيوان المفترس الحقيقي لا الادّعائي ، فهو غلط ، فإنّ ادّعاء كونه من الأسد ليس من وجوه المعنى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موضوع لغيره ،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ذكرنا يظهر فساد ما بالغ فيه بعض الأجلّة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امتناع تعلّق الخطاب بمعناه الحقيقي وتوجّهه نحو المعدوم </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ذكره في وجه الامتناع ممّا لا مدخل لكون أداة الخطاب على وجه الحقيقة أو المجاز ، كما هو ظاهر على المتأمّل ، ويظهر الصدق بمراجعة كلامه في فصوله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يقضي بذلك أنّه لا حاجة إلى أمر آخر بعد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عند التغليب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ملاحظة أمر أعمّ لئلا يلزم استعمال اللفظ في معنييه الحقيقيّ والمجازيّ ، بل ولا يعقل الأمر الأعمّ الشامل للمعدومين والموجودين في مدلول أداة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الخطاب إمّا من الامور الحادثة بالأداة كما يراه البعض ، أو من الامور التي يكشف عنها الأداة ، سواء كانت الأداة علامة لها كما في علامة التأنيث والتذكير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التقادير فهي معان شخصية جزئيّة لا تتحمّل العموم ، كما هو ظاهر لمن 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يصحّ ذلك في مدلول مدخول الأداة ، وأين ذلك من اعتبار العموم في مدلول الأداة؟</w:t>
      </w:r>
    </w:p>
    <w:p>
      <w:pPr>
        <w:pStyle w:val="BookText"/>
        <w:rPr/>
      </w:pPr>
      <w:r>
        <w:rPr>
          <w:rFonts w:ascii="Amiri" w:hAnsi="Amiri" w:eastAsia="Amiri" w:cs="Amiri"/>
          <w:color w:val="111111"/>
          <w:sz w:val="28"/>
          <w:sz w:val="28"/>
          <w:szCs w:val="28"/>
          <w:rtl w:val="true"/>
          <w:lang w:bidi="ar-SA"/>
        </w:rPr>
        <w:t>ثمّ إنّ ما ذكرنا إنّما هو بمجرّد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الوقوع فلا بدّ له من التماس دليل آخر ، ولم نجد ما يقضي به ، فإنّ ما تخيّله البعض من الأدلّة لا يقتضي إلاّ الاشتراك في الحكم ، وأمّا أنّ الخطابات القرآنيّة ممّا لوحظ فيها التنزيل المذكور واستعمل اللفظ في المخاطبة للحاضر ولمن هو منزّل منزلته فلم يدلّ عليه دليل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احتمل بعض المحقّقين في الخطابات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القول باختصاصها بالحاضرين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شمولها للغائبين ، لقيام الكتّاب والمبلّغين واحدا بعد واحد مقام المتكلّم بها ، فلم يخاطب بها إلاّ الموجود فكأنّ الكتابة نداء مستمرّ من </w:t>
      </w:r>
      <w:bookmarkStart w:id="138" w:name="pg16264_169496"/>
    </w:p>
    <w:p>
      <w:pPr>
        <w:pStyle w:val="BookText"/>
        <w:rPr/>
      </w:pPr>
      <w:bookmarkEnd w:id="138"/>
      <w:r>
        <w:rPr>
          <w:rFonts w:ascii="Amiri" w:hAnsi="Amiri" w:eastAsia="Amiri" w:cs="Amiri"/>
          <w:color w:val="111111"/>
          <w:sz w:val="28"/>
          <w:sz w:val="28"/>
          <w:szCs w:val="28"/>
          <w:rtl w:val="true"/>
          <w:lang w:bidi="ar-SA"/>
        </w:rPr>
        <w:t>ابتداء صدور الخطاب إلى انتهاء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المكتوب إليه ينتقل من الوجود الكتبي إلى الوجود اللفظي ومنه إلى المعنى فمن حيث هو قارئ متكلّم ، ومن حيث إنه من المقصودين بالخطاب مستمع </w:t>
      </w:r>
      <w:r>
        <w:rPr>
          <w:rStyle w:val="FootnoteAnchor"/>
          <w:rtl w:val="true"/>
        </w:rPr>
        <w:footnoteReference w:id="376"/>
      </w:r>
      <w:r>
        <w:rPr>
          <w:rFonts w:ascii="Amiri" w:hAnsi="Amiri" w:eastAsia="Amiri" w:cs="Amiri"/>
          <w:color w:val="111111"/>
          <w:sz w:val="28"/>
          <w:sz w:val="28"/>
          <w:szCs w:val="28"/>
          <w:rtl w:val="true"/>
          <w:lang w:bidi="ar-SA"/>
        </w:rPr>
        <w:t>،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أفاده أمر معقول ، لكنّه موقوف على وجود ما يدلّ عليه ، ولم نقف على ما يقضي بذلك الاعتبار ، مع أنّ ما ذكره في السرّ ليس أمرا ظاهرا لا يقبل المنع ، لاحتمال الانتقال من الكتب إلى المعنى من دون توسيط اللفظ فينتفي اعتبار الخطاب باللفظ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الأمر بالكتابة والحفظ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فيه على ما ذكره ، لاحتمال فوائد شتّى غير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طال التشاجر بين القوم في الاحتجاج على الأقوال المذكورة وتصحيحها وتزييفها ، ولا نرى طائلا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أن نختم الكلام بذكر امور ينبغي التنبيه عليها </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4588620_1280447820"/>
      <w:bookmarkStart w:id="140" w:name="_Toc42"/>
      <w:bookmarkEnd w:id="139"/>
      <w:r>
        <w:rPr>
          <w:rtl w:val="true"/>
        </w:rPr>
        <w:t xml:space="preserve">الأوّل </w:t>
      </w:r>
      <w:r>
        <w:rPr>
          <w:rtl w:val="true"/>
        </w:rPr>
        <w:t>:</w:t>
      </w:r>
      <w:bookmarkEnd w:id="140"/>
    </w:p>
    <w:p>
      <w:pPr>
        <w:pStyle w:val="BookText"/>
        <w:rPr/>
      </w:pPr>
      <w:r>
        <w:rPr>
          <w:rFonts w:ascii="Amiri" w:hAnsi="Amiri" w:eastAsia="Amiri" w:cs="Amiri"/>
          <w:color w:val="111111"/>
          <w:sz w:val="28"/>
          <w:sz w:val="28"/>
          <w:szCs w:val="28"/>
          <w:rtl w:val="true"/>
          <w:lang w:bidi="ar-SA"/>
        </w:rPr>
        <w:t>الظاهر عدم الفرق بين المعدوم والغائب عن مجلس الخطاب في عدم تحقّق المخاطبة لو لا التنزيل ، كما تقدّم إليه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واستواء الكلّ بالنسبة إليه تعالى غيبة وحضورا لا يجدي في المقام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ذلك مبنيّ على أن يكون المخاطب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تعالى ، ولا دليل عليه ، فإنّ ذلك موقوف على تشخيص ما وقع به الخطاب من مراتب القرآن لو كان اسما لجميع مراتبه ، وإلاّ فهو موقوف على تشخيص معنى </w:t>
      </w:r>
    </w:p>
    <w:p>
      <w:pPr>
        <w:pStyle w:val="BookText"/>
        <w:rPr/>
      </w:pPr>
      <w:r>
        <w:rPr>
          <w:rFonts w:ascii="Amiri" w:hAnsi="Amiri" w:eastAsia="Amiri" w:cs="Amiri"/>
          <w:color w:val="111111"/>
          <w:sz w:val="28"/>
          <w:sz w:val="28"/>
          <w:szCs w:val="28"/>
          <w:rtl w:val="true"/>
          <w:lang w:bidi="ar-SA"/>
        </w:rPr>
        <w:t xml:space="preserve">القرآن من أنّه هل هو اسم لوجوده العلمي لله سبحانه ، أو لما هو الثابت في اللوح المحفوظ ، أو لما هو المنزل على النبيّ صلى‌اللّه‌عليه‌وآله في بيت المعمور كما اطلق عليه القرآن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تَعْجَلْ بِالْقُرْآنِ مِنْ قَبْلِ أَنْ يُقْضى إِلَيْكَ وَحْيُهُ </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 xml:space="preserve">أو لما هو المنزّل عليه في الوقائع الشخصيّة ممّا نزل به جبرئيل من الألفاظ الخاصّة ، فيكون النبيّ صلى‌اللّه‌عليه‌وآله حاكيا له فيما خاطب به الناس ، أو لما خاطب به النبيّ صلى‌اللّه‌عليه‌وآله العباد عن اللّه تعالى ، فيكون وجود القرآن في عالم الظهور وجوده في لسان النبيّ صلى‌اللّه‌عليه‌وآله نظير وجود الكلام في الشجر فقراءته له بعد انقضاء القراءة في مجلس الوحي والتنزيل إنّما هو حكاية عمّا بلغه في مجلس الوحي نظير قراءة غيره أو الأعمّ منه وممّا يظهر عندنا كونه حكاية ، فيكون جميع الألفاظ الشخصيّة الصادرة من القرّاء من حقيقة القرآن ، إمّا بالقول بوضعه لأمر كلّي صادق على جميع ذلك كما احتمله البعض </w:t>
      </w:r>
      <w:r>
        <w:rPr>
          <w:rStyle w:val="FootnoteAnchor"/>
          <w:rtl w:val="true"/>
        </w:rPr>
        <w:footnoteReference w:id="378"/>
      </w:r>
      <w:r>
        <w:rPr>
          <w:rFonts w:ascii="Amiri" w:hAnsi="Amiri" w:eastAsia="Amiri" w:cs="Amiri"/>
          <w:color w:val="111111"/>
          <w:sz w:val="28"/>
          <w:sz w:val="28"/>
          <w:szCs w:val="28"/>
          <w:rtl w:val="true"/>
          <w:lang w:bidi="ar-SA"/>
        </w:rPr>
        <w:t xml:space="preserve">وإن كان ضعيفا ، وإمّا بالقول بكون كلّ واحد من تلك القراءات </w:t>
      </w:r>
      <w:r>
        <w:rPr>
          <w:rStyle w:val="FootnoteAnchor"/>
          <w:rtl w:val="true"/>
        </w:rPr>
        <w:footnoteReference w:id="379"/>
      </w:r>
      <w:r>
        <w:rPr>
          <w:rFonts w:ascii="Amiri" w:hAnsi="Amiri" w:eastAsia="Amiri" w:cs="Amiri"/>
          <w:color w:val="111111"/>
          <w:sz w:val="28"/>
          <w:sz w:val="28"/>
          <w:szCs w:val="28"/>
          <w:rtl w:val="true"/>
          <w:lang w:bidi="ar-SA"/>
        </w:rPr>
        <w:t>من القرآن ، نظير الوضع في المبهمات ، أو الأعمّ منها ومن المكتوبات على الوجهين فيها أيضا ، أو للأعمّ من الألفاظ والنقوش والمعاني الثابتة في اللوح وغيره ، ويحتمل وجوه أخر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جميع هذه الوجوه والاحتمالات كيف يقطع بأنّ المخاطب هو اللّه تعالى؟</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استواءه غيبة وحضورا لا يجدي مع اختلاف حال المخاطبين بالعلم والسماع ، فإنّ النقص فيهم ، تعالى اللّه عن ذلك علوّا كبيرا ؛ مضافا إلى أنّ الاستواء إنّما هو موجود في الموجود والمعدوم ، ولم يظهر </w:t>
      </w:r>
      <w:bookmarkStart w:id="141" w:name="pg16264_169498"/>
    </w:p>
    <w:p>
      <w:pPr>
        <w:pStyle w:val="BookText"/>
        <w:rPr/>
      </w:pPr>
      <w:bookmarkEnd w:id="141"/>
      <w:r>
        <w:rPr>
          <w:rFonts w:ascii="Amiri" w:hAnsi="Amiri" w:eastAsia="Amiri" w:cs="Amiri"/>
          <w:color w:val="111111"/>
          <w:sz w:val="28"/>
          <w:sz w:val="28"/>
          <w:szCs w:val="28"/>
          <w:rtl w:val="true"/>
          <w:lang w:bidi="ar-SA"/>
        </w:rPr>
        <w:t>التزامه من المورد ، فبدون التنزيل لا يعقل الخطاب في المقامين ، ومعه لا إشكال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ذلك إنّما نعقله فيما هو بأيدينا من الخطابات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خطابه تعالى فلا يعرف وجه التنزيل فيه كما لا يعرف سائر وجوه التصرّف في كلامه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المعلوم عندنا هو تكلّمه بكلام من ينزّل المعدوم منزلة الموجود ، فتدبّر</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4588622_1280447820"/>
      <w:bookmarkStart w:id="143" w:name="_Toc43"/>
      <w:bookmarkEnd w:id="142"/>
      <w:r>
        <w:rPr>
          <w:rtl w:val="true"/>
        </w:rPr>
        <w:t xml:space="preserve">الثاني </w:t>
      </w:r>
      <w:r>
        <w:rPr>
          <w:rtl w:val="true"/>
        </w:rPr>
        <w:t>:</w:t>
      </w:r>
      <w:bookmarkEnd w:id="143"/>
    </w:p>
    <w:p>
      <w:pPr>
        <w:pStyle w:val="BookText"/>
        <w:rPr/>
      </w:pPr>
      <w:r>
        <w:rPr>
          <w:rFonts w:ascii="Amiri" w:hAnsi="Amiri" w:eastAsia="Amiri" w:cs="Amiri"/>
          <w:color w:val="111111"/>
          <w:sz w:val="28"/>
          <w:sz w:val="28"/>
          <w:szCs w:val="28"/>
          <w:rtl w:val="true"/>
          <w:lang w:bidi="ar-SA"/>
        </w:rPr>
        <w:t xml:space="preserve">ذكر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الغرض من هذه المسألة وذكرها بيان الحقّ فيها ، فلا يترتّب عليها أثر عمليّ ، إذ الظاهر تحقّق الإجماع على مساواة جميع الامّة في الحكم </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 عليه بعض المحقّقين </w:t>
      </w:r>
      <w:r>
        <w:rPr>
          <w:rStyle w:val="FootnoteAnchor"/>
          <w:rtl w:val="true"/>
        </w:rPr>
        <w:footnoteReference w:id="381"/>
      </w:r>
      <w:r>
        <w:rPr>
          <w:rFonts w:ascii="Amiri" w:hAnsi="Amiri" w:eastAsia="Amiri" w:cs="Amiri"/>
          <w:color w:val="111111"/>
          <w:sz w:val="28"/>
          <w:sz w:val="28"/>
          <w:szCs w:val="28"/>
          <w:rtl w:val="true"/>
          <w:lang w:bidi="ar-SA"/>
        </w:rPr>
        <w:t xml:space="preserve">بأنّه غفلة ، لوجود الثمرة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الشمول لا بدّ من الأخذ بما هو ظاهر من الخطاب ، لامتناع الخطاب بما هو ظاهر وإرادة خلافه من دون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العدم فلا بدّ من تحصيل متفاهم المتشافهين والتحرّي في استحصاله ، فإن حصل العلم به فهو ، وإلاّ عملنا بالاجتهاد في تحصيل ما هو الأقرب إليه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بعض الأجلّة </w:t>
      </w:r>
      <w:r>
        <w:rPr>
          <w:rStyle w:val="FootnoteAnchor"/>
          <w:rtl w:val="true"/>
        </w:rPr>
        <w:footnoteReference w:id="382"/>
      </w:r>
      <w:r>
        <w:rPr>
          <w:rFonts w:ascii="Amiri" w:hAnsi="Amiri" w:eastAsia="Amiri" w:cs="Amiri"/>
          <w:color w:val="111111"/>
          <w:sz w:val="28"/>
          <w:sz w:val="28"/>
          <w:szCs w:val="28"/>
          <w:rtl w:val="true"/>
          <w:lang w:bidi="ar-SA"/>
        </w:rPr>
        <w:t>بأنّه على العدم لا وجه للفرق بين المخاطب وغيره في حجّيّة الظواهر ، فإنّ ذلك أمر متّضح الفساد منحرف عن منهج السداد ، للإجماع على حجّيّة ظواهر الألفاظ في حقّ السامعين مطلقا ، ولو لا ذلك لم يعتبر ظواهر الأقارير والوصايا والعقود والشهادات ، ونحو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ذبّه بأنّه ليس المقصود بيان الفرق في ذلك بين المشافه وغيره في الأخذ بالظواهر ، بل المقصود إثبات الفرق بينهما من حيث احتمال وجود القرينة عندهم واختفائها لدينا أو </w:t>
      </w:r>
      <w:r>
        <w:rPr>
          <w:rStyle w:val="FootnoteAnchor"/>
          <w:rtl w:val="true"/>
        </w:rPr>
        <w:footnoteReference w:id="383"/>
      </w:r>
      <w:r>
        <w:rPr>
          <w:rFonts w:ascii="Amiri" w:hAnsi="Amiri" w:eastAsia="Amiri" w:cs="Amiri"/>
          <w:color w:val="111111"/>
          <w:sz w:val="28"/>
          <w:sz w:val="28"/>
          <w:szCs w:val="28"/>
          <w:rtl w:val="true"/>
          <w:lang w:bidi="ar-SA"/>
        </w:rPr>
        <w:t>ثبوت النقل وإن كان يمكن تحصيل متفاهمهم بإعمال الاصول اللفظيّة في اللفظ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ومحصّل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المشافه إنّما يأخذ بالظاهر من حيث هو ظاهر ، وغيره إنّما يأخذ به من حيث إنّه الظاهر عند المشافه وإن كان طريق ثبوته هو الظاهر أيضا ، فليس ذلك تفصيلا في حجّية الظواهر ؛ مع أنّ في احتجاجه لعدم الفرق بظواهر الأقارير والوصايا والشهادات نظرا ذكرناه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أيضا بأنّه على الشمول لا وجه للأخذ بالظواهر ، للعلم بطريان النسخ والتجوّز والتخصيص والتقييد ممّا مرّ الإشارة إليها في بحث الفحص ، فلا بدّ من البحث والتحرّي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عليه بعض آخر بأنّه مع ذلك يحتمل السهو من الراوي والغلط منه والسقط والتحريف والتصحيف والزيادة ، مع اختلاط الصادق بالكاذب ، لدسّ الكذابة ، إلى غير ذلك ، فعلى الشمول أيضا لا بدّ من التحرّي والاجتهاد في دفع تلك المحتملات </w:t>
      </w:r>
      <w:r>
        <w:rPr>
          <w:rStyle w:val="FootnoteAnchor"/>
          <w:rtl w:val="true"/>
        </w:rPr>
        <w:footnoteReference w:id="38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وفسادهما غنيّ عن البيان ، إذ ليس المقصود أنّه على تقدير الشمول لا يعقل وجود الفرق بين الحاضر وغيره من جميع الجهات حتّى يتمسّك بهذه الوجوه الواهية ، فإنّ هذه الموانع كما هي مانعة من حمل الغائب على تقدير </w:t>
      </w:r>
    </w:p>
    <w:p>
      <w:pPr>
        <w:pStyle w:val="BookText"/>
        <w:rPr/>
      </w:pPr>
      <w:r>
        <w:rPr>
          <w:rFonts w:ascii="Amiri" w:hAnsi="Amiri" w:eastAsia="Amiri" w:cs="Amiri"/>
          <w:color w:val="111111"/>
          <w:sz w:val="28"/>
          <w:sz w:val="28"/>
          <w:szCs w:val="28"/>
          <w:rtl w:val="true"/>
          <w:lang w:bidi="ar-SA"/>
        </w:rPr>
        <w:t>وجودها ، كذلك هي مانعة عن حمل المشافه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المقصود أنّه على تقدير ارتفاع الموانع من سائر الجهات ، كأن لا يكون الخطاب بواسطة العلم الإجمالي بوجود المخصّصات مجملا ، كما مرّ في المسألة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أحرزنا قول المعصوم بإعمال الاصول المعتبرة في إحرازه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كأصالة عدم السقط والتحريف وغيرها ، واعتبار سند الرواية لعدالة الراوي أو ما هو بمنزلته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القول بالمساواة بين الغائب والحاضر ، وأنّ الغيبة والحضور لا ينهضان فرقا في الاعتبار وعدمه ، وذلك من الامور الوضحة التي لا تكاد تخفى على أحد كما هو ظاهر ؛ ومع ذلك فلا يتمّ الثمرة المذكورة كما نبّه عليه إجمالا بعض أجلّة السادة المحقّقين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القول بالشمول ، إمّا أن يعلم الاختلاف بين المشافه وغيره فيما هو الظاهر عند كلّ منهما ، أو يعلم الوفاق ، أو يشكّ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وجه الاختلاف قرينة مخفيّة عليهم موجودة عندنا ، كما مرّ نظيره في العامّ المخصّص بمخصّص متأخّر ، أو خطائهم في تشخيص الظواهر لو فرض ، ونحو ذلك ممّا لا يوجب تعدّد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وجه الاختلاف ما يوجب ذلك ، مثل اختلاف الأوضاع ونحوه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إنّ المشافه إنّما لم ينجّز في حقّه الحكم الواقعي ، لاختفاء القرينة عليه أو لخطائه إذا لم يكن على وجه التقصير ، وليس ذلك من حجّيّة الظواهر في حقّه ،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إرادة كلّ من الظاهر ، لا لأجل عدم جواز استعمال اللفظ في أزيد من معنى واحد ، بل ولو قلنا بجوازه أيضا ؛ لأنّ ذلك لا يستلزم استعمال اللفظ في معان غير محصورة ، ولا سيّما لو فرضنا إلحاق المعاني المستحدثة الظاهرة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يتعقّل استعمال اللفظ في كلّ ما يفهمه المخاطبون على أنحاء اختلاف أفهامهم ومراتبهم على وجه يكون كلّ واحد منهم مخصوصا بإرادة ما فهمه في حقّه من غير مشاركة الآخر 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الفرق بينه وبين استعمال العين في معنييه ، فإنّه على تقديره إنّما هو مرادان بالنسبة إلى الكلّ ، وذلك خارج عن حدّ المحاورات ، ولا يبعد نسبته إلى الغلط عند أربابها ، بل هو كذلك قطعا ؛ مضافا إلى استلزامه تعدّد الأحكام الواقعيّة ، وهو خلاف الصواب عندنا ، فلا بدّ من القول بإرادة معنى واحد من تلك الظواهر وإحالة من ليس ظاهرا عنده إلى من هو ظاهر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الظاهر إحالة من عدا المشافه إليه ، لقيام أدلّة الاشتراك قرينة عليها وكفايتها في ذلك ، بل ولا يعقل </w:t>
      </w:r>
      <w:r>
        <w:rPr>
          <w:rStyle w:val="FootnoteAnchor"/>
          <w:rtl w:val="true"/>
        </w:rPr>
        <w:footnoteReference w:id="387"/>
      </w:r>
      <w:r>
        <w:rPr>
          <w:rFonts w:ascii="Amiri" w:hAnsi="Amiri" w:eastAsia="Amiri" w:cs="Amiri"/>
          <w:color w:val="111111"/>
          <w:sz w:val="28"/>
          <w:sz w:val="28"/>
          <w:szCs w:val="28"/>
          <w:rtl w:val="true"/>
          <w:lang w:bidi="ar-SA"/>
        </w:rPr>
        <w:t>إحالة المشافه إلى غيره في بعض الصور المتقدّمة ، كما إذا كان المعنى المراد من المعاني الظاهرة المستحدثة بعد زمان المشافهة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ينصب قرينة عليه وكشفه لديه ، لئلاّ يلزم القبح </w:t>
      </w:r>
      <w:r>
        <w:rPr>
          <w:rStyle w:val="FootnoteAnchor"/>
          <w:rtl w:val="true"/>
        </w:rPr>
        <w:footnoteReference w:id="388"/>
      </w:r>
      <w:r>
        <w:rPr>
          <w:rFonts w:ascii="Amiri" w:hAnsi="Amiri" w:eastAsia="Amiri" w:cs="Amiri"/>
          <w:color w:val="111111"/>
          <w:sz w:val="28"/>
          <w:sz w:val="28"/>
          <w:szCs w:val="28"/>
          <w:rtl w:val="true"/>
          <w:lang w:bidi="ar-SA"/>
        </w:rPr>
        <w:t>وعند الشكّ في وجود القرينة يحكم بعدمها ، كما هو قضيّة الأصل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فثبت بذلك وجوب الرجوع إلى متفاهم المشافه عند العلم بالاختلاف وعدم قيام قرينة على تعيين أحد المعاني</w:t>
      </w:r>
      <w:r>
        <w:rPr>
          <w:rFonts w:eastAsia="Amiri" w:cs="Amiri" w:ascii="Amiri" w:hAnsi="Amiri"/>
          <w:color w:val="111111"/>
          <w:sz w:val="28"/>
          <w:szCs w:val="28"/>
          <w:rtl w:val="true"/>
          <w:lang w:bidi="ar-SA"/>
        </w:rPr>
        <w:t xml:space="preserve">. </w:t>
      </w:r>
      <w:bookmarkStart w:id="144" w:name="pg16264_169502"/>
    </w:p>
    <w:p>
      <w:pPr>
        <w:pStyle w:val="BookText"/>
        <w:rPr/>
      </w:pPr>
      <w:bookmarkEnd w:id="144"/>
      <w:r>
        <w:rPr>
          <w:rFonts w:ascii="Amiri" w:hAnsi="Amiri" w:eastAsia="Amiri" w:cs="Amiri"/>
          <w:color w:val="111111"/>
          <w:sz w:val="28"/>
          <w:sz w:val="28"/>
          <w:szCs w:val="28"/>
          <w:rtl w:val="true"/>
          <w:lang w:bidi="ar-SA"/>
        </w:rPr>
        <w:t xml:space="preserve">وعلى الثاني </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العلم بالوفاق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وجوب الأخذ بما هو الظاهر عندهم ، إلاّ أنّه ليس مورد ظهور الثمرة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الثالث </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الأخذ بما هو ظاهر عند غير المشافه والحكم بأنّ الظاهر عندهم أيضا هو ذلك بإعمال الاصول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 لا نعرف فرقا بين القول بالشمول وعدمه من هذه الجهة</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4588624_1280447820"/>
      <w:bookmarkStart w:id="146" w:name="_Toc44"/>
      <w:bookmarkEnd w:id="145"/>
      <w:r>
        <w:rPr>
          <w:rtl w:val="true"/>
        </w:rPr>
        <w:t xml:space="preserve">الثالث </w:t>
      </w:r>
      <w:r>
        <w:rPr>
          <w:rtl w:val="true"/>
        </w:rPr>
        <w:t>:</w:t>
      </w:r>
      <w:bookmarkEnd w:id="146"/>
    </w:p>
    <w:p>
      <w:pPr>
        <w:pStyle w:val="BookText"/>
        <w:rPr/>
      </w:pPr>
      <w:r>
        <w:rPr>
          <w:rFonts w:ascii="IRNazanin" w:hAnsi="IRNazanin" w:eastAsia="IRNazanin"/>
          <w:color w:val="111111"/>
          <w:sz w:val="28"/>
          <w:sz w:val="28"/>
          <w:szCs w:val="28"/>
          <w:rtl w:val="true"/>
          <w:lang w:bidi="fa-IR"/>
        </w:rPr>
        <w:t xml:space="preserve">الثالث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شرط اشتراك المشافهين وغيرهم هو اتّحاد الصنفين لعدم الإجماع عليه عند الاختلاف ، والأدلّة القائمة عليه غير الإجماع أيضا يمكن القول بأنّها محمولة على صورة اتّحاد الصنف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فوجوب صلاة الجمعة مثلا على الحاضرين لا يدلّ على وجوبها على الغائبين ، لاحتمال اختلافهم في الصنف كأن كان وجوبها مشروطا بحضور السلطان أو نائبه الخاصّ المفقود ذلك الشرط في حقّ الغائبين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للتمسّك بإطلاق الآية بعد احتمال اختلاف الصنف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اعتبار الاتّحاد في الصنف ممّا لم يحدّه قلم ولا يحيط ببيانه 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مدخليّة كونهم في عصر النبي صلى‌اللّه‌عليه‌وآله أو كان صلاتهم خلفه وأمثال ذلك في الأحكام ممّا يهدم أساس الشريعة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واجيب بأنّ اللازم إحراز الاتّحاد ، إمّا بدعوى القطع على عدم المدخليّة كما في كثير ممّا يقبل أن يكون وجها للاختلاف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من ذلك القطع بالحكم </w:t>
      </w:r>
    </w:p>
    <w:p>
      <w:pPr>
        <w:pStyle w:val="BookText"/>
        <w:rPr/>
      </w:pPr>
      <w:r>
        <w:rPr>
          <w:rFonts w:ascii="Amiri" w:hAnsi="Amiri" w:eastAsia="Amiri" w:cs="Amiri"/>
          <w:color w:val="111111"/>
          <w:sz w:val="28"/>
          <w:sz w:val="28"/>
          <w:szCs w:val="28"/>
          <w:rtl w:val="true"/>
          <w:lang w:bidi="ar-SA"/>
        </w:rPr>
        <w:t>ليلزم عدم الحاجة إلى دليل الاشتراك ، إذ اتّحاد الصنف بمجرّده لا يقضي بالتكليف ، فلا بدّ من التماس دليل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بإقامة دليل خاصّ عليه </w:t>
      </w:r>
      <w:r>
        <w:rPr>
          <w:rStyle w:val="FootnoteAnchor"/>
          <w:rtl w:val="true"/>
        </w:rPr>
        <w:footnoteReference w:id="392"/>
      </w:r>
      <w:r>
        <w:rPr>
          <w:rFonts w:ascii="Amiri" w:hAnsi="Amiri" w:eastAsia="Amiri" w:cs="Amiri"/>
          <w:color w:val="111111"/>
          <w:sz w:val="28"/>
          <w:sz w:val="28"/>
          <w:szCs w:val="28"/>
          <w:rtl w:val="true"/>
          <w:lang w:bidi="ar-SA"/>
        </w:rPr>
        <w:t>من الأدلّة اللفظيّة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في المقام عدم القطع باتّحاد الصنف حتى أنّه قال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شرط وجوب الجمعة حضور السلطان أو نائبه ، فلا بدّ من انهدام أساس الشريعة فيما لو لم يؤخذ بعدم الاتّحاد في مثل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 المقام ما يدلّ على اتّحاد الصنف من أصالة عدم القيد وأصالة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كونهم واجدين للشرط لا يمنع من جريان الأصل ، كما أنّه لا يمنع منه كونهم في المدينة أيضا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يناقش فيه بأنّ الأصل المذكور لا يجري في المقام ، إذ مرجعه إلى قبح إرادة المقيّد </w:t>
      </w:r>
      <w:r>
        <w:rPr>
          <w:rStyle w:val="FootnoteAnchor"/>
          <w:rtl w:val="true"/>
        </w:rPr>
        <w:footnoteReference w:id="393"/>
      </w:r>
      <w:r>
        <w:rPr>
          <w:rFonts w:ascii="Amiri" w:hAnsi="Amiri" w:eastAsia="Amiri" w:cs="Amiri"/>
          <w:color w:val="111111"/>
          <w:sz w:val="28"/>
          <w:sz w:val="28"/>
          <w:szCs w:val="28"/>
          <w:rtl w:val="true"/>
          <w:lang w:bidi="ar-SA"/>
        </w:rPr>
        <w:t>من المطلق ، ولا قبح لإطلاق الخطاب فيما إذا كان المخاطب واجدا للشرط ، فإهمال القيد لا يوجب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على القول بالشمول لا بدّ من إظهار القيد لئلاّ يقع الغائب في خلاف المراد ، لما قرّرنا فيما تقدّم من بطلان اختلاف تكليف المشافه والغائب بالإطلاق والتقييد </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وجدان الحاضر للشرط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في تقييد الإطلاق بالنسبة إلى الغائب المقصود بالخطاب أيضا ، فلا بدّ من إعمال أصالة الإطلاق عند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يستكشف عدم مدخليّة الحضور في حقّهم أيضا ، لأنّ المفروض اتّحاد التكليف</w:t>
      </w:r>
      <w:r>
        <w:rPr>
          <w:rFonts w:eastAsia="Amiri" w:cs="Amiri" w:ascii="Amiri" w:hAnsi="Amiri"/>
          <w:color w:val="111111"/>
          <w:sz w:val="28"/>
          <w:szCs w:val="28"/>
          <w:rtl w:val="true"/>
          <w:lang w:bidi="ar-SA"/>
        </w:rPr>
        <w:t xml:space="preserve">. </w:t>
      </w:r>
      <w:bookmarkStart w:id="147" w:name="pg16264_169504"/>
    </w:p>
    <w:p>
      <w:pPr>
        <w:pStyle w:val="Heading4"/>
        <w:numPr>
          <w:ilvl w:val="3"/>
          <w:numId w:val="1"/>
        </w:numPr>
        <w:rPr/>
      </w:pPr>
      <w:bookmarkStart w:id="148" w:name="__RefHeading___Toc4588626_1280447820"/>
      <w:bookmarkStart w:id="149" w:name="_Toc45"/>
      <w:bookmarkEnd w:id="147"/>
      <w:bookmarkEnd w:id="148"/>
      <w:r>
        <w:rPr>
          <w:rtl w:val="true"/>
        </w:rPr>
        <w:t xml:space="preserve">الرابع </w:t>
      </w:r>
      <w:r>
        <w:rPr>
          <w:rtl w:val="true"/>
        </w:rPr>
        <w:t>:</w:t>
      </w:r>
      <w:bookmarkEnd w:id="149"/>
    </w:p>
    <w:p>
      <w:pPr>
        <w:pStyle w:val="BookText"/>
        <w:rPr/>
      </w:pPr>
      <w:r>
        <w:rPr>
          <w:rFonts w:ascii="IRNazanin" w:hAnsi="IRNazanin" w:eastAsia="IRNazanin"/>
          <w:color w:val="111111"/>
          <w:sz w:val="28"/>
          <w:sz w:val="28"/>
          <w:szCs w:val="28"/>
          <w:rtl w:val="true"/>
          <w:lang w:bidi="fa-IR"/>
        </w:rPr>
        <w:t xml:space="preserve">الرابع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إشكال في ثبوت اشتراك كلّ الامّة في ما إذا لم يكن الخطابات مصدّرة بإحدى أدوات الخطاب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كأن كان الخطاب عامّا لجميع المكلّفين ،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w:t>
      </w:r>
      <w:r>
        <w:rPr>
          <w:rFonts w:eastAsia="Amiri" w:cs="Amiri" w:ascii="Amiri" w:hAnsi="Amiri"/>
          <w:color w:val="111111"/>
          <w:sz w:val="28"/>
          <w:szCs w:val="28"/>
          <w:rtl w:val="true"/>
          <w:lang w:bidi="ar-SA"/>
        </w:rPr>
        <w:t xml:space="preserve">... ) </w:t>
      </w:r>
      <w:r>
        <w:rPr>
          <w:rStyle w:val="FootnoteAnchor"/>
          <w:rtl w:val="true"/>
        </w:rPr>
        <w:footnoteReference w:id="396"/>
      </w:r>
      <w:r>
        <w:rPr>
          <w:rFonts w:ascii="Amiri" w:hAnsi="Amiri" w:eastAsia="Amiri" w:cs="Amiri"/>
          <w:color w:val="111111"/>
          <w:sz w:val="28"/>
          <w:sz w:val="28"/>
          <w:szCs w:val="28"/>
          <w:rtl w:val="true"/>
          <w:lang w:bidi="ar-SA"/>
        </w:rPr>
        <w:t xml:space="preserve">ونحوه من الأدلّة العامّة الغير المختصّة بصنف خاصّ من المكلّفين الشاملة لجميع الأزمان والأحوال ، وأمثال ذلك كثيرة في الأحكام الشرعيّة على وجه لو لم نقل بالاشتراك فيما ثبت بعناوين الخطاب للمشافهين لا أظنّ لزوم </w:t>
      </w:r>
      <w:r>
        <w:rPr>
          <w:rStyle w:val="FootnoteAnchor"/>
          <w:rtl w:val="true"/>
        </w:rPr>
        <w:footnoteReference w:id="397"/>
      </w:r>
      <w:r>
        <w:rPr>
          <w:rFonts w:ascii="Amiri" w:hAnsi="Amiri" w:eastAsia="Amiri" w:cs="Amiri"/>
          <w:color w:val="111111"/>
          <w:sz w:val="28"/>
          <w:sz w:val="28"/>
          <w:szCs w:val="28"/>
          <w:rtl w:val="true"/>
          <w:lang w:bidi="ar-SA"/>
        </w:rPr>
        <w:t xml:space="preserve">انهدام أساس الشريعة وبطلان الطريقة ، لا سيّما بعد انضمام الخطابات الخاصّة الواردة بالنسبة إلى أشخاص معلومة يقطع بعدم اعتبار ذلك الشخص المعيّن كخطابه لزرارة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القطع بعدم مدخليّة خصوص السائل في قول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هلكت وأهلكت </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بعد سؤال الأعرابي من مواقعة أهله في نهار رمضان أخفى من القطع بقاعدة الاشتراك الثابتة بالإجماع</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يظهر عدم ورود ما أفاده المحقّق القمّي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قاعدة الاشتراك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انهدام أساس الشريعة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إذا كان الخطاب مصدّرا بأداته ، فهل في المقام أصل يرجع إليه عند الشكّ؟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نقف على أصل جامع لموارد الشكّ بأجمعها ، فإنّها على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الشك في كيفية الحكم ، بأن يكون الشكّ في تقييد الحكم بأمر أحرزه الحاضرون وإطلاقه ، كما قرّرناه في الثمرة الثانية </w:t>
      </w:r>
      <w:r>
        <w:rPr>
          <w:rStyle w:val="FootnoteAnchor"/>
          <w:rtl w:val="true"/>
        </w:rPr>
        <w:footnoteReference w:id="401"/>
      </w:r>
      <w:r>
        <w:rPr>
          <w:rFonts w:ascii="Amiri" w:hAnsi="Amiri" w:eastAsia="Amiri" w:cs="Amiri"/>
          <w:color w:val="111111"/>
          <w:sz w:val="28"/>
          <w:sz w:val="28"/>
          <w:szCs w:val="28"/>
          <w:rtl w:val="true"/>
          <w:lang w:bidi="ar-SA"/>
        </w:rPr>
        <w:t xml:space="preserve">وحينئذ لا بدّ من دفع الشكّ المذكور إمّا بالتمسّك بالإطلاق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يحتاج إلى عموم أدلّة الاشتراك ، فإنّ مجرّد عدم تقييد الإطلاق لا يقتضي ثبوت الحكم لغير المشافه على تقدير عدم الشمول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بالتمسّك بأصالة البراءة عند دوران الأمر بين الاشتراط وعدمه ، لأنّ الأصل الاشتراط ، فلا يبقى مورد لأدلّة الاشتراك</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الشكّ في مقدار ثبوت الحكم بحسب الزمان من دون مدخليّة للأشخاص الموجودة في زمان ثبوت الحكم على وجه لو كان الغائب موجودا في ذلك الزمان والحاضر معدوما فيه لم يختلف الحكم ، فمرجع الشك إلى بقاء الحكم في الزمان الثاني أو ارتفاعه ، لطريان النسخ أو لعدم وجود ما يقتضيه واقعا لو وجد في الأحكام مثله ، وحينئذ لا بدّ من الأخذ بالاستصحاب ، ولا وجه للاعتماد على البراءة ، لحكومته عليها في مجاريه ، ومنها المقام عندهم ، بل ادّعى أمين الأخباريّة اعتبار الاستصحاب في المقام ، وكونه من ضروريّات الدين </w:t>
      </w:r>
      <w:r>
        <w:rPr>
          <w:rStyle w:val="FootnoteAnchor"/>
          <w:rtl w:val="true"/>
        </w:rPr>
        <w:footnoteReference w:id="402"/>
      </w:r>
      <w:r>
        <w:rPr>
          <w:rFonts w:ascii="Amiri" w:hAnsi="Amiri" w:eastAsia="Amiri" w:cs="Amiri"/>
          <w:color w:val="111111"/>
          <w:sz w:val="28"/>
          <w:sz w:val="28"/>
          <w:szCs w:val="28"/>
          <w:rtl w:val="true"/>
          <w:lang w:bidi="ar-SA"/>
        </w:rPr>
        <w:t xml:space="preserve">، وإن لم يأت على دليل بسلطان مبين ، لما قرّرنا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الاعتماد على الاستصحاب في المقام بعينه كالتعويل عليه في سائر المقامات خلافا ووفاقا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مرجعه إلى أصل 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كأصالة عدم التخصيص في العامّ الزماني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وجها لثبوت التعويل عليه إجمالا وإن لم نعلم وجهه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لا يكفي مجرّد الاستصحاب ، بل لا بدّ من التشبّث بأدلّة الاشتراك ، إذ المفروض اختصاص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يكفي الاستصحاب في غير المصدّر بالخطاب ، كما أنّه لا يكفي مجرّد الاشتراك أيضا ، إذ على تقدير النسخ لا مسرح للاشتراك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في اختصاص الحكم للأشخاص الموجودين في ذلك الزمان من دون مدخليّة وصف من الأوصاف ، ومن غير مدخليّة الزمان ، على وجه لو كان الغائب حاضرا كان ثبوت الحكم في حقّه أيضا مشكوكا فيه لو فرض مثل هذا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ووقوعه في محلّ المنع ، لعدم معقوليّة الاختصاص في الواقع لا بواسطة اندراج أحدهما في عنوان لا يندرج فيه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يمكن عدم العلم بذلك العنوان ، فالفرق بينه وبين الصورة الاولى احتمال مدخليّة عنوان خاصّ ، بخلاف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فإن أمكن دفع الشكّ بالتمسّك بدليل لفظيّ كالإطلاق ونحوه فهو ، ويحتاج إلى أدلّة الاشتراك على تقدير عدم الشمول ، وإلاّ فيمكن دفعه بالتمسّك بأدلّة الاشتراك ، فإنّها كاشفة عن اتّحاد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يرد النقض بما إذا كان الشكّ في مدخلية عنوان خاصّ ، كما لا يخفى على المتأمّل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ممّا ذكرنا يظهر حال الحكم الثابت بالدليل اللبّي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الأدلّة التي أقاموها على الاشتراك فهي كثيرة ، عمدتها الإجماع المنقول في لسان جمع كثير وجمّ غفير من الفحول </w:t>
      </w:r>
      <w:r>
        <w:rPr>
          <w:rStyle w:val="FootnoteAnchor"/>
          <w:rtl w:val="true"/>
        </w:rPr>
        <w:footnoteReference w:id="403"/>
      </w:r>
      <w:r>
        <w:rPr>
          <w:rFonts w:ascii="IRNazanin" w:hAnsi="IRNazanin" w:eastAsia="IRNazanin"/>
          <w:color w:val="111111"/>
          <w:sz w:val="28"/>
          <w:sz w:val="28"/>
          <w:szCs w:val="28"/>
          <w:rtl w:val="true"/>
          <w:lang w:bidi="fa-IR"/>
        </w:rPr>
        <w:t>، تعرف بأدنى تتبّع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وأمّا الأخبار الدالّة على أنّ حكمه على الأوّلين حكمه على الآخرين </w:t>
      </w:r>
      <w:r>
        <w:rPr>
          <w:rStyle w:val="FootnoteAnchor"/>
          <w:rtl w:val="true"/>
        </w:rPr>
        <w:footnoteReference w:id="404"/>
      </w:r>
      <w:r>
        <w:rPr>
          <w:rFonts w:ascii="Amiri" w:hAnsi="Amiri" w:eastAsia="Amiri" w:cs="Amiri"/>
          <w:color w:val="111111"/>
          <w:sz w:val="28"/>
          <w:sz w:val="28"/>
          <w:szCs w:val="28"/>
          <w:rtl w:val="true"/>
          <w:lang w:bidi="ar-SA"/>
        </w:rPr>
        <w:t xml:space="preserve">فلا بأس بالتمسّك بها ، إلاّ أن يناقش بأنّ الظاهر منها إثبات التعميم من جهة الزمان كما فرضناه في القسم الثاني </w:t>
      </w:r>
      <w:r>
        <w:rPr>
          <w:rStyle w:val="FootnoteAnchor"/>
          <w:rtl w:val="true"/>
        </w:rPr>
        <w:footnoteReference w:id="405"/>
      </w:r>
      <w:r>
        <w:rPr>
          <w:rFonts w:ascii="Amiri" w:hAnsi="Amiri" w:eastAsia="Amiri" w:cs="Amiri"/>
          <w:color w:val="111111"/>
          <w:sz w:val="28"/>
          <w:sz w:val="28"/>
          <w:szCs w:val="28"/>
          <w:rtl w:val="true"/>
          <w:lang w:bidi="ar-SA"/>
        </w:rPr>
        <w:t xml:space="preserve">كما يظهر من ملاحظة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حلال محمّد صلى‌اللّه‌عليه‌وآله حلال إلى يوم القيامة ، وحرامه حرام إلى يوم القيامة </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لكنّ الإنصاف عدم الاعتداد بهذه المناقشة ، كما لا يخفى على من لاحظها وتأمّل فيها حقّ التأمّل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إذا ثبت حكم في حقّ النساء أو الرجال ولم يدلّ دليل على التعميم بخصوصه ، فهل الأصل العموم فيه؟ وجهان بل قولان ، فمن المقدّس الأردبيلي والمحقّق الخوانساري </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بل ادّعى فيه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جماعة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صاحب المدارك </w:t>
      </w:r>
      <w:r>
        <w:rPr>
          <w:rStyle w:val="FootnoteAnchor"/>
          <w:rtl w:val="true"/>
        </w:rPr>
        <w:footnoteReference w:id="408"/>
      </w:r>
      <w:r>
        <w:rPr>
          <w:rFonts w:ascii="Amiri" w:hAnsi="Amiri" w:eastAsia="Amiri" w:cs="Amiri"/>
          <w:color w:val="111111"/>
          <w:sz w:val="28"/>
          <w:sz w:val="28"/>
          <w:szCs w:val="28"/>
          <w:rtl w:val="true"/>
          <w:lang w:bidi="ar-SA"/>
        </w:rPr>
        <w:t xml:space="preserve">، بل نسبه إلى الأكثر </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الأقوى ، لعدم ما يقضى به ، والإجماع على الاشتراك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الكلام في الحرّ وغيره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 w:name="pg16264_169509"/>
      <w:bookmarkStart w:id="151" w:name="pg16264_169509"/>
      <w:bookmarkEnd w:id="151"/>
    </w:p>
    <w:p>
      <w:pPr>
        <w:pStyle w:val="Heading3"/>
        <w:numPr>
          <w:ilvl w:val="2"/>
          <w:numId w:val="1"/>
        </w:numPr>
        <w:rPr/>
      </w:pPr>
      <w:bookmarkStart w:id="152" w:name="pg16264_169509"/>
      <w:bookmarkStart w:id="153" w:name="__RefHeading___Toc4588628_1280447820"/>
      <w:bookmarkStart w:id="154" w:name="_Toc46"/>
      <w:bookmarkEnd w:id="152"/>
      <w:bookmarkEnd w:id="153"/>
      <w:r>
        <w:rPr>
          <w:rtl w:val="true"/>
        </w:rPr>
        <w:t>هداية</w:t>
      </w:r>
      <w:bookmarkEnd w:id="15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تعقّب العامّ ضمير يرجع إلى بعض ما يتناوله فذلك لا يوجب تخصيص العامّ ، وفاقا لجماعة من المحقّقين ، منهم الشيخ </w:t>
      </w:r>
      <w:r>
        <w:rPr>
          <w:rStyle w:val="FootnoteAnchor"/>
          <w:rtl w:val="true"/>
        </w:rPr>
        <w:footnoteReference w:id="411"/>
      </w:r>
      <w:r>
        <w:rPr>
          <w:rFonts w:ascii="Amiri" w:hAnsi="Amiri" w:eastAsia="Amiri" w:cs="Amiri"/>
          <w:color w:val="111111"/>
          <w:sz w:val="28"/>
          <w:sz w:val="28"/>
          <w:szCs w:val="28"/>
          <w:rtl w:val="true"/>
          <w:lang w:bidi="ar-SA"/>
        </w:rPr>
        <w:t xml:space="preserve">والعلاّمة في أحد قوليه </w:t>
      </w:r>
      <w:r>
        <w:rPr>
          <w:rStyle w:val="FootnoteAnchor"/>
          <w:rtl w:val="true"/>
        </w:rPr>
        <w:footnoteReference w:id="412"/>
      </w:r>
      <w:r>
        <w:rPr>
          <w:rFonts w:ascii="Amiri" w:hAnsi="Amiri" w:eastAsia="Amiri" w:cs="Amiri"/>
          <w:color w:val="111111"/>
          <w:sz w:val="28"/>
          <w:sz w:val="28"/>
          <w:szCs w:val="28"/>
          <w:rtl w:val="true"/>
          <w:lang w:bidi="ar-SA"/>
        </w:rPr>
        <w:t xml:space="preserve">والحاجبي </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جماعة إلى تخصيصه </w:t>
      </w:r>
      <w:r>
        <w:rPr>
          <w:rStyle w:val="FootnoteAnchor"/>
          <w:rtl w:val="true"/>
        </w:rPr>
        <w:footnoteReference w:id="414"/>
      </w:r>
      <w:r>
        <w:rPr>
          <w:rFonts w:ascii="IRNazanin" w:hAnsi="IRNazanin" w:eastAsia="IRNazanin"/>
          <w:color w:val="111111"/>
          <w:sz w:val="28"/>
          <w:sz w:val="28"/>
          <w:szCs w:val="28"/>
          <w:rtl w:val="true"/>
          <w:lang w:bidi="fa-IR"/>
        </w:rPr>
        <w:t xml:space="preserve">واخرى إلى التوقّف </w:t>
      </w:r>
      <w:r>
        <w:rPr>
          <w:rStyle w:val="FootnoteAnchor"/>
          <w:rtl w:val="true"/>
        </w:rPr>
        <w:footnoteReference w:id="415"/>
      </w:r>
      <w:r>
        <w:rPr>
          <w:rFonts w:ascii="Amiri" w:hAnsi="Amiri" w:eastAsia="Amiri" w:cs="Amiri"/>
          <w:color w:val="111111"/>
          <w:sz w:val="28"/>
          <w:sz w:val="28"/>
          <w:szCs w:val="28"/>
          <w:rtl w:val="true"/>
          <w:lang w:bidi="ar-SA"/>
        </w:rPr>
        <w:t xml:space="preserve">مثاله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وَبُعُولَتُهُنَّ أَحَقُّ بِرَدِّهِنَ </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 xml:space="preserve">حيث إنّ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بعولتهنّ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بعض المطلّقات وهي الرجعيّات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 الكلام في المقام هو ما إذا كان الحكم الثابت للضمير مغايرا للحكم الثابت لنفس المرجع ، سواء كان الحكمان واحدا وفي كلام واحد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واحدا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عود الضمير لعدولهم ، أو متعدّدا وفي كلامين كما في الآية المباركة ، حيث إنّ حكم العامّ وجوب التربّص ، وحكم الضمير أحقّيّة الزوج بالرجوع والردّ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إذا كان الحكم واحدا ، كقوله تعالى في صدر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وَالْمُطَلَّقاتُ يَتَرَبَّصْنَ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المراد منها غير اليائسات ، لعدم انفراد المدخول بها قطعا للدليل ، فلا نزاع في وجوب اختصاص الحكم بما هو المرجع حقيقة ، ولئلاّ يلزم خلوّ الكلام عن الرابط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هو تخصيص للعامّ أو استخدام ، أو تجوّز في الإسناد من قبيل إسناد ما هو للبعض إلى الكلّ؟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الأوجه الأوّل ، لكونه أشيع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أيضا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عَزَمُوا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لِلَّذِينَ يُؤْلُونَ مِنْ نِسائِهِمْ </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 xml:space="preserve">حيث إنّ الإيلاء وإن كان في اللغة لمطلق الحلف على ترك الوطء ، إلاّ أنّ المقصود في الآية هو ترك الوطء بالنسبة إلى الدائمة فقط ، إذ ترك الوطء للمنقطع ليس حراما ، والإيلاء هو الحلف على ترك الوطء الغير المشروع ، فلا بدّ من أن يراد من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وجعله بعض الأجلة من أمثلة المقام </w:t>
      </w:r>
      <w:r>
        <w:rPr>
          <w:rStyle w:val="FootnoteAnchor"/>
          <w:rtl w:val="true"/>
        </w:rPr>
        <w:footnoteReference w:id="418"/>
      </w:r>
      <w:r>
        <w:rPr>
          <w:rFonts w:ascii="Amiri" w:hAnsi="Amiri" w:eastAsia="Amiri" w:cs="Amiri"/>
          <w:color w:val="111111"/>
          <w:sz w:val="28"/>
          <w:sz w:val="28"/>
          <w:szCs w:val="28"/>
          <w:rtl w:val="true"/>
          <w:lang w:bidi="ar-SA"/>
        </w:rPr>
        <w:t xml:space="preserve">بتقريب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 الدائمة والمنقطعة ، لكونها جمعا مضافا ، والمراد من الضمير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عَزَمُوا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طلاقهنّ هي الدائمة ، إذ لا يقع الطلاق على غيرها ، فالنساء تعمّ غير الدائمة ، والضمير الذي عوّض عنه بأداة التعريف يختصّ بالدائمة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 يظهر فساده ؛ لأنّ المراد بالنساء خصوص الدائمة في الآية ، فإنّ وجوب تربّص أربعة أشهر ليس في الحلف على ترك وطء المنقطعة ، لكونه مشروعا غير محرّم ولو إلى الأبد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ما ذكره على تقدير صحّته إنّما يجيء في الضمير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عَزَمُوا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والموصول المتقدّم ذكره في الآية ، ولا حاجة إلى ملاحظة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والاستدلال على عمومه بكونه جمعا مضافا ثم تقدير الضمير في الطلاق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وجه الخلاف في المسألة اختلاف أنظارهم في تشخيص ما ينبغي أن يجعل كبرى في المقام ، فجعله البعض من قبيل دوران الأمر بين تعدّد المجاز ووحدته كالعضدي </w:t>
      </w:r>
      <w:r>
        <w:rPr>
          <w:rStyle w:val="FootnoteAnchor"/>
          <w:rtl w:val="true"/>
        </w:rPr>
        <w:footnoteReference w:id="419"/>
      </w:r>
      <w:r>
        <w:rPr>
          <w:rFonts w:ascii="Amiri" w:hAnsi="Amiri" w:eastAsia="Amiri" w:cs="Amiri"/>
          <w:color w:val="111111"/>
          <w:sz w:val="28"/>
          <w:sz w:val="28"/>
          <w:szCs w:val="28"/>
          <w:rtl w:val="true"/>
          <w:lang w:bidi="ar-SA"/>
        </w:rPr>
        <w:t>حيث زعم أنّ تخصيص العامّ يوجب التجوّز في الضمير ، للزوم مطابقته لما هو الظاهر من المرجع دون المراد ، بخلاف التصرّف في الضمير بالاستخدام ونحوه ، فإنّه لا يسري إلى العامّ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وزعم أرباب التوقّف </w:t>
      </w:r>
      <w:r>
        <w:rPr>
          <w:rStyle w:val="FootnoteAnchor"/>
          <w:rtl w:val="true"/>
        </w:rPr>
        <w:footnoteReference w:id="420"/>
      </w:r>
      <w:r>
        <w:rPr>
          <w:rFonts w:ascii="Amiri" w:hAnsi="Amiri" w:eastAsia="Amiri" w:cs="Amiri"/>
          <w:color w:val="111111"/>
          <w:sz w:val="28"/>
          <w:sz w:val="28"/>
          <w:szCs w:val="28"/>
          <w:rtl w:val="true"/>
          <w:lang w:bidi="ar-SA"/>
        </w:rPr>
        <w:t xml:space="preserve">أنّ المقام من قبيل تعارض المجازين ، للزوم مطابقة الضمير لما هو المراد من المرجع وإن كان مجازا ، فيدور الأمر بين التصرّف في العامّ بالتخصيص أو في الضمير بالاستخدام أو بالتخصيص فيه أيضا ، كما زعمه السلطان </w:t>
      </w:r>
      <w:r>
        <w:rPr>
          <w:rStyle w:val="FootnoteAnchor"/>
          <w:rtl w:val="true"/>
        </w:rPr>
        <w:footnoteReference w:id="421"/>
      </w:r>
      <w:r>
        <w:rPr>
          <w:rFonts w:ascii="Amiri" w:hAnsi="Amiri" w:eastAsia="Amiri" w:cs="Amiri"/>
          <w:color w:val="111111"/>
          <w:sz w:val="28"/>
          <w:sz w:val="28"/>
          <w:szCs w:val="28"/>
          <w:rtl w:val="true"/>
          <w:lang w:bidi="ar-SA"/>
        </w:rPr>
        <w:t xml:space="preserve">فإنّه يظهر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الضمير أيضا من صيغ العموم ، ولازمه التزام التخصيص في الضمير الراجع إلى بعض العامّ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واحتمل بعضهم </w:t>
      </w:r>
      <w:r>
        <w:rPr>
          <w:rStyle w:val="FootnoteAnchor"/>
          <w:rtl w:val="true"/>
        </w:rPr>
        <w:footnoteReference w:id="422"/>
      </w:r>
      <w:r>
        <w:rPr>
          <w:rFonts w:ascii="Amiri" w:hAnsi="Amiri" w:eastAsia="Amiri" w:cs="Amiri"/>
          <w:color w:val="111111"/>
          <w:sz w:val="28"/>
          <w:sz w:val="28"/>
          <w:szCs w:val="28"/>
          <w:rtl w:val="true"/>
          <w:lang w:bidi="ar-SA"/>
        </w:rPr>
        <w:t xml:space="preserve">أن يكون المقام من الموارد التي يقرنها ما يصلح أن يكون قرينة كما في جملة من الموارد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الحقيقة مع المجاز الراجح ، </w:t>
      </w:r>
    </w:p>
    <w:p>
      <w:pPr>
        <w:pStyle w:val="BookText"/>
        <w:rPr/>
      </w:pPr>
      <w:r>
        <w:rPr>
          <w:rFonts w:ascii="Amiri" w:hAnsi="Amiri" w:eastAsia="Amiri" w:cs="Amiri"/>
          <w:color w:val="111111"/>
          <w:sz w:val="28"/>
          <w:sz w:val="28"/>
          <w:szCs w:val="28"/>
          <w:rtl w:val="true"/>
          <w:lang w:bidi="ar-SA"/>
        </w:rPr>
        <w:t>والاستثناء عقيب الجمل ، والأمر الوارد عقيب الحظر ،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بأنّ ذلك الأمر الصالح للقرينيّة يوجب صرف اللفظ عن الظاهر ، فلا بدّ من القول بالتخصيص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نقل ، فإنّ قلنا باعتبار أصالة الحقيقة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مثل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القول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باعتبارها من باب الظهور النوعي ونوع ذلك الكلام ليس بظاهر في إرادة الحقيقة ولا في إرادة المجاز ، فلا بدّ من الوقف ، لعدم ظهور المراد بحسب القواعد المعمولة في الألفاظ ، فيكون من موارد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المقام من قبيل تعارض الظاهرين ؛ لأنّ ظهور العامّ في العموم ممّا لا ينكر ، كما لا ينبغي إنكار ظهور الضمير في مطابقته للمرجع ، وليس من الموارد التي تقرن بما يصلح قرينة ، كورود الأمر عقيب الحظر والمجاز المشهور ، فإنّ الورود والشهرة من الأمور الاعتباريّة المكتنفة باللفظ ، وليس لهما ظهور يقابل بظهور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المقام ، فإنّ ظاهر الضمير أن يكون كناية عمّا أريد من المرجع ولو على وجه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فساد جعل الاستثناء عقيب الجمل من تلك الموارد ؛ لأنّ وجه الإجمال في الاستثناء هو الاشتراك بين خصوصيّات الإخراج ، نظير تردّد اسم الإشارة بين امور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كون الوضع في أمثاله عامّا ، فإنّ ذلك من لوازم خصوصيّات الموضوع له ، فإنّها بحكم الاشتراك اللفظي</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زعمه العضدي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دوران الأمر بين مجازين ؛ لأنّ تخصيص العامّ يوجب المجاز في الضمير أيضا </w:t>
      </w:r>
      <w:r>
        <w:rPr>
          <w:rStyle w:val="FootnoteAnchor"/>
          <w:rtl w:val="true"/>
        </w:rPr>
        <w:footnoteReference w:id="423"/>
      </w:r>
      <w:r>
        <w:rPr>
          <w:rFonts w:ascii="Amiri" w:hAnsi="Amiri" w:eastAsia="Amiri" w:cs="Amiri"/>
          <w:color w:val="111111"/>
          <w:sz w:val="28"/>
          <w:sz w:val="28"/>
          <w:szCs w:val="28"/>
          <w:rtl w:val="true"/>
          <w:lang w:bidi="ar-SA"/>
        </w:rPr>
        <w:t>فهو فاسد جدّا ، لما عرفت من أنّ الضمير لا يتفاوت الحال فيه بعد انطباقه على المرجع بين أن يكون المرجع حقيقة أو مجازا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وأمّا ما أفاده سلطان العلماء </w:t>
      </w:r>
      <w:r>
        <w:rPr>
          <w:rStyle w:val="FootnoteAnchor"/>
          <w:rtl w:val="true"/>
        </w:rPr>
        <w:footnoteReference w:id="424"/>
      </w:r>
      <w:r>
        <w:rPr>
          <w:rFonts w:ascii="Amiri" w:hAnsi="Amiri" w:eastAsia="Amiri" w:cs="Amiri"/>
          <w:color w:val="111111"/>
          <w:sz w:val="28"/>
          <w:sz w:val="28"/>
          <w:szCs w:val="28"/>
          <w:rtl w:val="true"/>
          <w:lang w:bidi="ar-SA"/>
        </w:rPr>
        <w:t xml:space="preserve">فهو أيضا بظاهره فاسد ؛ لأنّ الضمير ليس من صيغ العموم حتى يتصوّر فيه التخصيص إلاّ بإخراج بعض أفراد المرجع ، كما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وأضفهم بشرط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كون ذلك تخصيصا في الضمير لا في المرجع فالفرق بين المقامين ظاهر ، فلا وجه لقياس 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فالأقرب أنّ المقام من قبيل تعارض الظاهرين ، أعني ظهور العامّ في العموم ، وظهور الضمير في الرجوع إلى تمام مدلول مرجعه دون بعضه ، وهو المراد بالاستخدام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لا ينحصر في ذلك ، لوجوده فيما إذا أريد من اللفظ معناه الحقيقي ومن ضميره معناه المجازي ، أو أحد معنييه الحقيقيّين أو المجازيّين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والعلاقة المصحّحة للاستعمال المذكور هي المسامحة في أمر المرجع بالاكتفاء بما يمكن أن يراد منه المرجع ولو في استعمال آخر ، فكأنّه مذكور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أنّ الاستخدام ليس من المجاز</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يظهر فساد ما حكي عن بعض أصحاب التدقيق </w:t>
      </w:r>
      <w:r>
        <w:rPr>
          <w:rStyle w:val="FootnoteAnchor"/>
          <w:rtl w:val="true"/>
        </w:rPr>
        <w:footnoteReference w:id="425"/>
      </w:r>
      <w:r>
        <w:rPr>
          <w:rFonts w:ascii="Amiri" w:hAnsi="Amiri" w:eastAsia="Amiri" w:cs="Amiri"/>
          <w:color w:val="111111"/>
          <w:sz w:val="28"/>
          <w:sz w:val="28"/>
          <w:szCs w:val="28"/>
          <w:rtl w:val="true"/>
          <w:lang w:bidi="ar-SA"/>
        </w:rPr>
        <w:t>من أنّ العلاقة في المقام هي علاقة العموم والخصوص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الفساد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ليس من المجاز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على تقدير كونه مجازا فالعلاقة المعتبرة فيه غير العموم والخصوص ، لوجوده في غير المقام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الوجه واحد في الكلّ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إنّه بما ذكرنا يظهر فساد ما 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على القول بكون التخصيص حقيقة لا إشكال في تقديمه على الاستخدام فإنّه على تقديره أيضا لا يخلو من تصرّف على خلاف الظاهر ، مضافا إلى أنّ الاستخدام أيضا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قد عرفت ما ذكرناه ، فاعلم أنّه يمكن الاستناد فيما صرنا إليه من عدم التخصيص وترجيح الاستخدام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هو المعروف عندهم من شيوع التخصيص ، وبذلك يقدّم على أنحاء التصرّفات المتصوّرة في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الشكّ في أحد التصرّفين إذا كان مسبّبا عن التصرّف في الآخر وفرضنا علاج ذلك الشكّ بإعمال أصل من الأصول الممهّدة لذلك ، فالظاهر تعيّن التصرّف في غير مورد العلاج ، كما يساعده الاعتبار ، بل لعلّه يوافقه حكم العرف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فيه من هذا القبيل ، فإنّ الشكّ في الاستخدام في الضمير إنّما هو بواسطة الشكّ في عموم العامّ على وجه لو فرض التخصيص فيه علم بعدم الاستخدام ، ولو فرض عدمه في العامّ علم بالاستخدام في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جريان أصالة العموم وعلاج الشكّ في العموم بالأصل يتعيّن التصرّف في الضمير بالاستخدام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قلب الدليل ، فيؤخذ بظاهر الضمير المقتضي لمطابقته للمرجع ، وذلك يعيّن التصرّف في العامّ بالتخصيص</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هو أنّ الشكّ في المطابقة إنّما نشأ من الشك في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الاختلاف في الضمير لا يرجع إلى اختلاف المراد منه ، لظهور اختصاص الحكم في الضمير بالبعض وإنّما هو اختلاف في نحو من أنحاء استعماله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الاختلاف في العامّ ، فإنّه راجع إلى المراد قطعا ، على وجه لو أراد المتكلّم الكلّ فتبعه </w:t>
      </w:r>
      <w:r>
        <w:rPr>
          <w:rStyle w:val="FootnoteAnchor"/>
          <w:rtl w:val="true"/>
        </w:rPr>
        <w:footnoteReference w:id="426"/>
      </w:r>
      <w:r>
        <w:rPr>
          <w:rFonts w:ascii="IRNazanin" w:hAnsi="IRNazanin" w:eastAsia="IRNazanin"/>
          <w:color w:val="111111"/>
          <w:sz w:val="28"/>
          <w:sz w:val="28"/>
          <w:szCs w:val="28"/>
          <w:rtl w:val="true"/>
          <w:lang w:bidi="fa-IR"/>
        </w:rPr>
        <w:t xml:space="preserve">نحو من الاستعمال </w:t>
      </w:r>
    </w:p>
    <w:p>
      <w:pPr>
        <w:pStyle w:val="BookText"/>
        <w:rPr/>
      </w:pPr>
      <w:r>
        <w:rPr>
          <w:rFonts w:ascii="Amiri" w:hAnsi="Amiri" w:eastAsia="Amiri" w:cs="Amiri"/>
          <w:color w:val="111111"/>
          <w:sz w:val="28"/>
          <w:sz w:val="28"/>
          <w:szCs w:val="28"/>
          <w:rtl w:val="true"/>
          <w:lang w:bidi="ar-SA"/>
        </w:rPr>
        <w:t>في الضمير ، ولو أراد المتكلّم البعض يلزمه نحو آخر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تلك الأنحاء ممّا يقصد ابتداء ، مثل قصد العموم والخصوص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ظاهر لمن تدبّر وأنصف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يمكن القول بأنّ المسألة نظيرة لما تقدّم من المجاز المشهور وورود الأمر عقيب الحظر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التقدير يمكن الاستدلال بأصالة الحقيقة ما لم يعلم بالقرينة ، ولا يعارض بالأصل في الضمير ، فإنّه تابع لجريان الأصل في المرجع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ليس في محلّه ؛ لأنّ أصالة الحقيقة إنّما هي تعتبر من جهة الظهور النوعي ، وقد عرفت إمكان منع إفادة الأصل لذلك نوعا في المقام ، لاحتمال ما يصلح أن يكون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عدم القرينة جارية في المقام ، وبذلك يتمّ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مرجع الأصل المذكور إن كان هو الاستصحاب فهو موقوف على العلم بالحالة السابقة ، ومتى علمت بأنّ ذلك الشيء المحتمل لكونه قرينة لم يكن قرينة حتّى يستصحب؟ وإن كان هو الحكم بالعدم عند الشكّ في الوجود ولو لم يعلم الحالة السابقة فلا دليل على اعتباره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يصحّ التمسّك بأصالة عدم وجود القرينة في الكلام بواسطة العلم به قبل التكلّم أو بأصالة عدم التعويل عليها كذلك ، إلاّ أنّهما لا يجديان ، لا لأنّهما من الاصول المثبتة لاعتبارها في مباحث الألفاظ ، بل لما عرفت من أنّ الوجه في التعويل على الأصول المذكورة هو حصول الظنّ نوعا منها ، ولا نسلّم حصوله ولو نوعا في المقام ؛ ولذلك لو فرض العلم بتعويل المتكلّم بما يصلح أن يكون قرينة لم يحكم بأنّه فعل قبيحا ، كما لا يخفى على من 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ذكرنا يظهر أنّ الأوفق بالقواعد في المقام على تقدير الشكّ فيما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الشك في الاستخدام إنّما هو تابع للشك في العموم ، هو التوقّف ، لعدم الاعتماد على أصالة الحقيقة في مثل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بعض الأجلّة أورد كلاما في ترجيح التصرّف في الضمير لا بأس بذكره تنبيها على ما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الدالّ على عدم ثبوت الحكم المتعلّق بالضمير لجميع أفراد مرجعه إنّما يقتضي منع عموم الضمير دون المرجع ، فتعيّن فيه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وإغناء التصرّف في المرجع من التصرّف في الضمير لا يوجب التكافؤ ؛ لأنّ التصرّف في مورد التعارض أولى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الضمير ليس من صيغ العموم ، بل هو من الكنايات ، فتارة كناية عن جماعة محصورة وأخرى عن غيرها ، فالمعارض لذلك هو المرجع قطعا ، غاية ما في الباب أنّه بمنزلة تكرار لفظه ، فتارة يبقى على العموم واخرى يخصّص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لكنّ الدليل الدالّ على عدم ثبوت الحكم المتعلّق بالضمير بجميع أفراد المرجع لا يعارض خصوص ظاهر الضمير ، فإنّ نسبة ذلك الدليل إليهما نسبة واحدة ، فإنّه أوجب التعارض بينهما ، إذ لو لم يكن ذلك الدليل لم يكن تعارض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راجع إلى الأوّل ؛ فتدبّر ، واللّه الهادي</w:t>
      </w:r>
      <w:r>
        <w:rPr>
          <w:rFonts w:eastAsia="Amiri" w:cs="Amiri" w:ascii="Amiri" w:hAnsi="Amiri"/>
          <w:color w:val="111111"/>
          <w:sz w:val="28"/>
          <w:szCs w:val="28"/>
          <w:rtl w:val="true"/>
          <w:lang w:bidi="ar-SA"/>
        </w:rPr>
        <w:t xml:space="preserve">. </w:t>
      </w:r>
      <w:bookmarkStart w:id="155" w:name="pg16264_169517"/>
    </w:p>
    <w:p>
      <w:pPr>
        <w:pStyle w:val="Heading3"/>
        <w:numPr>
          <w:ilvl w:val="2"/>
          <w:numId w:val="1"/>
        </w:numPr>
        <w:rPr/>
      </w:pPr>
      <w:bookmarkStart w:id="156" w:name="__RefHeading___Toc4588630_1280447820"/>
      <w:bookmarkStart w:id="157" w:name="_Toc47"/>
      <w:bookmarkEnd w:id="155"/>
      <w:bookmarkEnd w:id="156"/>
      <w:r>
        <w:rPr>
          <w:rtl w:val="true"/>
        </w:rPr>
        <w:t>هداية</w:t>
      </w:r>
      <w:bookmarkEnd w:id="157"/>
    </w:p>
    <w:p>
      <w:pPr>
        <w:pStyle w:val="BookText"/>
        <w:rPr/>
      </w:pPr>
      <w:r>
        <w:rPr>
          <w:rFonts w:ascii="Amiri" w:hAnsi="Amiri" w:eastAsia="Amiri" w:cs="Amiri"/>
          <w:color w:val="111111"/>
          <w:sz w:val="28"/>
          <w:sz w:val="28"/>
          <w:szCs w:val="28"/>
          <w:rtl w:val="true"/>
          <w:lang w:bidi="ar-SA"/>
        </w:rPr>
        <w:t>لا كلام في تخصيص العامّ بمفهوم الموافقة الراجع إلى دلالة اللفظ بحكم العقل على ثبوت الحكم في الأشدّ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دلالة اللفظ على مساواة المدلول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المعبّر عنه بلحن الخطاب في بعض الألسنة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تقدير القول به أيضا لا ينبغي الكلام في التخصيص</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السرّ في دلالة اللفظ على ثبوت الحكم في غير محلّ النطق مع أنّه ليس مدلولا مطابقيّا له هو أنّ المذكور في محلّ النطق إنّما دلّ عليه باللفظ </w:t>
      </w:r>
      <w:r>
        <w:rPr>
          <w:rStyle w:val="FootnoteAnchor"/>
          <w:rtl w:val="true"/>
        </w:rPr>
        <w:footnoteReference w:id="428"/>
      </w:r>
      <w:r>
        <w:rPr>
          <w:rFonts w:ascii="Amiri" w:hAnsi="Amiri" w:eastAsia="Amiri" w:cs="Amiri"/>
          <w:color w:val="111111"/>
          <w:sz w:val="28"/>
          <w:sz w:val="28"/>
          <w:szCs w:val="28"/>
          <w:rtl w:val="true"/>
          <w:lang w:bidi="ar-SA"/>
        </w:rPr>
        <w:t xml:space="preserve">توطئة للوصول إلى حكم غيره ، فكأنّ المذكور طريق إليه ، وإنّما قصد به مجرّد الإراءة ، فيكون دلالة اللفظ عليه أظهر من دلالة العامّ على العموم وإن لم يكن من مداليل اللفظ على وجه الصراحة والمطابقة حتّى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دلالة اللفظ على المفهوم أظهر من دلالته على المنطوق وإن كان مدلولا التزاميّا ؛ لأنّه المقصود بالإفادة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ما ذكرنا من دلالة اللفظ عليه كونه موقوفا على حكم العقل بالأولويّة في غير محلّ النطق كتوقّفه على القطع بالمناط ، لكونه طريقا لثبوت الدلالة اللفظيّة الالتزاميّة كما في غيره من موارد الالتزامات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ذلك ينهض وجها آخر لتقديم المفهوم على العموم بعد الغضّ عن عدم ظهور اللفظ في المفهوم ولم نقل بكونه من الدلالات اللفظيّة كما تعرفه بعد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فرق فيما ذكرنا بين أن يكون النسبة بين المفهوم والعموم عموما من وجه كما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خدّام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فالتعارض إنّما هو في العالم الواجب الإكرام بالمفهوم ومحرّم الإكرام بالعموم ، أو كان المفهوم أخصّ كما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خدّام العالم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المفهوم في المقام قضيّة لبّيّة لا يمكن التصرّف فيها بنفسها بالتخصيص وإنّما هو يتبع المنطوق ، فلا بدّ إمّا </w:t>
      </w:r>
      <w:r>
        <w:rPr>
          <w:rStyle w:val="FootnoteAnchor"/>
          <w:rtl w:val="true"/>
        </w:rPr>
        <w:footnoteReference w:id="429"/>
      </w:r>
      <w:r>
        <w:rPr>
          <w:rFonts w:ascii="Amiri" w:hAnsi="Amiri" w:eastAsia="Amiri" w:cs="Amiri"/>
          <w:color w:val="111111"/>
          <w:sz w:val="28"/>
          <w:sz w:val="28"/>
          <w:szCs w:val="28"/>
          <w:rtl w:val="true"/>
          <w:lang w:bidi="ar-SA"/>
        </w:rPr>
        <w:t xml:space="preserve">من التصرّف في المنطوق بالقول بأنّ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خدّام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لا يراد منه وجوب </w:t>
      </w:r>
      <w:r>
        <w:rPr>
          <w:rStyle w:val="FootnoteAnchor"/>
          <w:rtl w:val="true"/>
        </w:rPr>
        <w:footnoteReference w:id="430"/>
      </w:r>
      <w:r>
        <w:rPr>
          <w:rFonts w:ascii="Amiri" w:hAnsi="Amiri" w:eastAsia="Amiri" w:cs="Amiri"/>
          <w:color w:val="111111"/>
          <w:sz w:val="28"/>
          <w:sz w:val="28"/>
          <w:szCs w:val="28"/>
          <w:rtl w:val="true"/>
          <w:lang w:bidi="ar-SA"/>
        </w:rPr>
        <w:t>إكرام الخدّام بإخراجه عن الظاهر بالمرّة ، إذ على تقديره فلا معنى للمنع من ثبوت الحكم للمفهوم ، لاستقلال العقل بثبوت الحكم على وجه الأولويّة ، نظير استقلال العقل بوجوب المقدّمة بعد فرض وجوب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يعقل القول ببقاء الدليل الدالّ على الوجوب مع المنع عن وجوب المقدّمة ، لرجوع ذلك إلى منع الملازمة بين الوجوبين ، وقد فرض حكومة العقل بثبوتها ، ولا ريب أنّ ذلك تصرّف بارد لا ينبغي ارتكابه لمن له أدنى درية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القول بالتخصيص فهو متعيّن ولو لم يكن شائعا ، لما عرفت من خصوصيّة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الوجه في كونه محلاّ للاتّفاق ، دون مفهوم المخالفة بعد اشتراكهما في عدم تعقّل التصرّف في المفهوم ، لرجوع التصرّف إلى تفكيك اللازم عن الملزوم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الموافق فقد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المفهوم المخالف فلأنّ بعد تسليم ظهور اللفظ في العلّية المنحصرة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مدار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يعقل عدم </w:t>
      </w:r>
    </w:p>
    <w:p>
      <w:pPr>
        <w:pStyle w:val="BookText"/>
        <w:rPr/>
      </w:pPr>
      <w:r>
        <w:rPr>
          <w:rFonts w:ascii="Amiri" w:hAnsi="Amiri" w:eastAsia="Amiri" w:cs="Amiri"/>
          <w:color w:val="111111"/>
          <w:sz w:val="28"/>
          <w:sz w:val="28"/>
          <w:szCs w:val="28"/>
          <w:rtl w:val="true"/>
          <w:lang w:bidi="ar-SA"/>
        </w:rPr>
        <w:t>الحكم بالانتفاء عند الانتفاء ، فإنّ ذلك حكم يستقلّ به العقل ولو كان بواسطة خطاب الشرع ، إلاّ أنّ منع ظهور اللفظ في ذلك ليس بتلك المكانة من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الوجه في وجوب تقديم المفهوم على العموم فيه ممّا تقدّم ، مضافا إلى كون المفهوم أخصّ مطلقا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فاللازم تقديم المفهوم الموافق على العموم كما عرفت ، لعدم معقوليّة التصرّف فيه بنفسه فيدور الأمر بين التصرّف في العامّ أو في المنطوق ، ولا ريب أنّ الأوّل أرجح ، مضافا إلى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اللفظ مسوق لبيانه ، فظهوره في المفهوم أولى من ظهور العامّ في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فساد ما قد يحكى عن بعض سادة مشايخ مشايخنا </w:t>
      </w:r>
      <w:r>
        <w:rPr>
          <w:rStyle w:val="FootnoteAnchor"/>
          <w:rtl w:val="true"/>
        </w:rPr>
        <w:footnoteReference w:id="431"/>
      </w:r>
      <w:r>
        <w:rPr>
          <w:rFonts w:ascii="Amiri" w:hAnsi="Amiri" w:eastAsia="Amiri" w:cs="Amiri"/>
          <w:color w:val="111111"/>
          <w:sz w:val="28"/>
          <w:sz w:val="28"/>
          <w:szCs w:val="28"/>
          <w:rtl w:val="true"/>
          <w:lang w:bidi="ar-SA"/>
        </w:rPr>
        <w:t xml:space="preserve">حيث أورد على من استدلّ على اعتبار العربيّة في العقود باعتبار الماضويّة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كالمحقّق الثاني </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الأولويّة معارضة بعموم وجوب الوفاء بالعقد ، والنسبة بينهما عموم من وجه ، فلا بدّ من ملاحظة 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مفهوم المخالفة فعلى تقدير القول بثبوته في قبال العامّ وعدم التصرّف في ظاهر الجملة الشرطيّة والأخذ بظهورها لا إشكال في تخصيص العامّ به كما عرفت ، وإنّما الإشكال في أنّ الجملة الشرطيّة أظهر في إرادة الانتفاء عند الانتفاء منها أو العامّ أظهر في إرادة الأفراد منه؟ فمرجع الكلام إلى تعارض الظاهرين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العامّ أظهر دلالة في شموله لمحلّ المعارضة كما قلنا بذلك في معارضة منطوق التعليل في آية النبأ مع المفهوم على تقدير القول به بالنسبة إلى </w:t>
      </w:r>
    </w:p>
    <w:p>
      <w:pPr>
        <w:pStyle w:val="BookText"/>
        <w:rPr/>
      </w:pPr>
      <w:r>
        <w:rPr>
          <w:rFonts w:ascii="Amiri" w:hAnsi="Amiri" w:eastAsia="Amiri" w:cs="Amiri"/>
          <w:color w:val="111111"/>
          <w:sz w:val="28"/>
          <w:sz w:val="28"/>
          <w:szCs w:val="28"/>
          <w:rtl w:val="true"/>
          <w:lang w:bidi="ar-SA"/>
        </w:rPr>
        <w:t>خبر العدل الظنّي ، فإنّ قضيّة عموم التعليل عدم الاعتماد على الخبر الظنّي ، ومقتضى المفهوم ثبوته ، وعموم التعليل أظهر ، ولا سيّما إذا كان العام متّصلا بالجملة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يقال بتقديم الظهور في الجملة الشرطيّة كما قلنا في تعارض المفهوم مع العمومات الناهية عن العمل بغير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فالإنصاف أنّ ذلك يتبع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نقف على ضابطة نوعيّة يعتمد عليها في الأغلب ، كما اعترف بذلك سلطان المحقّقين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ما ذكرنا إنّما هو فيما إذا كان النسبة بين المفهوم والعموم عموما وخصوصا ، بأن كان المفهوم أخصّ مطلقا ، فإنّه يدور الأمر بين التصرّف في ظاهر العامّ وبين التصرّف في ظاهر الجملة الشرطيّة بإلقاء المفهوم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المفهوم عامّا فلا بدّ فيه من تقييد المنطوق ، كما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الناس إن كانوا عدولا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يقدّم على المفهوم القائل بعدم وجوب إكرام غير العادل عالما وغيره ، ومعنى تقديمه عليه هو تقييد الناس بغير العالم الفاسق ، لما عرفت من عدم معقوليّة التصرّف في المفهوم بنفسه ، فلا بدّ من إرجاعه إلى المنطوق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احتمال إلقاء المفهوم رأسا في المقام فلا وجه له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النسبة عموما من وجه ، كما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الناس إن كانوا عدولا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أن يقال بإلقاء المفهوم رأسا على تقدير تقديم العموم في مورد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العالم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المفهوم القاضي بنفي وجوب إكرام الفاسق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التقييد في المنطوق ، كأن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الناس الغير العالم إن كانوا عدولا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فيستفاد من الكلامين سببيّة كلّ </w:t>
      </w:r>
    </w:p>
    <w:p>
      <w:pPr>
        <w:pStyle w:val="BookText"/>
        <w:rPr/>
      </w:pPr>
      <w:r>
        <w:rPr>
          <w:rFonts w:ascii="Amiri" w:hAnsi="Amiri" w:eastAsia="Amiri" w:cs="Amiri"/>
          <w:color w:val="111111"/>
          <w:sz w:val="28"/>
          <w:sz w:val="28"/>
          <w:szCs w:val="28"/>
          <w:rtl w:val="true"/>
          <w:lang w:bidi="ar-SA"/>
        </w:rPr>
        <w:t>من العلم والعدالة لوجوب الإكرام ، بل ولعلّه هو المتعيّن ، لعدم ما يقضي بخلافه في غير مورد التعارض من المفهوم ، كما عرفت فيما إذا ورد خاصّ في قبال المفهوم العامّ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الوجه لمن أطلق القول بعدم انفعال الجاري ولو لم يكن كرّا ، مع أنّ مقتضى المفهوم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الماء قدر كرّ لم ينجّسه شيء </w:t>
      </w:r>
      <w:r>
        <w:rPr>
          <w:rFonts w:eastAsia="Amiri" w:cs="Amiri" w:ascii="Amiri" w:hAnsi="Amiri"/>
          <w:color w:val="111111"/>
          <w:sz w:val="28"/>
          <w:szCs w:val="28"/>
          <w:rtl w:val="true"/>
          <w:lang w:bidi="ar-SA"/>
        </w:rPr>
        <w:t xml:space="preserve">» </w:t>
      </w:r>
      <w:r>
        <w:rPr>
          <w:rStyle w:val="FootnoteAnchor"/>
          <w:rtl w:val="true"/>
        </w:rPr>
        <w:footnoteReference w:id="434"/>
      </w:r>
      <w:r>
        <w:rPr>
          <w:rFonts w:ascii="Amiri" w:hAnsi="Amiri" w:eastAsia="Amiri" w:cs="Amiri"/>
          <w:color w:val="111111"/>
          <w:sz w:val="28"/>
          <w:sz w:val="28"/>
          <w:szCs w:val="28"/>
          <w:rtl w:val="true"/>
          <w:lang w:bidi="ar-SA"/>
        </w:rPr>
        <w:t>اعتبار الكريّة في الماء الجاري أيضا ، إذ إلقاء المفهوم رأسا ممّا لا شاهد عليه ، فلا بدّ إمّا من طرح العموم الدالّ على عدم انفعال الجاري في مورد التعارض أو تقييد المنطوق ، وذلك ظاهر على من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الهادي</w:t>
      </w:r>
      <w:r>
        <w:rPr>
          <w:rFonts w:eastAsia="Amiri" w:cs="Amiri" w:ascii="Amiri" w:hAnsi="Amiri"/>
          <w:color w:val="111111"/>
          <w:sz w:val="28"/>
          <w:szCs w:val="28"/>
          <w:rtl w:val="true"/>
          <w:lang w:bidi="ar-SA"/>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 w:name="pg16264_169523"/>
      <w:bookmarkStart w:id="159" w:name="pg16264_169523"/>
      <w:bookmarkEnd w:id="159"/>
    </w:p>
    <w:p>
      <w:pPr>
        <w:pStyle w:val="Heading3"/>
        <w:numPr>
          <w:ilvl w:val="2"/>
          <w:numId w:val="1"/>
        </w:numPr>
        <w:rPr/>
      </w:pPr>
      <w:bookmarkStart w:id="160" w:name="pg16264_169523"/>
      <w:bookmarkStart w:id="161" w:name="__RefHeading___Toc4588632_1280447820"/>
      <w:bookmarkStart w:id="162" w:name="_Toc48"/>
      <w:bookmarkEnd w:id="160"/>
      <w:bookmarkEnd w:id="161"/>
      <w:r>
        <w:rPr>
          <w:rtl w:val="true"/>
        </w:rPr>
        <w:t>هداية</w:t>
      </w:r>
      <w:bookmarkEnd w:id="162"/>
    </w:p>
    <w:p>
      <w:pPr>
        <w:pStyle w:val="BookText"/>
        <w:rPr/>
      </w:pPr>
      <w:r>
        <w:rPr>
          <w:rFonts w:ascii="Amiri" w:hAnsi="Amiri" w:eastAsia="Amiri" w:cs="Amiri"/>
          <w:color w:val="111111"/>
          <w:sz w:val="28"/>
          <w:sz w:val="28"/>
          <w:szCs w:val="28"/>
          <w:rtl w:val="true"/>
          <w:lang w:bidi="ar-SA"/>
        </w:rPr>
        <w:t>يجوز تخصيص الكتاب بالكتاب وبالخبر المتواتر ، كما يجوز تخصيصه بهما بلا خلاف معتدّ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تخصيص الكتاب بالخبر الواحد ، فالأقرب جوازه أيضا ، وفاقا لأكثر المحقّقين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وحكي عن الذريعة </w:t>
      </w:r>
      <w:r>
        <w:rPr>
          <w:rStyle w:val="FootnoteAnchor"/>
          <w:rtl w:val="true"/>
        </w:rPr>
        <w:footnoteReference w:id="436"/>
      </w:r>
      <w:r>
        <w:rPr>
          <w:rFonts w:ascii="Amiri" w:hAnsi="Amiri" w:eastAsia="Amiri" w:cs="Amiri"/>
          <w:color w:val="111111"/>
          <w:sz w:val="28"/>
          <w:sz w:val="28"/>
          <w:szCs w:val="28"/>
          <w:rtl w:val="true"/>
          <w:lang w:bidi="ar-SA"/>
        </w:rPr>
        <w:t xml:space="preserve">والعدة </w:t>
      </w:r>
      <w:r>
        <w:rPr>
          <w:rStyle w:val="FootnoteAnchor"/>
          <w:rtl w:val="true"/>
        </w:rPr>
        <w:footnoteReference w:id="437"/>
      </w:r>
      <w:r>
        <w:rPr>
          <w:rFonts w:ascii="IRNazanin" w:hAnsi="IRNazanin" w:eastAsia="IRNazanin"/>
          <w:color w:val="111111"/>
          <w:sz w:val="28"/>
          <w:sz w:val="28"/>
          <w:szCs w:val="28"/>
          <w:rtl w:val="true"/>
          <w:lang w:bidi="fa-IR"/>
        </w:rPr>
        <w:t xml:space="preserve">والمعارج </w:t>
      </w:r>
      <w:r>
        <w:rPr>
          <w:rStyle w:val="FootnoteAnchor"/>
          <w:rtl w:val="true"/>
        </w:rPr>
        <w:footnoteReference w:id="438"/>
      </w:r>
      <w:r>
        <w:rPr>
          <w:rFonts w:ascii="Amiri" w:hAnsi="Amiri" w:eastAsia="Amiri" w:cs="Amiri"/>
          <w:color w:val="111111"/>
          <w:sz w:val="28"/>
          <w:sz w:val="28"/>
          <w:szCs w:val="28"/>
          <w:rtl w:val="true"/>
          <w:lang w:bidi="ar-SA"/>
        </w:rPr>
        <w:t>عدم الجواز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منع السيّد مبنيّ على أصله من إنكار حجّيّة الخبر الواحد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وفصّل بعضهم </w:t>
      </w:r>
      <w:r>
        <w:rPr>
          <w:rStyle w:val="FootnoteAnchor"/>
          <w:rtl w:val="true"/>
        </w:rPr>
        <w:footnoteReference w:id="440"/>
      </w:r>
      <w:r>
        <w:rPr>
          <w:rFonts w:ascii="Amiri" w:hAnsi="Amiri" w:eastAsia="Amiri" w:cs="Amiri"/>
          <w:color w:val="111111"/>
          <w:sz w:val="28"/>
          <w:sz w:val="28"/>
          <w:szCs w:val="28"/>
          <w:rtl w:val="true"/>
          <w:lang w:bidi="ar-SA"/>
        </w:rPr>
        <w:t>بين تخصيص العامّ الكتابي بمخصّص قطعيّ فيجوز ، وعدمه فلا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 المحقّق أيضا الوقف </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توقّف منه في العمل ، وإلاّ فالمحكي عنه هو العدم ،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قد يستشكل في الفرق بين المقام والمسألة الآتية الباحثة عن بناء العامّ على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وظنّي أنّه ليس في محلّه ، كما يظهر من ملاحظة كلمات المانعين ، حيث إنّه يظهر من بعضهم عدم اعتبار الخبر الواحد في قبال عموم الكتاب </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آخر عدم قابليّة الخبر للتخصيص من جهة قطعيّة العموم </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فالفرق ظاهر ، وعلى الثاني فكذلك أيضا ؛ لأنّ المبحوث عنه في المسألة الآتية هو رجحان التخصيص على أنحاء التصرّفات المتصوّرة في الدليلين وعدمه بعد فرض القابليّة لو فرضنا احتمال التجوّز في الخاصّ أيضا ، وإلاّ فتلك المسألة يبحث فيها عن أنّ الخاص بيان أو ناسخ على ما هو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فيمكن الاستدلال على الجواز بالإجماع من الأصحاب على العمل بأخبار الآحاد في قبال العامّ الكتابيّ ، وهذه سيرة مستمرّة إلى زمن الأئمّة عليهم‌السلام بل وذلك ممّا يقطع به في زمن الصحابة والتابعين ، فإنّهم كثيرا ما يتمسّكون بالأخبار في قبال العمومات الكتابيّة ولم ينكر ذلك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أنّ ذلك لعلّه بواسطة احتفاف الخبر بقرينة قطعيّة ، مدفوعة بما أفاده الشيخ عند احتجاجه بعمل الصحابة على حجّيّة الأخبار بأنّه تعويل على ما يعلم ضرورة خلافه ولا يحسن مكالمة مدّعيه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ترى أنّ الشيخ مع أنّه منع من ذلك في الاصول فقد بنى عليه في الفقه ، كما يظهر من تتبّع موارد كلامه وتضاعيف الفروع كالمحقّق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 وجوب تخصيص الكتاب بالخبر الواحد عندهم على منار ، بل ربّما يظهر من بعضهم </w:t>
      </w:r>
      <w:r>
        <w:rPr>
          <w:rStyle w:val="FootnoteAnchor"/>
          <w:rtl w:val="true"/>
        </w:rPr>
        <w:footnoteReference w:id="445"/>
      </w:r>
      <w:r>
        <w:rPr>
          <w:rFonts w:ascii="Amiri" w:hAnsi="Amiri" w:eastAsia="Amiri" w:cs="Amiri"/>
          <w:color w:val="111111"/>
          <w:sz w:val="28"/>
          <w:sz w:val="28"/>
          <w:szCs w:val="28"/>
          <w:rtl w:val="true"/>
          <w:lang w:bidi="ar-SA"/>
        </w:rPr>
        <w:t>أنّ الوجه في اعتبار الخبر هو لزوم تخصيص الكتاب على وجه لو لم يخصّص به يعلم بأنّ الأمور الثابتة بالكتاب ليست بحقيقة تلك الأمور ، كما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أنّه لو قلنا باعتبار الخبر من باب الظنّ المطلق يجب التخصيص أيضا ، للعلم الإجمالي بورود التخصيص بالكتاب ووجود المخصّصات في الأخبار الظنّيّة ، فلا وجه للتعويل على أصالة الحقيقة ، لطروّ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وجه لما تخيّله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على تقدير الظنّ المطلق لا وجه للتخصيص ، لوجود الظنّ الخاصّ وهو العامّ الكتابي </w:t>
      </w:r>
      <w:r>
        <w:rPr>
          <w:rStyle w:val="FootnoteAnchor"/>
          <w:rtl w:val="true"/>
        </w:rPr>
        <w:footnoteReference w:id="446"/>
      </w:r>
      <w:r>
        <w:rPr>
          <w:rFonts w:ascii="Amiri" w:hAnsi="Amiri" w:eastAsia="Amiri" w:cs="Amiri"/>
          <w:color w:val="111111"/>
          <w:sz w:val="28"/>
          <w:sz w:val="28"/>
          <w:szCs w:val="28"/>
          <w:rtl w:val="true"/>
          <w:lang w:bidi="ar-SA"/>
        </w:rPr>
        <w:t>وعلى تقديره فلا انسداد حتّى يؤخذ بالظنّ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واستدلّ بعض الأفاضل </w:t>
      </w:r>
      <w:r>
        <w:rPr>
          <w:rStyle w:val="FootnoteAnchor"/>
          <w:rtl w:val="true"/>
        </w:rPr>
        <w:footnoteReference w:id="447"/>
      </w:r>
      <w:r>
        <w:rPr>
          <w:rFonts w:ascii="Amiri" w:hAnsi="Amiri" w:eastAsia="Amiri" w:cs="Amiri"/>
          <w:color w:val="111111"/>
          <w:sz w:val="28"/>
          <w:sz w:val="28"/>
          <w:szCs w:val="28"/>
          <w:rtl w:val="true"/>
          <w:lang w:bidi="ar-SA"/>
        </w:rPr>
        <w:t>على المطلب بأنّه لولاه لزم إلقاء الخبر بالمرّة ، إذ ما من خبر إلاّ وهو مخالف لعموم الكتاب ، ولا أقلّ من عموم ما دلّ على 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لا يخفى ، فإنّ الخبر المخالف لأصل البراءة لا يعقل أن يكون مخصّصا للعموم كما قرّر في محلّه ، وستعرفه بعد ذلك من عدم ورود الدليل والأصل في مورد واحد</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المانع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العام المفروض في الكتاب قطعيّ وخبر الواحد ظنّي ، وهو لا يعارض القطعيّ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القطعيّ لا يعارض بالظنّي في جهة ما هو القطعيّ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غيرها فلا نسلّم عدم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قطعيّ سندا وخبر الواحد ظنّي سندا ولا تعارض بينهما من هذه الجهة ، وإنّما التعارض بينهما من جهة الدلالة الراجعة في العامّ إلى أصالة الحقيقة التي يجب تقديم ما هو صالح للقرينة عليها ، لارتفاع موضوع الأصل ، لوجود الدليل حقيقة إذا كان علميّا أو حكما إذا كان ظنّيّا ولو مع ملاحظة العلم باعتباره ، والمفروض أنّ خبر الواحد صالح لذلك ، أمّا دلالة فظاهر ، وأمّا سندا فلأنّ كلامنا في قبال هذا المانع إنّما هو بعد الفراغ عن حجّية الخبر ، والمانع إنّما زعم ذلك بواسطة ما زعمه من عدم قابليّة التخصيص بالظنّي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فيما ذكرنا بين اعتبار أصالة الحقيقة تعبّدا أو من باب الظنّ ؛ لأنّه مقيّد بعدم ورود ظنّ على خلافه قطعا ؛ ولذا لا يتأمّل أحد في تقديم الخاصّ على العامّ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بأنّ الكتاب وإن كان قطعيّ المتن ، إلاّ أنّه ظنّي الدلالة ، والخبر بالعكس ، فيتساويان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بأنّ الدلالة في الخبر أيضا ظنّيّة ، لاحتمال التجوّز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كليهما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فرض التساوي لا يوجب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المفروض في محلّ البحث عدم احتمال تصرّف آخر في الخاصّ ، إمّا بالنظر إلى أنّ التخصيص أشيع فلا يعارض احتمال التجوز ، وإمّا بواسطة عدم احتماله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جواز التخصيص يلازم جواز النسخ ، والتالي باطل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الملازمة ، فلأنّ مرجع النسخ أيضا إلى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بطلان التالي من حيث القاعدة ، وقيام الإجماع هو الفارق</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الفرق ظاهر بين النسخ والتخصيص ، من حيث إنّ النسخ ممّا يتوفر الدواعي إلى ضبطه ونقله ونشره ، بخلاف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ويرشدك إلى </w:t>
      </w:r>
    </w:p>
    <w:p>
      <w:pPr>
        <w:pStyle w:val="BookText"/>
        <w:rPr/>
      </w:pPr>
      <w:r>
        <w:rPr>
          <w:rFonts w:ascii="Amiri" w:hAnsi="Amiri" w:eastAsia="Amiri" w:cs="Amiri"/>
          <w:color w:val="111111"/>
          <w:sz w:val="28"/>
          <w:sz w:val="28"/>
          <w:szCs w:val="28"/>
          <w:rtl w:val="true"/>
          <w:lang w:bidi="ar-SA"/>
        </w:rPr>
        <w:t>ذلك أنّ الموارد المنسوخة ممّا شذّ فيه الخلاف على تقدير وجوده فيها ، بخلاف موارد التخصيص ، فإنّ الخلاف فيها على منار ، فالملازمة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بأنّ التخصيص دفع والنسخ رفع ، والأوّل أهون بخلاف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بظاهره فاسد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يوجّه ذلك بأنّ التخصيص هو الحكم بعدم ثبوت الحكم للبعض ، والنسخ هو رفع الحكم بعد ثبوته ، ولا شكّ أنّ الثابت وجودا كان أو عدما يجب الحكم بثبوته ما لم يعلم عدمه بالإجماع والاستصحاب ، فإذا دلّ خبر على النسخ فهو معارض لأدلّة الاستصحاب ولدليل ثبوت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دليل التخصيص ، فإنّها معاضدة بأدلّة الاستصحاب ، فيكون إعماله أهون ، انتهى ملخّصا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فرقا بين النسخ والتخصيص بعد ملاحظة العموم الزماني في النسخ الملازم لعدم ثبوت الحكم في البعض ولو بملاحظة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فساد ما أورده من حديث المعارضة مع أدلّة الاستصحاب ولدليل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دليل الحكم لا يعارض الناسخ إلاّ باستصحاب عدم النسخ وعدم ورود مخصّص زماني ؛ لأنّه لا يزيد على أصالة الحقيقة كما هو ظاهر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دليل النسخ على تقدير اعتباره لا يعقل معارضته لأدلّة الاستصحاب ؛ لارتفاع موضوع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أو حكما بعد ورود الدليل ، كما أنّه لا يعقل معارضته لأدلّة التخصيص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الدليل على العمل بخبر الواحد هو الإجماع على استعماله فيما لا يوجد عليه دلالة ، ومع وجود الدلالة القرآنية يسقط وجوب العمل به ، وهو المحكي عن المحقّق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من أنّ الإجماع على العمل بالخبر المخالف لعموم الكتاب واقع وليس له دافع ، مضافا إلى ما 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انحصار الدليل في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بطائفة كثيرة من الأخبار الدالّة على أنّ الأخبار المخالفة للقرآن يجب طرحها وضربها على الجدار وأنّها زخرف وأنّها ممّا لم يخبر بها الإمام وهي كثيرة جدّا وصريحة الدلالة على وجوب الطرح ، فلا وجه لما 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العمل بتلك الأخبار يوجب تخصيص الكتاب الدالّ على حجّيّة الخبر بالخبر الغير المخالف ، فإنّ هذه قطعيّة ، كما يظهر للمنصف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القطع بصدور جملة من تلك الأخبار عن الحجج الطاهرة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مخالفة العموم وأصالة الحقيقة لا تعدّ مخالفة عرفا ، ومع الشكّ في صدق المخالفة على مثل هذه المخالفة يستكشف من عموم ما دلّ على أنّ المخالف غير صادر منهم أنّ هذه الأخبار الصادرة عنهم قطعا ليست مخالفة للقرآن ، وإلاّ لزم التخصيص في العموم ، والأصل عدمه ، مع أنّ سياق هذه الأخبار يأبى عن التخصيص</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 فتارة ندّعي العلم بعدم صدق المخالفة على مثل هذه المخالفة ، كما يشهد به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أنّه لا أقلّ من الشكّ في صدق المخالفة ، وبعد القطع بالصدور يستكشف بالعموم الغير القابل للتخصيص عدم كونها مخالفة ، </w:t>
      </w:r>
    </w:p>
    <w:p>
      <w:pPr>
        <w:pStyle w:val="BookText"/>
        <w:rPr/>
      </w:pPr>
      <w:r>
        <w:rPr>
          <w:rFonts w:ascii="Amiri" w:hAnsi="Amiri" w:eastAsia="Amiri" w:cs="Amiri"/>
          <w:color w:val="111111"/>
          <w:sz w:val="28"/>
          <w:sz w:val="28"/>
          <w:szCs w:val="28"/>
          <w:rtl w:val="true"/>
          <w:lang w:bidi="ar-SA"/>
        </w:rPr>
        <w:t xml:space="preserve">نظير استكشاف عدم كون النحويّ عالما على تقدير الشكّ فيه من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القطع بعدم وجوب إكرام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يدّعى القطع بصدق المخالفة في المقام ، والإنصاف أنّه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ما ذكرناه من عدم صدق المخالفة أنّ المشايخ الراوين لهذه الأخبار هم الذين رووا الأخبار المخالفة على التوجيه المذكور ، وكيف يتصوّر مع إكثارهم في هذه الرواية؟</w:t>
      </w:r>
    </w:p>
    <w:p>
      <w:pPr>
        <w:pStyle w:val="BookText"/>
        <w:rPr/>
      </w:pPr>
      <w:r>
        <w:rPr>
          <w:rFonts w:ascii="Amiri" w:hAnsi="Amiri" w:eastAsia="Amiri" w:cs="Amiri"/>
          <w:color w:val="111111"/>
          <w:sz w:val="28"/>
          <w:sz w:val="28"/>
          <w:szCs w:val="28"/>
          <w:rtl w:val="true"/>
          <w:lang w:bidi="ar-SA"/>
        </w:rPr>
        <w:t>والحاصل أنّه لا ينبغي التوقّف في العمل بالأخبار المخالفة لعموم الكتاب في زماننا هذا ، لاستلزامه حدوث شرع جديد ، كما لا يخفى على من تدرّب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حمل تلك الأخبار على الأخبار المخالفة على وجه المباينة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قلّتها في زماننا ؛ لأنّ جوامع الأخبار الموجودة عندنا إنّما هو بعد التهذيب ، فلعلّها كانت كثيرة في تلك الأزمنة قبل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داعي إلى جعل الأخبار المباينة ، للعلم بكذبها ، فلا يقع بها التدليس المقصود من دسّ الكذّابين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ينحصر الداعي في التدليس ، بل يحتمل أن يقصد بالجعل الإبطال وإسناد الأباطيل إليه ، كما يومئ إليه جملة من الأخبار </w:t>
      </w:r>
      <w:r>
        <w:rPr>
          <w:rStyle w:val="FootnoteAnchor"/>
          <w:rtl w:val="true"/>
        </w:rPr>
        <w:footnoteReference w:id="450"/>
      </w:r>
      <w:r>
        <w:rPr>
          <w:rFonts w:ascii="Amiri" w:hAnsi="Amiri" w:eastAsia="Amiri" w:cs="Amiri"/>
          <w:color w:val="111111"/>
          <w:sz w:val="28"/>
          <w:sz w:val="28"/>
          <w:szCs w:val="28"/>
          <w:rtl w:val="true"/>
          <w:lang w:bidi="ar-SA"/>
        </w:rPr>
        <w:t>على ما لا يخفى على المتتبّع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يحمل </w:t>
      </w:r>
      <w:r>
        <w:rPr>
          <w:rStyle w:val="FootnoteAnchor"/>
          <w:rtl w:val="true"/>
        </w:rPr>
        <w:footnoteReference w:id="451"/>
      </w:r>
      <w:r>
        <w:rPr>
          <w:rFonts w:ascii="Amiri" w:hAnsi="Amiri" w:eastAsia="Amiri" w:cs="Amiri"/>
          <w:color w:val="111111"/>
          <w:sz w:val="28"/>
          <w:sz w:val="28"/>
          <w:szCs w:val="28"/>
          <w:rtl w:val="true"/>
          <w:lang w:bidi="ar-SA"/>
        </w:rPr>
        <w:t>على الأخبار الواردة في مسائل اصول الدين ، كأخبار الغلوّ والجبر والتجسيم والتشبيه ، ونحو ذلك من الامور المعلومة بنصّ الكتاب الموافق للسنّة السنيّة والملّة المحمّدية صلى‌اللّه‌عليه‌وآله على صادعها ألف سلام وتحيّة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 فعلمنا بصدور الأخبار المخالفة لا على وجه التباين واعتبارها إنّما يمنعنا عن الأخذ بظواهر هذه الأخبار لو سلّم ظهور صدق المخالفة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ضعف القول بالوقف ، كما يظهر من الوافية حيث استند فيه إلى أنّ العامّ الكتابيّ غير ظاهر المراد والحجّيّة ، وكذا الخبر المخالف لعموم الكتاب مشكوك في اعتباره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لكلتا مقدّمتيه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أصالة الحقيقة في الكتاب إنّما يجب الأخذ بها ما لم يدلّ دليل معتبر على خلافها ، والمفروض في كلامه عدم اعتبار الخبر في قبالها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وجه للشكّ في اعتبار الخبر في قبال العامّ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حاول إثبات حجّيّة الخبر بما أشرنا إليه فيما عوّلنا عليه في إثبات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لم يؤخذ الخبر لزم خروج الامور الثابتة بالكتاب عن 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من الشواهد على أنّ النزاع في المسألة إنّما هو مبنيّ على غفلة عمّا هو مركوز في أذهانهم وجرى عليه ديدنهم في الفقه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حجّة المفصّل وجوابه فيظهر ممّا ذكرنا ،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الهادي</w:t>
      </w:r>
      <w:r>
        <w:rPr>
          <w:rFonts w:eastAsia="Amiri" w:cs="Amiri" w:ascii="Amiri" w:hAnsi="Amiri"/>
          <w:color w:val="111111"/>
          <w:sz w:val="28"/>
          <w:szCs w:val="28"/>
          <w:rtl w:val="true"/>
          <w:lang w:bidi="ar-SA"/>
        </w:rPr>
        <w:t xml:space="preserve">. </w:t>
      </w:r>
      <w:bookmarkStart w:id="163" w:name="pg16264_169531"/>
    </w:p>
    <w:p>
      <w:pPr>
        <w:pStyle w:val="Heading3"/>
        <w:numPr>
          <w:ilvl w:val="2"/>
          <w:numId w:val="1"/>
        </w:numPr>
        <w:rPr/>
      </w:pPr>
      <w:bookmarkStart w:id="164" w:name="__RefHeading___Toc4588634_1280447820"/>
      <w:bookmarkStart w:id="165" w:name="_Toc49"/>
      <w:bookmarkEnd w:id="163"/>
      <w:bookmarkEnd w:id="164"/>
      <w:r>
        <w:rPr>
          <w:rtl w:val="true"/>
        </w:rPr>
        <w:t>هداية</w:t>
      </w:r>
      <w:bookmarkEnd w:id="165"/>
    </w:p>
    <w:p>
      <w:pPr>
        <w:pStyle w:val="Heading4"/>
        <w:numPr>
          <w:ilvl w:val="3"/>
          <w:numId w:val="1"/>
        </w:numPr>
        <w:rPr/>
      </w:pPr>
      <w:bookmarkStart w:id="166" w:name="__RefHeading___Toc4588636_1280447820"/>
      <w:bookmarkStart w:id="167" w:name="_Toc50"/>
      <w:bookmarkEnd w:id="166"/>
      <w:r>
        <w:rPr>
          <w:rtl w:val="true"/>
        </w:rPr>
        <w:t>اشارة</w:t>
      </w:r>
      <w:bookmarkEnd w:id="167"/>
    </w:p>
    <w:p>
      <w:pPr>
        <w:pStyle w:val="BookText"/>
        <w:rPr/>
      </w:pPr>
      <w:r>
        <w:rPr>
          <w:rFonts w:ascii="Amiri" w:hAnsi="Amiri" w:eastAsia="Amiri" w:cs="Amiri"/>
          <w:color w:val="111111"/>
          <w:sz w:val="28"/>
          <w:sz w:val="28"/>
          <w:szCs w:val="28"/>
          <w:rtl w:val="true"/>
          <w:lang w:bidi="ar-SA"/>
        </w:rPr>
        <w:t>الأقرب أنّ الخاصّ المخالف لحكم العامّ إنّما هو بيان له تارة وناسخ له أخرى ، وفاقا لجلّ المحقّقين بل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المقام بعد تمهيد ، وهو أنّ عقد هذه المسألة ليس لبيان أظهريّة الخاصّ عن العام ، فإنّ ذلك موكول إلى بحث تعارض الأحوال ، وقد قرّر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التخصيص لكونه أشيع أرجع على أنحاء التصرّفات في الخاصّ نوعا ، فإعادته في المقام تكرار لا طائل تحته ، بل المبحوث عنه في المقام هو أنّ الخاصّ هل هو بيان أو ناسخ للعامّ؟ وأنّه في أي مقام يحكم بكونه بيانا؟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وجه لتخصيص محلّ الكلام بالعامّ والخاصّ المطلقين ، إذ بعد ما صرّح جماعة بجريانه في العامّين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كالتفتازاني </w:t>
      </w:r>
      <w:r>
        <w:rPr>
          <w:rStyle w:val="FootnoteAnchor"/>
          <w:rtl w:val="true"/>
        </w:rPr>
        <w:footnoteReference w:id="453"/>
      </w:r>
      <w:r>
        <w:rPr>
          <w:rFonts w:ascii="IRNazanin" w:hAnsi="IRNazanin" w:eastAsia="IRNazanin"/>
          <w:color w:val="111111"/>
          <w:sz w:val="28"/>
          <w:sz w:val="28"/>
          <w:szCs w:val="28"/>
          <w:rtl w:val="true"/>
          <w:lang w:bidi="fa-IR"/>
        </w:rPr>
        <w:t xml:space="preserve">وصاحب المعالم </w:t>
      </w:r>
      <w:r>
        <w:rPr>
          <w:rStyle w:val="FootnoteAnchor"/>
          <w:rtl w:val="true"/>
        </w:rPr>
        <w:footnoteReference w:id="454"/>
      </w:r>
      <w:r>
        <w:rPr>
          <w:rFonts w:ascii="Amiri" w:hAnsi="Amiri" w:eastAsia="Amiri" w:cs="Amiri"/>
          <w:color w:val="111111"/>
          <w:sz w:val="28"/>
          <w:sz w:val="28"/>
          <w:szCs w:val="28"/>
          <w:rtl w:val="true"/>
          <w:lang w:bidi="ar-SA"/>
        </w:rPr>
        <w:t xml:space="preserve">والفاضل الشيرواني </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ملاك البحث موجود فيه أيضا ، فإنّه لو فرض تأييد أحد العامّين بما يوجب التقديم من دعوى ظهور ناش عن قلّة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 فيمكن أن ينازع فيه أنّ ذلك المقدّم هل هو بيان أو ناسخ؟ وبعد وجود الملاك وتصريح جماعة بالشمول لا وجه للتخصيص ، مع أنّه ليس في كلامهم عنوان آخر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وتوهّم جماعة اختصاص النزاع بالمطلقين </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الوجه فيه عدم تعيين المخصّص فيهما ، أو عدم تصوّر بعض الأقسام الآتية كتقديم الخاصّ ، إذ لكلّ منهما جهة عموم ، إلاّ أنّ ذلك لا ينهض له وجها ، إذ عدم التعيين لا ينافي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عند التعيين هل هو بيان أو ناسخ؟ كما أنّ عدم تصوّر بعض الأقسام لا يمنع عن النزاع في القسم المتصوّر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شاع بينهم التمثيل بالمطلقين وهو لا يقاوم التصريح ، مضافا إلى تمثيل الحاجبي والعضدي </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بآيتي عدّة الحامل والمتوفّى عنها زوجها ، مع كون النسبة بينهما عموما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الكلام في المقام ليس من حيث السند ، فلو كان العامّ قطعيّا يجري فيه الكلام كما لو كان ظنّيّا ، إذ المبحوث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يفرق فيه بالقطعيّة والظنّية بعد فرض اعتبار الظنّي من غير فرق بين أن يكون اعتبار أصالة الحقيقة من باب التعبّد أو الظنّ ، لكونه مقيّدا بعدم ورود ظنّ على خلافه ، كما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قد تقرّر ذلك ، فاعلم أنّ الصور المتصوّرة كثيرة ، بل انتهت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الوافية </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يقرب من ألفين ، بل يمكن تصوّرها بأضعاف ما ذكره ، إلاّ أنّ الحكم لا يختلف في كثيرها فنحن نقتصر على ما هو المعتدّ بها منها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العامّ والخاصّ إذا تنافيا ظاهرا ، إمّا يعلم اقترانهما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صدرا عن معصومين في زمان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افتراقهما ، أو يجهل ذلك إمّا مطلقا أو في أحدهما ، فهذه صور ستّة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اقترانهما ، فلا بدّ من حمله على البيان ، ولا وجه لاحتمال النسخ ، لبطلانه قبل حضور وقت العمل ، وفهم العرف الراجع إلى تقديم ما هو صالح من الدليل على أصالة الحقيقة في العامّ لو كان التخصيص مجازا أو ما يضارعه على تقدير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الحكم في هذه الصورة وفاقيّ ، إلاّ عن شاذّ لا يعتنى به ، من غير فرق في ذلك بين العامّين من وجه وبين غيره فيما لو اقترن أحدهما بما يوجب تخصيصه بالآخر ،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تقدّم العامّ على الخاصّ ، فعلى تقدير ورود الخاصّ بعد حضور وقت العمل بالعامّ فلا بدّ من حمله على النسخ إذا أحرزنا ورود العامّ في مقام بيان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شكّ فيه ففيه إشكال ستعرفه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لولاه لزم تأخير البيان عن وقت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كانا من المطلقين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العامّين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حمل العامّ الأوّل على كونه مخصّصا للثاني ، إذ ورود الثاني إنّما هو بعد حضور وقت العمل بالأوّل ، فيكون نصّا في مورد التعارض ، وذلك يصير قرينة على إرادة التخصيص في الثاني ، من غير فرق بين العمل بالعامّ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ورد الخاصّ قبل حضور وقت العمل فعلى تقدير جواز تأخير البيان عن وقت الخطاب لا إشكال في التخصيص ، لما عرفت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عدمه فكذلك ، إلاّ على القول بجواز النسخ قبل حضور وقت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لم يذهب من أرباب المقالة الأولى إلى الجواز أحد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المطلقين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العامّين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القول بعدم جواز تأخير البيان عن وقت الخطاب ، فلا بدّ من تخصيص الثاني بالأوّل ، للزوم التأخير لولاه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الجواز فيجوز تخصيص كلّ ما اقترن بما يوجبه بالآخر من غير فرق بينهما ، ولا وجه للنسخ فيهما إلاّ على قول من يجوّزه قبل الحضور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تقدّم الخاصّ على العامّ فيبنى على تخصيص العامّ بالخاصّ ، من غير فرق بين ورود العامّ قبل حضور وقت العمل بالخاصّ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على القول بعدم جواز النسخ قبل الوقت ، وعلى الجواز فلا بدّ من القول بأنّ التكليف ابتلائيّ ، وهو خلاف ظواهر أدلّة التكليف ، فالراجح حملها على التكليف الحقيقي ، وهو يلازم التخصيص ويساعده فهم العرف وغلبة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على المطلب بأنّ تقدّم العامّ المحتمل على الخاصّ القطعيّ قطعي البطلان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يتمّ فيما إذا اريد عدم التخصيص مع عدم النسخ ، وهو غير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عند احتماله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تقديم المحتمل على القطعيّ ، لرجوع النسخ أيضا إلى التخصيص في العموم الزماني المستفاد من الدليل أو من خارج قابل للتخصيص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بعضهم القول بالنسخ في المقام محتجّا بأنّه لولاه لزم تقديم البيان وهو محال والشرطيّة ظاهرة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تقديم البيان على أنّه بيان محال كتقديم ما له البيان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تقديم ذات البيان فلا ضير فيه ، كما في ذات ما له البيان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البيانيّة من الأمور المنتزعة من الشيء باعتبار إضافته إلى شيء آخر ، ويجب </w:t>
      </w:r>
      <w:bookmarkStart w:id="168" w:name="pg16264_169535"/>
    </w:p>
    <w:p>
      <w:pPr>
        <w:pStyle w:val="BookText"/>
        <w:rPr/>
      </w:pPr>
      <w:bookmarkEnd w:id="168"/>
      <w:r>
        <w:rPr>
          <w:rFonts w:ascii="Amiri" w:hAnsi="Amiri" w:eastAsia="Amiri" w:cs="Amiri"/>
          <w:color w:val="111111"/>
          <w:sz w:val="28"/>
          <w:sz w:val="28"/>
          <w:szCs w:val="28"/>
          <w:rtl w:val="true"/>
          <w:lang w:bidi="ar-SA"/>
        </w:rPr>
        <w:t>تقارنهما في هذه الملاحظة وإن تقدّم أحدهما على الآخر بحسب الذات ، فالحاكم في مثل المقام هو رجحان أحد التصرّفين على الآخر ، وقد عرفت أنّ التخصيص أرجح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يظهر فساد القول بالوقف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فيه أيضا ظاهر ممّا مرّ ، إلاّ أنّ القائل بالنسخ في المقام الأوّل يقول به في الثاني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يجهل التقارن والتقدّم ، سواء علم تاريخ أحدهما أو لم يعلم ، والظاهر هو التخصيص في جميع الصور ؛ لأنّ الواقع لا يخلو عن إحدى الصور المتقدّمة ، وقد عرفت أنّ التخصيص هو الراجح فيها</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4588638_1280447820"/>
      <w:bookmarkStart w:id="170" w:name="_Toc51"/>
      <w:bookmarkEnd w:id="169"/>
      <w:r>
        <w:rPr>
          <w:rtl w:val="true"/>
        </w:rPr>
        <w:t xml:space="preserve">وينبغي التنبيه على أمور مهمّة </w:t>
      </w:r>
      <w:r>
        <w:rPr>
          <w:rtl w:val="true"/>
        </w:rPr>
        <w:t>:</w:t>
      </w:r>
      <w:bookmarkEnd w:id="170"/>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يظهر الثمرة بين النسخ والتخصيص فيما إذا ورد مخصّصان مستوعبان للعامّ ، فعلى التخصيص يقع التعارض ، لاستهجان استيعاب التخصيص ، بخلاف النسخ ، ومثله ما إذا قلنا باستهجان تخصيص الأكثر وورد خاصّ مشتمل على حكم أكثر الأفراد ، فإنّه على النسخ لا ضير فيه ، بخلاف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موارد إمكان ظهور الثمرة ما إذا كان الخاصّ ظنّيّا والعامّ قطعيّا وقلنا بعدم جواز نسخ القطعيّ بالظنّي ، فإنّه يحمل على التخصيص ، فتأمّل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بعض الهدايات </w:t>
      </w:r>
      <w:r>
        <w:rPr>
          <w:rStyle w:val="FootnoteAnchor"/>
          <w:rtl w:val="true"/>
        </w:rPr>
        <w:footnoteReference w:id="462"/>
      </w:r>
      <w:r>
        <w:rPr>
          <w:rFonts w:ascii="Amiri" w:hAnsi="Amiri" w:eastAsia="Amiri" w:cs="Amiri"/>
          <w:color w:val="111111"/>
          <w:sz w:val="28"/>
          <w:sz w:val="28"/>
          <w:szCs w:val="28"/>
          <w:rtl w:val="true"/>
          <w:lang w:bidi="ar-SA"/>
        </w:rPr>
        <w:t>أنّ تقدّم العامّ على الخاصّ لا يخلو عن إشكال ؛ لاستلزامه إمّا النسخ بعد انقطاع زمان الوحي والإجماع على خلافه ، وإمّا تأخير البيان عن وقت الحاجة التي اتّفقت كلمة أهل المعقول على بطلانه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والجواب عن ذلك ما أشرنا إليه في محلّه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الخاصّ الوارد في كلام العسكري عليه‌السلام لعلّه كاشف عن خاصّ مقارن للعامّ الوارد في كلام النبيّ صلى‌اللّه‌عليه‌وآله أو أنّ العموم حكم ظاهريّ لمن لم يبلغه حكمه الخاصّ ، وإنّما أخفاه من أظهر العامّ لحكمة داعية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القطع بأنّ الأحكام الشرعيّة إنّما بلّغها النبيّ صلى‌اللّه‌عليه‌وآله على وجه التدريج ، كما يقضي به العادة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عدم جريان النسخ إلاّ في مورد يكون فيه عموم زمانيّ قابل للتخصيص ، إذ بدونه لا وجه لاحتمال النسخ ، سواء لم يكن هناك ما يتعلّق بحكم الزمان أو كان ولم يكن قابلا للتخصيص ، كما إذا كان من الأدلّة اللبيّة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موارد احتمال النسخ في غاية القلّة ، فإنّ اقتران الخطابات بعموم زمانيّ قليل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تبيّن وجه العموم 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كعموم ما دلّ على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محمّد صلى‌اللّه‌عليه‌وآله حلال إلى يوم القيامة </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 xml:space="preserve">وكظهور الأدلّة الخاصّة مثل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الكلب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العموم ، وكظهور تأسيس الشرائع والأحكام في العموم ، كاستصحاب الأحكام ، وكإطلاق الأوامر بالنسبة إلى الأزمان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إنّما هو في بيان عدم انقراض أصل الشريعة ، ولا ينافي ذلك نسخ بعض أحكامها ، كما يظهر من موارد ثبوت النسخ ، فإنّها لا تنافي الأخبار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كالثالث ، ولا دلالة فيهما على العموم ، وعلى تقديره فلا يقبل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الاستصحاب فهو ممّا لا مساس له بالمقام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الأوامر لا يجدي ، كما لا يخفى</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على تقدير وجود العامّ الزماني فمرجع البحث إلى تعارض الظاهرين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اشتهر عندهم أنّه ربّ عامّ يقدّم على الخاصّ وهو بظاهره ينافي ما قرّرنا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أصالة الحقيقة في العامّ إنّما يعتمد عليها ما لم يقم دليل على خلافها ، والمفروض أنّ الخاصّ إذا بلغ إلى أدنى مراتب الاعتبار يكون دليلا ، فيجب تقديمه على العامّ ولو كان في أعلى مدارج الاعتبار ، فلا بدّ أن يكون ذلك مقصورا فيما إذا كان الخاصّ موهونا من جهة السند ، كما إذا كان ممّا قد أعرض عنه المشهور بناء على أنّ ذلك من الموهنات للرواية ، من غير فرق في ذلك بين تعدّد العام وانفراده ، فإنّ نسبة الخاصّ إلى جميع العمومات المخالفة نسبة واحدة ؛ ولذا استقرّ بناؤهم على التخصيص في موارد تعدّده ، مثل استقراره في مورد انفراده كما يظهر بالتتبّع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قد يظهر لهذه القاعدة مورد آخر ، وهو ما إذا كان العامّ غير قابل للتخصيص ، لوروده في مقام الامتنان أو مثل ذلك من الامور التي يستنكر معها التخصيص ، فإنّ العامّ فيها يقدّم على الخاصّ ، بل لعلّه هو أغلب موارد استعمال تلك القضيّة بل كلّها ، نظرا إلى أنّ الخاصّ إذا لم يكن حجّة لا وجه للقول بتقدّم العامّ عليه ، إذ على تقدير عدم العامّ أيضا يجب الرجوع إلى دليل آخر غير الخاصّ ، كما لا يخفى</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يظهر من بعضهم </w:t>
      </w:r>
      <w:r>
        <w:rPr>
          <w:rStyle w:val="FootnoteAnchor"/>
          <w:rtl w:val="true"/>
        </w:rPr>
        <w:footnoteReference w:id="464"/>
      </w:r>
      <w:r>
        <w:rPr>
          <w:rFonts w:ascii="Amiri" w:hAnsi="Amiri" w:eastAsia="Amiri" w:cs="Amiri"/>
          <w:color w:val="111111"/>
          <w:sz w:val="28"/>
          <w:sz w:val="28"/>
          <w:szCs w:val="28"/>
          <w:rtl w:val="true"/>
          <w:lang w:bidi="ar-SA"/>
        </w:rPr>
        <w:t>تقديم العامّ على الخاصّ فيما إذا كان العامّ مقرونا بشيء من المرجّحات التي تراعى في السند ، كموافقته للكتاب أو مخالفته للعامّة ، ونحو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ولعلّه خلط بينهما ، فإنّ المقام لا بدّ فيه من مراعاة المرجّحات المعمولة في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المرجّح السندي فلا ينبغي استعماله فيه ، إذ إعمال تلك المرجّحات إنّما يؤكّد الظنّ بصدور العامّ وهو لا يؤثّر فيما هو محلّ التعارض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قطعيّا أيضا لا يجدي ، لما عرفت من تخصيص الكتاب بالخبر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ويوميك إلى ذلك ملاحظة كلمات العلماء في الفروع والاصول ، فإنّه لم يعهد منهم تقديم الرواية المشتملة على العموم على الخاصّ بواسطة أعدليّة راويها ، إلى غير ذلك من مراتب الترجيح ، وما ذكرنا من الوضوح بمكان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ما قرّرنا في بحث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العرف بعد اطّلاعهم على ما فيه من التنافي لا يلتفتون إلى السند ما لم يعجزوا عن الدلالة ، وبعد عدم الالتفات إلى السند لا معنى للتعويل على التراجيح المعمولة في السند ، كما لا يخفى على المتدبّر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أنّه لا يصلح ذلك وجها في دفع الإشكال المذكور في الأمر الواقع ، كما عساه يتوهّم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بعض الفضلاء أنّ العامّ إذا خصّ بمخصّص ثمّ طرأ ورود مخصّص آخر له ينقلب النسبة بين العام والخاصّ الثاني عموما من وجه ؛ لأنّ التخصيص الأوّل تغيّر في موضوع العامّ وبذلك يحصل في الخاص جهة عموم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نبهنا على فساد ذلك مرارا ، فإنّ المخصّصات متساوية الأقدام بالنسبة إلى العامّ في مراد اللافظ وإن تقدّم أحدهما على الآخر من حيث وجود الكاشف عنه ؛ مضافا إلى أنّ الحكم بالتقديم أيضا في الأغلب بالنسبة إلى الروايات </w:t>
      </w:r>
    </w:p>
    <w:p>
      <w:pPr>
        <w:pStyle w:val="BookText"/>
        <w:rPr/>
      </w:pPr>
      <w:r>
        <w:rPr>
          <w:rFonts w:ascii="Amiri" w:hAnsi="Amiri" w:eastAsia="Amiri" w:cs="Amiri"/>
          <w:color w:val="111111"/>
          <w:sz w:val="28"/>
          <w:sz w:val="28"/>
          <w:szCs w:val="28"/>
          <w:rtl w:val="true"/>
          <w:lang w:bidi="ar-SA"/>
        </w:rPr>
        <w:t>في غاية الصعوبة ، لعدم العلم بالتاريخ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بورود المخصّص والاطّلاع عليه مقدّما على الآخر ممّا لا ينبغي أن يصغى إلى احتمال تأثيره في المقام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عامّ كتابي ووافقه خاصّ آخر ثمّ عارضه خاصّ مقترن بمرجّح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كمخالفته للعامّة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العبرة بالخاصّ الموافق للكتاب أو بالخاص المعارض؟ الأقرب الثاني ، لدوران الأمر بين الأخذ بموافق الكتاب وطرح الخاص المخالف لا من ترجيح ، وبين الأخذ بالمخالف والتخصيص وطرح الخاصّ الموافق بواسطة ما يوجب ترجيح معارضه عليه ، ولا ريب أنّ الثاني أولى ، إذ به يرتفع موضوع الموافقة ، فلا مرجّح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لو قدّم الخاصّ الموافق ، فإنّ لازمه وجود موضوع المرجّح الآخر وعدم ثبوت الحكم له </w:t>
      </w:r>
      <w:r>
        <w:rPr>
          <w:rStyle w:val="FootnoteAnchor"/>
          <w:rtl w:val="true"/>
        </w:rPr>
        <w:footnoteReference w:id="466"/>
      </w:r>
      <w:r>
        <w:rPr>
          <w:rFonts w:ascii="Amiri" w:hAnsi="Amiri" w:eastAsia="Amiri" w:cs="Amiri"/>
          <w:color w:val="111111"/>
          <w:sz w:val="28"/>
          <w:sz w:val="28"/>
          <w:szCs w:val="28"/>
          <w:rtl w:val="true"/>
          <w:lang w:bidi="ar-SA"/>
        </w:rPr>
        <w:t>وذلك نظير ما قلنا في ترجيح الأصل الحاكم في دخوله تحت دليله على الأصل المحكوم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موافقة الآخر للكتاب مرجّح فيتعارض المرجّحان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الموافقة فرع لعدم اعتبار المخالف وعدم اعتباره فرع وجود الموافقة وهو دور صريح ، فلا بدّ من تقديم الخبر المرجّح بغير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قدّمنا في مباحث تخصيص الكتاب بالخبر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الموافقة والمخالفة لا يراد بهما موافقة الظاهر ومخالفته من الكتاب ، وقد نبّهنا على ذلك في باب التعارض </w:t>
      </w:r>
      <w:r>
        <w:rPr>
          <w:rStyle w:val="FootnoteAnchor"/>
          <w:rtl w:val="true"/>
        </w:rPr>
        <w:footnoteReference w:id="467"/>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 بعض الصور المتقدّمة </w:t>
      </w:r>
      <w:r>
        <w:rPr>
          <w:rStyle w:val="FootnoteAnchor"/>
          <w:rtl w:val="true"/>
        </w:rPr>
        <w:footnoteReference w:id="468"/>
      </w:r>
      <w:r>
        <w:rPr>
          <w:rFonts w:ascii="Amiri" w:hAnsi="Amiri" w:eastAsia="Amiri" w:cs="Amiri"/>
          <w:color w:val="111111"/>
          <w:sz w:val="28"/>
          <w:sz w:val="28"/>
          <w:szCs w:val="28"/>
          <w:rtl w:val="true"/>
          <w:lang w:bidi="ar-SA"/>
        </w:rPr>
        <w:t>أنّ الخاصّ إن ورد قبل حضور وقت العمل بالعامّ فهو مخصّص بناء على عدم جواز النسخ حينئذ ، وإن ورد بعده فهو ناسخ بناء على عدم جواز تأخير البيان عن وقت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 في وروده قبل الحضور أو بعده ، فإمّا أن يجهل زمان العمل بالعامّ وورود الخاص كليهما ، أو يعلم أحدهما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لتعيين أحد المجهولين بأصالة التأخّر ، إلاّ أنّه مع ذلك يحكم بالتخصيص للغلبة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 زمان العمل بالعامّ وشكّ في ورود الخاصّ قبله حتّى يكون مخصّصا أو بعده حتى يكون ناسخا ، فبأصالة تأخّر ورود الحادث يحكم بكونه واردا بعد زمان العمل ويحكم بكونه ناسخا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 الاصول التي لا تعويل عليها ؛ لأنّ الناسخيّة ليست من أحكام عدم ذلك الحادث في زمان وجود الحادث الآخر ، بل إنّما هو من أحكام تأخّره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وإن كان من لوازم ذلك العدم ، إلاّ أنّه لازم عقليّ ولا دليل على ترتّبه على الملزوم بالاستصحاب ، كما تقرّر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ذلك ما قرّرنا في محلّه من اعتبار هذه الاصول فيما يتعلّق بمراد الألفاظ وأوضاعها ، فإنّ ذلك ليس منها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علم زمان ورود الخاصّ وشكّ في حضور وقت العمل بالعامّ ، فبأصالة التأخّر أيضا يمكن القول بالتخصيص ، إلاّ أنّ فيه أيضا ما عرفت ، مع ما فيه من التأمّل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 الأجلّة </w:t>
      </w:r>
      <w:r>
        <w:rPr>
          <w:rStyle w:val="FootnoteAnchor"/>
          <w:rtl w:val="true"/>
        </w:rPr>
        <w:footnoteReference w:id="469"/>
      </w:r>
      <w:r>
        <w:rPr>
          <w:rFonts w:ascii="Amiri" w:hAnsi="Amiri" w:eastAsia="Amiri" w:cs="Amiri"/>
          <w:color w:val="111111"/>
          <w:sz w:val="28"/>
          <w:sz w:val="28"/>
          <w:szCs w:val="28"/>
          <w:rtl w:val="true"/>
          <w:lang w:bidi="ar-SA"/>
        </w:rPr>
        <w:t>في آخر المبحث تتمة ، وحاصلها أنّه إذا فعل النبيّ صلى‌اللّه‌عليه‌وآله ما يخالف العامّ ، فلا إشكال في تخصيصه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بالنسبة إلى </w:t>
      </w:r>
    </w:p>
    <w:p>
      <w:pPr>
        <w:pStyle w:val="BookText"/>
        <w:rPr/>
      </w:pPr>
      <w:r>
        <w:rPr>
          <w:rFonts w:ascii="Amiri" w:hAnsi="Amiri" w:eastAsia="Amiri" w:cs="Amiri"/>
          <w:color w:val="111111"/>
          <w:sz w:val="28"/>
          <w:sz w:val="28"/>
          <w:szCs w:val="28"/>
          <w:rtl w:val="true"/>
          <w:lang w:bidi="ar-SA"/>
        </w:rPr>
        <w:t xml:space="preserve">غيره هل يقال بالتخصيص ، لعموم التأسّي </w:t>
      </w:r>
      <w:r>
        <w:rPr>
          <w:rStyle w:val="FootnoteAnchor"/>
          <w:rtl w:val="true"/>
        </w:rPr>
        <w:footnoteReference w:id="470"/>
      </w:r>
      <w:r>
        <w:rPr>
          <w:rFonts w:ascii="Amiri" w:hAnsi="Amiri" w:eastAsia="Amiri" w:cs="Amiri"/>
          <w:color w:val="111111"/>
          <w:sz w:val="28"/>
          <w:sz w:val="28"/>
          <w:szCs w:val="28"/>
          <w:rtl w:val="true"/>
          <w:lang w:bidi="ar-SA"/>
        </w:rPr>
        <w:t>أو لا؟ قولان ، ثمّ اختار العدم نظرا إلى أنّ عموم التأسّي يعارض العامّ المخصّص بفعله صلى‌اللّه‌عليه‌وآله تعارض العموم من وجه ، والمرجع فيه بعد عدم المرجح هو الإجمال والتوقّف فلا 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المخصّص لعموم العامّ ليس عموم التأسّي وحده بل هو مع الفعل وهو أقوى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التنافي بين العامّين إنّما هو بسبب الفعل ، فلا اختصاص له بأحدهما ، إذ كما يمكن تخصيص العامّ بعموم التأسّي مع الفعل كذلك يمكن تخصيص عموم التأسّي بعموم العامّ مع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على نفسه بأنّ العبرة في مقام التعارض بنفس الدليل لا بدليل الدليل وإلاّ لم يتحقّق لنا في الأدلّة دليل خاصّ ، إذ مرجع حجية كلّ دليل إلى أدلة عامة ، والفعل هنا خاص وإن كان دليل حجّيّته عامّا ، فيجب تخصيص العامّ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أجاب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يتمّ ما ذكر إذا كان الخاصّ دالاّ في نفسه وإلاّ كان التعارض بين دلالتي العامّين كما في المقام ، فإنّ الفعل مشخّص لعنوان أحد العامّين ، وليس بدالّ </w:t>
      </w:r>
      <w:r>
        <w:rPr>
          <w:rStyle w:val="FootnoteAnchor"/>
          <w:rtl w:val="true"/>
        </w:rPr>
        <w:footnoteReference w:id="471"/>
      </w:r>
      <w:r>
        <w:rPr>
          <w:rFonts w:ascii="IRNazanin" w:hAnsi="IRNazanin" w:eastAsia="IRNazanin"/>
          <w:color w:val="111111"/>
          <w:sz w:val="28"/>
          <w:sz w:val="28"/>
          <w:szCs w:val="28"/>
          <w:rtl w:val="true"/>
          <w:lang w:bidi="fa-IR"/>
        </w:rPr>
        <w:t>، انتهى ما أردنا نقله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ومواقع النظر في كلامه غير خفيّة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 يظهر منه في جواب ما أورده على نفسه من تسليم كون عمومات التأسّي دليل الدليل ممّا لا وجه له ؛ لأنّ دليل الدليل هو ما يتوقّف عليه اعتباره بعد أن كان له دلالة كآية النبأ </w:t>
      </w:r>
      <w:r>
        <w:rPr>
          <w:rStyle w:val="FootnoteAnchor"/>
          <w:rtl w:val="true"/>
        </w:rPr>
        <w:footnoteReference w:id="472"/>
      </w:r>
      <w:r>
        <w:rPr>
          <w:rFonts w:ascii="Amiri" w:hAnsi="Amiri" w:eastAsia="Amiri" w:cs="Amiri"/>
          <w:color w:val="111111"/>
          <w:sz w:val="28"/>
          <w:sz w:val="28"/>
          <w:szCs w:val="28"/>
          <w:rtl w:val="true"/>
          <w:lang w:bidi="ar-SA"/>
        </w:rPr>
        <w:t xml:space="preserve">بالنسبة إلى قول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عليك كذا ، وعمومات التأسّي على ذلك المنوال بالنسبة إلى الفعل ، فإنّ الفعل من موارد ظهور </w:t>
      </w:r>
    </w:p>
    <w:p>
      <w:pPr>
        <w:pStyle w:val="BookText"/>
        <w:rPr/>
      </w:pPr>
      <w:r>
        <w:rPr>
          <w:rFonts w:ascii="Amiri" w:hAnsi="Amiri" w:eastAsia="Amiri" w:cs="Amiri"/>
          <w:color w:val="111111"/>
          <w:sz w:val="28"/>
          <w:sz w:val="28"/>
          <w:szCs w:val="28"/>
          <w:rtl w:val="true"/>
          <w:lang w:bidi="ar-SA"/>
        </w:rPr>
        <w:t xml:space="preserve">ذلك العموم ومظهر وروده كما لعلّه </w:t>
      </w:r>
      <w:r>
        <w:rPr>
          <w:rStyle w:val="FootnoteAnchor"/>
          <w:rtl w:val="true"/>
        </w:rPr>
        <w:footnoteReference w:id="473"/>
      </w:r>
      <w:r>
        <w:rPr>
          <w:rFonts w:ascii="Amiri" w:hAnsi="Amiri" w:eastAsia="Amiri" w:cs="Amiri"/>
          <w:color w:val="111111"/>
          <w:sz w:val="28"/>
          <w:sz w:val="28"/>
          <w:szCs w:val="28"/>
          <w:rtl w:val="true"/>
          <w:lang w:bidi="ar-SA"/>
        </w:rPr>
        <w:t xml:space="preserve">يشعر به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الفعل مشخّص لعنوان أحد العامّين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عموم التأسّي إنّما تكفّل حكم موارد فعل النبي صلى‌اللّه‌عليه‌وآله فيكون موارد الفعل موضوعا لدليل التأسّي ، فعمومه دليل لنفس التأسّي والمتابعة ، لا للفعل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يظهر منه أيضا في الجواب من إمكان معارضة دليل الدليل والدليل الآخر إذا لم يكن بنفسه دالاّ ، ظاهر الفساد ؛ لأنّ دليل الدليل لا يرتبط بالدليل الآخر بنفسه حتّى يتصوّر فيه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يمكن المعارضة بين دليل الدليلين ، وذلك من الأمور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توجيه كلامه على وجه لا يرد عليه ما أوردنا ، فتدبّر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والحمد لله ربّ العالمين ، والصلاة على محمّد وآله الطاهرين ، ولعنة اللّه على أعدائهم أجمعين</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1" w:name="pg16264_169543"/>
    </w:p>
    <w:p>
      <w:pPr>
        <w:pStyle w:val="BookText"/>
        <w:rPr/>
      </w:pPr>
      <w:bookmarkEnd w:id="171"/>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72" w:name="__RefHeading___Toc4588640_1280447820"/>
      <w:bookmarkStart w:id="173" w:name="_Toc52"/>
      <w:bookmarkEnd w:id="172"/>
      <w:r>
        <w:rPr>
          <w:rtl w:val="true"/>
        </w:rPr>
        <w:t>القول في المطلق والمقيّد</w:t>
      </w:r>
      <w:bookmarkEnd w:id="173"/>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4" w:name="__RefHeading___Toc4588642_1280447820"/>
      <w:bookmarkStart w:id="175" w:name="_Toc53"/>
      <w:bookmarkEnd w:id="174"/>
      <w:r>
        <w:rPr>
          <w:rtl w:val="true"/>
        </w:rPr>
        <w:t>اشارة</w:t>
      </w:r>
      <w:bookmarkEnd w:id="175"/>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 w:name="pg16264_169545"/>
      <w:bookmarkStart w:id="177" w:name="pg16264_169545"/>
      <w:bookmarkEnd w:id="177"/>
    </w:p>
    <w:p>
      <w:pPr>
        <w:pStyle w:val="BookText"/>
        <w:rPr/>
      </w:pPr>
      <w:bookmarkStart w:id="178" w:name="pg16264_169545"/>
      <w:bookmarkEnd w:id="178"/>
      <w:r>
        <w:rPr>
          <w:rFonts w:ascii="Amiri" w:hAnsi="Amiri" w:eastAsia="Amiri" w:cs="Amiri"/>
          <w:color w:val="111111"/>
          <w:sz w:val="28"/>
          <w:sz w:val="28"/>
          <w:szCs w:val="28"/>
          <w:rtl w:val="true"/>
          <w:lang w:bidi="ar-SA"/>
        </w:rPr>
        <w:t xml:space="preserve">وتنقيح البحث فيه بطيّ هدايات </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4588644_1280447820"/>
      <w:bookmarkStart w:id="180" w:name="_Toc54"/>
      <w:bookmarkEnd w:id="179"/>
      <w:r>
        <w:rPr>
          <w:rtl w:val="true"/>
        </w:rPr>
        <w:t>هداية</w:t>
      </w:r>
      <w:bookmarkEnd w:id="180"/>
    </w:p>
    <w:p>
      <w:pPr>
        <w:pStyle w:val="BookText"/>
        <w:rPr/>
      </w:pPr>
      <w:r>
        <w:rPr>
          <w:rFonts w:ascii="Amiri" w:hAnsi="Amiri" w:eastAsia="Amiri" w:cs="Amiri"/>
          <w:color w:val="111111"/>
          <w:sz w:val="28"/>
          <w:sz w:val="28"/>
          <w:szCs w:val="28"/>
          <w:rtl w:val="true"/>
          <w:lang w:bidi="ar-SA"/>
        </w:rPr>
        <w:t xml:space="preserve">عرّف المطلق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شايع في 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وفسّره غير واحد منهم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حصّة محتملة لحصص كثيرة ممّا يندرج تحت أمر مشترك </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تفسير للمدلول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فالمراد بالموصولة بقرينة الصلة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وقوعه في مباحث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اللفظ الموضوع والمراد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يظهر من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الكلّي المأخوذ باعتبار إضافته إلى قيد ما ، فإنّ ذلك هو المعهود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يخرج ما دل على الماهيّة الغير الملحوظة عن الحدّ ، فإنّها لم يلاحظ فيها الإضافة إلى شيء كاسم الجنس</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احتمالها لحصص كثيرة فليس المراد منها الحصص التي هي في عرض الحصّة المفروضة كما هو ظاهر وإن كان قد يوهمه ظاهر التفسير ، بل المراد الحصص التي تلاحظ في تلك الحصّة المفروضة ويحتملها باعتبار </w:t>
      </w:r>
    </w:p>
    <w:p>
      <w:pPr>
        <w:pStyle w:val="BookText"/>
        <w:rPr/>
      </w:pPr>
      <w:r>
        <w:rPr>
          <w:rFonts w:ascii="Amiri" w:hAnsi="Amiri" w:eastAsia="Amiri" w:cs="Amiri"/>
          <w:color w:val="111111"/>
          <w:sz w:val="28"/>
          <w:sz w:val="28"/>
          <w:szCs w:val="28"/>
          <w:rtl w:val="true"/>
          <w:lang w:bidi="ar-SA"/>
        </w:rPr>
        <w:t xml:space="preserve">إضافتها إلى قيد آخر غير ما فرض فيها ، والاحتمال ليس على وجه الشمول والاستغراق لجميع ما يحتمله تلك الحصّة كما يشعر به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التفسير ممّا لا يأباه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خرج العامّ ، فانّه يدلّ على الحصّة المستغرقة لجميع ما يحتملها </w:t>
      </w:r>
      <w:r>
        <w:rPr>
          <w:rStyle w:val="FootnoteAnchor"/>
          <w:rtl w:val="true"/>
        </w:rPr>
        <w:footnoteReference w:id="476"/>
      </w:r>
      <w:r>
        <w:rPr>
          <w:rFonts w:ascii="Amiri" w:hAnsi="Amiri" w:eastAsia="Amiri" w:cs="Amiri"/>
          <w:color w:val="111111"/>
          <w:sz w:val="28"/>
          <w:sz w:val="28"/>
          <w:szCs w:val="28"/>
          <w:rtl w:val="true"/>
          <w:lang w:bidi="ar-SA"/>
        </w:rPr>
        <w:t>من الحصص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يعمّ احتمال النكرة التي لا تصدق دفعة على فردين لتقيدها بالفرد الواحد </w:t>
      </w:r>
      <w:r>
        <w:rPr>
          <w:rStyle w:val="FootnoteAnchor"/>
          <w:rtl w:val="true"/>
        </w:rPr>
        <w:footnoteReference w:id="477"/>
      </w:r>
      <w:r>
        <w:rPr>
          <w:rFonts w:ascii="Amiri" w:hAnsi="Amiri" w:eastAsia="Amiri" w:cs="Amiri"/>
          <w:color w:val="111111"/>
          <w:sz w:val="28"/>
          <w:sz w:val="28"/>
          <w:szCs w:val="28"/>
          <w:rtl w:val="true"/>
          <w:lang w:bidi="ar-SA"/>
        </w:rPr>
        <w:t xml:space="preserve">واحتمال الطبيعة الملحوظة مع شيء ما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التفسير يشكل مطابقته لاحتمال النكرة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شمول العدّ لهذا القسم من المطلق أيضا ، كما يظهر به خروج الأعلام الشخصيّة من الحدّ ، لعدم الاحتمال فيها إلاّ لمعيّن خاصّ </w:t>
      </w:r>
      <w:r>
        <w:rPr>
          <w:rStyle w:val="FootnoteAnchor"/>
          <w:rtl w:val="true"/>
        </w:rPr>
        <w:footnoteReference w:id="478"/>
      </w:r>
      <w:r>
        <w:rPr>
          <w:rFonts w:ascii="Amiri" w:hAnsi="Amiri" w:eastAsia="Amiri" w:cs="Amiri"/>
          <w:color w:val="111111"/>
          <w:sz w:val="28"/>
          <w:sz w:val="28"/>
          <w:szCs w:val="28"/>
          <w:rtl w:val="true"/>
          <w:lang w:bidi="ar-SA"/>
        </w:rPr>
        <w:t>؛ ويلحق به المعهود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المعهود الذهني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يلحق بالنكرة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المعرّف بلام الجنس المأخوذ معه إضافته إلى بعض قيوده كالرقبة المؤمنة فلم يدلّ على خروجه عن الحدّ شيء ، سيّما بعد ملاحظة التفسير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المبهمات فهي خارجة عن الحدّ ، إمّا من جهة العموم المستفاد من بعضها كما في الموصولات ، وإمّا من جهة أنّ الشيوع فيها ليس في جنس ، إذ مداليلها هي الذوات الخارجية من دون أن يكون ملحوظا في كونها موضوعا لها كونها معنونة بعنوان وإن كان ملاحظة العنوان في نفس الوضع ممّا لا مناص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وبعبارة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الواضع لمّا حاول 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المفرد المذكّر العاقل وجعل ذلك اللفظ تعبيرا عن ذوات ذلك العنوان ، من دون أن يكون ذلك العنوان ملحوظا في الموضوع له ، كما يظهر بملاحظة مرادفه بالفارسيّة ، فالشيوع فيها ليس في أمر مشترك معبّر عنه بالجنس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الاستفهاميّتين أيضا وغيرهما من أدوات الاستفهام ، فإنّ تلك الألفاظ لا يراد منها إلاّ مجرّد إراءة الذات الخارجية على وجه الاستفهام ، من دون دلالته </w:t>
      </w:r>
      <w:r>
        <w:rPr>
          <w:rStyle w:val="FootnoteAnchor"/>
          <w:rtl w:val="true"/>
        </w:rPr>
        <w:footnoteReference w:id="479"/>
      </w:r>
      <w:r>
        <w:rPr>
          <w:rFonts w:ascii="Amiri" w:hAnsi="Amiri" w:eastAsia="Amiri" w:cs="Amiri"/>
          <w:color w:val="111111"/>
          <w:sz w:val="28"/>
          <w:sz w:val="28"/>
          <w:szCs w:val="28"/>
          <w:rtl w:val="true"/>
          <w:lang w:bidi="ar-SA"/>
        </w:rPr>
        <w:t>على كونها حصّة من الماهية ومعنونا بعنوان الجنس والأمر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هو من قبيل عامّ الوضع وخاصّ الموضوع له لا دلالة فيه على عنوان وإن لوحظ في وضعه العنوان آلة لملاحظة الذوات ، فإنّ الموضوع له حقيقة هي الذوات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ملاحظة العنوان في الوضع إنّما يجعل </w:t>
      </w:r>
      <w:r>
        <w:rPr>
          <w:rStyle w:val="FootnoteAnchor"/>
          <w:rtl w:val="true"/>
        </w:rPr>
        <w:footnoteReference w:id="480"/>
      </w:r>
      <w:r>
        <w:rPr>
          <w:rFonts w:ascii="Amiri" w:hAnsi="Amiri" w:eastAsia="Amiri" w:cs="Amiri"/>
          <w:color w:val="111111"/>
          <w:sz w:val="28"/>
          <w:sz w:val="28"/>
          <w:szCs w:val="28"/>
          <w:rtl w:val="true"/>
          <w:lang w:bidi="ar-SA"/>
        </w:rPr>
        <w:t xml:space="preserve">في عدم التجاوز </w:t>
      </w:r>
      <w:r>
        <w:rPr>
          <w:rStyle w:val="FootnoteAnchor"/>
          <w:rtl w:val="true"/>
        </w:rPr>
        <w:footnoteReference w:id="481"/>
      </w:r>
      <w:r>
        <w:rPr>
          <w:rFonts w:ascii="Amiri" w:hAnsi="Amiri" w:eastAsia="Amiri" w:cs="Amiri"/>
          <w:color w:val="111111"/>
          <w:sz w:val="28"/>
          <w:sz w:val="28"/>
          <w:szCs w:val="28"/>
          <w:rtl w:val="true"/>
          <w:lang w:bidi="ar-SA"/>
        </w:rPr>
        <w:t xml:space="preserve">عن مصاديقه والذوات الصادقة عليها ذلك العنوان الملحوظ في الوضع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يعرف أنّه لا وجه لما زعمه </w:t>
      </w:r>
      <w:r>
        <w:rPr>
          <w:rStyle w:val="FootnoteAnchor"/>
          <w:rtl w:val="true"/>
        </w:rPr>
        <w:footnoteReference w:id="483"/>
      </w:r>
      <w:r>
        <w:rPr>
          <w:rFonts w:ascii="Amiri" w:hAnsi="Amiri" w:eastAsia="Amiri" w:cs="Amiri"/>
          <w:color w:val="111111"/>
          <w:sz w:val="28"/>
          <w:sz w:val="28"/>
          <w:szCs w:val="28"/>
          <w:rtl w:val="true"/>
          <w:lang w:bidi="ar-SA"/>
        </w:rPr>
        <w:t xml:space="preserve">بعض الأجلّة </w:t>
      </w:r>
      <w:r>
        <w:rPr>
          <w:rStyle w:val="FootnoteAnchor"/>
          <w:rtl w:val="true"/>
        </w:rPr>
        <w:footnoteReference w:id="484"/>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الاستفهاميّتين يردان على طرد الحدّ ، لدلالتهما على معنى شائع في أفراد </w:t>
      </w:r>
    </w:p>
    <w:p>
      <w:pPr>
        <w:pStyle w:val="BookText"/>
        <w:rPr/>
      </w:pPr>
      <w:r>
        <w:rPr>
          <w:rFonts w:ascii="Amiri" w:hAnsi="Amiri" w:eastAsia="Amiri" w:cs="Amiri"/>
          <w:color w:val="111111"/>
          <w:sz w:val="28"/>
          <w:sz w:val="28"/>
          <w:szCs w:val="28"/>
          <w:rtl w:val="true"/>
          <w:lang w:bidi="ar-SA"/>
        </w:rPr>
        <w:t xml:space="preserve">جنسه أعني جنس </w:t>
      </w:r>
      <w:r>
        <w:rPr>
          <w:rStyle w:val="FootnoteAnchor"/>
          <w:rtl w:val="true"/>
        </w:rPr>
        <w:footnoteReference w:id="485"/>
      </w:r>
      <w:r>
        <w:rPr>
          <w:rFonts w:ascii="IRNazanin" w:hAnsi="IRNazanin" w:eastAsia="IRNazanin"/>
          <w:color w:val="111111"/>
          <w:sz w:val="28"/>
          <w:sz w:val="28"/>
          <w:szCs w:val="28"/>
          <w:rtl w:val="true"/>
          <w:lang w:bidi="fa-IR"/>
        </w:rPr>
        <w:t xml:space="preserve">العاقل </w:t>
      </w:r>
      <w:r>
        <w:rPr>
          <w:rStyle w:val="FootnoteAnchor"/>
          <w:rtl w:val="true"/>
        </w:rPr>
        <w:footnoteReference w:id="486"/>
      </w:r>
      <w:r>
        <w:rPr>
          <w:rFonts w:ascii="Amiri" w:hAnsi="Amiri" w:eastAsia="Amiri" w:cs="Amiri"/>
          <w:color w:val="111111"/>
          <w:sz w:val="28"/>
          <w:sz w:val="28"/>
          <w:szCs w:val="28"/>
          <w:rtl w:val="true"/>
          <w:lang w:bidi="ar-SA"/>
        </w:rPr>
        <w:t xml:space="preserve">وإنّما تكلّف لإخراج مثل ذلك من ألفاظ العموم البدلي بزيادة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شيوعا حكميّا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الشيوع فيهما 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ذلك كلّه على مذاق من زعم دلالتهما على العموم البدلي ، وهو مخالف لما ذهب إليه جمهور المحقّقين من الأصوليّين وأرباب الأدب من دلالتهما على العموم الاستغراقي ، كما يدلّ عليه اطّراد صحّة الاستثناء منهما ، كما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في الدار إلاّ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 جاء إلاّ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صحّة الاستثناء لا دليل فيها على العموم الشمولي في اللفظ ، ألا ترى أنّه يصحّ الاستثناء من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رجلا إلاّ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مفروض الصحّة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في الدار إلاّ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الوجه فيه بعد ظهور احتياج الاستثناء وافتقاره إلى الشمول وإلاّ لم يعقل الإخراج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معتبر في مفهومه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مرجع الاستثناء حقيقة في الكلام المذكور إنّما هو عن حكم عامّ شموليّ ، وهو جواز قيام كلّ فرد من أفراد الرجل مقام الآخر في مورد الامتثال المفهوم من الكلام ، وذلك ظاهر بعد أدنى تأمّل ، فعمومه الشمولي إنّما هو متصوّر في أدوات الاستفهام بواسطة عمومه البدلي ، كما لا يخفى على من تأمّل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w:t>
      </w:r>
      <w:r>
        <w:rPr>
          <w:rStyle w:val="FootnoteAnchor"/>
          <w:rtl w:val="true"/>
        </w:rPr>
        <w:footnoteReference w:id="488"/>
      </w:r>
      <w:r>
        <w:rPr>
          <w:rFonts w:ascii="Amiri" w:hAnsi="Amiri" w:eastAsia="Amiri" w:cs="Amiri"/>
          <w:color w:val="111111"/>
          <w:sz w:val="28"/>
          <w:sz w:val="28"/>
          <w:szCs w:val="28"/>
          <w:rtl w:val="true"/>
          <w:lang w:bidi="ar-SA"/>
        </w:rPr>
        <w:t xml:space="preserve">إنّه لا ريب في كون الإطلاق والتقييد من الأمور الإضافيّة ، فتارة يمكن اعتبار شيء على وجه الإطلاق كالرقبة المؤمنة بالنسبة إلى حصصها </w:t>
      </w:r>
    </w:p>
    <w:p>
      <w:pPr>
        <w:pStyle w:val="BookText"/>
        <w:rPr/>
      </w:pPr>
      <w:r>
        <w:rPr>
          <w:rFonts w:ascii="Amiri" w:hAnsi="Amiri" w:eastAsia="Amiri" w:cs="Amiri"/>
          <w:color w:val="111111"/>
          <w:sz w:val="28"/>
          <w:sz w:val="28"/>
          <w:szCs w:val="28"/>
          <w:rtl w:val="true"/>
          <w:lang w:bidi="ar-SA"/>
        </w:rPr>
        <w:t>المفروضة فيها ، وأخرى على وجه التقييد كما إذا لوحظ نفس الرقبة ، فمن هذه الجهة هي خارجة عن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 التقييد بين أن يكون حاصلا من اللفظ كما في المثال المذكور ، وبين أن يكون مفهوما من غيره كما في المطلق المنصرف إلى فرد خاصّ </w:t>
      </w:r>
      <w:r>
        <w:rPr>
          <w:rStyle w:val="FootnoteAnchor"/>
          <w:rtl w:val="true"/>
        </w:rPr>
        <w:footnoteReference w:id="489"/>
      </w:r>
      <w:r>
        <w:rPr>
          <w:rFonts w:ascii="Amiri" w:hAnsi="Amiri" w:eastAsia="Amiri" w:cs="Amiri"/>
          <w:color w:val="111111"/>
          <w:sz w:val="28"/>
          <w:sz w:val="28"/>
          <w:szCs w:val="28"/>
          <w:rtl w:val="true"/>
          <w:lang w:bidi="ar-SA"/>
        </w:rPr>
        <w:t>فإنّه باعتبار عدم احتماله لتمام حصصه المفروضة خارج عن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 ، بل ولا بدّ من إخراجه ؛ لأنّه من المقيّد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تعرف فساد ما أورده بعض الأجلّة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التفسير المذكور للحدّ يصدق على المطلق المقيد </w:t>
      </w:r>
      <w:r>
        <w:rPr>
          <w:rStyle w:val="FootnoteAnchor"/>
          <w:rtl w:val="true"/>
        </w:rPr>
        <w:footnoteReference w:id="490"/>
      </w:r>
      <w:r>
        <w:rPr>
          <w:rFonts w:ascii="Amiri" w:hAnsi="Amiri" w:eastAsia="Amiri" w:cs="Amiri"/>
          <w:color w:val="111111"/>
          <w:sz w:val="28"/>
          <w:sz w:val="28"/>
          <w:szCs w:val="28"/>
          <w:rtl w:val="true"/>
          <w:lang w:bidi="ar-SA"/>
        </w:rPr>
        <w:t>، إذ لا بأس به بل يجب المحافظة على دخوله في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تعرف فساد ما توهّمه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 الذي ذكره بعضهم </w:t>
      </w:r>
      <w:r>
        <w:rPr>
          <w:rStyle w:val="FootnoteAnchor"/>
          <w:rtl w:val="true"/>
        </w:rPr>
        <w:footnoteReference w:id="491"/>
      </w:r>
      <w:r>
        <w:rPr>
          <w:rFonts w:ascii="Amiri" w:hAnsi="Amiri" w:eastAsia="Amiri" w:cs="Amiri"/>
          <w:color w:val="111111"/>
          <w:sz w:val="28"/>
          <w:sz w:val="28"/>
          <w:szCs w:val="28"/>
          <w:rtl w:val="true"/>
          <w:lang w:bidi="ar-SA"/>
        </w:rPr>
        <w:t>يوجب خروج المطلق المنصرف ، ولذا أسقطه عن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الفساد ما عرفته ؛ مضافا إلى أنّ إسقاطه غير مفيد إن اريد به الجميع ، وان اريد به الشيوع في الجملة فيصدق على المقيّد أيضا ، فتأمّل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وعرّفه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الشهيد </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اللفظ الدالّ على الماهيّة من حيث هي هي </w:t>
      </w:r>
      <w:r>
        <w:rPr>
          <w:rStyle w:val="FootnoteAnchor"/>
          <w:rtl w:val="true"/>
        </w:rPr>
        <w:footnoteReference w:id="494"/>
      </w:r>
      <w:r>
        <w:rPr>
          <w:rFonts w:ascii="Amiri" w:hAnsi="Amiri" w:eastAsia="Amiri" w:cs="Amiri"/>
          <w:color w:val="111111"/>
          <w:sz w:val="28"/>
          <w:sz w:val="28"/>
          <w:szCs w:val="28"/>
          <w:rtl w:val="true"/>
          <w:lang w:bidi="ar-SA"/>
        </w:rPr>
        <w:t xml:space="preserve">والمراد من الماهية أعمّ من الماهية الغير الملحوظة معها شيء كالحيوان </w:t>
      </w:r>
    </w:p>
    <w:p>
      <w:pPr>
        <w:pStyle w:val="BookText"/>
        <w:rPr/>
      </w:pPr>
      <w:r>
        <w:rPr>
          <w:rFonts w:ascii="Amiri" w:hAnsi="Amiri" w:eastAsia="Amiri" w:cs="Amiri"/>
          <w:color w:val="111111"/>
          <w:sz w:val="28"/>
          <w:sz w:val="28"/>
          <w:szCs w:val="28"/>
          <w:rtl w:val="true"/>
          <w:lang w:bidi="ar-SA"/>
        </w:rPr>
        <w:t xml:space="preserve">مثلا من دون ملاحظة لحوق فصل من فصوله له ، ومن الملحوظة معها شيء كالحيوان الصاهل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كالرقبة المؤمنة ، من غير فرق بين التعبير عنها بما يكشف عن تلك الماهيّة المركّبة على وجه الإجمال كالفرس في المثال المذكور أو على وجه التفصيل كما في المثال المذكور ، فيشمل الحدّ لما هو غير مقيّد أصلا ولما هو مقيّد لكنّه ملحوظ من جهة إطلاقه في حصصه وأفراده ، فإنّه يصدق عليه أيضا أنّه دالّ على الماهيّة من حيث هي هي ، ولا يوجب انحصار المطلق فيما لا تقييد فيه أصلا ، كما في جنس الأجناس ، إذ لا فرق قطعا بين الإجمال والتفصيل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الماهيّة الملحوظة مع التشخّص وإن كان على وجه الإبهام كما في النكرة ، فالظاهر عدم انطباق الحدّ عليها ، كما لعلّه ظاهر ، ولا يمكن إدراجها تحته إلاّ بتكلّف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الحدّين كلاهما قاصران عن بيان ما هو المراد من المطلق ، كما يظهر من تضاعيف كلماتهم ومطاوي موارد إطلاقاتهم ، فإنّ الحدّ الأوّل لا يصدق على اللفظ الدالّ على الماهيّة المطلقة ، والثاني لا يصدق على النكرة ، مع أنّ القوم قد عاملوا مع كلّ واحدة منهما معاملة المطلق وأجروا عليهما أحكامه من غير فرق بينهما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يتخيّل زيادة قسم ثالث للمطلق وهو الإطلاق المستفاد من الأوامر عند الشكّ في كونها مشروطة أو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وهم ، لما قرّرنا من أنّه راجع إلى إطلاق المادّة وعلى تقدير عدمه فلم يعلم وجه المغايرة ، كما هو ظاهر</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يبعد إحالة التحديد إلى ما هو المستفاد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 فإنّه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ارسل عنانه ، فيشمل الماهية المطلقة والنكرة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والمقيد بخلافه ، </w:t>
      </w:r>
    </w:p>
    <w:p>
      <w:pPr>
        <w:pStyle w:val="BookText"/>
        <w:rPr/>
      </w:pPr>
      <w:r>
        <w:rPr>
          <w:rFonts w:ascii="Amiri" w:hAnsi="Amiri" w:eastAsia="Amiri" w:cs="Amiri"/>
          <w:color w:val="111111"/>
          <w:sz w:val="28"/>
          <w:sz w:val="28"/>
          <w:szCs w:val="28"/>
          <w:rtl w:val="true"/>
          <w:lang w:bidi="ar-SA"/>
        </w:rPr>
        <w:t>فهو ما لم يرسل عنانه ، سواء كان مطلقا ومرسلا ثم لحقه التقييد فاخذ عنانه وقلّ انتشاره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حيث إطلاقه وإرساله ، أو لم يكن مرسلا من أوّل الأمر كالأعلام الشخصيّة ونحوها ، ولكن إطلاق المقيّد عليها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 فم الركيّة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الاستعمال في غاية الشيوع بينهم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يرد على المطلق أسماء العدد ، فإنّها لا إرسال فيها كما هو ظاهر ، واللّه الهادي إلى سبيل الرشاد</w:t>
      </w:r>
      <w:r>
        <w:rPr>
          <w:rFonts w:eastAsia="Amiri" w:cs="Amiri" w:ascii="Amiri" w:hAnsi="Amiri"/>
          <w:color w:val="111111"/>
          <w:sz w:val="28"/>
          <w:szCs w:val="28"/>
          <w:rtl w:val="true"/>
          <w:lang w:bidi="ar-SA"/>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1" w:name="pg16264_169553"/>
      <w:bookmarkStart w:id="182" w:name="pg16264_169553"/>
      <w:bookmarkEnd w:id="182"/>
    </w:p>
    <w:p>
      <w:pPr>
        <w:pStyle w:val="Heading3"/>
        <w:numPr>
          <w:ilvl w:val="2"/>
          <w:numId w:val="1"/>
        </w:numPr>
        <w:rPr/>
      </w:pPr>
      <w:bookmarkStart w:id="183" w:name="pg16264_169553"/>
      <w:bookmarkStart w:id="184" w:name="__RefHeading___Toc4588646_1280447820"/>
      <w:bookmarkStart w:id="185" w:name="_Toc55"/>
      <w:bookmarkEnd w:id="183"/>
      <w:bookmarkEnd w:id="184"/>
      <w:r>
        <w:rPr>
          <w:rtl w:val="true"/>
        </w:rPr>
        <w:t>هداية</w:t>
      </w:r>
      <w:bookmarkEnd w:id="185"/>
    </w:p>
    <w:p>
      <w:pPr>
        <w:pStyle w:val="Heading4"/>
        <w:numPr>
          <w:ilvl w:val="3"/>
          <w:numId w:val="1"/>
        </w:numPr>
        <w:rPr/>
      </w:pPr>
      <w:bookmarkStart w:id="186" w:name="__RefHeading___Toc4588648_1280447820"/>
      <w:bookmarkStart w:id="187" w:name="_Toc56"/>
      <w:bookmarkEnd w:id="186"/>
      <w:r>
        <w:rPr>
          <w:rtl w:val="true"/>
        </w:rPr>
        <w:t>اشارة</w:t>
      </w:r>
      <w:bookmarkEnd w:id="187"/>
    </w:p>
    <w:p>
      <w:pPr>
        <w:pStyle w:val="BookText"/>
        <w:rPr/>
      </w:pP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جماعة من أرباب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التقييد لا يوجب مجازا في المطلق من جهته ، وأوّل من صرّح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أئمّة الفنّ على ما اطّلعت عليه هو </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 xml:space="preserve">السيّد السلطان </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يظهر ذلك من جماعة من المحقّقين في غير الفنّ ، كما لا يخفى على المتدرّب </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وذهب بعضهم </w:t>
      </w:r>
      <w:r>
        <w:rPr>
          <w:rStyle w:val="FootnoteAnchor"/>
          <w:rtl w:val="true"/>
        </w:rPr>
        <w:footnoteReference w:id="498"/>
      </w:r>
      <w:r>
        <w:rPr>
          <w:rFonts w:ascii="IRNazanin" w:hAnsi="IRNazanin" w:eastAsia="IRNazanin"/>
          <w:color w:val="111111"/>
          <w:sz w:val="28"/>
          <w:sz w:val="28"/>
          <w:szCs w:val="28"/>
          <w:rtl w:val="true"/>
          <w:lang w:bidi="fa-IR"/>
        </w:rPr>
        <w:t xml:space="preserve">إلى أنّه مجاز بل نسب إلى المشهور </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أظنّ صدق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وفصّل ثالث بين التقييد بالمتّصل فاختار ما اخترناه ، وبين التقييد المنفصل فذهب إلى أنّه مجاز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المقام موقوف على تمهيد ، وهو أنّ الماهيّة يمكن اعتبارها على وجوه مختلفة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على وجه التقييد بشيء خاصّ وقيد مخصوص ، سواء كان ذلك القيد ممّا يقتضي حصرها في شيء خاصّ كما في ماهيّة الإنسان الملحوظ معها خصوصيّة زيد على وجه لا يمكن التعدّي عنه ، أو كان ممّا يقتضي عدم حصرها في شيء خاصّ مثل ما يلحق الإنسان من الاعتبار الموجب لكفاية الإكرام لكلّ فرد منه في مقام الامتثال لو تعلّق الأمر بإكرامه ، ولا ريب أنّ ذلك اعتبار زائد على نفس المعنى ولا يلازمه دائما ، لجواز انفكاكه عن الماهيّة وهذا هو المعبّر عندهم بالماهيّة بشرط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تعتبر على وجه عدم التقييد </w:t>
      </w:r>
      <w:r>
        <w:rPr>
          <w:rStyle w:val="FootnoteAnchor"/>
          <w:rtl w:val="true"/>
        </w:rPr>
        <w:footnoteReference w:id="501"/>
      </w:r>
      <w:r>
        <w:rPr>
          <w:rFonts w:ascii="Amiri" w:hAnsi="Amiri" w:eastAsia="Amiri" w:cs="Amiri"/>
          <w:color w:val="111111"/>
          <w:sz w:val="28"/>
          <w:sz w:val="28"/>
          <w:szCs w:val="28"/>
          <w:rtl w:val="true"/>
          <w:lang w:bidi="ar-SA"/>
        </w:rPr>
        <w:t>وهي الموسومة عندهم بالماهيّة بشرط لا ، وهذه ممّا لا يتحقّق لها حكم عمليّ ، لعدم إمكان تحقّقها إلاّ في الذهن إن كان القيد الملحوظ عدمه فيها هو الوجود أو ما يلازمه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تلاحظ على وجه الإرسال وعدم ملاحظة شيء معها من أمر وجودي أو عدمي ، فهي في هذه المرتبة ليست إلاّ هي ويمكن حذف جميع ما عداها وسلبها عنها ، كما أنّها في هذه المرتبة يحمل عليها الأضداد ، وهي الموسومة عنده بالماهيّة لا بشرط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معها </w:t>
      </w:r>
      <w:r>
        <w:rPr>
          <w:rFonts w:eastAsia="Amiri" w:cs="Amiri" w:ascii="Amiri" w:hAnsi="Amiri"/>
          <w:color w:val="111111"/>
          <w:sz w:val="28"/>
          <w:szCs w:val="28"/>
          <w:rtl w:val="true"/>
          <w:lang w:bidi="ar-SA"/>
        </w:rPr>
        <w:t>]</w:t>
      </w:r>
      <w:r>
        <w:rPr>
          <w:rStyle w:val="FootnoteAnchor"/>
          <w:rtl w:val="true"/>
        </w:rPr>
        <w:footnoteReference w:id="502"/>
      </w:r>
      <w:r>
        <w:rPr>
          <w:rFonts w:ascii="Amiri" w:hAnsi="Amiri" w:eastAsia="Amiri" w:cs="Amiri"/>
          <w:color w:val="111111"/>
          <w:sz w:val="28"/>
          <w:sz w:val="28"/>
          <w:szCs w:val="28"/>
          <w:rtl w:val="true"/>
          <w:lang w:bidi="ar-SA"/>
        </w:rPr>
        <w:t xml:space="preserve">والتي يرتفع عنها النقيضان ، بمعنى عدم أخذهما فيها ، كما هو </w:t>
      </w:r>
      <w:r>
        <w:rPr>
          <w:rStyle w:val="FootnoteAnchor"/>
          <w:rtl w:val="true"/>
        </w:rPr>
        <w:footnoteReference w:id="503"/>
      </w:r>
      <w:r>
        <w:rPr>
          <w:rFonts w:ascii="Amiri" w:hAnsi="Amiri" w:eastAsia="Amiri" w:cs="Amiri"/>
          <w:color w:val="111111"/>
          <w:sz w:val="28"/>
          <w:sz w:val="28"/>
          <w:szCs w:val="28"/>
          <w:rtl w:val="true"/>
          <w:lang w:bidi="ar-SA"/>
        </w:rPr>
        <w:t>الموضوع لهما أيضا من دون حاجة لأن يلاحظ معها قيد في صحة حمل الأضداد أو المتناقضين عليها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القيود لا بدّ من رجوعها إلى الأضداد ، وهي ثابتة لها من دون </w:t>
      </w:r>
    </w:p>
    <w:p>
      <w:pPr>
        <w:pStyle w:val="BookText"/>
        <w:rPr/>
      </w:pPr>
      <w:r>
        <w:rPr>
          <w:rFonts w:ascii="Amiri" w:hAnsi="Amiri" w:eastAsia="Amiri" w:cs="Amiri"/>
          <w:color w:val="111111"/>
          <w:sz w:val="28"/>
          <w:sz w:val="28"/>
          <w:szCs w:val="28"/>
          <w:rtl w:val="true"/>
          <w:lang w:bidi="ar-SA"/>
        </w:rPr>
        <w:t>مدخليّة قيد دفعا للتسلسل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هذا القسم والمقسم إلاّ بمجرّد الاعتبار والملاحظة ، على وجه حرّرناه في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القسم يمايز المقسم بالالتفات إلى أنّه في تلك الحالة كذلك ، وهو غير ملتفت به في المقسم وإن كان هو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 إنّما يجري بالنسبة إلى جميع القيود التي يمكن اعتوارها على أمر سواء كان ذلك الأمر ممّا قد لوحظ معه شيء آخر غير ما فرض كونه لا بشرط بالنسبة إليه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قد تقرّر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اللفظ المطلق بكلا قسميه إنّما هو موضوع للمعنى اللابشرط الذي لم يلاحظ فيه وجود القيد وعدمه من القيود التي يمكن لحوقها له ، سواء كان ماهيّة غير مقيّدة بفرد كما هو مقتضى التحديد الثاني أو نكرة ؛ لأنّ المفروض فيها أيضا إمكان اعتوار القيود المعيّنة للتشخّص المبهم المأخوذ فيها ، فالموضوع له هو نفس المعنى الذي قد يكون ذلك المعنى واحدا وقد يكون هو بعينه </w:t>
      </w:r>
      <w:r>
        <w:rPr>
          <w:rStyle w:val="FootnoteAnchor"/>
          <w:rtl w:val="true"/>
        </w:rPr>
        <w:footnoteReference w:id="504"/>
      </w:r>
      <w:r>
        <w:rPr>
          <w:rFonts w:ascii="Amiri" w:hAnsi="Amiri" w:eastAsia="Amiri" w:cs="Amiri"/>
          <w:color w:val="111111"/>
          <w:sz w:val="28"/>
          <w:sz w:val="28"/>
          <w:szCs w:val="28"/>
          <w:rtl w:val="true"/>
          <w:lang w:bidi="ar-SA"/>
        </w:rPr>
        <w:t xml:space="preserve">في عالم نفس المعنى كثيرا ، وقد يكون أبيض حال كونه 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في أنّ المعنى بعد ما كان على هذا الوجه لا يعقل أن يوجب التقييد فيه اختلافا ، وبعد عدم اختلافه في جميع مراتب تقلّباته وأنحاء ظهوره ومراتب وجوده لا يعقل أن يكون التقييد مجازا </w:t>
      </w:r>
      <w:r>
        <w:rPr>
          <w:rStyle w:val="FootnoteAnchor"/>
          <w:rtl w:val="true"/>
        </w:rPr>
        <w:footnoteReference w:id="505"/>
      </w:r>
      <w:r>
        <w:rPr>
          <w:rFonts w:ascii="Amiri" w:hAnsi="Amiri" w:eastAsia="Amiri" w:cs="Amiri"/>
          <w:color w:val="111111"/>
          <w:sz w:val="28"/>
          <w:sz w:val="28"/>
          <w:szCs w:val="28"/>
          <w:rtl w:val="true"/>
          <w:lang w:bidi="ar-SA"/>
        </w:rPr>
        <w:t>؛ لأنّه هو بعينه في جميع مظاهره وأطواره وشئونه ، ومن تلك الأطوار ظهوره على وجه السراية والشيوع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فالماهيّة في هذه الملاحظة ملحوظة بشرط شيء ، لما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الشيء المشروط به أعمّ من ذلك ومن غيره ، ولذلك تكون القضيّة التي اعتبر موضوعها على هذا الوجه من المحصورة في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فمتى اعتبر مع نفس المعنى أمر غير ما هو مأخوذ فيه في نفسه فهو من أطوار ذلك المعنى ، سواء كان ذلك الأمر هو اعتبار الوجود الذهني فيه أو الخارجي أو اعتبار آخر غيرهما ، وفي جميع هذه الأطوار نفس المعنى محفوظ لا تبدّل ولا تغيّر فيه بوجه ، وإنّما المتبدّل وجوه المعنى ،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ما ذكرنا يشير السيّد المتقدّم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يمكن العمل بالمطلق والمقيّد من دون إخراج عن حقيقته بأن يعمل بالمقيّد ويبقى المطلق على إطلاقه ، فلا يجب ارتكاب مجاز حتّى يجعل ذلك وظيفة المطلق ، فإنّ مدلول المطلق ليس صحّة العمل بأي فرد كان حتّى ينافي مدلول المقيّد ، بل هو أعمّ منه وممّا يصلح للتقييد بل المقيّد في الواقع ، ألا ترى أنّه معروض للقيد ،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رقبة مؤمنة ، وإلاّ لزم حصول المقيّد بدون المطلق ، مع أنّه لا يصلح لأي رقبة كانت ، 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المطلق ليس ذلك ، وإلاّ لم يتخلّف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مدلول المطلق ليس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والوجه فيه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هذه الملاحظة من أطوار المعنى وشئونه ، ومدلول اللفظ ليس إلاّ نفس المعنى</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هو أعم منه وممّا يصلح للتقييد ، بل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فيه هو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اللفظ موضوع لنفس المعنى الذي هو المقسم في الأقسام </w:t>
      </w:r>
    </w:p>
    <w:p>
      <w:pPr>
        <w:pStyle w:val="BookText"/>
        <w:rPr/>
      </w:pPr>
      <w:r>
        <w:rPr>
          <w:rFonts w:ascii="Amiri" w:hAnsi="Amiri" w:eastAsia="Amiri" w:cs="Amiri"/>
          <w:color w:val="111111"/>
          <w:sz w:val="28"/>
          <w:sz w:val="28"/>
          <w:szCs w:val="28"/>
          <w:rtl w:val="true"/>
          <w:lang w:bidi="ar-SA"/>
        </w:rPr>
        <w:t xml:space="preserve">المعتبرة في المعنى وإن كان أحد أقسامه وهو ما يصلح للتقييد المعبّر عنه بالماهيّة لا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نفس ذلك المعنى من غير اختلاف بينهما إلاّ بمجرّد الاعتبار ،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للإضراب كما زعمه بعض الأجلّة </w:t>
      </w:r>
      <w:r>
        <w:rPr>
          <w:rStyle w:val="FootnoteAnchor"/>
          <w:rtl w:val="true"/>
        </w:rPr>
        <w:footnoteReference w:id="508"/>
      </w:r>
      <w:r>
        <w:rPr>
          <w:rFonts w:ascii="Amiri" w:hAnsi="Amiri" w:eastAsia="Amiri" w:cs="Amiri"/>
          <w:color w:val="111111"/>
          <w:sz w:val="28"/>
          <w:sz w:val="28"/>
          <w:szCs w:val="28"/>
          <w:rtl w:val="true"/>
          <w:lang w:bidi="ar-SA"/>
        </w:rPr>
        <w:t xml:space="preserve">بل هو للترقّي ، والوجه فيه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المقيّد هو ذلك المعنى القابل للتقييد الذي عرضه التقييد بواسطة تلك القابليّة ، وذلك لا يوجب خروج المعنى عمّا كان عليه بل هو هو ؛ ولذلك يصحّ الحمل عليه ، ولو لا أنّ اللفظ موضوع لنفس المعنى لم يصحّ الحمل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تأويل وخروج عن الظاهر ، وبطلان التالي كنفس الملازمة ظاهر جدّا ، إذ الماهيّة الملحوظة على وجه السراية والشيوع ليست متّحدة مع الموضوع ، بل المتّحد معه هو نفس المعنى على وجه لا يمازجه شيء غيره ، فقضيّة صحّة الحمل بدون تأويل كون اللفظ موضوعا لنفس المعنى القابل للتقييد ، والشيوع والسراية خارجة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من المعاني الظاهرة التي لا ينبغي خفاؤها على أحد ، ولعلّه أيضا غير خفيّ في غير المقام ، إلاّ أنّه ظهر من بعضهم </w:t>
      </w:r>
      <w:r>
        <w:rPr>
          <w:rStyle w:val="FootnoteAnchor"/>
          <w:rtl w:val="true"/>
        </w:rPr>
        <w:footnoteReference w:id="509"/>
      </w:r>
      <w:r>
        <w:rPr>
          <w:rFonts w:ascii="Amiri" w:hAnsi="Amiri" w:eastAsia="Amiri" w:cs="Amiri"/>
          <w:color w:val="111111"/>
          <w:sz w:val="28"/>
          <w:sz w:val="28"/>
          <w:szCs w:val="28"/>
          <w:rtl w:val="true"/>
          <w:lang w:bidi="ar-SA"/>
        </w:rPr>
        <w:t>كلمات تخالف ما ذكرنا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فالقول بالمجازيّة ممّا لا نعرف له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يقضي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المركّبات لا بدّ لها من وضع شخصي أو نوعي به يدلّ على ما هو المقصود من التركيب من توصيف أو إضافة أو اتّحاد ، ففي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رقبة مؤمنة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الموصوف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الصفة والهيئة على التوصيف ، وكلّ واحد من هذه المعاني ممّا يدلّ عليه لفظه بدون مشاركة قرينة أو علاقة ، فمن أين يحكم بكونه مجازا؟ ولما ذا يلزم؟ وما الداعي إلى التزامه؟</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الصفة قرينة على إرادة الموصوف من حيث اتّصافه بالصفة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الحيثيّة إنّما يصحّ انتزاعها من الموصوف بعد ذكر الصفة ، فكيف يمكن اعتبارها في لفظ 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المتبادر من المطلق هو الإشاعة والسراية ، ولذا لا يتأمّل في الحكم بصحّة أيّ فرد كان بعد السماع لقولك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اريد أنّ نفس اللفظ إنّما يستفاد منه ذلك فهو ممنوع بل هو مقطوع الفساد ، لوجود أمارات على خلافه على وجه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أريد أنّ اللفظ بمعونة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منه ذلك فهو مسلّم ، لكنّه لا يرتبط بما ذكر بوجه ، من غير فرق فيما ذكرنا بين موارد استعماله من الإخبار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رَجُلٌ مِنْ أَقْصَى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510"/>
      </w:r>
      <w:r>
        <w:rPr>
          <w:rFonts w:ascii="Amiri" w:hAnsi="Amiri" w:eastAsia="Amiri" w:cs="Amiri"/>
          <w:color w:val="111111"/>
          <w:sz w:val="28"/>
          <w:sz w:val="28"/>
          <w:szCs w:val="28"/>
          <w:rtl w:val="true"/>
          <w:lang w:bidi="ar-SA"/>
        </w:rPr>
        <w:t xml:space="preserve">، أو الإنشاء كما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لاتّحاد المناط فيهما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الإهمال ممّا يمتنع تعلّق الحكم الشرعي به ، فلا بدّ من أن يراد به إمّا الإطلاق بمعنى الماهيّة ملحوظة على وجه السراية ، أو خصوص المقيّد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بخلاف الإخبار ، فإنّه يعقل أن يخبر عن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على وجه الإجمال والإهمال ، وهذا هو الوجه في الفرق بين المقامين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مدفوع بأنّ ذلك إنّما يتمّ فيما لو كان المقصود من الأمر المتعلّق بالماهيّة المهملة هو بيان تمام المراد والمقصود ، كما أنّه لو كان المقصود الإخبار عن تمام من قام به السعي في الآية الشريفة لم يصحّ في بيانه الاكتفاء </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المراد بيان بعض ما هو المطلوب فلا بأس به ولا ضير فيه كما هو كذلك في الآية الشريفة ، فالفرق ممّا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 لماهية واحدة إرسال من جهات عديدة فقيّدت من إحدى الجهات ، فعلى القول بالمجازيّة لا بدّ وأن يكون لانسلاخ الشيوع والسراية من تلك الجهة من اللفظ ، والمفروض عدم التقييد من جهات اخرى ، فالشيوع باق بحاله من جهتها ، ولا بدّ أن يكون حقيقة من تلك الجهة ، فيلزم كون اللفظ الواحد في استعمال واحد حقيقة ومجازا وهو باطل جدّا ، وبعد ملاحظة أنّ جميع المطلقات ممّا لا يخلو عن تقييد ما يلزم كون جميعها حقيقة ومجازا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بأنّ ذلك نظير العامّ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إمّا أن يكون حقيقة أو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 للفرق بين المقامين كما لا يخفى ؛ مضافا إلى أنّ ذلك في المقام محلّ كلام ، نظرا إلى أنّ أغلب التخصيصات فيه راجع إلى التقييد ، فتأمّل حتّى تهتدي إلى المرام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يشهد بما ذكرنا كثير من موارد استعمال الألفاظ المطلقة ، كقول الطبيب لمن حاول أن يعالجه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لا بدّ لك أن تشرب الدواء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يؤخذ بإطلاقه فيشرب كلّ ما يصدق عليه الدواء ، فإنّ أمثال هذه الاستعمالات </w:t>
      </w:r>
    </w:p>
    <w:p>
      <w:pPr>
        <w:pStyle w:val="BookText"/>
        <w:rPr/>
      </w:pPr>
      <w:r>
        <w:rPr>
          <w:rFonts w:ascii="Amiri" w:hAnsi="Amiri" w:eastAsia="Amiri" w:cs="Amiri"/>
          <w:color w:val="111111"/>
          <w:sz w:val="28"/>
          <w:sz w:val="28"/>
          <w:szCs w:val="28"/>
          <w:rtl w:val="true"/>
          <w:lang w:bidi="ar-SA"/>
        </w:rPr>
        <w:t>في العرف فوق حدّ الإحصاء ، ولا ريب في أنّها خالية عن أمارة المجاز ؛ مضافا إلى مساعدة أمارة الحقيقة عليها أيضا ، كما يظهر بعد التأمّل الصادق في مواردها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القبيل جملة من الأوامر الشرعيّة التي يختلف تفاصيل مواردها على حسب اختلاف موضوع المكلّفين سفرا وحضرا صحّة ومرضا اختيارا واضطرارا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 xml:space="preserve">بناء على القول بوضع الصلاة للأعمّ ، فالمراد من ذكره بيان أصل المشروعيّة ، وأمّا تفاصيل ذلك فهي موقوفة على بيان آخر في موارد أخر </w:t>
      </w:r>
      <w:r>
        <w:rPr>
          <w:rStyle w:val="FootnoteAnchor"/>
          <w:rtl w:val="true"/>
        </w:rPr>
        <w:footnoteReference w:id="513"/>
      </w:r>
      <w:r>
        <w:rPr>
          <w:rFonts w:ascii="Amiri" w:hAnsi="Amiri" w:eastAsia="Amiri" w:cs="Amiri"/>
          <w:color w:val="111111"/>
          <w:sz w:val="28"/>
          <w:sz w:val="28"/>
          <w:szCs w:val="28"/>
          <w:rtl w:val="true"/>
          <w:lang w:bidi="ar-SA"/>
        </w:rPr>
        <w:t>كما هو كذلك أيضا ؛ ولذا لا يحسن الاستفهام عند الاطّلاع على مثل الواقعة الواردة في مقام الإهمال ، فإنّه لازم للإجمال ، سواء كان في الاشتراك اللفظي أو في الاشتراك المعنوي</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ذكرنا </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 xml:space="preserve">بين اتّصال القيد بالمطلق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وانفصاله عنه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الأمر بالمطلق ، فإنّ ما عرفت من الوجوه متساوية النسبة إليهما ولا وجه لما تخيّله بعض </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على تقدير الانفصال لا بدّ وأن يراد من المطلق </w:t>
      </w:r>
      <w:r>
        <w:rPr>
          <w:rStyle w:val="FootnoteAnchor"/>
          <w:rtl w:val="true"/>
        </w:rPr>
        <w:footnoteReference w:id="516"/>
      </w:r>
      <w:r>
        <w:rPr>
          <w:rFonts w:ascii="Amiri" w:hAnsi="Amiri" w:eastAsia="Amiri" w:cs="Amiri"/>
          <w:color w:val="111111"/>
          <w:sz w:val="28"/>
          <w:sz w:val="28"/>
          <w:szCs w:val="28"/>
          <w:rtl w:val="true"/>
          <w:lang w:bidi="ar-SA"/>
        </w:rPr>
        <w:t xml:space="preserve">خصوص المقيّد على وجه المجازيّة </w:t>
      </w:r>
      <w:r>
        <w:rPr>
          <w:rStyle w:val="FootnoteAnchor"/>
          <w:rtl w:val="true"/>
        </w:rPr>
        <w:footnoteReference w:id="517"/>
      </w:r>
      <w:r>
        <w:rPr>
          <w:rFonts w:ascii="Amiri" w:hAnsi="Amiri" w:eastAsia="Amiri" w:cs="Amiri"/>
          <w:color w:val="111111"/>
          <w:sz w:val="28"/>
          <w:sz w:val="28"/>
          <w:szCs w:val="28"/>
          <w:rtl w:val="true"/>
          <w:lang w:bidi="ar-SA"/>
        </w:rPr>
        <w:t xml:space="preserve">، لإمكان أن يراد به نفس المعنى إلى أن يلحقه القيد ، فذكر القيد ينهض </w:t>
      </w:r>
    </w:p>
    <w:p>
      <w:pPr>
        <w:pStyle w:val="BookText"/>
        <w:rPr/>
      </w:pPr>
      <w:r>
        <w:rPr>
          <w:rFonts w:ascii="Amiri" w:hAnsi="Amiri" w:eastAsia="Amiri" w:cs="Amiri"/>
          <w:color w:val="111111"/>
          <w:sz w:val="28"/>
          <w:sz w:val="28"/>
          <w:szCs w:val="28"/>
          <w:rtl w:val="true"/>
          <w:lang w:bidi="ar-SA"/>
        </w:rPr>
        <w:t xml:space="preserve">ببيان تمام المراد ، وقبل الاطّلاع على القيد </w:t>
      </w:r>
      <w:r>
        <w:rPr>
          <w:rStyle w:val="FootnoteAnchor"/>
          <w:rtl w:val="true"/>
        </w:rPr>
        <w:footnoteReference w:id="518"/>
      </w:r>
      <w:r>
        <w:rPr>
          <w:rFonts w:ascii="Amiri" w:hAnsi="Amiri" w:eastAsia="Amiri" w:cs="Amiri"/>
          <w:color w:val="111111"/>
          <w:sz w:val="28"/>
          <w:sz w:val="28"/>
          <w:szCs w:val="28"/>
          <w:rtl w:val="true"/>
          <w:lang w:bidi="ar-SA"/>
        </w:rPr>
        <w:t>لو تخيّل وروده في مقام بيان تمام المراد لا ينافي ما ذكرنا ، إذ بعد الاطّلاع يكشف عن عدم وروده في ذلك المقام ويكون اللفظ مستعملا في نفس المعنى على وجه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يمكن ما ذكرت ، فيمكن أن يكون ورود المقيّد كاشفا عن إرادة المقيّد من المطلق ، فيكون مجازا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الوجه ممّا ينكره العرف ؛ مضافا إلى أن أصالة الحقيقة تحكم بما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أصالة الحقيقة لا مسرح لها في مورد يكون شيء يصلح لأن يكون صارفا عنها كما في المقام ؛ لأنّا نقول بعد الغضّ عن أصل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 في محلّه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هو في غير المقام ، لعدم اختلاف المقصود بالصرف وعدمه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فلا يعقل فرق بين الرقبة الموصوفة بالإيمان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الرقبة المجرّدة ، فكما أنّ القول بأنّ الرقبة في التركيب الأوّل إنّما يراد منها الرقبة المؤمنة بقرينة ذكر القيد شنيع في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أوضحنا سبيله فيما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القول بأنّ المراد منها في الثاني هو المقيّد ، لوجود ما يصلح للصرف في الأوّل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بما ذكرنا يظهر فساد ما نسبه بعضهم إلى بعض الأفاضل </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بأنّ المطلق مع قطع النظر عن المقيّد له وضع مغاير لوضعه معه ، نظير فعل المضارع المقرون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تكلّف بارد ، إذ بعد إمكان استفادة الوجهين من وضع واحد لا وجه لتعدّد الوضع بعد عدم مساعدة اعتبار عقليّ أو نقليّ عليه</w:t>
      </w:r>
      <w:r>
        <w:rPr>
          <w:rFonts w:eastAsia="Amiri" w:cs="Amiri" w:ascii="Amiri" w:hAnsi="Amiri"/>
          <w:color w:val="111111"/>
          <w:sz w:val="28"/>
          <w:szCs w:val="28"/>
          <w:rtl w:val="true"/>
          <w:lang w:bidi="ar-SA"/>
        </w:rPr>
        <w:t xml:space="preserve">. </w:t>
      </w:r>
      <w:bookmarkStart w:id="188" w:name="pg16264_169562"/>
    </w:p>
    <w:p>
      <w:pPr>
        <w:pStyle w:val="Heading4"/>
        <w:numPr>
          <w:ilvl w:val="3"/>
          <w:numId w:val="1"/>
        </w:numPr>
        <w:rPr/>
      </w:pPr>
      <w:bookmarkStart w:id="189" w:name="__RefHeading___Toc4588650_1280447820"/>
      <w:bookmarkStart w:id="190" w:name="_Toc57"/>
      <w:bookmarkEnd w:id="188"/>
      <w:bookmarkEnd w:id="189"/>
      <w:r>
        <w:rPr>
          <w:rtl w:val="true"/>
        </w:rPr>
        <w:t xml:space="preserve">تذنيب </w:t>
      </w:r>
      <w:r>
        <w:rPr>
          <w:rtl w:val="true"/>
        </w:rPr>
        <w:t>:</w:t>
      </w:r>
      <w:bookmarkEnd w:id="190"/>
    </w:p>
    <w:p>
      <w:pPr>
        <w:pStyle w:val="BookText"/>
        <w:rPr/>
      </w:pPr>
      <w:r>
        <w:rPr>
          <w:rFonts w:ascii="Amiri" w:hAnsi="Amiri" w:eastAsia="Amiri" w:cs="Amiri"/>
          <w:color w:val="111111"/>
          <w:sz w:val="28"/>
          <w:sz w:val="28"/>
          <w:szCs w:val="28"/>
          <w:rtl w:val="true"/>
          <w:lang w:bidi="ar-SA"/>
        </w:rPr>
        <w:t xml:space="preserve">قضية ما عرفت من معنى اللفظ وعدم اعتبار شيء في الموضوع له من الوجوه الطارية والقيود اللاحقة هو عدم الفرق بين تعلّق الأمر بالطبيعة أو النهي بها بحسب القواعد اللفظيّة الممحّضة في تشخيص مداليل اللفظ بحسب الأوضاع اللغويّة ، فإنّ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يفيد سوى وجوب ترك ماهيّة الضرب المفروض كونها </w:t>
      </w:r>
      <w:r>
        <w:rPr>
          <w:rStyle w:val="FootnoteAnchor"/>
          <w:rtl w:val="true"/>
        </w:rPr>
        <w:footnoteReference w:id="520"/>
      </w:r>
      <w:r>
        <w:rPr>
          <w:rFonts w:ascii="Amiri" w:hAnsi="Amiri" w:eastAsia="Amiri" w:cs="Amiri"/>
          <w:color w:val="111111"/>
          <w:sz w:val="28"/>
          <w:sz w:val="28"/>
          <w:szCs w:val="28"/>
          <w:rtl w:val="true"/>
          <w:lang w:bidi="ar-SA"/>
        </w:rPr>
        <w:t>لا يزيد عليها شيء من الاعتبارات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ملاحظة ماهيّة الضرب على وجه الشيوع والسراية التي هي أحد الوجوه الطارئة عليها ثمّ النهي عنها يوجب التكرار والدوام ، وقد عرفت أنّ ذلك خارج عن معنى اللفظ فلا بدّ له من التماس دليل آخر كما هو المحتاج في الأمر أيضا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بالفرق من حيث إنّ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متناقضان ، فلا بدّ من القول بإفادة النهي 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المناقضة </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 ، لما عرفت من أنّ نفس المعنى ممّا يصحّ اجتماع المتناقضين فيه ، ولذا لا تناقض بين وجود زيد الانسان وعدم عمرو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أريد ثبوت المناقضة بمجرّد ملاحظة نفس المعنى فهو فاسد ، لجواز اجتماع النقيضين في مقام نفس المعنى كارتفاعهما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ثبوته باعتبار آخر فهو لا ينافي ما نحن بصدده</w:t>
      </w:r>
      <w:r>
        <w:rPr>
          <w:rFonts w:eastAsia="Amiri" w:cs="Amiri" w:ascii="Amiri" w:hAnsi="Amiri"/>
          <w:color w:val="111111"/>
          <w:sz w:val="28"/>
          <w:szCs w:val="28"/>
          <w:rtl w:val="true"/>
          <w:lang w:bidi="ar-SA"/>
        </w:rPr>
        <w:t xml:space="preserve">. </w:t>
      </w:r>
      <w:bookmarkStart w:id="191" w:name="pg16264_169563"/>
    </w:p>
    <w:p>
      <w:pPr>
        <w:pStyle w:val="Heading3"/>
        <w:numPr>
          <w:ilvl w:val="2"/>
          <w:numId w:val="1"/>
        </w:numPr>
        <w:rPr/>
      </w:pPr>
      <w:bookmarkStart w:id="192" w:name="__RefHeading___Toc4588652_1280447820"/>
      <w:bookmarkStart w:id="193" w:name="_Toc58"/>
      <w:bookmarkEnd w:id="191"/>
      <w:bookmarkEnd w:id="192"/>
      <w:r>
        <w:rPr>
          <w:rtl w:val="true"/>
        </w:rPr>
        <w:t>هداية</w:t>
      </w:r>
      <w:bookmarkEnd w:id="193"/>
    </w:p>
    <w:p>
      <w:pPr>
        <w:pStyle w:val="BookText"/>
        <w:rPr/>
      </w:pPr>
      <w:r>
        <w:rPr>
          <w:rFonts w:ascii="Amiri" w:hAnsi="Amiri" w:eastAsia="Amiri" w:cs="Amiri"/>
          <w:color w:val="111111"/>
          <w:sz w:val="28"/>
          <w:sz w:val="28"/>
          <w:szCs w:val="28"/>
          <w:rtl w:val="true"/>
          <w:lang w:bidi="ar-SA"/>
        </w:rPr>
        <w:t xml:space="preserve">قد تكرّر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الشياع والسريان خارجان عن معنى اللفظ ولا بدّ في إثباتهما من التماس وجه آخر غير اللفظ ، فلا بدّ من تحقيق ذلك الوجه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موقوف على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ما يوجب التقييد داخلا أو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واردا في مقام بيان تمام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شككنا في أحد الأمرين لا يحكم بالسراية إلاّ أن يكون هناك ما يوجب ارتفاع الشكّ من أصل أو دليل ؛ فلو دلّ دليل على التقييد لا وجه للأخذ بالإطلاق ، لارتفاع مقتضى الإطلاق ، لا لوجود المانع عنه ، وإن كان الدليل الدالّ على التقييد أيضا ممّا يحتمل فيه التصرّف بحمل الوارد فيه على الاستحباب ، إلاّ أنّ أصالة الحقيقة يكفي في رفع ذلك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تعارض بأصالة الحقيقة في المطلق ، لعدم لزوم مجاز فيه ، وإنّما حمل على الإطلاق والإشاعة بواسطة عدم الدليل ، فالإطلاق حينئذ بمنزلة الأصول العمليّة في قبال الدليل وإن كان معدودا في عداد الأدلّة دون الأصول ، فكأنّه برزخ بينهما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علمنا بعدم التقييد مع وروده في مقام البيان فلا ينبغي الإشكال في إفادته التخيير والشياع ، إذ لولاه فإمّا أن يراد منه البعض المعيّن أو جميع الأفراد ، وكلّ واحد منهما خلاف الفرض ، لما عرفت من العلم بعدم التقييد فلا بدّ من أن يراد منه التخيير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ملاحظة المعنى على وجه التخيير أيضا من القيود التي فرضنا العلم بعدمها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ولكن يكفي في إثبات ذلك القيد عدم ذكر قيد آخر وإخراج كلام المتكلّم عن اللغويّة وعدم إسناد القبيح إليه ، وهو إخفاء المطلوب مع أنّه بصدد بيانه مع عدم ما يقضي بخلافه من مصلحة الإخفاء كما هو مفروض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إثبات </w:t>
      </w:r>
      <w:r>
        <w:rPr>
          <w:rStyle w:val="FootnoteAnchor"/>
          <w:rtl w:val="true"/>
        </w:rPr>
        <w:footnoteReference w:id="522"/>
      </w:r>
      <w:r>
        <w:rPr>
          <w:rFonts w:ascii="Amiri" w:hAnsi="Amiri" w:eastAsia="Amiri" w:cs="Amiri"/>
          <w:color w:val="111111"/>
          <w:sz w:val="28"/>
          <w:sz w:val="28"/>
          <w:szCs w:val="28"/>
          <w:rtl w:val="true"/>
          <w:lang w:bidi="ar-SA"/>
        </w:rPr>
        <w:t xml:space="preserve">التخيير والشياع استواء نسبة الماهيّة الغير الملحوظة بشيء من الاعتبارات إلى جميع أفراده ، فلا حاجة إلى إحراز كون المتكلّم في صدد بيان تمام المراد ، كما صرّح بذلك جماعة ، منهم بعض الأفاضل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كونه في مقام البيان لا يجدي ذلك في إفادة التخيير والشياع إذ استواء النسبة لا ينافي أن يكون المتكلّم في مقام بيان بعض المراد ، وقد عرفت عدم إفادته الشياع في ذلك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ذلك يفيد بعد إحراز كونه بصدد بيان تمام المراد ، فيحكم العقل بحصول الامتثال بالنسبة إلى كلّ الأفراد المتساوية في صدق الماهيّة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شكّ في أحد الأمرين ، فإن شكّ في ورود المقيّد فبأصالة عدم ورود المقيّد المعمولة عند أرباب اللسان يستكشف عدم التقييد ، وهذا ممّا لا ريب فيه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هناك أصل يرجع إليه عند الشكّ في ورود المطلق في مقام البيان؟ </w:t>
      </w:r>
    </w:p>
    <w:p>
      <w:pPr>
        <w:pStyle w:val="BookText"/>
        <w:rPr/>
      </w:pPr>
      <w:r>
        <w:rPr>
          <w:rFonts w:ascii="Amiri" w:hAnsi="Amiri" w:eastAsia="Amiri" w:cs="Amiri"/>
          <w:color w:val="111111"/>
          <w:sz w:val="28"/>
          <w:sz w:val="28"/>
          <w:szCs w:val="28"/>
          <w:rtl w:val="true"/>
          <w:lang w:bidi="ar-SA"/>
        </w:rPr>
        <w:t xml:space="preserve">قد يقال </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أغلب موارد استعمال المطلقات كذلك </w:t>
      </w:r>
      <w:r>
        <w:rPr>
          <w:rStyle w:val="FootnoteAnchor"/>
          <w:rtl w:val="true"/>
        </w:rPr>
        <w:footnoteReference w:id="525"/>
      </w:r>
      <w:r>
        <w:rPr>
          <w:rFonts w:ascii="Amiri" w:hAnsi="Amiri" w:eastAsia="Amiri" w:cs="Amiri"/>
          <w:color w:val="111111"/>
          <w:sz w:val="28"/>
          <w:sz w:val="28"/>
          <w:szCs w:val="28"/>
          <w:rtl w:val="true"/>
          <w:lang w:bidi="ar-SA"/>
        </w:rPr>
        <w:t>فعند الشكّ يحمل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بذلك البيعة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علم بانتفاء أحدهما فلا ينبغي الأخذ بالإطلاق ، أمّا الأمر الثاني </w:t>
      </w:r>
      <w:r>
        <w:rPr>
          <w:rStyle w:val="FootnoteAnchor"/>
          <w:rtl w:val="true"/>
        </w:rPr>
        <w:footnoteReference w:id="526"/>
      </w:r>
      <w:r>
        <w:rPr>
          <w:rFonts w:ascii="Amiri" w:hAnsi="Amiri" w:eastAsia="Amiri" w:cs="Amiri"/>
          <w:color w:val="111111"/>
          <w:sz w:val="28"/>
          <w:sz w:val="28"/>
          <w:szCs w:val="28"/>
          <w:rtl w:val="true"/>
          <w:lang w:bidi="ar-SA"/>
        </w:rPr>
        <w:t xml:space="preserve">فلما عرفت من عدم الداعي لا لفظا ولا عقلا لعدم الدلالة وعدم لزوم القبيح </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الأمر الأوّل </w:t>
      </w:r>
      <w:r>
        <w:rPr>
          <w:rStyle w:val="FootnoteAnchor"/>
          <w:rtl w:val="true"/>
        </w:rPr>
        <w:footnoteReference w:id="528"/>
      </w:r>
      <w:r>
        <w:rPr>
          <w:rFonts w:ascii="Amiri" w:hAnsi="Amiri" w:eastAsia="Amiri" w:cs="Amiri"/>
          <w:color w:val="111111"/>
          <w:sz w:val="28"/>
          <w:sz w:val="28"/>
          <w:szCs w:val="28"/>
          <w:rtl w:val="true"/>
          <w:lang w:bidi="ar-SA"/>
        </w:rPr>
        <w:t xml:space="preserve">فلو علم بورود ما يصلح للتقييد فلا وجه للاعتماد على أصالة عدم ورود القيد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بملاحظة أصالة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ينهض مقيّدا للمطلق ، لكفايته في مقام البيان ، ويستكشف من ذلك عدم ورود المطلق في مقام البيان ، ويرتفع بذلك ما هو الوجه في الحكم بإطلاقه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السرّ في الحكم بتقديم التقييد على أنحاء التصرّفات المتصوّرة في اللفظ ، فلا حاجة إلى دعوى شيوع التقييد بالنسبة إلى غيره من التصرّفات وإن كان الوجه في شيوعه هو </w:t>
      </w:r>
      <w:r>
        <w:rPr>
          <w:rStyle w:val="FootnoteAnchor"/>
          <w:rtl w:val="true"/>
        </w:rPr>
        <w:footnoteReference w:id="529"/>
      </w:r>
      <w:r>
        <w:rPr>
          <w:rFonts w:ascii="Amiri" w:hAnsi="Amiri" w:eastAsia="Amiri" w:cs="Amiri"/>
          <w:color w:val="111111"/>
          <w:sz w:val="28"/>
          <w:sz w:val="28"/>
          <w:szCs w:val="28"/>
          <w:rtl w:val="true"/>
          <w:lang w:bidi="ar-SA"/>
        </w:rPr>
        <w:t xml:space="preserve">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الهادي إلى سواء السبيل وهو خير معين </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4" w:name="pg16264_169567"/>
      <w:bookmarkStart w:id="195" w:name="pg16264_169567"/>
      <w:bookmarkEnd w:id="195"/>
    </w:p>
    <w:p>
      <w:pPr>
        <w:pStyle w:val="Heading3"/>
        <w:numPr>
          <w:ilvl w:val="2"/>
          <w:numId w:val="1"/>
        </w:numPr>
        <w:rPr/>
      </w:pPr>
      <w:bookmarkStart w:id="196" w:name="pg16264_169567"/>
      <w:bookmarkStart w:id="197" w:name="__RefHeading___Toc4588654_1280447820"/>
      <w:bookmarkStart w:id="198" w:name="_Toc59"/>
      <w:bookmarkEnd w:id="196"/>
      <w:bookmarkEnd w:id="197"/>
      <w:r>
        <w:rPr>
          <w:rtl w:val="true"/>
        </w:rPr>
        <w:t>هداية</w:t>
      </w:r>
      <w:bookmarkEnd w:id="198"/>
    </w:p>
    <w:p>
      <w:pPr>
        <w:pStyle w:val="Heading4"/>
        <w:numPr>
          <w:ilvl w:val="3"/>
          <w:numId w:val="1"/>
        </w:numPr>
        <w:rPr/>
      </w:pPr>
      <w:bookmarkStart w:id="199" w:name="__RefHeading___Toc4588656_1280447820"/>
      <w:bookmarkStart w:id="200" w:name="_Toc60"/>
      <w:bookmarkEnd w:id="199"/>
      <w:r>
        <w:rPr>
          <w:rtl w:val="true"/>
        </w:rPr>
        <w:t>اشارة</w:t>
      </w:r>
      <w:bookmarkEnd w:id="200"/>
    </w:p>
    <w:p>
      <w:pPr>
        <w:pStyle w:val="BookText"/>
        <w:rPr/>
      </w:pPr>
      <w:r>
        <w:rPr>
          <w:rFonts w:ascii="Amiri" w:hAnsi="Amiri" w:eastAsia="Amiri" w:cs="Amiri"/>
          <w:color w:val="111111"/>
          <w:sz w:val="28"/>
          <w:sz w:val="28"/>
          <w:szCs w:val="28"/>
          <w:rtl w:val="true"/>
          <w:lang w:bidi="ar-SA"/>
        </w:rPr>
        <w:t xml:space="preserve">قد عرفت أنّ حمل المطلق على الإطلاق موقوف على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عدميّ ، والآخر وجوديّ ، ويتولّد من كلّ واحد منهما شرط للحمل على الإطلاق ، كما أفاده بعض المحقّقين في فوائده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1" w:name="__RefHeading___Toc4588658_1280447820"/>
      <w:bookmarkStart w:id="202" w:name="_Toc61"/>
      <w:bookmarkEnd w:id="201"/>
      <w:r>
        <w:rPr>
          <w:rtl w:val="true"/>
        </w:rPr>
        <w:t xml:space="preserve">الأوّل </w:t>
      </w:r>
      <w:r>
        <w:rPr>
          <w:rtl w:val="true"/>
        </w:rPr>
        <w:t>:</w:t>
      </w:r>
      <w:bookmarkEnd w:id="202"/>
    </w:p>
    <w:p>
      <w:pPr>
        <w:pStyle w:val="BookText"/>
        <w:rPr/>
      </w:pPr>
      <w:r>
        <w:rPr>
          <w:rFonts w:ascii="Amiri" w:hAnsi="Amiri" w:eastAsia="Amiri" w:cs="Amiri"/>
          <w:color w:val="111111"/>
          <w:sz w:val="28"/>
          <w:sz w:val="28"/>
          <w:szCs w:val="28"/>
          <w:rtl w:val="true"/>
          <w:lang w:bidi="ar-SA"/>
        </w:rPr>
        <w:t>أن لا يكون منصرفا إلى بعض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الاشتراط ظاهر بعد قيام الانصراف مقام التقييد اللفظي ، إلاّ أنّه لا بدّ من توضيح موارده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أقساما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الشيوع الحضوري </w:t>
      </w:r>
      <w:r>
        <w:rPr>
          <w:rStyle w:val="FootnoteAnchor"/>
          <w:rtl w:val="true"/>
        </w:rPr>
        <w:footnoteReference w:id="532"/>
      </w:r>
      <w:r>
        <w:rPr>
          <w:rFonts w:ascii="IRNazanin" w:hAnsi="IRNazanin" w:eastAsia="IRNazanin"/>
          <w:color w:val="111111"/>
          <w:sz w:val="28"/>
          <w:sz w:val="28"/>
          <w:szCs w:val="28"/>
          <w:rtl w:val="true"/>
          <w:lang w:bidi="fa-IR"/>
        </w:rPr>
        <w:t xml:space="preserve">بمعنى حضور </w:t>
      </w:r>
      <w:r>
        <w:rPr>
          <w:rStyle w:val="FootnoteAnchor"/>
          <w:rtl w:val="true"/>
        </w:rPr>
        <w:footnoteReference w:id="533"/>
      </w:r>
      <w:r>
        <w:rPr>
          <w:rFonts w:ascii="Amiri" w:hAnsi="Amiri" w:eastAsia="Amiri" w:cs="Amiri"/>
          <w:color w:val="111111"/>
          <w:sz w:val="28"/>
          <w:sz w:val="28"/>
          <w:szCs w:val="28"/>
          <w:rtl w:val="true"/>
          <w:lang w:bidi="ar-SA"/>
        </w:rPr>
        <w:t>بعض أقسام المعنى في الذهن بواسطة استيناس حاصل به مع القطع بعدم كونه مرادا بالخصوص كانصراف الماء إلى ما هو المتعارف شربه في البلد ، كالفرات في العراق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أقوى من ذلك مع ارتفاعه بالتأمّل ، وهو المسمّى بالتشكيك البدوي</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الشيوع موجبا لاستقرار الشكّ واستمراره على وجه لا يزول بالملاحظة والتأمّل ، نظير الشكّ الحاصل في المجاز المشهور عند التردّد في وصول الشهرة حدّا يمكن معها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في المجاز محكوم بإرادة </w:t>
      </w:r>
    </w:p>
    <w:p>
      <w:pPr>
        <w:pStyle w:val="BookText"/>
        <w:rPr/>
      </w:pPr>
      <w:r>
        <w:rPr>
          <w:rFonts w:ascii="Amiri" w:hAnsi="Amiri" w:eastAsia="Amiri" w:cs="Amiri"/>
          <w:color w:val="111111"/>
          <w:sz w:val="28"/>
          <w:sz w:val="28"/>
          <w:szCs w:val="28"/>
          <w:rtl w:val="true"/>
          <w:lang w:bidi="ar-SA"/>
        </w:rPr>
        <w:t>الحقيقة نظرا إلى أصالتها ، وفي المقام محكوم بالإجمال نظرا إلى أنّ الحكم بالإطلاق ممّا لا قاضي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المختار فلأنّ بعد احتمال البيان قويّا لا ضير في ترك الإطلاق ولا يجري فيه أصالة الحقيقة ، وأمّا على المجازيّة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المشهور </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فلأنّ شيوع هذا المجاز هو الفارق بينه وبين غيره من عدم جريان أصالة الحقيقة عند احتماله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الشيوع حدّ الشياع في المجاز المشهور عند تعارضه مع </w:t>
      </w:r>
      <w:r>
        <w:rPr>
          <w:rStyle w:val="FootnoteAnchor"/>
          <w:rtl w:val="true"/>
        </w:rPr>
        <w:footnoteReference w:id="535"/>
      </w:r>
      <w:r>
        <w:rPr>
          <w:rFonts w:ascii="Amiri" w:hAnsi="Amiri" w:eastAsia="Amiri" w:cs="Amiri"/>
          <w:color w:val="111111"/>
          <w:sz w:val="28"/>
          <w:sz w:val="28"/>
          <w:szCs w:val="28"/>
          <w:rtl w:val="true"/>
          <w:lang w:bidi="ar-SA"/>
        </w:rPr>
        <w:t>الحقيقة المرجوحة ، إلاّ أنّه يحكم في المجاز بالتوقّف وبالتقييد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المختار ، فلما عرفت من صلاحيّته للبيان وبعد وجود ما يصلح له لا يحكم العقل بالإطلاق من غير فرق بين القرينة الداخلية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الشيوع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الشيوع لا يصلح أن يكون دليلا على الخصوصيّة والتقيّد </w:t>
      </w:r>
      <w:r>
        <w:rPr>
          <w:rStyle w:val="FootnoteAnchor"/>
          <w:rtl w:val="true"/>
        </w:rPr>
        <w:footnoteReference w:id="536"/>
      </w:r>
      <w:r>
        <w:rPr>
          <w:rFonts w:ascii="Amiri" w:hAnsi="Amiri" w:eastAsia="Amiri" w:cs="Amiri"/>
          <w:color w:val="111111"/>
          <w:sz w:val="28"/>
          <w:sz w:val="28"/>
          <w:szCs w:val="28"/>
          <w:rtl w:val="true"/>
          <w:lang w:bidi="ar-SA"/>
        </w:rPr>
        <w:t>ليلزم منه كون المطلق حقيقة ، بل إنّما هو صالح لأن يراد من المطلق المقيّد فيكون مجازا حينئذ لا محالة ، فهو فاسد ، إذ لم نجد ما يقضي بذلك ، فكما أنّه يمكن ذلك فيه فما نحن فيه أولى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المشهور ، فلوضوح الفرق بين المجازات كما عرفت ، ولعلّ الوجه هو الأخذ بالمعلوم ، فإنّ المقيّد هو القدر المتيقّن على دخوله في المطلق ، إلاّ أنّ ذلك خلاف الاحتياط عند عدم التمكّن من المقيّد ، فلا بدّ من بيان ما هو الملاك في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يتمّ ذلك في مقام العمل ، فتأمّل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الشيوع حدّ الاشتراك ثمّ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يتوهّم على المختار من عدم لزوم مجاز في التقييد بلوغه ذلك الحدّ مشكل ؛ لأنّ المعنى الموضوع له </w:t>
      </w:r>
    </w:p>
    <w:p>
      <w:pPr>
        <w:pStyle w:val="BookText"/>
        <w:rPr/>
      </w:pPr>
      <w:r>
        <w:rPr>
          <w:rFonts w:ascii="Amiri" w:hAnsi="Amiri" w:eastAsia="Amiri" w:cs="Amiri"/>
          <w:color w:val="111111"/>
          <w:sz w:val="28"/>
          <w:sz w:val="28"/>
          <w:szCs w:val="28"/>
          <w:rtl w:val="true"/>
          <w:lang w:bidi="ar-SA"/>
        </w:rPr>
        <w:t>محفوظ في جميع المراتب ولا يختلف باختلاف الوجوه كما عرفت والنقل مسبوق بالمجاز لا محالة ، فكيف يتصوّر ذلك؟</w:t>
      </w:r>
    </w:p>
    <w:p>
      <w:pPr>
        <w:pStyle w:val="BookText"/>
        <w:rPr/>
      </w:pPr>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ذكرنا إنّما هو في مقام بيان عدم الملازمة بين التقييد والمجاز ، وإلاّ فقد يمكن أن يكون التقييد مجازا ، كأن يراد من لفظ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لنفس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المقيّد بواسطة القرينة ، ولا امتناع في ذلك ، كيف والعموم والخصوص من العلائق التي تراعى بين المعاني الحقيقيّة والمجازيّة ، ومن موارد تلك العلاقة استعمال الكلّي والمطلق في الفرد والمقيّد ، فيمكن حصول النقل بملاحظة هذا النحو من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ذلك غير ممكن على الوجه الآخر الذي لا يلزم على تقديره مجاز ؛ مع أنّه يمكن القول بإمكانه على ذلك التقدير أيضا ، كأن يكون الذهن غير ملتفت إلى ما يوجبه التقييد لكثرة استيناسه بما يوجب التقييد ، فينتقل تارة بعد تأكيد الأنس إلى المقيّد مع قطع النظر عمّا يوجبه ، نظير حصول النقل على وجه المجازيّة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الانصراف كما يختلف مراتبه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يختلف مراتبه ؛ لأنّه بمنزلة التقييد ، بل هو هو بعينه ، إلاّ أنّ المقيّد هنا لبّي ، فقد يكون اللفظ من إحدى الجهات منصرفا ومطلقا من جهة غيرها ، ويلحق بكلّ جهة حكمها ، من دون سراية إلى الاخرى</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شكّ في الانصراف أو في بلوغه حدّا لا يؤخذ معه بالإطلاق ، ففي الأخذ به أو عدمه وجهان ، ولعلّ الأوّل أقرب ، لعدم العلم ولا ما يقوم مقامه من أصل ونحوه بالبيان ، فاعتبار </w:t>
      </w:r>
      <w:r>
        <w:rPr>
          <w:rStyle w:val="FootnoteAnchor"/>
          <w:rtl w:val="true"/>
        </w:rPr>
        <w:footnoteReference w:id="537"/>
      </w:r>
      <w:r>
        <w:rPr>
          <w:rFonts w:ascii="Amiri" w:hAnsi="Amiri" w:eastAsia="Amiri" w:cs="Amiri"/>
          <w:color w:val="111111"/>
          <w:sz w:val="28"/>
          <w:sz w:val="28"/>
          <w:szCs w:val="28"/>
          <w:rtl w:val="true"/>
          <w:lang w:bidi="ar-SA"/>
        </w:rPr>
        <w:t>المتكلّم على ذلك قبيح ولا رافع له من حكم العرف بالبيان ،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تفريع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إجماع أو نحوه على ثبوت حكم المنصرف إلى الشائع للفرد النادر ، فهل يوجب ذلك الحكم بإطلاقه من جميع الجهات التي يكون منصرفا بالنسبة إليها ، أو لا فيقتصر على ثبوت الحكم لذلك المورد بالخصوص ويؤخذ بالانصراف في الجهات الباقية؟ وجهان بل قولان ، فالمشهور على الثاني ، ونسب إلى الشريف المرتضى </w:t>
      </w:r>
      <w:r>
        <w:rPr>
          <w:rStyle w:val="FootnoteAnchor"/>
          <w:rtl w:val="true"/>
        </w:rPr>
        <w:footnoteReference w:id="538"/>
      </w:r>
      <w:r>
        <w:rPr>
          <w:rFonts w:ascii="Amiri" w:hAnsi="Amiri" w:eastAsia="Amiri" w:cs="Amiri"/>
          <w:color w:val="111111"/>
          <w:sz w:val="28"/>
          <w:sz w:val="28"/>
          <w:szCs w:val="28"/>
          <w:rtl w:val="true"/>
          <w:lang w:bidi="ar-SA"/>
        </w:rPr>
        <w:t>الأوّل حيث حكم بجواز التطهير بالمضاف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للمشهور لذهابهم إلى عدم الجواز لانصراف الغسل إلى ما يحصل بالماء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الغسل بالمضاف كما أنّه من الأفراد النادرة فكذلك الغسل بماء الكبريت ونحوه من الأفراد النادرة أيضا ، والإجماع على جواز التطهير بأمثال ماء الكبريت ثابت </w:t>
      </w:r>
      <w:r>
        <w:rPr>
          <w:rStyle w:val="FootnoteAnchor"/>
          <w:rtl w:val="true"/>
        </w:rPr>
        <w:footnoteReference w:id="539"/>
      </w:r>
      <w:r>
        <w:rPr>
          <w:rFonts w:ascii="Amiri" w:hAnsi="Amiri" w:eastAsia="Amiri" w:cs="Amiri"/>
          <w:color w:val="111111"/>
          <w:sz w:val="28"/>
          <w:sz w:val="28"/>
          <w:szCs w:val="28"/>
          <w:rtl w:val="true"/>
          <w:lang w:bidi="ar-SA"/>
        </w:rPr>
        <w:t xml:space="preserve">وبذلك يستكشف عن كون المراد هو المطلق على وجه الاطلاق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في ذلك هو التفصيل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علمنا أنّ مستند الإجماع على تعلّق الحكم الكذائي ببعض الأفراد </w:t>
      </w:r>
      <w:r>
        <w:rPr>
          <w:rStyle w:val="FootnoteAnchor"/>
          <w:rtl w:val="true"/>
        </w:rPr>
        <w:footnoteReference w:id="541"/>
      </w:r>
      <w:r>
        <w:rPr>
          <w:rFonts w:ascii="Amiri" w:hAnsi="Amiri" w:eastAsia="Amiri" w:cs="Amiri"/>
          <w:color w:val="111111"/>
          <w:sz w:val="28"/>
          <w:sz w:val="28"/>
          <w:szCs w:val="28"/>
          <w:rtl w:val="true"/>
          <w:lang w:bidi="ar-SA"/>
        </w:rPr>
        <w:t>النادرة هو تعلّق الحكم على المطلق ليكون فتوى المجمعين مستندا إلى ظاهر الإطلاق ، فالتعويل على ما اختاره الشريف المرتضى كما هو كذلك في الفرع المتنازع فيه ، فلا وجه لردّ السيّد بالانصراف ولا بدّ له من إبداء وجه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يعلم ذلك فلا ، إذ لعلّ هناك دليلا خاصّا دلّ على تعلّق الحكم المذكور بخصوص هذا الفرد النادر ، كما لا يخفى</w:t>
      </w:r>
      <w:r>
        <w:rPr>
          <w:rFonts w:eastAsia="Amiri" w:cs="Amiri" w:ascii="Amiri" w:hAnsi="Amiri"/>
          <w:color w:val="111111"/>
          <w:sz w:val="28"/>
          <w:szCs w:val="28"/>
          <w:rtl w:val="true"/>
          <w:lang w:bidi="ar-SA"/>
        </w:rPr>
        <w:t xml:space="preserve">. </w:t>
      </w:r>
      <w:bookmarkStart w:id="203" w:name="pg16264_169571"/>
    </w:p>
    <w:p>
      <w:pPr>
        <w:pStyle w:val="BookText"/>
        <w:rPr/>
      </w:pPr>
      <w:bookmarkEnd w:id="203"/>
      <w:r>
        <w:rPr>
          <w:rFonts w:ascii="Amiri" w:hAnsi="Amiri" w:eastAsia="Amiri" w:cs="Amiri"/>
          <w:color w:val="111111"/>
          <w:sz w:val="28"/>
          <w:sz w:val="28"/>
          <w:szCs w:val="28"/>
          <w:rtl w:val="true"/>
          <w:lang w:bidi="ar-SA"/>
        </w:rPr>
        <w:t xml:space="preserve">وممّا ذكرنا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المذكورة ممّا لا دليل عليها ، فإنّ السيّد حكم بالإطلاق في ذلك المورد الخاصّ لا مطلقا ، وهو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غير وجيه بعد تعدّد جهات الإطلاق والانصراف ، فإنّهم لو استندوا إلى الإطلاق من جهة خاصّة لا ملازمة بين ذلك وبين استنادهم إليه من جهة أخرى ، فإنّ الانصراف أيضا كما عرفت من التقييد ، فكما لا ينافي ورود التقييد اللفظي الآخذ بالإطلاق من جهة لم يرد فيها </w:t>
      </w:r>
      <w:r>
        <w:rPr>
          <w:rStyle w:val="FootnoteAnchor"/>
          <w:rtl w:val="true"/>
        </w:rPr>
        <w:footnoteReference w:id="542"/>
      </w:r>
      <w:r>
        <w:rPr>
          <w:rFonts w:ascii="Amiri" w:hAnsi="Amiri" w:eastAsia="Amiri" w:cs="Amiri"/>
          <w:color w:val="111111"/>
          <w:sz w:val="28"/>
          <w:sz w:val="28"/>
          <w:szCs w:val="28"/>
          <w:rtl w:val="true"/>
          <w:lang w:bidi="ar-SA"/>
        </w:rPr>
        <w:t>فكذلك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لا بدّ من التأمّل من حيث نسبة ذلك إلى من هو أعرف منّا بمواقع الكلام</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4588660_1280447820"/>
      <w:bookmarkStart w:id="205" w:name="_Toc62"/>
      <w:bookmarkEnd w:id="204"/>
      <w:r>
        <w:rPr>
          <w:rtl w:val="true"/>
        </w:rPr>
        <w:t xml:space="preserve">الشرط الثاني </w:t>
      </w:r>
      <w:r>
        <w:rPr>
          <w:rtl w:val="true"/>
        </w:rPr>
        <w:t>:</w:t>
      </w:r>
      <w:bookmarkEnd w:id="205"/>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فرض لإطلاق المطلق جهات عديدة ، فالشرط في حمله على الاطلاق من كلّ جهة أن يكون واردا في مقام بيان تلك الجهة بخصوصها ، فلا يجوز التعويل على الإطلاق في الجهة التي لم يرد المطلق في مقام 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الاشتراط ظاهر بعد ما عرفت من أنّ الإطلاق إنّما هو موقوف على وروده في مقام البيان ؛ لأنّه لو لم يحمل على العموم من تلك الجهة وحمل على الإهمال من جهتها لا يلزم قبيح على المتكلّم ، ويظهر ذلك في الغاية بالمراجعة إلى المحاورات العرفيّة ، فلو أفتى المجتهد مقلّده بجواز الصلاة في القلنسوة النجسة ، فهل ترى أن يؤخذ بإطلاق القلنسوة ويحكم بجواز الصلاة فيها إذا كانت مغصوبة أيضا؟ ومن هنا أوردوا </w:t>
      </w:r>
      <w:r>
        <w:rPr>
          <w:rStyle w:val="FootnoteAnchor"/>
          <w:rtl w:val="true"/>
        </w:rPr>
        <w:footnoteReference w:id="543"/>
      </w:r>
      <w:r>
        <w:rPr>
          <w:rFonts w:ascii="Amiri" w:hAnsi="Amiri" w:eastAsia="Amiri" w:cs="Amiri"/>
          <w:color w:val="111111"/>
          <w:sz w:val="28"/>
          <w:sz w:val="28"/>
          <w:szCs w:val="28"/>
          <w:rtl w:val="true"/>
          <w:lang w:bidi="ar-SA"/>
        </w:rPr>
        <w:t xml:space="preserve">على الشيخ في استدلاله على طهارة موضع عضّ الكلب </w:t>
      </w:r>
    </w:p>
    <w:p>
      <w:pPr>
        <w:pStyle w:val="BookText"/>
        <w:rPr/>
      </w:pPr>
      <w:r>
        <w:rPr>
          <w:rFonts w:ascii="Amiri" w:hAnsi="Amiri" w:eastAsia="Amiri" w:cs="Amiri"/>
          <w:color w:val="111111"/>
          <w:sz w:val="28"/>
          <w:sz w:val="28"/>
          <w:szCs w:val="28"/>
          <w:rtl w:val="true"/>
          <w:lang w:bidi="ar-SA"/>
        </w:rPr>
        <w:t xml:space="preserve">بإطلاق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فَكُلُوا مِمَّا أَمْسَكْنَ عَلَيْكُمْ </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 xml:space="preserve">مع وروده في مقام بيان الحلّية ولا يرتبط بجهة الطهارة والنجاسة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من لا يرى أنّ وجه العموم في المطلق هو ما ذكرنا بل العموم عنده وضعيّ يشكل عليه الأمر في إثبات الشرط ، مثل من ذهب إلى أنّ وجه العموم في المطلق هو استواء نسبة الماهيّة الملحوظة بنفسها إلى جميع الأفراد من غير حاجة إلى إحراز مقام البيان وإن كان قائلا بخروج الشيوع عن المعنى كما هو الظاهر من بعض الأفاضل ؛ قال في العوائد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ما ذكرنا عن الوحيد البهبهاني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الكلام يجري على دليل الحكمة ، ولا يجري على المختار من كون عموم المطلق لوجود الطبيعة ؛ لأنّها موجودة في ضمن كلّ فرد من أفرادها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حاول الاعتراض على ما ذكره ، فأورد عليه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ملاحظة الجهات والحيثيّات توجب ارتفاع التناقض بين المطلقين فيما إذا تقارب الجهات ، فلا يكون تعارض 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الغنم 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الحيوان الأسود زكاة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بأنّ عدم التعارض إنّما هو الحقّ الحقيق بالتصديق ، لما عرفت من ارتفاعه حيث لا يلاحظ المعنى على وجه السراية والشيوع وبالجملة ، فملاحظة موارد إطلاق المطلق في العرف من أقوى الشواهد</w:t>
      </w:r>
      <w:r>
        <w:rPr>
          <w:rFonts w:eastAsia="Amiri" w:cs="Amiri" w:ascii="Amiri" w:hAnsi="Amiri"/>
          <w:color w:val="111111"/>
          <w:sz w:val="28"/>
          <w:szCs w:val="28"/>
          <w:rtl w:val="true"/>
          <w:lang w:bidi="ar-SA"/>
        </w:rPr>
        <w:t xml:space="preserve">. </w:t>
      </w:r>
      <w:bookmarkStart w:id="206" w:name="pg16264_169573"/>
    </w:p>
    <w:p>
      <w:pPr>
        <w:pStyle w:val="BookText"/>
        <w:rPr/>
      </w:pPr>
      <w:bookmarkEnd w:id="206"/>
      <w:r>
        <w:rPr>
          <w:rFonts w:ascii="Amiri" w:hAnsi="Amiri" w:eastAsia="Amiri" w:cs="Amiri"/>
          <w:color w:val="111111"/>
          <w:sz w:val="28"/>
          <w:sz w:val="28"/>
          <w:szCs w:val="28"/>
          <w:rtl w:val="true"/>
          <w:lang w:bidi="ar-SA"/>
        </w:rPr>
        <w:t>ثمّ إنّ وروده في مقام بيان حكم آخر قد يكون واضحا جليّا ، وقد لا يكون كذلك فيحصل الشكّ ، فهل يحكم بوروده في مقام بيان الحكم من جميع الجهات أو من الجهة المشكوك فيها ، أو لا؟ وجهان مبنيّان على دعوى الغلبة ومنعها ، ومجال الكلام فيه واسع</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4588662_1280447820"/>
      <w:bookmarkStart w:id="208" w:name="_Toc63"/>
      <w:bookmarkEnd w:id="207"/>
      <w:r>
        <w:rPr>
          <w:rtl w:val="true"/>
        </w:rPr>
        <w:t xml:space="preserve">تذنيب </w:t>
      </w:r>
      <w:r>
        <w:rPr>
          <w:rtl w:val="true"/>
        </w:rPr>
        <w:t>:</w:t>
      </w:r>
      <w:bookmarkEnd w:id="208"/>
    </w:p>
    <w:p>
      <w:pPr>
        <w:pStyle w:val="BookText"/>
        <w:rPr/>
      </w:pPr>
      <w:r>
        <w:rPr>
          <w:rFonts w:ascii="Amiri" w:hAnsi="Amiri" w:eastAsia="Amiri" w:cs="Amiri"/>
          <w:color w:val="111111"/>
          <w:sz w:val="28"/>
          <w:sz w:val="28"/>
          <w:szCs w:val="28"/>
          <w:rtl w:val="true"/>
          <w:lang w:bidi="ar-SA"/>
        </w:rPr>
        <w:t xml:space="preserve">ما ذكرنا من عدم السراية إلى الجهة التي لم يرد المطلق في بيانها إنّما هو إذا لم يكن لتلك الجهة ملازمة عقليّة أو عاديّة أو شرعيّة للجهة التي ورد في بيانها ، مثل ما ورد في صحّة الصلاة في ثوب فيه عذرة ما لا يؤكل لحمه من جهة النجاسة عند عدم العلم بها </w:t>
      </w:r>
      <w:r>
        <w:rPr>
          <w:rStyle w:val="FootnoteAnchor"/>
          <w:rtl w:val="true"/>
        </w:rPr>
        <w:footnoteReference w:id="547"/>
      </w:r>
      <w:r>
        <w:rPr>
          <w:rFonts w:ascii="Amiri" w:hAnsi="Amiri" w:eastAsia="Amiri" w:cs="Amiri"/>
          <w:color w:val="111111"/>
          <w:sz w:val="28"/>
          <w:sz w:val="28"/>
          <w:szCs w:val="28"/>
          <w:rtl w:val="true"/>
          <w:lang w:bidi="ar-SA"/>
        </w:rPr>
        <w:t>، فإنّها تدل على صحة الصلاة في أجزاء ما لا يؤكل عند عدم العلم بها إذا كانت النجاسة من الأجزاء ، لعدم الانفكاك بينهما على هذا التقدير ، فلو حمل على نفس الجهة التي ورد في بيانها لزم إلغاؤه بالمرّة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أيضا أنّه سئل الإمام عليه‌السلام عن الكافر إذا وقع في البئر ومات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ينزح سبعون دلوا </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فإنّه وإن ورد من جهة النجاسة من حيث إنّه كافر ، لكن النجاسة الحادثة بالموت نظرا إلى الإطلاق لا يمكن أن يكون أزيد منها ، وإلاّ لغى الكلام ويبقى بلا مورد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ومثله ما ورد من طهارة سؤر الهرّة </w:t>
      </w:r>
      <w:r>
        <w:rPr>
          <w:rStyle w:val="FootnoteAnchor"/>
          <w:rtl w:val="true"/>
        </w:rPr>
        <w:footnoteReference w:id="549"/>
      </w:r>
      <w:r>
        <w:rPr>
          <w:rFonts w:ascii="Amiri" w:hAnsi="Amiri" w:eastAsia="Amiri" w:cs="Amiri"/>
          <w:color w:val="111111"/>
          <w:sz w:val="28"/>
          <w:sz w:val="28"/>
          <w:szCs w:val="28"/>
          <w:rtl w:val="true"/>
          <w:lang w:bidi="ar-SA"/>
        </w:rPr>
        <w:t>حيث إنّ الغالب عدم خلوّ موضع السؤر عن النجاسة ، فيحكم بكون السؤر طاهرا مطلقا ولو كان قبل الملاقاة ملاقيا بالنجاسة ، بل وذلك هو عمدة الوجه في اتكالهم على طهارة الحيوان بزوال النجاسة فراجع</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الاستدلال بعمومات البراءة الواردة في الشبهة الموضوعيّة البدويّة على حلّيّة أطراف الشبهة الغير المحصورة ، لعدم انفكاك هذه الجهة في الأغلب عنها ، فلمّا لم يدلّ على هذه الجهة يبقى تلك العمومات عادم المورد ؛ لأنّ النادر كالمعدوم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الموارد لا يكاد ضبطها ولا خفاؤها على الملاحظ المتتبّع ، واللّه الهادي</w:t>
      </w:r>
      <w:r>
        <w:rPr>
          <w:rFonts w:eastAsia="Amiri" w:cs="Amiri" w:ascii="Amiri" w:hAnsi="Amiri"/>
          <w:color w:val="111111"/>
          <w:sz w:val="28"/>
          <w:szCs w:val="28"/>
          <w:rtl w:val="true"/>
          <w:lang w:bidi="ar-SA"/>
        </w:rPr>
        <w:t xml:space="preserve">. </w:t>
      </w:r>
      <w:bookmarkStart w:id="209" w:name="pg16264_169575"/>
    </w:p>
    <w:p>
      <w:pPr>
        <w:pStyle w:val="Heading3"/>
        <w:numPr>
          <w:ilvl w:val="2"/>
          <w:numId w:val="1"/>
        </w:numPr>
        <w:rPr/>
      </w:pPr>
      <w:bookmarkStart w:id="210" w:name="__RefHeading___Toc4588664_1280447820"/>
      <w:bookmarkStart w:id="211" w:name="_Toc64"/>
      <w:bookmarkEnd w:id="209"/>
      <w:bookmarkEnd w:id="210"/>
      <w:r>
        <w:rPr>
          <w:rtl w:val="true"/>
        </w:rPr>
        <w:t>هداية</w:t>
      </w:r>
      <w:bookmarkEnd w:id="211"/>
    </w:p>
    <w:p>
      <w:pPr>
        <w:pStyle w:val="Heading4"/>
        <w:numPr>
          <w:ilvl w:val="3"/>
          <w:numId w:val="1"/>
        </w:numPr>
        <w:rPr/>
      </w:pPr>
      <w:bookmarkStart w:id="212" w:name="__RefHeading___Toc4588666_1280447820"/>
      <w:bookmarkStart w:id="213" w:name="_Toc65"/>
      <w:bookmarkEnd w:id="212"/>
      <w:r>
        <w:rPr>
          <w:rtl w:val="true"/>
        </w:rPr>
        <w:t>اشارة</w:t>
      </w:r>
      <w:bookmarkEnd w:id="213"/>
    </w:p>
    <w:p>
      <w:pPr>
        <w:pStyle w:val="BookText"/>
        <w:rPr/>
      </w:pPr>
      <w:r>
        <w:rPr>
          <w:rFonts w:ascii="Amiri" w:hAnsi="Amiri" w:eastAsia="Amiri" w:cs="Amiri"/>
          <w:color w:val="111111"/>
          <w:sz w:val="28"/>
          <w:sz w:val="28"/>
          <w:szCs w:val="28"/>
          <w:rtl w:val="true"/>
          <w:lang w:bidi="ar-SA"/>
        </w:rPr>
        <w:t xml:space="preserve">إذا ورد مطلق ومقيّد ، فإمّا أن يكون المحكوم به متّحدا أو متعدّدا ، وعلى التقديرين فهما إمّا منفيّان أو مثبتان أو مختلفان ، وعلى التقادير إمّا أن يكون الموجب فيهما مذكورا أو لا ؛ وعلى الأوّل إمّا أن يكون الموجب واحدا أو متعدّدا وتنقيح البحث في طيّ مقامات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المحكوم به متعدّدا بجميع الصور المفروضة </w:t>
      </w:r>
      <w:r>
        <w:rPr>
          <w:rStyle w:val="FootnoteAnchor"/>
          <w:rtl w:val="true"/>
        </w:rPr>
        <w:footnoteReference w:id="550"/>
      </w:r>
      <w:r>
        <w:rPr>
          <w:rFonts w:ascii="Amiri" w:hAnsi="Amiri" w:eastAsia="Amiri" w:cs="Amiri"/>
          <w:color w:val="111111"/>
          <w:sz w:val="28"/>
          <w:sz w:val="28"/>
          <w:szCs w:val="28"/>
          <w:rtl w:val="true"/>
          <w:lang w:bidi="ar-SA"/>
        </w:rPr>
        <w:t xml:space="preserve">لا حمل ،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أطعم فقيرا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اكس فقيرا هاشميا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ما يقضي </w:t>
      </w:r>
      <w:r>
        <w:rPr>
          <w:rStyle w:val="FootnoteAnchor"/>
          <w:rtl w:val="true"/>
        </w:rPr>
        <w:footnoteReference w:id="551"/>
      </w:r>
      <w:r>
        <w:rPr>
          <w:rFonts w:ascii="Amiri" w:hAnsi="Amiri" w:eastAsia="Amiri" w:cs="Amiri"/>
          <w:color w:val="111111"/>
          <w:sz w:val="28"/>
          <w:sz w:val="28"/>
          <w:szCs w:val="28"/>
          <w:rtl w:val="true"/>
          <w:lang w:bidi="ar-SA"/>
        </w:rPr>
        <w:t xml:space="preserve">بالحمل ، ضرورة عدم ارتباط أحدهما بالآخر ، إلاّ أن يكون هناك ما يقضي بذلك من توقّف أحد الموضوعين على الآخر ،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 رقبة كافرة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توقّف العتق على الملك أوجب تقييد الرقبة بالمؤمنة ، وعند التحقيق ذلك خارج عمّا نحن فيه ، فإنّ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املك رقبة وأعتقها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التوقّف ، فيدخل في المتّحدين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اختلافهما على وجه التباين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بينهما عموم من وجه فلا حمل أيضا ، إلاّ أنّه يمكن الحكم في مورد اجتماع الفعلين بالامتثال إذا تعلّق الأمر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ظاهر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 بينهما عموم مطلقا فكما إذا كان بين متعلّقيهما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اتّحد المحكوم به ، فمع تعدّد الموجب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ظاهرت 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Style w:val="FootnoteAnchor"/>
          <w:rtl w:val="true"/>
        </w:rPr>
        <w:footnoteReference w:id="552"/>
      </w:r>
      <w:r>
        <w:rPr>
          <w:rFonts w:ascii="Amiri" w:hAnsi="Amiri" w:eastAsia="Amiri" w:cs="Amiri"/>
          <w:color w:val="111111"/>
          <w:sz w:val="28"/>
          <w:sz w:val="28"/>
          <w:szCs w:val="28"/>
          <w:rtl w:val="true"/>
          <w:lang w:bidi="ar-SA"/>
        </w:rPr>
        <w:t xml:space="preserve">أعتق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حمل أيضا ، كما عليه أصحابنا الإماميّة أجمع على ما حكي </w:t>
      </w:r>
      <w:r>
        <w:rPr>
          <w:rStyle w:val="FootnoteAnchor"/>
          <w:rtl w:val="true"/>
        </w:rPr>
        <w:footnoteReference w:id="553"/>
      </w:r>
      <w:r>
        <w:rPr>
          <w:rFonts w:ascii="Amiri" w:hAnsi="Amiri" w:eastAsia="Amiri" w:cs="Amiri"/>
          <w:color w:val="111111"/>
          <w:sz w:val="28"/>
          <w:sz w:val="28"/>
          <w:szCs w:val="28"/>
          <w:rtl w:val="true"/>
          <w:lang w:bidi="ar-SA"/>
        </w:rPr>
        <w:t>، لعدم ما يوجب ذلك من العقل والنقل ، لعدم التنافي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 بعض أهل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خالفوا في ذلك وقالوا بالحمل </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وشذوذه يكفي في الأعراض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اتّحد الموجب مذكورا أو مستورا وكان الكلامان مثبتين ، فالمشهور على الحمل ، بل وعليه الإجماع صريحا في كلام جماعة من أصحابنا كالعلاّمة </w:t>
      </w:r>
      <w:r>
        <w:rPr>
          <w:rStyle w:val="FootnoteAnchor"/>
          <w:rtl w:val="true"/>
        </w:rPr>
        <w:footnoteReference w:id="555"/>
      </w:r>
      <w:r>
        <w:rPr>
          <w:rFonts w:ascii="Amiri" w:hAnsi="Amiri" w:eastAsia="Amiri" w:cs="Amiri"/>
          <w:color w:val="111111"/>
          <w:sz w:val="28"/>
          <w:sz w:val="28"/>
          <w:szCs w:val="28"/>
          <w:rtl w:val="true"/>
          <w:lang w:bidi="ar-SA"/>
        </w:rPr>
        <w:t xml:space="preserve">والعميدي </w:t>
      </w:r>
      <w:r>
        <w:rPr>
          <w:rStyle w:val="FootnoteAnchor"/>
          <w:rtl w:val="true"/>
        </w:rPr>
        <w:footnoteReference w:id="556"/>
      </w:r>
      <w:r>
        <w:rPr>
          <w:rFonts w:ascii="Amiri" w:hAnsi="Amiri" w:eastAsia="Amiri" w:cs="Amiri"/>
          <w:color w:val="111111"/>
          <w:sz w:val="28"/>
          <w:sz w:val="28"/>
          <w:szCs w:val="28"/>
          <w:rtl w:val="true"/>
          <w:lang w:bidi="ar-SA"/>
        </w:rPr>
        <w:t xml:space="preserve">والبهائي </w:t>
      </w:r>
      <w:r>
        <w:rPr>
          <w:rStyle w:val="FootnoteAnchor"/>
          <w:rtl w:val="true"/>
        </w:rPr>
        <w:footnoteReference w:id="557"/>
      </w:r>
      <w:r>
        <w:rPr>
          <w:rFonts w:ascii="Amiri" w:hAnsi="Amiri" w:eastAsia="Amiri" w:cs="Amiri"/>
          <w:color w:val="111111"/>
          <w:sz w:val="28"/>
          <w:sz w:val="28"/>
          <w:szCs w:val="28"/>
          <w:rtl w:val="true"/>
          <w:lang w:bidi="ar-SA"/>
        </w:rPr>
        <w:t xml:space="preserve">، وغيرهم كالآمدي </w:t>
      </w:r>
      <w:r>
        <w:rPr>
          <w:rStyle w:val="FootnoteAnchor"/>
          <w:rtl w:val="true"/>
        </w:rPr>
        <w:footnoteReference w:id="558"/>
      </w:r>
      <w:r>
        <w:rPr>
          <w:rFonts w:ascii="Amiri" w:hAnsi="Amiri" w:eastAsia="Amiri" w:cs="Amiri"/>
          <w:color w:val="111111"/>
          <w:sz w:val="28"/>
          <w:sz w:val="28"/>
          <w:szCs w:val="28"/>
          <w:rtl w:val="true"/>
          <w:lang w:bidi="ar-SA"/>
        </w:rPr>
        <w:t xml:space="preserve">والحاجبي </w:t>
      </w:r>
      <w:r>
        <w:rPr>
          <w:rStyle w:val="FootnoteAnchor"/>
          <w:rtl w:val="true"/>
        </w:rPr>
        <w:footnoteReference w:id="559"/>
      </w:r>
      <w:r>
        <w:rPr>
          <w:rFonts w:ascii="Amiri" w:hAnsi="Amiri" w:eastAsia="Amiri" w:cs="Amiri"/>
          <w:color w:val="111111"/>
          <w:sz w:val="28"/>
          <w:sz w:val="28"/>
          <w:szCs w:val="28"/>
          <w:rtl w:val="true"/>
          <w:lang w:bidi="ar-SA"/>
        </w:rPr>
        <w:t xml:space="preserve">والعضدي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ذلك هو الواقع أيضا ، فإذا قال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مجرّدين عن ذكر الموجب أو مضافين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ظاهرت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فالعرف إنّما يساعد على الحمل المذكور وأنّ المراد بالمطلق هو المقيّد ، وهو راجع إلى التقييد وإن توهّم اختلافهما كما هو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فاستدلّ الأكثرون بأنّه جمع بين الدليلين ، وهو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 بإمكان الجمع على وجه آخر كحمل الأمر فيهما على التخيير أو في المقيّد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باطل لعدم معقولية التخيير بين الفرد والكلّي ، والثاني فاسد لما عرفت من أنّ التقييد ليس تصرّفا في معنى اللفظ وإنّما هو تصرّف في وجه من وجوه المعنى الذي اقتضاه تجرّده عن القيد مع تخيّل وروده في مقام بيان تمام المراد ، وبعد الاطّلاع على ما يصلح للتقييد نعلم وجوده على وجه الإجمال ، فلا إطلاق فيه حتّى يستلزم تصرّفا ، فلا يعارض ذلك بالتصرّف في المقيّد بحمل أمره على الاستحباب ، وعلى المشهور فلا يعارض أيضا بغلبة هذا المجاز على أقرانه ، وعلى تقدير التساوي فالحكم هو الإجمال على المشهور ، ولا بدّ من الرجوع إلى ما يقتضيه الأصل عند دوران الأمر بين المطلق والمقيّد من تحكيم البراءة والاشتغال ، على الخلاف المقرّر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 المحقّق القمي رحمه‌اللّه حيث حكم بالبراءة عند دوران الأمر بين المتباينين كالظهر والجمعة </w:t>
      </w:r>
      <w:r>
        <w:rPr>
          <w:rStyle w:val="FootnoteAnchor"/>
          <w:rtl w:val="true"/>
        </w:rPr>
        <w:footnoteReference w:id="561"/>
      </w:r>
      <w:r>
        <w:rPr>
          <w:rFonts w:ascii="Amiri" w:hAnsi="Amiri" w:eastAsia="Amiri" w:cs="Amiri"/>
          <w:color w:val="111111"/>
          <w:sz w:val="28"/>
          <w:sz w:val="28"/>
          <w:szCs w:val="28"/>
          <w:rtl w:val="true"/>
          <w:lang w:bidi="ar-SA"/>
        </w:rPr>
        <w:t xml:space="preserve">، ويظهر منه الاشتغال في المقام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ذكرنا يظهر عدم استقامة ما قد يحتجّ على الحمل بالاحتياط ، فإنّه بعد كونه مختلفا فيه ليس حملا بل هو حمل في العمل كما لا يخفى</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ذهب شيخنا البهائي إلى أنّ وجه الحمل هو اعتبار مفهوم الوصف في قبال المطلق </w:t>
      </w:r>
      <w:r>
        <w:rPr>
          <w:rStyle w:val="FootnoteAnchor"/>
          <w:rtl w:val="true"/>
        </w:rPr>
        <w:footnoteReference w:id="563"/>
      </w:r>
      <w:r>
        <w:rPr>
          <w:rFonts w:ascii="Amiri" w:hAnsi="Amiri" w:eastAsia="Amiri" w:cs="Amiri"/>
          <w:color w:val="111111"/>
          <w:sz w:val="28"/>
          <w:sz w:val="28"/>
          <w:szCs w:val="28"/>
          <w:rtl w:val="true"/>
          <w:lang w:bidi="ar-SA"/>
        </w:rPr>
        <w:t>؛ ولذلك أورد عليهم 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ليس في محلّه ، إذ بعد النقض </w:t>
      </w:r>
    </w:p>
    <w:p>
      <w:pPr>
        <w:pStyle w:val="BookText"/>
        <w:rPr/>
      </w:pPr>
      <w:r>
        <w:rPr>
          <w:rFonts w:ascii="Amiri" w:hAnsi="Amiri" w:eastAsia="Amiri" w:cs="Amiri"/>
          <w:color w:val="111111"/>
          <w:sz w:val="28"/>
          <w:sz w:val="28"/>
          <w:szCs w:val="28"/>
          <w:rtl w:val="true"/>
          <w:lang w:bidi="ar-SA"/>
        </w:rPr>
        <w:t xml:space="preserve">باللقب وعدّ هذا القسم في المثبتين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التنافي إنّما هو بواسطة اتّحاد التكليف والمفهوم لا يورث التنافي ؛ لأنّ المستفاد منه نفي وجوب الفعل </w:t>
      </w:r>
      <w:r>
        <w:rPr>
          <w:rStyle w:val="FootnoteAnchor"/>
          <w:rtl w:val="true"/>
        </w:rPr>
        <w:footnoteReference w:id="564"/>
      </w:r>
      <w:r>
        <w:rPr>
          <w:rFonts w:ascii="Amiri" w:hAnsi="Amiri" w:eastAsia="Amiri" w:cs="Amiri"/>
          <w:color w:val="111111"/>
          <w:sz w:val="28"/>
          <w:sz w:val="28"/>
          <w:szCs w:val="28"/>
          <w:rtl w:val="true"/>
          <w:lang w:bidi="ar-SA"/>
        </w:rPr>
        <w:t>عن غير محلّ الوصف ، وهو لا ينافي وجوبه تخييرا كما هو قضيّة الأمر بالمطلق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أنّ المستفاد منه هو نفي سنخ الوجوب مطلقا فاللازم هو التعارض ، لكونهما ظاهرين ، ولا وجه للترجيح بينهما من دون مرجّح ولو التزمنا ثبوت المفهوم صونا لكلام الحكيم عن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المستفاد من المفهوم ليس إلاّ نفي الوجوب العيني يكون أقوى ، وقد فصّلنا ذلك في مباحث المفهوم ، فراجعه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فيه تحصيل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وجه التنافي بين المطلق والمقيّد هو اتّحاد التكليف ، إذ لو لم يكن ذلك فلا وجه للحمل ، لوجوب المقيّد هنا تارة بواسطة تعلّق الأمر به وأخرى تخييرا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يتأتّى القول بالاكتفاء بفرد واحد على القول بأنّ تعلّق الأوامر العديدة على وجه العينيّة أو غيرها مع قبول المورد التعدّد لا يوجب تعدّد الامتثال ، وهو لا يرتبط بما نحن بصدده من الحمل ، كما هو ظاهر لمن تدبّر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يستفاد ذلك من نفس اللفظ ، أو لا بدّ من استفادته من الخارج كأن يكون السبب فيه واحدا بناء على أنّ ذلك من كواشفه كما قيل </w:t>
      </w:r>
      <w:r>
        <w:rPr>
          <w:rStyle w:val="FootnoteAnchor"/>
          <w:rtl w:val="true"/>
        </w:rPr>
        <w:footnoteReference w:id="565"/>
      </w:r>
      <w:r>
        <w:rPr>
          <w:rFonts w:ascii="Amiri" w:hAnsi="Amiri" w:eastAsia="Amiri" w:cs="Amiri"/>
          <w:color w:val="111111"/>
          <w:sz w:val="28"/>
          <w:sz w:val="28"/>
          <w:szCs w:val="28"/>
          <w:rtl w:val="true"/>
          <w:lang w:bidi="ar-SA"/>
        </w:rPr>
        <w:t>؟ وجهان مبنيّان على تشخيص معنى المطلق من خروج الإشاعة والسريان منه أو دخوله فيه ، فعلى الأوّل نعم ، وعلى الثاني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وتوضيح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من فروع ما قد عنونوا في غير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ورود الأوامر العديدة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وتعلّقها </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 xml:space="preserve">هل يوجب تعدّد الامتثال بحسب الأوضاع اللغويّة أو لا؟ إذ لا فرق في ذلك بين أن يكون مورد الأمرين طبيعة واحدة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اضرب رجلا ، اضرب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طبيعتين بينهما عموم مطلق نحو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اضرب رجلا ، واضرب رجلا بغداديّا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قرّرنا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ذلك لا يقتضي التكرار بحسب الدلالة اللفظيّة لو خلّي وطبعها ؛ لأنّ اللفظ إنّما موضوع للطبيعة المرسلة ، ولا دلالة في تعدّد الطلب المدلول بالهيئة على تعدّد الامتثال ، فظاهر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w:t>
      </w:r>
      <w:r>
        <w:rPr>
          <w:rStyle w:val="FootnoteAnchor"/>
          <w:rtl w:val="true"/>
        </w:rPr>
        <w:footnoteReference w:id="567"/>
      </w:r>
      <w:r>
        <w:rPr>
          <w:rFonts w:ascii="Amiri" w:hAnsi="Amiri" w:eastAsia="Amiri" w:cs="Amiri"/>
          <w:color w:val="111111"/>
          <w:sz w:val="28"/>
          <w:sz w:val="28"/>
          <w:szCs w:val="28"/>
          <w:rtl w:val="true"/>
          <w:lang w:bidi="ar-SA"/>
        </w:rPr>
        <w:t>لا ينافي وحدة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w:t>
      </w:r>
      <w:r>
        <w:rPr>
          <w:rStyle w:val="FootnoteAnchor"/>
          <w:rtl w:val="true"/>
        </w:rPr>
        <w:footnoteReference w:id="568"/>
      </w:r>
      <w:r>
        <w:rPr>
          <w:rFonts w:ascii="Amiri" w:hAnsi="Amiri" w:eastAsia="Amiri" w:cs="Amiri"/>
          <w:color w:val="111111"/>
          <w:sz w:val="28"/>
          <w:sz w:val="28"/>
          <w:szCs w:val="28"/>
          <w:rtl w:val="true"/>
          <w:lang w:bidi="ar-SA"/>
        </w:rPr>
        <w:t xml:space="preserve">يوجب التأكيد ، والتأسيس خير منه ، بل التأكيد إنّما هو من قبيل المجاز يحتاج إلى القرينة ، حتّى أنّ بعض الأفاضل منع من حمل الكلام على التأكيد والتأسيس إذا احتمل الوجهين </w:t>
      </w:r>
      <w:r>
        <w:rPr>
          <w:rStyle w:val="FootnoteAnchor"/>
          <w:rtl w:val="true"/>
        </w:rPr>
        <w:footnoteReference w:id="569"/>
      </w:r>
      <w:r>
        <w:rPr>
          <w:rFonts w:ascii="Amiri" w:hAnsi="Amiri" w:eastAsia="Amiri" w:cs="Amiri"/>
          <w:color w:val="111111"/>
          <w:sz w:val="28"/>
          <w:sz w:val="28"/>
          <w:szCs w:val="28"/>
          <w:rtl w:val="true"/>
          <w:lang w:bidi="ar-SA"/>
        </w:rPr>
        <w:t>نظرا إلى أنّه مثل استعمال اللفظ في معنييه الحقيقي والمجازي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التأكيد إلاّ اعتبارا منتزعا من الكلام بعد وروده على وجه خاصّ ، وبعد تحقّق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من تعاقب الأمرين وتوارد الطلبين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انتزاعه من الكلام من دون ارتكاب مخالفة للظاهر ، فلا وجه لقياسه بالمجاز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قضيّة أصالة الحقيقة في اللفظ الموضوع للماهيّة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بأنّ ظاهر حال المتكلّم إنّما هو التأسيس كان وجيها ، مع كونه أيضا في مجال المنع ، حيث إنّه لا يستبعد التأكيد مثل استبعاد كون المتكلّم في مقام الإلغاز والتعمية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ذكرنا يظهر فساد ما ذكره ذلك البعض أيضا ، فإنّ اجتماع العنوانين من دون أن يكونا مقصودين ممّا لا إشكال فيه أصلا كما لا يخفى ، وعلى تقدير أن يكونا داعيين للمتكلّم في تكلّمه لا دليل على امتناعه لا عقلا ولا لغة ؛ ولا دخل لذلك باستعمال اللفظ في معنيين ، فإنّه لم يعهد من متكلّم إلى الآن استعمال اللفظ والإتيان به مرآة لمعنيين ، وأين ذلك من الاختلاف في الاستعمال؟ فربما يكون المتكلّم بكلام عامّ لأفراد كثيرة ذا إرادات عديدة ودواعي كثيرة بالنسبة إلى كلّ فرد ، كما لا يخفى على الملاحظ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فبعد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اللفظ إنّما هو موضوع للطبيعة المهملة لا دليل في اللفظ على تعدّد المطلوب ؛ لأنّ طلب المطلق لا ينافي طلب المقيّد ، بل يحتمل أن يكون المطلوب في أحدهما عين المطلوب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بالطبيعة كما لا ينافي أن يكون المطلوب فيها عين المطلوب بالفرد ، فكذا لا ينافي أن يكون غيره كما هو قضيّة ملاحظة نفس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ولكنّه مجرّد عدم الدليل على التعدّد يكفي في الحكم بالاتّحاد كما هو قضيّة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يعلم ورود المطلق في مقام بيان تمام المراد ، إذ لو علمنا ذلك فلا بدّ من استعلام الاتّحاد من الخارج ، بل ولا يعقل ذلك ، إذ بعد الاستعلام يعلم عدم وروده في مقام بيان تمام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يتمّ ، ذلك على المشهور من دخول الشياع في اللفظ ، فإنّه قبل الاستعلام لا بدّ من حمل اللفظ على الإشاعة والقول بوجوب المقيّد عينا وتخييرا وبعد الاستعلام والعلم باتّحاد التكليف لا بدّ من القول بكونه مجازا ، لعدم إرادة الشياع منه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فمقتضى الأصل اللفظي هو تعدّد التكليف ؛ لأنّ المطلق بقيد </w:t>
      </w:r>
      <w:bookmarkStart w:id="214" w:name="pg16264_169581"/>
    </w:p>
    <w:p>
      <w:pPr>
        <w:pStyle w:val="BookText"/>
        <w:rPr/>
      </w:pPr>
      <w:bookmarkEnd w:id="214"/>
      <w:r>
        <w:rPr>
          <w:rFonts w:ascii="Amiri" w:hAnsi="Amiri" w:eastAsia="Amiri" w:cs="Amiri"/>
          <w:color w:val="111111"/>
          <w:sz w:val="28"/>
          <w:sz w:val="28"/>
          <w:szCs w:val="28"/>
          <w:rtl w:val="true"/>
          <w:lang w:bidi="ar-SA"/>
        </w:rPr>
        <w:t>الشياع يغاير المقيّد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فهم العرف اتّحاد التكليف بناء على ذلك من اللفظ في نفسه جزاف من القول ، لا يساعده دليل ولا 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فهم العرف مسلّم ، لكنّه بواسطة ما صرنا إليه من خروج الشياع ، فتدبّر</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4588668_1280447820"/>
      <w:bookmarkStart w:id="216" w:name="_Toc66"/>
      <w:bookmarkEnd w:id="215"/>
      <w:r>
        <w:rPr>
          <w:rtl w:val="true"/>
        </w:rPr>
        <w:t xml:space="preserve">تذنيبان </w:t>
      </w:r>
      <w:r>
        <w:rPr>
          <w:rtl w:val="true"/>
        </w:rPr>
        <w:t>:</w:t>
      </w:r>
      <w:bookmarkEnd w:id="216"/>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تكرّر في كلماتهم دعوى انصراف المطلق إلى بعض الأفراد مثل ما يظهر من جماعة </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دعوى انصراف المسح في آية التيمم </w:t>
      </w:r>
      <w:r>
        <w:rPr>
          <w:rStyle w:val="FootnoteAnchor"/>
          <w:rtl w:val="true"/>
        </w:rPr>
        <w:footnoteReference w:id="571"/>
      </w:r>
      <w:r>
        <w:rPr>
          <w:rFonts w:ascii="Amiri" w:hAnsi="Amiri" w:eastAsia="Amiri" w:cs="Amiri"/>
          <w:color w:val="111111"/>
          <w:sz w:val="28"/>
          <w:sz w:val="28"/>
          <w:szCs w:val="28"/>
          <w:rtl w:val="true"/>
          <w:lang w:bidi="ar-SA"/>
        </w:rPr>
        <w:t xml:space="preserve">إلى المسح بباطن اليد ، وقد عرفت أنّ قضيّة الانصراف كالتقييد اللفظي من أنّ متعلّق الحكم هو الفرد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يدور معه الحكم وجودا وعدما فلا يصحّ التيمّم لو وقع المسح بظاهر اليد اختيارا ولو تعذّر الفرد الخاصّ </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فيحتاج إثبات الحكم في فرد آخر إلى التماس دليل آخر ، ومع ذلك فقد تراهم يتمسّكون بنفس الإطلاق لإثبات الحكم في الفرد الغير الشائع عند تعذّر الفرد الشائع ، فقالوا بوجوب المسح بظاهر اليد عند تعذّر المسح بباطن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التفصّي عنه بوجهين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الاستناد إلى الإطلاق بعد تعذّر القيد إنّما هو فيما إذا قلنا بالتقييد من حيث إنّ المقيّد هو القدر المتيقّن من المطلق ، ولا شكّ أنّ الأخذ بالفرد الآخر بعد تعذّر القدر المتيقّن أيضا 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عدم حصول الامتثال به عند إمكان القدر المتيقّن ؛ لأنّ الاحتياط في خلافه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لم يكن بعيدا عن مذاق الجماعة ، إلاّ أنّه خلاف التحقيق في وجه الحمل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بالاحتياط عند وجود الدليل الكاشف عن الواقع وجوبا ممّا لم نقف على قائل به ، فإنّ المطلق ليس مجملا عندهم ، بل يعاملون معه معاملة الدليل ، كما لا يخفى ، فلا وجه لأن يكون ذلك وجها لهذه المسألة الاتّفاقيّة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من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أفراد المطلق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تلاحظ من جهة الإيمان والكفر ، وأخرى من جهة حال الاختيار والاضطرار ، فإنّ هذه أيضا جهة ملاحظة الاطلاق </w:t>
      </w:r>
      <w:r>
        <w:rPr>
          <w:rStyle w:val="FootnoteAnchor"/>
          <w:rtl w:val="true"/>
        </w:rPr>
        <w:footnoteReference w:id="573"/>
      </w:r>
      <w:r>
        <w:rPr>
          <w:rFonts w:ascii="Amiri" w:hAnsi="Amiri" w:eastAsia="Amiri" w:cs="Amiri"/>
          <w:color w:val="111111"/>
          <w:sz w:val="28"/>
          <w:sz w:val="28"/>
          <w:szCs w:val="28"/>
          <w:rtl w:val="true"/>
          <w:lang w:bidi="ar-SA"/>
        </w:rPr>
        <w:t>والتقييد بالنسبة إليها ، وتقييد المطلق من جهة لا يستلزم تقييده من جهة أخرى ، فإذا فرضنا أنّ الرقبة قد قيّدت بالإيمان في إحدى الحالتين فقط ، فلا بدّ من الأخذ بالإطلاق في غير تلك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قد تقرّر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الموارد التي رجعوا فيها إلى الإطلاق من هذا القبيل ، كأن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المسح في آية التيمّم إنّما هو محكوم بالإطلاق بالنسبة إلى ما هو يقع به </w:t>
      </w:r>
      <w:r>
        <w:rPr>
          <w:rStyle w:val="FootnoteAnchor"/>
          <w:rtl w:val="true"/>
        </w:rPr>
        <w:footnoteReference w:id="574"/>
      </w:r>
      <w:r>
        <w:rPr>
          <w:rFonts w:ascii="Amiri" w:hAnsi="Amiri" w:eastAsia="Amiri" w:cs="Amiri"/>
          <w:color w:val="111111"/>
          <w:sz w:val="28"/>
          <w:sz w:val="28"/>
          <w:szCs w:val="28"/>
          <w:rtl w:val="true"/>
          <w:lang w:bidi="ar-SA"/>
        </w:rPr>
        <w:t xml:space="preserve">من الظاهر والباطن ، وانصرافه إلى أحد فرديه في حالة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حالة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انصرافه إلى أخرى ، فيصحّ التمسّك بالإطلاق فيها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كان المقيّد ممّا يعقل فيه إطلاق كان إطلاقه دليلا على التقييد في الحالتين ، إلاّ أنّ الانصراف حكمه حكم المقيّدات اللبيّة لا بدّ فيها من الاقتصار على ما هو المعلوم من التقييد ؛ وذلك نظير ما قلنا بصحّة الصلاة في الدار المغصوبة </w:t>
      </w:r>
    </w:p>
    <w:p>
      <w:pPr>
        <w:pStyle w:val="BookText"/>
        <w:rPr/>
      </w:pPr>
      <w:r>
        <w:rPr>
          <w:rFonts w:ascii="Amiri" w:hAnsi="Amiri" w:eastAsia="Amiri" w:cs="Amiri"/>
          <w:color w:val="111111"/>
          <w:sz w:val="28"/>
          <w:sz w:val="28"/>
          <w:szCs w:val="28"/>
          <w:rtl w:val="true"/>
          <w:lang w:bidi="ar-SA"/>
        </w:rPr>
        <w:t xml:space="preserve">عند النسيان ، فإنّ الخارج من إطلاق الأمر هو حال الذكر والاختيار ، لامتناع الاجتماع على تقدير عدم خروجها ، وإطلاق الأمر باق يصحّ التعويل عليه في الحكم بالصحّة وحصول الامتثال عند عدم المزاحم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لا فرق فيما ذكرنا بين المجاز من خروج الشياع عن معنى اللفظ </w:t>
      </w:r>
      <w:r>
        <w:rPr>
          <w:rStyle w:val="FootnoteAnchor"/>
          <w:rtl w:val="true"/>
        </w:rPr>
        <w:footnoteReference w:id="576"/>
      </w:r>
      <w:r>
        <w:rPr>
          <w:rFonts w:ascii="Amiri" w:hAnsi="Amiri" w:eastAsia="Amiri" w:cs="Amiri"/>
          <w:color w:val="111111"/>
          <w:sz w:val="28"/>
          <w:sz w:val="28"/>
          <w:szCs w:val="28"/>
          <w:rtl w:val="true"/>
          <w:lang w:bidi="ar-SA"/>
        </w:rPr>
        <w:t xml:space="preserve">وغيره ، 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المتكلّم بالمطلق إذا حاول الشيوع والسراية لا بدّ له من أوّل الأمر أن يلاحظ المعنى على وجه السراية والإشاعة ، ثمّ يستكشف ذلك بملاحظة عدم ورود البيان والقيد مع كونه واردا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إذا لم يرد ذلك وأراد نفس المعنى لا بدّ وأن يكون مقصوده من أوّل الأمر الكشف عن نفس المعنى بدون ملاحظة شيء آخر ، ويستكشف ذلك من عدم وروده في مقام البيان ومن ورود القيد ، فإذا فرضنا ورود قيد للماهيّة يكشف ذلك عن إهمالها من أوّل الأمر ، وبعد تعذّر القيد لا يعقل أن ينقلب المعنى عمّا كان عليه من الإهمال ، لامتناع خروج الشيء عمّا وقع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يستند إلى ما ذكرنا في الجواب من تغاير جهات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وإهمال المعنى من جهة ورود القيد الكاشف عنه لا ينافي إطلاقه من جهة أخرى ، لعدم ورود القيد مع وروده في مقام البيان من تلك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وانفكاك هذه الجهات بعضها عن بعض ممّا لا ينبغي الارتياب فيه كما يظهر بملاحظة العموم في هذه الجهات ، كما لا يخفى</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 فلا وجه للفرق بين المذهبين في ورود الإشكال ودفعه ، كما قرّرنا</w:t>
      </w:r>
      <w:r>
        <w:rPr>
          <w:rFonts w:eastAsia="Amiri" w:cs="Amiri" w:ascii="Amiri" w:hAnsi="Amiri"/>
          <w:color w:val="111111"/>
          <w:sz w:val="28"/>
          <w:szCs w:val="28"/>
          <w:rtl w:val="true"/>
          <w:lang w:bidi="ar-SA"/>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المقام إشكال آخر يشبه بما تقدّم يحتمل فيه الفرق بينهما ، وتقريره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قالوا في كثير من الموارد باختلاف حكم العاجز والقادر ، فيجب على القادر الإتيان بالسورة ويسقط عن العاجز ، فعلى المشهور من القول بالمجازيّة يكون الصلاة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مستعملة في المقيّد بخصوصها ، فإذا فرضنا تعذّر القيد لا وجه للاستناد إلى المطلق </w:t>
      </w:r>
      <w:r>
        <w:rPr>
          <w:rStyle w:val="FootnoteAnchor"/>
          <w:rtl w:val="true"/>
        </w:rPr>
        <w:footnoteReference w:id="577"/>
      </w:r>
      <w:r>
        <w:rPr>
          <w:rFonts w:ascii="Amiri" w:hAnsi="Amiri" w:eastAsia="Amiri" w:cs="Amiri"/>
          <w:color w:val="111111"/>
          <w:sz w:val="28"/>
          <w:sz w:val="28"/>
          <w:szCs w:val="28"/>
          <w:rtl w:val="true"/>
          <w:lang w:bidi="ar-SA"/>
        </w:rPr>
        <w:t xml:space="preserve">في إثبات الصلاة بدون القيد للعاجز ولو بضميمة قوله </w:t>
      </w:r>
      <w:r>
        <w:rPr>
          <w:rStyle w:val="FootnoteAnchor"/>
          <w:rtl w:val="true"/>
        </w:rPr>
        <w:footnoteReference w:id="57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الميسور لا يسقط بالمعسور </w:t>
      </w:r>
      <w:r>
        <w:rPr>
          <w:rFonts w:eastAsia="Amiri" w:cs="Amiri" w:ascii="Amiri" w:hAnsi="Amiri"/>
          <w:color w:val="111111"/>
          <w:sz w:val="28"/>
          <w:szCs w:val="28"/>
          <w:rtl w:val="true"/>
          <w:lang w:bidi="ar-SA"/>
        </w:rPr>
        <w:t xml:space="preserve">» </w:t>
      </w:r>
      <w:r>
        <w:rPr>
          <w:rStyle w:val="FootnoteAnchor"/>
          <w:rtl w:val="true"/>
        </w:rPr>
        <w:footnoteReference w:id="579"/>
      </w:r>
      <w:r>
        <w:rPr>
          <w:rFonts w:ascii="Amiri" w:hAnsi="Amiri" w:eastAsia="Amiri" w:cs="Amiri"/>
          <w:color w:val="111111"/>
          <w:sz w:val="28"/>
          <w:sz w:val="28"/>
          <w:szCs w:val="28"/>
          <w:rtl w:val="true"/>
          <w:lang w:bidi="ar-SA"/>
        </w:rPr>
        <w:t xml:space="preserve">فإنّ ذلك يصلح وجها لتشريع وجوب الميسور بعد تعذّر المقيد ، لا لإرادة وجوبه من الدليل الأوّل ، لاستلزامه استعمال المطلق تارة في المقيّد وأخرى في المطلق على وجه الترتيب </w:t>
      </w:r>
      <w:r>
        <w:rPr>
          <w:rStyle w:val="FootnoteAnchor"/>
          <w:rtl w:val="true"/>
        </w:rPr>
        <w:footnoteReference w:id="580"/>
      </w:r>
      <w:r>
        <w:rPr>
          <w:rFonts w:ascii="Amiri" w:hAnsi="Amiri" w:eastAsia="Amiri" w:cs="Amiri"/>
          <w:color w:val="111111"/>
          <w:sz w:val="28"/>
          <w:sz w:val="28"/>
          <w:szCs w:val="28"/>
          <w:rtl w:val="true"/>
          <w:lang w:bidi="ar-SA"/>
        </w:rPr>
        <w:t xml:space="preserve">، فإنّ الإطلاق ليس في عرض المقيّد </w:t>
      </w:r>
      <w:r>
        <w:rPr>
          <w:rStyle w:val="FootnoteAnchor"/>
          <w:rtl w:val="true"/>
        </w:rPr>
        <w:footnoteReference w:id="581"/>
      </w:r>
      <w:r>
        <w:rPr>
          <w:rFonts w:ascii="Amiri" w:hAnsi="Amiri" w:eastAsia="Amiri" w:cs="Amiri"/>
          <w:color w:val="111111"/>
          <w:sz w:val="28"/>
          <w:sz w:val="28"/>
          <w:szCs w:val="28"/>
          <w:rtl w:val="true"/>
          <w:lang w:bidi="ar-SA"/>
        </w:rPr>
        <w:t xml:space="preserve">، بل إنّما هو مترتّب على انتفاء المقيّد ، وهذا موقوف على استعمال جديد وإنشاء لفظ آخر غير اللفظ المنشأ أوّلا وإن قلنا بجواز استعمال اللفظ في المعنيين أيضا ؛ لأنّهما إنّما يكون أحدهما في عرض الآخر على تقدير جوازه ، وعلى المختار يصحّ الاستناد إلى المطلق بضميمة قوله </w:t>
      </w:r>
      <w:r>
        <w:rPr>
          <w:rStyle w:val="FootnoteAnchor"/>
          <w:rtl w:val="true"/>
        </w:rPr>
        <w:footnoteReference w:id="58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الميسور لا يسقط بالمعسور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المطلق لا يراد منه غير نفس المعنى ، وله بيانان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المقيّد وثانيهما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ضير فيه بوجه ، لعدم اختلافه باختلاف أحواله وطواريه كما قدّمنا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ما ذكرنا عدم الفرق بين الواجب والمستحبّ في الحمل ، فإنّ اللفظ لا دليل فيه على التعدّد والأصل قاض بالاتّحاد ، ومعه يتحقّق التنافي فيحمل المطلق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المشهور بينهم عدم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 على المشهور واضح ؛ لأنّ اللفظ ظاهر في التعدّد ، وإثبات الاتّحاد من الخارج موقوف على مقدمة عزيزة ، وهي القطع بعدم تفاوت مراتب تلك الماهيّة في المطلوبيّة ، وأنّى لك بإثباته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تعدّد الاستحباب كما يكون بتعدّد الفعل كذلك يكون بتعدّد مراتب محبوبيّة فعل واحد وقد علمنا بذلك في موارد جمّة </w:t>
      </w:r>
      <w:r>
        <w:rPr>
          <w:rStyle w:val="FootnoteAnchor"/>
          <w:rtl w:val="true"/>
        </w:rPr>
        <w:footnoteReference w:id="584"/>
      </w:r>
      <w:r>
        <w:rPr>
          <w:rFonts w:ascii="Amiri" w:hAnsi="Amiri" w:eastAsia="Amiri" w:cs="Amiri"/>
          <w:color w:val="111111"/>
          <w:sz w:val="28"/>
          <w:sz w:val="28"/>
          <w:szCs w:val="28"/>
          <w:rtl w:val="true"/>
          <w:lang w:bidi="ar-SA"/>
        </w:rPr>
        <w:t>، فإذا ورد أمر مطلق بزيارة الحسين عليه‌السلام ثمّ ورد أمر آخر بزيارته عليه‌السلام يوم عرفة لا داعي على الحمل ، بل يحمل على زيادة استحبابها في عرفة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الوجه العلم بورود المستحبّات غالبا في مقام البيان والظنّ يلحق المشكوك بالأعمّ الأغلب ، أو للعلم باختلاف مراتب المطلوبية في المستحبّات غالبا فيحمل المشكوك على 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وردا في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Style w:val="FootnoteAnchor"/>
          <w:rtl w:val="true"/>
        </w:rPr>
        <w:footnoteReference w:id="585"/>
      </w:r>
      <w:r>
        <w:rPr>
          <w:rFonts w:ascii="Amiri" w:hAnsi="Amiri" w:eastAsia="Amiri" w:cs="Amiri"/>
          <w:color w:val="111111"/>
          <w:sz w:val="28"/>
          <w:sz w:val="28"/>
          <w:szCs w:val="28"/>
          <w:rtl w:val="true"/>
          <w:lang w:bidi="ar-SA"/>
        </w:rPr>
        <w:t xml:space="preserve">فيحكم أيضا بإبقائهما على ظاهرهما ؛ ويظهر الوجه عن قريب في الحكم الوضعي إن شاء اللّه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في الواردين في مقام الكراهة وستعرفه بتفصيله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المقام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كانا منفيّين سواء كان متعلّق النفي نفس الحكم المتعلّق بهما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عتق الرقبة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عتق الرقبة المؤمنة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متعلّقا بالمحكوم به ،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تعتق رقبة مؤمنة </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الوجهين لا حمل بلا خلاف كما عن العلاّمة </w:t>
      </w:r>
      <w:r>
        <w:rPr>
          <w:rStyle w:val="FootnoteAnchor"/>
          <w:rtl w:val="true"/>
        </w:rPr>
        <w:footnoteReference w:id="589"/>
      </w:r>
      <w:r>
        <w:rPr>
          <w:rFonts w:ascii="Amiri" w:hAnsi="Amiri" w:eastAsia="Amiri" w:cs="Amiri"/>
          <w:color w:val="111111"/>
          <w:sz w:val="28"/>
          <w:sz w:val="28"/>
          <w:szCs w:val="28"/>
          <w:rtl w:val="true"/>
          <w:lang w:bidi="ar-SA"/>
        </w:rPr>
        <w:t xml:space="preserve">، بل ادّعى عليه الإجماع في الزبدة </w:t>
      </w:r>
      <w:r>
        <w:rPr>
          <w:rStyle w:val="FootnoteAnchor"/>
          <w:rtl w:val="true"/>
        </w:rPr>
        <w:footnoteReference w:id="590"/>
      </w:r>
      <w:r>
        <w:rPr>
          <w:rFonts w:ascii="Amiri" w:hAnsi="Amiri" w:eastAsia="Amiri" w:cs="Amiri"/>
          <w:color w:val="111111"/>
          <w:sz w:val="28"/>
          <w:sz w:val="28"/>
          <w:szCs w:val="28"/>
          <w:rtl w:val="true"/>
          <w:lang w:bidi="ar-SA"/>
        </w:rPr>
        <w:t xml:space="preserve">والاتّفاق في المعالم </w:t>
      </w:r>
      <w:r>
        <w:rPr>
          <w:rStyle w:val="FootnoteAnchor"/>
          <w:rtl w:val="true"/>
        </w:rPr>
        <w:footnoteReference w:id="591"/>
      </w:r>
      <w:r>
        <w:rPr>
          <w:rFonts w:ascii="Amiri" w:hAnsi="Amiri" w:eastAsia="Amiri" w:cs="Amiri"/>
          <w:color w:val="111111"/>
          <w:sz w:val="28"/>
          <w:sz w:val="28"/>
          <w:szCs w:val="28"/>
          <w:rtl w:val="true"/>
          <w:lang w:bidi="ar-SA"/>
        </w:rPr>
        <w:t>على 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ذلك عدم الداعي عليه ؛ لأنّ انتفاء الحكم عن الطبيعة الواقعة في سياق النفي لا ينافي انتفاءه عن الفرد أيضا ، فإنّ التأكيد بابه واسع ، وقد عرفت أنّه ليس مجازا ولا بخلاف الظاهر ، بل وهو قضيّة الأخذ بالظواهر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على القول بالمفهوم يتأتّى التنافي بين مفهوم القيد ومنطوق العامّ ، فلا بدّ إمّا من تخصيص العامّ بالمفهوم أو إلغاء المفهوم في قبال العموم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 اتّحاد التكليف ممّا لا شاهد عليها ، أمّا اللفظ فلأنّ العامّ بعمومه يغاير الخاصّ ، فظاهر اللفظين هو التعدّد ، والعرف أيضا لا يساعد الاتّحاد ، بل مدار حكم العرف على الظواهر ، ولا حكم للعرف مع قطع النظر عنها ، وقد عرفت أنّها قاضية بالتعدّد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قام على الاتّحاد إجماع خاصّ </w:t>
      </w:r>
    </w:p>
    <w:p>
      <w:pPr>
        <w:pStyle w:val="BookText"/>
        <w:rPr/>
      </w:pPr>
      <w:r>
        <w:rPr>
          <w:rFonts w:ascii="Amiri" w:hAnsi="Amiri" w:eastAsia="Amiri" w:cs="Amiri"/>
          <w:color w:val="111111"/>
          <w:sz w:val="28"/>
          <w:sz w:val="28"/>
          <w:szCs w:val="28"/>
          <w:rtl w:val="true"/>
          <w:lang w:bidi="ar-SA"/>
        </w:rPr>
        <w:t>فلا بدّ من الحمل ، لأنّ ارتكاب التخصيص في العموم أهون من طرح اختصاص الحكم الخاصّ المستفاد من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يتمّ ما ذكرنا فيما لو قلنا بأنّ المطلق الواقع في سياق النفي يجب أن يكون مفيدا للعموم ؛ لأنّ انتفاء الطبيعة يلازم انتفاء جميع أفرادها كما صرّح بذلك جماعة </w:t>
      </w:r>
      <w:r>
        <w:rPr>
          <w:rStyle w:val="FootnoteAnchor"/>
          <w:rtl w:val="true"/>
        </w:rPr>
        <w:footnoteReference w:id="592"/>
      </w:r>
      <w:r>
        <w:rPr>
          <w:rFonts w:ascii="Amiri" w:hAnsi="Amiri" w:eastAsia="Amiri" w:cs="Amiri"/>
          <w:color w:val="111111"/>
          <w:sz w:val="28"/>
          <w:sz w:val="28"/>
          <w:szCs w:val="28"/>
          <w:rtl w:val="true"/>
          <w:lang w:bidi="ar-SA"/>
        </w:rPr>
        <w:t xml:space="preserve">، وقد عرفت فيما تقدّم </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الماهيّة مع قطع النظر عمّا يلحقها من الطوارئ واللواحق ممّا يتساوى فيه الوجود والعدم والنفي والإثبات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الماهيّة الملحوظة على وجه السراية التي تقع في مقام البيان ممّا يختلف فيه الوجود والعدم ، فإن وقعت في حيّز الوجود في الإثبات يقتضي العموم البدلي وإن وقعت في حيّز النفي يقتضي العموم الشمولي</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المنفيّين إذا كان المطلق منهما باقيا على إطلاقه غير خارج عمّا وضع له من نفس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w:t>
      </w:r>
      <w:r>
        <w:rPr>
          <w:rStyle w:val="FootnoteAnchor"/>
          <w:rtl w:val="true"/>
        </w:rPr>
        <w:footnoteReference w:id="594"/>
      </w:r>
      <w:r>
        <w:rPr>
          <w:rFonts w:ascii="Amiri" w:hAnsi="Amiri" w:eastAsia="Amiri" w:cs="Amiri"/>
          <w:color w:val="111111"/>
          <w:sz w:val="28"/>
          <w:sz w:val="28"/>
          <w:szCs w:val="28"/>
          <w:rtl w:val="true"/>
          <w:lang w:bidi="ar-SA"/>
        </w:rPr>
        <w:t xml:space="preserve">لا يكون في مقام البيان حتّى يستكشف منه كونها ملحوظة على وجه السراية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الحمل ، لما </w:t>
      </w:r>
      <w:r>
        <w:rPr>
          <w:rStyle w:val="FootnoteAnchor"/>
          <w:rtl w:val="true"/>
        </w:rPr>
        <w:footnoteReference w:id="595"/>
      </w:r>
      <w:r>
        <w:rPr>
          <w:rFonts w:ascii="Amiri" w:hAnsi="Amiri" w:eastAsia="Amiri" w:cs="Amiri"/>
          <w:color w:val="111111"/>
          <w:sz w:val="28"/>
          <w:sz w:val="28"/>
          <w:szCs w:val="28"/>
          <w:rtl w:val="true"/>
          <w:lang w:bidi="ar-SA"/>
        </w:rPr>
        <w:t>تقدّم بعينه في المثبتين من غير فرق بين المقامين بوجه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 الماهيّة ملحوظة على وجه السراية لوقوعها في مقام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حمل ، كما عرفت أنّه لا حمل في المثبتين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 لا نجد فرقا بين المقامين في مورد الحمل ، وهو ما إذا كان المطلوب من المطلق نفس المعنى من دون مدخليّة شيء في الماهيّة وعدمه ، وهو ما إذا كان المطلق واقعا موقع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المنفيّين لا يجب رجوعهما إلى العموم والخصوص دائما </w:t>
      </w:r>
      <w:r>
        <w:rPr>
          <w:rStyle w:val="FootnoteAnchor"/>
          <w:rtl w:val="true"/>
        </w:rPr>
        <w:footnoteReference w:id="596"/>
      </w:r>
      <w:r>
        <w:rPr>
          <w:rFonts w:ascii="Amiri" w:hAnsi="Amiri" w:eastAsia="Amiri" w:cs="Amiri"/>
          <w:color w:val="111111"/>
          <w:sz w:val="28"/>
          <w:sz w:val="28"/>
          <w:szCs w:val="28"/>
          <w:rtl w:val="true"/>
          <w:lang w:bidi="ar-SA"/>
        </w:rPr>
        <w:t xml:space="preserve">كما زعمه جماعة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الواقع في حيّز النفي يلزم أن يكون واردا في مقام البيان كما يساعده العرف ، فيتّجه 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أنّ أغلب موارد النفي هو ذلك ، فعلى تقدير تسليمه لا يضرّ فيما نحن بصدده من الحمل ، كما أنّ أغلب موارد الإثبات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اريد الملازمة الدائمة فلا نسلّم ذلك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يقضي به شيء والعرف بخلافه ، كما يظهر من قول الطبيب إذا أراد علاج شخص خاصّ ، فإنّه كما يصحّ له الأمر بشرب الدواء على وجه الإهمال يصحّ النهي عن شرب الدواء على وجه الإهمال من غير تناقض وعدول عن الظاهر ، كما هو ظاهر لمن تدبّر فيما ذكرنا من أحوال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وقوع الماهيّة في حيّز النفي وإن كان لا يقضي بذلك ، إلاّ أنّ دليل الحكمة يقضي به فيقع في مورد البيان بواسطة الدليل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إنّما يتمّ فيما إذا تجرّد المطلق عن ورود المقيّد ، وأمّا مع ورود المقيّد فلا يجري فيه دليل الحكمة ، كما هو كذلك في الإثبات أيضا ، 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المقام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كانا مختلفين ، بأن كان المطلق مثبتا والمقيّد منفيّا ، فإمّا أن يكون النفي في المنفيّ واردا على الحكم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عتق الرقبة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عتق الرقبة المؤمنة </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 xml:space="preserve">وإمّا أن يكون واردا على المحكوم به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عتق الرقبة ويجب عدم عتق الرقبة المؤمنة إذا كان النفي والإثبات مستفادين من نفس الحكم ، كقولك </w:t>
      </w:r>
      <w:r>
        <w:rPr>
          <w:rFonts w:eastAsia="Amiri" w:cs="Amiri" w:ascii="Amiri" w:hAnsi="Amiri"/>
          <w:color w:val="111111"/>
          <w:sz w:val="28"/>
          <w:szCs w:val="28"/>
          <w:rtl w:val="true"/>
          <w:lang w:bidi="ar-SA"/>
        </w:rPr>
        <w:t>: ]</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تعتق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استظهرنا أنّ وجوب المنفيّ هو مطلق الوجوب الشامل للوجوب العيني والتخييري الشرعي والعقلي ، فلا بدّ من التقييد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نستظهر ذلك فلا داعي على التقييد ؛ لانّ الواجب حقيقة هو المطلق وإن كان هو عين المقيّد في وجه ، 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ممّا لم يتعلّق به الأمر بخصوصه فلا منافاة فلا يجب التقييد</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العموم والخصوص بين نفس الفعلين مع قطع النظر عن متعلّقهما أو كان بين المتعلّقين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قلنا بأنّ النهي </w:t>
      </w:r>
      <w:r>
        <w:rPr>
          <w:rStyle w:val="FootnoteAnchor"/>
          <w:rtl w:val="true"/>
        </w:rPr>
        <w:footnoteReference w:id="600"/>
      </w:r>
      <w:r>
        <w:rPr>
          <w:rFonts w:ascii="Amiri" w:hAnsi="Amiri" w:eastAsia="Amiri" w:cs="Amiri"/>
          <w:color w:val="111111"/>
          <w:sz w:val="28"/>
          <w:sz w:val="28"/>
          <w:szCs w:val="28"/>
          <w:rtl w:val="true"/>
          <w:lang w:bidi="ar-SA"/>
        </w:rPr>
        <w:t>يقتضي الفساد فلا بدّ من التقييد ، لدلالته على عدم حصول الإجزاء بالإتيان بالمقيّد ، فيقدّم على ما أفاده الأمر بالمطلق من حيث عدم البيان ؛ لأنّه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بعدم الاقتضاء فعلى القول بعدم جواز اجتماع الأمر والنهي يجب التقييد </w:t>
      </w:r>
      <w:r>
        <w:rPr>
          <w:rStyle w:val="FootnoteAnchor"/>
          <w:rtl w:val="true"/>
        </w:rPr>
        <w:footnoteReference w:id="601"/>
      </w:r>
      <w:r>
        <w:rPr>
          <w:rFonts w:ascii="Amiri" w:hAnsi="Amiri" w:eastAsia="Amiri" w:cs="Amiri"/>
          <w:color w:val="111111"/>
          <w:sz w:val="28"/>
          <w:sz w:val="28"/>
          <w:szCs w:val="28"/>
          <w:rtl w:val="true"/>
          <w:lang w:bidi="ar-SA"/>
        </w:rPr>
        <w:t xml:space="preserve">، وعلى القول بالجواز لا داعي على التقييد ويجزي الإتيان بالمقيّد عن الأمر الوارد </w:t>
      </w:r>
    </w:p>
    <w:p>
      <w:pPr>
        <w:pStyle w:val="BookText"/>
        <w:rPr/>
      </w:pPr>
      <w:r>
        <w:rPr>
          <w:rFonts w:ascii="Amiri" w:hAnsi="Amiri" w:eastAsia="Amiri" w:cs="Amiri"/>
          <w:color w:val="111111"/>
          <w:sz w:val="28"/>
          <w:sz w:val="28"/>
          <w:szCs w:val="28"/>
          <w:rtl w:val="true"/>
          <w:lang w:bidi="ar-SA"/>
        </w:rPr>
        <w:t>بالمطلق وإن كان عاصيا بواسطة النهي أيضا ؛ لأنّ المفروض أنّ النهي لا يقتضي الفساد ، ولكن لم يذهب إليه من قال بجوازه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مبنيّ على ما تخيّله بعض المجوّزين من أنّ الجواز العقلي لا ينافي التقييد العرفي ، وقد عرفت فساده بما لا مزيد عليه في محلّه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ذكرنا يظهر الوجه في اختلافهم في مسألة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العبادات </w:t>
      </w:r>
      <w:r>
        <w:rPr>
          <w:rFonts w:eastAsia="Amiri" w:cs="Amiri" w:ascii="Amiri" w:hAnsi="Amiri"/>
          <w:color w:val="111111"/>
          <w:sz w:val="28"/>
          <w:szCs w:val="28"/>
          <w:rtl w:val="true"/>
          <w:lang w:bidi="ar-SA"/>
        </w:rPr>
        <w:t>]</w:t>
      </w:r>
      <w:r>
        <w:rPr>
          <w:rStyle w:val="FootnoteAnchor"/>
          <w:rtl w:val="true"/>
        </w:rPr>
        <w:footnoteReference w:id="603"/>
      </w:r>
      <w:r>
        <w:rPr>
          <w:rFonts w:ascii="Amiri" w:hAnsi="Amiri" w:eastAsia="Amiri" w:cs="Amiri"/>
          <w:color w:val="111111"/>
          <w:sz w:val="28"/>
          <w:sz w:val="28"/>
          <w:szCs w:val="28"/>
          <w:rtl w:val="true"/>
          <w:lang w:bidi="ar-SA"/>
        </w:rPr>
        <w:t>واتّفاقهم في المقام ، حيث إنّ الكلام في المقام بعد الفراغ عن اقتضاء النهي الفساد ، فالكلام هناك في إثبات الصغرى للمقام ، فتدبّره متأمّلا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المطلق مثبتا والمقيّد منفيّا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المطلق منفيّا والمقيّد مثبتا ، كأن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حملنا المنفيّ على الإهمال فلا حمل ولا تقييد ، لعدم ما يقضي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حملناه على الشياع والسراية فاللازم التقييد ؛ لأنّه حينئذ بمنزلة العموم والخصوص ، لكنّه خارج عن المقام كما عرفت تفصيله في المنفيّين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فرق في هذه المقامات بين ذكر السبب وعدمه ، وبين تعدّده ووحدته ، كما أشرنا إليه إجمالا في بعضها واللّه الهادي</w:t>
      </w:r>
      <w:r>
        <w:rPr>
          <w:rFonts w:eastAsia="Amiri" w:cs="Amiri" w:ascii="Amiri" w:hAnsi="Amiri"/>
          <w:color w:val="111111"/>
          <w:sz w:val="28"/>
          <w:szCs w:val="28"/>
          <w:rtl w:val="true"/>
          <w:lang w:bidi="ar-SA"/>
        </w:rPr>
        <w:t xml:space="preserve">. </w:t>
      </w:r>
      <w:bookmarkStart w:id="217" w:name="pg16264_169591"/>
    </w:p>
    <w:p>
      <w:pPr>
        <w:pStyle w:val="Heading3"/>
        <w:numPr>
          <w:ilvl w:val="2"/>
          <w:numId w:val="1"/>
        </w:numPr>
        <w:rPr/>
      </w:pPr>
      <w:bookmarkStart w:id="218" w:name="__RefHeading___Toc4588670_1280447820"/>
      <w:bookmarkStart w:id="219" w:name="_Toc67"/>
      <w:bookmarkEnd w:id="217"/>
      <w:bookmarkEnd w:id="218"/>
      <w:r>
        <w:rPr>
          <w:rtl w:val="true"/>
        </w:rPr>
        <w:t>هداية</w:t>
      </w:r>
      <w:bookmarkEnd w:id="219"/>
    </w:p>
    <w:p>
      <w:pPr>
        <w:pStyle w:val="Heading4"/>
        <w:numPr>
          <w:ilvl w:val="3"/>
          <w:numId w:val="1"/>
        </w:numPr>
        <w:rPr/>
      </w:pPr>
      <w:bookmarkStart w:id="220" w:name="__RefHeading___Toc4588672_1280447820"/>
      <w:bookmarkStart w:id="221" w:name="_Toc68"/>
      <w:bookmarkEnd w:id="220"/>
      <w:r>
        <w:rPr>
          <w:rtl w:val="true"/>
        </w:rPr>
        <w:t>اشارة</w:t>
      </w:r>
      <w:bookmarkEnd w:id="221"/>
    </w:p>
    <w:p>
      <w:pPr>
        <w:pStyle w:val="BookText"/>
        <w:rPr/>
      </w:pPr>
      <w:r>
        <w:rPr>
          <w:rFonts w:ascii="Amiri" w:hAnsi="Amiri" w:eastAsia="Amiri" w:cs="Amiri"/>
          <w:color w:val="111111"/>
          <w:sz w:val="28"/>
          <w:sz w:val="28"/>
          <w:szCs w:val="28"/>
          <w:rtl w:val="true"/>
          <w:lang w:bidi="ar-SA"/>
        </w:rPr>
        <w:t>قد عرفت حكم المطلق والمقيّد الواردين في مقام بيان الحكم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حكمه في مقام بيان الأحكام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منهم عدم الحمل ، فلو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البيع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العربي </w:t>
      </w:r>
      <w:r>
        <w:rPr>
          <w:rStyle w:val="FootnoteAnchor"/>
          <w:rtl w:val="true"/>
        </w:rPr>
        <w:footnoteReference w:id="605"/>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على مشروعيّة المطلق والمقيّد معا ، بل لا يكتفى بذلك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السبب كلّ واحد من أفراد البيع على وجه العموم الاستغراقي ، فيطالب بالفرق بين الأحكام التكليفيّة وغيرها من حيث الحمل فيها وعدمه في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الحمل على العموم على المذهبين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فالإشكال ظاهر الورود ، حيث إنّ اللفظ لا دلالة فيه على شيء سوى المعنى القابل لأنحاء التبدّلات ، ولا دلالة فيه على شيء من تلك الأنحاء ، فإثبات العموم موقوف على دليل آخر من عقل أو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غاية ما يلزم من اللفظ والوضع هو العموم البدلي ، فيستفاد منه سببيّة فرد واحد على سبيل التخيير دون العموم الاستغراقي</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استظهرنا عدم ورود المطلق في مقام البيان فعلى المختار لا وجه لعدم الحمل ولا نقول به ولا ضير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استظهرنا وروده في مقامه فالفرق إنّما جاء من خصوص الحكم والمحمول </w:t>
      </w:r>
      <w:r>
        <w:rPr>
          <w:rStyle w:val="FootnoteAnchor"/>
          <w:rtl w:val="true"/>
        </w:rPr>
        <w:footnoteReference w:id="607"/>
      </w:r>
      <w:r>
        <w:rPr>
          <w:rFonts w:ascii="Amiri" w:hAnsi="Amiri" w:eastAsia="Amiri" w:cs="Amiri"/>
          <w:color w:val="111111"/>
          <w:sz w:val="28"/>
          <w:sz w:val="28"/>
          <w:szCs w:val="28"/>
          <w:rtl w:val="true"/>
          <w:lang w:bidi="ar-SA"/>
        </w:rPr>
        <w:t>فإنّ المحمولات مختلفة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bookmarkStart w:id="222" w:name="pg16264_169592"/>
    </w:p>
    <w:p>
      <w:pPr>
        <w:pStyle w:val="BookText"/>
        <w:rPr/>
      </w:pPr>
      <w:bookmarkEnd w:id="222"/>
      <w:r>
        <w:rPr>
          <w:rFonts w:ascii="Amiri" w:hAnsi="Amiri" w:eastAsia="Amiri" w:cs="Amiri"/>
          <w:color w:val="111111"/>
          <w:sz w:val="28"/>
          <w:sz w:val="28"/>
          <w:szCs w:val="28"/>
          <w:rtl w:val="true"/>
          <w:lang w:bidi="ar-SA"/>
        </w:rPr>
        <w:t xml:space="preserve">يكون ثبوت المحمول للموضوع على وجه التخيير مفيدا في مقام البيان كالوجوب ، فإنّ ثبوته لما هو محمول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التخيير ممّا لا غائلة فيه ولا إشكال في كونه مفيدا ، كما يظهر بالرجوع إلى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يكون ثبوته له على وجه العموم مفيدا وعلى وجه التخيير لا يعدّ مفيدا ، وهو ينافي كونه في مقام البيان والإفادة فيصرف </w:t>
      </w:r>
      <w:r>
        <w:rPr>
          <w:rStyle w:val="FootnoteAnchor"/>
          <w:rtl w:val="true"/>
        </w:rPr>
        <w:footnoteReference w:id="608"/>
      </w:r>
      <w:r>
        <w:rPr>
          <w:rFonts w:ascii="Amiri" w:hAnsi="Amiri" w:eastAsia="Amiri" w:cs="Amiri"/>
          <w:color w:val="111111"/>
          <w:sz w:val="28"/>
          <w:sz w:val="28"/>
          <w:szCs w:val="28"/>
          <w:rtl w:val="true"/>
          <w:lang w:bidi="ar-SA"/>
        </w:rPr>
        <w:t>بحكم العقل والعادة إلى العموم مثل السببيّة والمانعيّة ونحوهما من الأمور التي لا وجه للإخبار بثبوتها على وجه التخيير والإجمال في مقام البيان من غير فرق في ذلك بين المذهبين ؛ لأنّ العموم الاستغراقي غير معنى اللفظ على المشهور أيضا ؛ هذا هو الوجه في فهم العرف من الخطابات المذكورة العموم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الوجه في إفادة المنفيّين العموم ، فإنّ المطلق الوارد في مقام البيان إذا تعلّق به النفي يفيد العموم ، كما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التخيير فيه ممّا لا فائدة فيه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التحقيق لا يختلف الحكم في المقامات المذكورة نظرا إلى اللفظ وإن اختلف بحسب حكم العقل من حيث الإفادة وعدمها في بعض دون آخر</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4588674_1280447820"/>
      <w:bookmarkStart w:id="224" w:name="_Toc69"/>
      <w:bookmarkEnd w:id="223"/>
      <w:r>
        <w:rPr>
          <w:rtl w:val="true"/>
        </w:rPr>
        <w:t xml:space="preserve">تذنيب يشتمل على فوائد </w:t>
      </w:r>
      <w:r>
        <w:rPr>
          <w:rtl w:val="true"/>
        </w:rPr>
        <w:t>:</w:t>
      </w:r>
      <w:bookmarkEnd w:id="224"/>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شرطا لشيء </w:t>
      </w:r>
      <w:r>
        <w:rPr>
          <w:rFonts w:eastAsia="Amiri" w:cs="Amiri" w:ascii="Amiri" w:hAnsi="Amiri"/>
          <w:color w:val="111111"/>
          <w:sz w:val="28"/>
          <w:szCs w:val="28"/>
          <w:rtl w:val="true"/>
          <w:lang w:bidi="ar-SA"/>
        </w:rPr>
        <w:t>]</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كالستر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المقيّد شرطا آخر كالستر </w:t>
      </w:r>
      <w:r>
        <w:rPr>
          <w:rStyle w:val="FootnoteAnchor"/>
          <w:rtl w:val="true"/>
        </w:rPr>
        <w:footnoteReference w:id="610"/>
      </w:r>
      <w:r>
        <w:rPr>
          <w:rFonts w:ascii="Amiri" w:hAnsi="Amiri" w:eastAsia="Amiri" w:cs="Amiri"/>
          <w:color w:val="111111"/>
          <w:sz w:val="28"/>
          <w:sz w:val="28"/>
          <w:szCs w:val="28"/>
          <w:rtl w:val="true"/>
          <w:lang w:bidi="ar-SA"/>
        </w:rPr>
        <w:t>بغير الحرير فيها ، فيبنى على اشتراط كلّ منهما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لم يتمكّن من تحصيل المقيّد يجب الأخذ بالشرط المطلق ، وليس ذلك من الحمل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مطلق ومقيّد بالفرد النادر ،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ذا رأسين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يحمل المطلق على الفرد النادر مطلقا ، أو لا يحمل مطلقا ، أو يفصّل بين المنفيّين والمثبتين؟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أنّ بيان الفرد النادر وذكره هل </w:t>
      </w:r>
      <w:r>
        <w:rPr>
          <w:rStyle w:val="FootnoteAnchor"/>
          <w:rtl w:val="true"/>
        </w:rPr>
        <w:footnoteReference w:id="611"/>
      </w:r>
      <w:r>
        <w:rPr>
          <w:rFonts w:ascii="Amiri" w:hAnsi="Amiri" w:eastAsia="Amiri" w:cs="Amiri"/>
          <w:color w:val="111111"/>
          <w:sz w:val="28"/>
          <w:sz w:val="28"/>
          <w:szCs w:val="28"/>
          <w:rtl w:val="true"/>
          <w:lang w:bidi="ar-SA"/>
        </w:rPr>
        <w:t xml:space="preserve">يصلح لأن يستكشف منه ملاحظة المتكلّم المطلق على وجه الإهمال مطلقا </w:t>
      </w:r>
      <w:r>
        <w:rPr>
          <w:rStyle w:val="FootnoteAnchor"/>
          <w:rtl w:val="true"/>
        </w:rPr>
        <w:footnoteReference w:id="612"/>
      </w:r>
      <w:r>
        <w:rPr>
          <w:rFonts w:ascii="Amiri" w:hAnsi="Amiri" w:eastAsia="Amiri" w:cs="Amiri"/>
          <w:color w:val="111111"/>
          <w:sz w:val="28"/>
          <w:sz w:val="28"/>
          <w:szCs w:val="28"/>
          <w:rtl w:val="true"/>
          <w:lang w:bidi="ar-SA"/>
        </w:rPr>
        <w:t>، فيحمل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يصلح لذلك نظرا إلى ظهور المطلق في الشائع </w:t>
      </w:r>
      <w:r>
        <w:rPr>
          <w:rStyle w:val="FootnoteAnchor"/>
          <w:rtl w:val="true"/>
        </w:rPr>
        <w:footnoteReference w:id="613"/>
      </w:r>
      <w:r>
        <w:rPr>
          <w:rFonts w:ascii="Amiri" w:hAnsi="Amiri" w:eastAsia="Amiri" w:cs="Amiri"/>
          <w:color w:val="111111"/>
          <w:sz w:val="28"/>
          <w:sz w:val="28"/>
          <w:szCs w:val="28"/>
          <w:rtl w:val="true"/>
          <w:lang w:bidi="ar-SA"/>
        </w:rPr>
        <w:t xml:space="preserve">، فالنادر خارج عن مدلوله ، فلا ينافي ثبوت الحكم له ثبوته لما هو مغاير له </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يصلح في المثبتين دون المنفيّين ، لرجوع المطلق فيهما إلى العموم ، فلا ينافي نفي الحكم عن فرد من أفراده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والأوجه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استظهرنا ورود المطلق في مقام البيان ، فلا وجه للحمل في المثبتين ؛ لأنّ ذلك يقضي بالانصراف ، وبعد الانصراف لا ينافي ثبوت الحكم للفرد النادر ، فلا تعارض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إذا لم يكن المقيّد من النادر ، فإنّه على تقدير وروده في مقام البيان يتعارضان ؛ مع احتمال أن يكون بيان الفرد النادر علامة لملاحظة المتكلّم المطلق على وجه العموم أيضا ،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الفرد النادر دليل 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ورود المقيّد في المقام ليس دليلا على عدم وروده في مقام البيان ، كما أنّه دليل عليه في غيره لئلاّ يلزم البداء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لم نستظهر فلا مانع من الحمل ، بل هو في محلّه ؛ لأنّ الفرد النادر ليس خارجا عن حقيقة المطلق ، فيحتمل أن يكون هو المراد من المطلق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الكلام في المنفيين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النفي مطلقا فلا بدّ من التخصيص وإن كان المطلق مثبتا فلا بدّ من التقييد ، غاية الأمر يؤكد الانصراف ، ولا ضير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للمطلق مقيّدان مستوعبان ، كأن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كافرة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يحكم بالإطلاق نظرا إلى تساقطهما أو نظرا إلى بيانهما </w:t>
      </w:r>
      <w:r>
        <w:rPr>
          <w:rStyle w:val="FootnoteAnchor"/>
          <w:rtl w:val="true"/>
        </w:rPr>
        <w:footnoteReference w:id="615"/>
      </w:r>
      <w:r>
        <w:rPr>
          <w:rFonts w:ascii="Amiri" w:hAnsi="Amiri" w:eastAsia="Amiri" w:cs="Amiri"/>
          <w:color w:val="111111"/>
          <w:sz w:val="28"/>
          <w:sz w:val="28"/>
          <w:szCs w:val="28"/>
          <w:rtl w:val="true"/>
          <w:lang w:bidi="ar-SA"/>
        </w:rPr>
        <w:t xml:space="preserve">للمطلق على وجه الإطلاق ، أو يتخيّر بين المقيّدين نظرا إلى العلم بالتقييد مع التردّد فيهما من دون ترجيح بينهما فلا بدّ من التخيير ، أو يتوقّف نظرا إلى إجمال الدليل بواسطة تعارض البيانين؟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الأوجه هو التخيير ، إذ لا وجه للتساقط كما 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التعارض لا يوجب التساقط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كلّ منهما بيانا لقضاء العرف بالحمل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للإجمال أيضا بعد إطلاق أدلّة التخيير في المتعارضين الشامل للمقام أيضا كما هو ظاهر</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تقدّم من أحكام العامّ والخاصّ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تخصيص الكتاب بالخبر الواحد وتخصيص المنطوق بالمفهوم مخالفا وموافقا وأحكام العامّ المخصّص بالمجمل مفهوما ومصداقا وبالمتّصل والمنفصل ، يجري في المطلق والمقيّد ، لاتّحاد الوجه في المقامين من دون تفاوت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ينبغي استثناء مقدار التخصيص من بين الأحكام المذكورة في باب العامّ والخاصّ ، فإنّ ذلك لا يجري في المطلق والمقيّد ، فإنّ التقييد ممّا لا حدّ له عندهم ، لجوازه في أيّ مرتبة من المراتب قليلا وكثيرا ، ولعلّه ممّا لا كلام فيه أيضا عندهم ، ولا إشكال فيه أيضا لمساعدة العرف على جوازه حتّى إلى الواحد ، كما يظهر من مطاوي المحاورات العرفيّة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تمام الكلام فيما أردناه من مباحث المطلق والمقيّد ، ولله الحمد </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اللّه على رسوله وأهل بيته </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5" w:name="pg16264_169597"/>
      <w:bookmarkStart w:id="226" w:name="pg16264_169597"/>
      <w:bookmarkEnd w:id="226"/>
    </w:p>
    <w:p>
      <w:pPr>
        <w:pStyle w:val="BookText"/>
        <w:rPr/>
      </w:pPr>
      <w:bookmarkStart w:id="227" w:name="pg16264_169597"/>
      <w:bookmarkEnd w:id="22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228" w:name="__RefHeading___Toc4588676_1280447820"/>
      <w:bookmarkStart w:id="229" w:name="_Toc70"/>
      <w:bookmarkEnd w:id="228"/>
      <w:r>
        <w:rPr>
          <w:rtl w:val="true"/>
        </w:rPr>
        <w:t>القول في المجمل والمبيّن</w:t>
      </w:r>
      <w:bookmarkEnd w:id="229"/>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0" w:name="__RefHeading___Toc4588678_1280447820"/>
      <w:bookmarkStart w:id="231" w:name="_Toc71"/>
      <w:bookmarkEnd w:id="230"/>
      <w:r>
        <w:rPr>
          <w:rtl w:val="true"/>
        </w:rPr>
        <w:t>اشارة</w:t>
      </w:r>
      <w:bookmarkEnd w:id="231"/>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2" w:name="pg16264_169599"/>
      <w:bookmarkStart w:id="233" w:name="pg16264_169599"/>
      <w:bookmarkEnd w:id="233"/>
    </w:p>
    <w:p>
      <w:pPr>
        <w:pStyle w:val="BookText"/>
        <w:rPr/>
      </w:pPr>
      <w:bookmarkStart w:id="234" w:name="pg16264_169599"/>
      <w:bookmarkEnd w:id="234"/>
      <w:r>
        <w:rPr>
          <w:rFonts w:ascii="Amiri" w:hAnsi="Amiri" w:eastAsia="Amiri" w:cs="Amiri"/>
          <w:color w:val="111111"/>
          <w:sz w:val="28"/>
          <w:sz w:val="28"/>
          <w:szCs w:val="28"/>
          <w:rtl w:val="true"/>
          <w:lang w:bidi="ar-SA"/>
        </w:rPr>
        <w:t xml:space="preserve">وتحقيق البحث في طيّ هدايات </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4588680_1280447820"/>
      <w:bookmarkStart w:id="236" w:name="_Toc72"/>
      <w:bookmarkEnd w:id="235"/>
      <w:r>
        <w:rPr>
          <w:rtl w:val="true"/>
        </w:rPr>
        <w:t>هداية</w:t>
      </w:r>
      <w:bookmarkEnd w:id="236"/>
    </w:p>
    <w:p>
      <w:pPr>
        <w:pStyle w:val="BookText"/>
        <w:rPr/>
      </w:pPr>
      <w:r>
        <w:rPr>
          <w:rFonts w:ascii="Amiri" w:hAnsi="Amiri" w:eastAsia="Amiri" w:cs="Amiri"/>
          <w:color w:val="111111"/>
          <w:sz w:val="28"/>
          <w:sz w:val="28"/>
          <w:szCs w:val="28"/>
          <w:rtl w:val="true"/>
          <w:lang w:bidi="ar-SA"/>
        </w:rPr>
        <w:t xml:space="preserve">المجمل لغة كما عن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 ، مأخوذ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أجملت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جمعته ، أو من الخلط كما قيل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وعرّفه جماعة </w:t>
      </w:r>
      <w:r>
        <w:rPr>
          <w:rStyle w:val="FootnoteAnchor"/>
          <w:rtl w:val="true"/>
        </w:rPr>
        <w:footnoteReference w:id="619"/>
      </w:r>
      <w:r>
        <w:rPr>
          <w:rFonts w:ascii="Amiri" w:hAnsi="Amiri" w:eastAsia="Amiri" w:cs="Amiri"/>
          <w:color w:val="111111"/>
          <w:sz w:val="28"/>
          <w:sz w:val="28"/>
          <w:szCs w:val="28"/>
          <w:rtl w:val="true"/>
          <w:lang w:bidi="ar-SA"/>
        </w:rPr>
        <w:t xml:space="preserve">اصطلاحا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يتّضح دلالته ، فكأنّه مجمع الاحتمالات ، أو لاختلاطها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بالموصولة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الموضوع ، فلا يرد النقض بالمهمل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وتقسيم المجمل إلى الفعل والقول لا يدلّ على جريان الاصطلاح عليه كما لا يخفى ؛ مضافا إلى ظهور السالبة في وجود الموضوع وإن صدقت عند انتفائه أيضا والمراد بالدلالة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اللفظيّة الوضعيّة ، فإنّها المعهود </w:t>
      </w:r>
      <w:r>
        <w:rPr>
          <w:rStyle w:val="FootnoteAnchor"/>
          <w:rtl w:val="true"/>
        </w:rPr>
        <w:footnoteReference w:id="620"/>
      </w:r>
      <w:r>
        <w:rPr>
          <w:rFonts w:ascii="Amiri" w:hAnsi="Amiri" w:eastAsia="Amiri" w:cs="Amiri"/>
          <w:color w:val="111111"/>
          <w:sz w:val="28"/>
          <w:sz w:val="28"/>
          <w:szCs w:val="28"/>
          <w:rtl w:val="true"/>
          <w:lang w:bidi="ar-SA"/>
        </w:rPr>
        <w:t xml:space="preserve">في باب الألفاظ ، فلا يرد النقض بالمسموع من وراء الجدار فإنّه لا يتّضح دلالته على قائله ، إذ تلك دلالة عقليّة ؛ ومع ذلك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وضوح الدلالة ممّا لا يعقل ، فإنّ الدلالة تابعة للعلم </w:t>
      </w:r>
    </w:p>
    <w:p>
      <w:pPr>
        <w:pStyle w:val="BookText"/>
        <w:rPr/>
      </w:pPr>
      <w:r>
        <w:rPr>
          <w:rFonts w:ascii="Amiri" w:hAnsi="Amiri" w:eastAsia="Amiri" w:cs="Amiri"/>
          <w:color w:val="111111"/>
          <w:sz w:val="28"/>
          <w:sz w:val="28"/>
          <w:szCs w:val="28"/>
          <w:rtl w:val="true"/>
          <w:lang w:bidi="ar-SA"/>
        </w:rPr>
        <w:t xml:space="preserve">بالوضع فمتى علم الوضع يتحقّق الدلالة ، فإنّه علّة تامّة لها ويمتنع تخلّفها عنه ، حتّى في المشترك بعد العلم بأوضاعه ، وحتّى في المجاز ولو مع القرينة ، فإنّها صارفة عن الإرادة لا عن الدلالة ، بل ومحاسن الكلام </w:t>
      </w:r>
      <w:r>
        <w:rPr>
          <w:rStyle w:val="FootnoteAnchor"/>
          <w:rtl w:val="true"/>
        </w:rPr>
        <w:footnoteReference w:id="621"/>
      </w:r>
      <w:r>
        <w:rPr>
          <w:rFonts w:ascii="Amiri" w:hAnsi="Amiri" w:eastAsia="Amiri" w:cs="Amiri"/>
          <w:color w:val="111111"/>
          <w:sz w:val="28"/>
          <w:sz w:val="28"/>
          <w:szCs w:val="28"/>
          <w:rtl w:val="true"/>
          <w:lang w:bidi="ar-SA"/>
        </w:rPr>
        <w:t xml:space="preserve">وأسرار البلاغة إنّما هي فرع للدلالة على الحقيقة ، فما هو غير متّضح </w:t>
      </w:r>
      <w:r>
        <w:rPr>
          <w:rStyle w:val="FootnoteAnchor"/>
          <w:rtl w:val="true"/>
        </w:rPr>
        <w:footnoteReference w:id="622"/>
      </w:r>
      <w:r>
        <w:rPr>
          <w:rFonts w:ascii="Amiri" w:hAnsi="Amiri" w:eastAsia="Amiri" w:cs="Amiri"/>
          <w:color w:val="111111"/>
          <w:sz w:val="28"/>
          <w:sz w:val="28"/>
          <w:szCs w:val="28"/>
          <w:rtl w:val="true"/>
          <w:lang w:bidi="ar-SA"/>
        </w:rPr>
        <w:t>في الاشتراك والمجاز عند فقد القرينة المعيّنة هو المراد ، لا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يتصوّر عدم وضوح الدلالة ولو بوجه فيما إذا علم إجمالا وضع اللفظ لمعنى من المعاني ، فإنّه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الدلالة غير متّضحة ، بمعنى أنّه لا يدلّ على معنى خاصّ ، لعدم العلم به على وجه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فالمبيّن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قسّموا المجمل إلى القول والفعل والترك </w:t>
      </w:r>
      <w:r>
        <w:rPr>
          <w:rStyle w:val="FootnoteAnchor"/>
          <w:rtl w:val="true"/>
        </w:rPr>
        <w:footnoteReference w:id="623"/>
      </w:r>
      <w:r>
        <w:rPr>
          <w:rFonts w:ascii="Amiri" w:hAnsi="Amiri" w:eastAsia="Amiri" w:cs="Amiri"/>
          <w:color w:val="111111"/>
          <w:sz w:val="28"/>
          <w:sz w:val="28"/>
          <w:szCs w:val="28"/>
          <w:rtl w:val="true"/>
          <w:lang w:bidi="ar-SA"/>
        </w:rPr>
        <w:t>، وإلى المفرد والمركّب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فستعرف تفصيله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الإجمال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اشتراكه في وقوعه على وجوه عديدة ، وإذا جهل وجه وقوعه تردّد بين جميع ما يحتمله من الوجوه ، فيكون غير ظاهر الدلالة ومجملا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نظر ، إذ تلك الوجوه ليست مدلولة للفعل مثل دلالة اللفظ على معناه ، لعدم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ودلالته على عدم الحرمة إنّما هو بواسطة دليل العصمة لا بنفس </w:t>
      </w:r>
    </w:p>
    <w:p>
      <w:pPr>
        <w:pStyle w:val="BookText"/>
        <w:rPr/>
      </w:pPr>
      <w:r>
        <w:rPr>
          <w:rFonts w:ascii="IRNazanin" w:hAnsi="IRNazanin" w:eastAsia="IRNazanin"/>
          <w:color w:val="111111"/>
          <w:sz w:val="28"/>
          <w:sz w:val="28"/>
          <w:szCs w:val="28"/>
          <w:rtl w:val="true"/>
          <w:lang w:bidi="fa-IR"/>
        </w:rPr>
        <w:t xml:space="preserve">الفعل </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 وضع فعل لمعنيين وصدر ذلك الفعل عن الفاعل من غير اقترانه بما يرشد إلى أحد الوجهين كان ذلك مجملا فعليّا ، كالإشارة المردّدة بين الأمر بالذهاب والأمر بالقعود مثلا ، وكالقيام المردّد بين كونه تواضعا لمن قدم عليه وكونه استراحة لما حصل فيه من الكسالة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المفرد </w:t>
      </w: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فإجماله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نفس اللفظ ذاتا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 بين المخاطب والغائبة ، أو عرضا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المختار </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المعنى ذاتا كالمشترك ، أو عرضا كالمجاز المتعدّد عند فقد القرينة المعيّنة مع وجود الصارفة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فإجماله تارة باعتبار وقوع لفظ في تركيب خاصّ على وجه لو كان في غيره لم يكن مجملا ، كقول عقيل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أمرني معاوية بلعن علي عليه‌السلام ألا فالعنوه </w:t>
      </w:r>
      <w:r>
        <w:rPr>
          <w:rFonts w:eastAsia="Amiri" w:cs="Amiri" w:ascii="Amiri" w:hAnsi="Amiri"/>
          <w:color w:val="111111"/>
          <w:sz w:val="28"/>
          <w:szCs w:val="28"/>
          <w:rtl w:val="true"/>
          <w:lang w:bidi="ar-SA"/>
        </w:rPr>
        <w:t xml:space="preserve">» </w:t>
      </w:r>
      <w:r>
        <w:rPr>
          <w:rStyle w:val="FootnoteAnchor"/>
          <w:rtl w:val="true"/>
        </w:rPr>
        <w:footnoteReference w:id="628"/>
      </w:r>
      <w:r>
        <w:rPr>
          <w:rFonts w:ascii="IRNazanin" w:hAnsi="IRNazanin" w:eastAsia="IRNazanin"/>
          <w:color w:val="111111"/>
          <w:sz w:val="28"/>
          <w:sz w:val="28"/>
          <w:szCs w:val="28"/>
          <w:rtl w:val="true"/>
          <w:lang w:bidi="fa-IR"/>
        </w:rPr>
        <w:t xml:space="preserve">وقول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أصحابنا </w:t>
      </w:r>
      <w:r>
        <w:rPr>
          <w:rFonts w:eastAsia="IRNazanin" w:cs="IRNazanin"/>
          <w:color w:val="111111"/>
          <w:sz w:val="28"/>
          <w:szCs w:val="28"/>
          <w:rtl w:val="true"/>
          <w:lang w:bidi="fa-IR"/>
        </w:rPr>
        <w:t>]</w:t>
      </w:r>
      <w:r>
        <w:rPr>
          <w:rStyle w:val="FootnoteAnchor"/>
          <w:rtl w:val="true"/>
        </w:rPr>
        <w:footnoteReference w:id="629"/>
      </w:r>
      <w:r>
        <w:rPr>
          <w:rFonts w:ascii="Amiri" w:hAnsi="Amiri" w:eastAsia="Amiri" w:cs="Amiri"/>
          <w:color w:val="111111"/>
          <w:sz w:val="28"/>
          <w:sz w:val="28"/>
          <w:szCs w:val="28"/>
          <w:rtl w:val="true"/>
          <w:lang w:bidi="ar-SA"/>
        </w:rPr>
        <w:t xml:space="preserve">حين سئل عن الخليفة بعد النبيّ صلى‌اللّه‌عليه‌وآله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بنته في بيته </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باعتبار نفس التركيب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طَلَّقْتُمُوهُنَّ مِنْ قَبْلِ أَنْ تَمَسُّوهُنَّ وَقَدْ فَرَضْتُمْ لَهُنَّ فَرِيضَةً فَنِصْفُ ما فَرَضْتُمْ إِلاَّ أَنْ يَعْفُونَ أَوْ يَعْفُوَا الَّذِي بِيَدِهِ عُقْدَةُ النِّكاحِ </w:t>
      </w:r>
      <w:r>
        <w:rPr>
          <w:rFonts w:eastAsia="Amiri" w:cs="Amiri" w:ascii="Amiri" w:hAnsi="Amiri"/>
          <w:color w:val="111111"/>
          <w:sz w:val="28"/>
          <w:szCs w:val="28"/>
          <w:rtl w:val="true"/>
          <w:lang w:bidi="ar-SA"/>
        </w:rPr>
        <w:t xml:space="preserve">... ) </w:t>
      </w:r>
      <w:r>
        <w:rPr>
          <w:rStyle w:val="FootnoteAnchor"/>
          <w:rtl w:val="true"/>
        </w:rPr>
        <w:footnoteReference w:id="631"/>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المعطوف محتمل </w:t>
      </w:r>
    </w:p>
    <w:p>
      <w:pPr>
        <w:pStyle w:val="BookText"/>
        <w:rPr/>
      </w:pPr>
      <w:r>
        <w:rPr>
          <w:rFonts w:ascii="Amiri" w:hAnsi="Amiri" w:eastAsia="Amiri" w:cs="Amiri"/>
          <w:color w:val="111111"/>
          <w:sz w:val="28"/>
          <w:sz w:val="28"/>
          <w:szCs w:val="28"/>
          <w:rtl w:val="true"/>
          <w:lang w:bidi="ar-SA"/>
        </w:rPr>
        <w:t>لأن يكون الزوج فيكون العفو عمّا في ذمّة الزوجة إذا كان المهر مقبوضا لها ، ولأن يكون وليّ الزوجة فيكون المعفوّ عنه الزوج بإبراء ذمّته عن المهر ، والإجمال إنّما هو في جملة الكلام لا في جزء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 لأنّ الإجمال على تقدير تسليمه إنّما هو ناش من جزء خاصّ </w:t>
      </w:r>
      <w:r>
        <w:rPr>
          <w:rStyle w:val="FootnoteAnchor"/>
          <w:rtl w:val="true"/>
        </w:rPr>
        <w:footnoteReference w:id="632"/>
      </w:r>
      <w:r>
        <w:rPr>
          <w:rFonts w:ascii="Amiri" w:hAnsi="Amiri" w:eastAsia="Amiri" w:cs="Amiri"/>
          <w:color w:val="111111"/>
          <w:sz w:val="28"/>
          <w:sz w:val="28"/>
          <w:szCs w:val="28"/>
          <w:rtl w:val="true"/>
          <w:lang w:bidi="ar-SA"/>
        </w:rPr>
        <w:t>في الكلام وهو صلاحيّة الصلة المذكورة للموصول لكلّ واحد من الوليّين ، فليس الإجمال في الجملة ؛ مضافا إلى أنّه لا إجمال في الآية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الصلاحيّة لا تنافي البيان ، لاحتمال العموم ، بل وهو </w:t>
      </w:r>
      <w:r>
        <w:rPr>
          <w:rStyle w:val="FootnoteAnchor"/>
          <w:rtl w:val="true"/>
        </w:rPr>
        <w:footnoteReference w:id="633"/>
      </w:r>
      <w:r>
        <w:rPr>
          <w:rFonts w:ascii="Amiri" w:hAnsi="Amiri" w:eastAsia="Amiri" w:cs="Amiri"/>
          <w:color w:val="111111"/>
          <w:sz w:val="28"/>
          <w:sz w:val="28"/>
          <w:szCs w:val="28"/>
          <w:rtl w:val="true"/>
          <w:lang w:bidi="ar-SA"/>
        </w:rPr>
        <w:t>الظاهر حيث لا عهد ، إلاّ أن يكون المعهود كما ستعرف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قضيّة العطف أن يكون المراد هو وليّ الزوجة ، إذ لو كان المراد هو الزوج لزم أن يكون مستثنى من المفهوم الثابت بواسطة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فَنِصْفُ ما فَرَضْتُمْ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الظاهر للمتعاطفين ، فإنّ الظاهر خروجهما من مخرج واحد كما لا يخفى على من له أنس بمواقع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يعارض ذلك لظهور </w:t>
      </w:r>
      <w:r>
        <w:rPr>
          <w:rStyle w:val="FootnoteAnchor"/>
          <w:rtl w:val="true"/>
        </w:rPr>
        <w:footnoteReference w:id="634"/>
      </w:r>
      <w:r>
        <w:rPr>
          <w:rFonts w:ascii="Amiri" w:hAnsi="Amiri" w:eastAsia="Amiri" w:cs="Amiri"/>
          <w:color w:val="111111"/>
          <w:sz w:val="28"/>
          <w:sz w:val="28"/>
          <w:szCs w:val="28"/>
          <w:rtl w:val="true"/>
          <w:lang w:bidi="ar-SA"/>
        </w:rPr>
        <w:t>عقدة النكاح في الزوج ، إذ هذه الصفة موجودة فعلا في الزوج دون الوليّ ؛ لأنّ ذلك أظهر ، بل لم نجد في العربيّة نظيرا له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عدم إمكان إرادة العموم من الموصول ، إذ يلزم الاستثناء تارة من المفهوم واخرى من المنطوق ، وهو لا يصحّ في استعمال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يكون المراد هو الوليّ ويكون الاستثناء من المفهوم منقطعا ، لكونه خلاف الظاهر </w:t>
      </w:r>
    </w:p>
    <w:p>
      <w:pPr>
        <w:pStyle w:val="BookText"/>
        <w:rPr/>
      </w:pPr>
      <w:r>
        <w:rPr>
          <w:rFonts w:ascii="Amiri" w:hAnsi="Amiri" w:eastAsia="Amiri" w:cs="Amiri"/>
          <w:color w:val="111111"/>
          <w:sz w:val="28"/>
          <w:sz w:val="28"/>
          <w:szCs w:val="28"/>
          <w:rtl w:val="true"/>
          <w:lang w:bidi="ar-SA"/>
        </w:rPr>
        <w:t>مع شناعته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حمل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فَنِصْفُ ما فَرَضْتُمْ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بيان ما يستحقّه الزوج فهو أشنع ؛ لأنّ المراد بالمعطوف إن كان الوليّ لزم استثناؤه كالمعطوف عليه من المفهوم ، وهو وإن كان صحيحا ، لكنّه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الزوج فالمعطوف عليه خارج من المفهوم والمعطوف من المنطوق وهو أيضا فاسد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w:t>
      </w:r>
      <w:r>
        <w:rPr>
          <w:rStyle w:val="FootnoteAnchor"/>
          <w:rtl w:val="true"/>
        </w:rPr>
        <w:footnoteReference w:id="635"/>
      </w:r>
      <w:r>
        <w:rPr>
          <w:rFonts w:ascii="Amiri" w:hAnsi="Amiri" w:eastAsia="Amiri" w:cs="Amiri"/>
          <w:color w:val="111111"/>
          <w:sz w:val="28"/>
          <w:sz w:val="28"/>
          <w:szCs w:val="28"/>
          <w:rtl w:val="true"/>
          <w:lang w:bidi="ar-SA"/>
        </w:rPr>
        <w:t xml:space="preserve">حمل على بيان النصف </w:t>
      </w:r>
      <w:r>
        <w:rPr>
          <w:rStyle w:val="FootnoteAnchor"/>
          <w:rtl w:val="true"/>
        </w:rPr>
        <w:footnoteReference w:id="636"/>
      </w:r>
      <w:r>
        <w:rPr>
          <w:rFonts w:ascii="Amiri" w:hAnsi="Amiri" w:eastAsia="Amiri" w:cs="Amiri"/>
          <w:color w:val="111111"/>
          <w:sz w:val="28"/>
          <w:sz w:val="28"/>
          <w:szCs w:val="28"/>
          <w:rtl w:val="true"/>
          <w:lang w:bidi="ar-SA"/>
        </w:rPr>
        <w:t xml:space="preserve">بينهما حتّى يكون بمنزلة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منهما نصف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استثناء كلّ منهما من المنطوق ، إلاّ أنّه أبعد المحامل المتصوّرة في الآية ولا يصار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المجمل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ما عرفت ، والآخر ما له ظاهر لم يرده المتكلّم كما في العامّ المخصّص </w:t>
      </w:r>
      <w:r>
        <w:rPr>
          <w:rStyle w:val="FootnoteAnchor"/>
          <w:rtl w:val="true"/>
        </w:rPr>
        <w:footnoteReference w:id="637"/>
      </w:r>
      <w:r>
        <w:rPr>
          <w:rFonts w:ascii="Amiri" w:hAnsi="Amiri" w:eastAsia="Amiri" w:cs="Amiri"/>
          <w:color w:val="111111"/>
          <w:sz w:val="28"/>
          <w:sz w:val="28"/>
          <w:szCs w:val="28"/>
          <w:rtl w:val="true"/>
          <w:lang w:bidi="ar-SA"/>
        </w:rPr>
        <w:t>واقعا مع عدم العلم به على القول بجواز تأخير البيان عن وقت الخطاب كما هو الحقّ ، والمطلق عند عدم ذكر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أرادوا بذلك أنّه من المجمل فيما لو علم بوقوعه على هذا الوجه من المتكلّم كان ذلك حقّا لا مناص عنه ، فإنّا إذا علمنا أنّ المتكلّم إنّما لاحظ المطلق لا على وجه السراية فمراده مجمل لإجماله ، كما إذا علم التخصيص ولم يعلم بخصوصه ، وهذا هو الذي قلنا في بعض المباحث المتقدمة بسراية إجمال المخصّص إلى العامّ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أرادوا أنّه مع عدم العلم من المجمل ، فممّا لا يرى له وجه ، بل هو محكوم بالبيان إلى ظهور القيد ، وبعد الظهور ينكشف كونه واقعا على وجه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يشكل ذلك فيما إذا قلنا باعتبار الأصول لا من جهة الظنّ بل تعبّدا ، إذ عند عدم الحاجة لا يترتّب على الكلام أثر شرعيّ حتّى يؤخذ بالأصل ويحكم بكونه مبيّنا </w:t>
      </w:r>
      <w:r>
        <w:rPr>
          <w:rStyle w:val="FootnoteAnchor"/>
          <w:rtl w:val="true"/>
        </w:rPr>
        <w:footnoteReference w:id="638"/>
      </w:r>
      <w:r>
        <w:rPr>
          <w:rFonts w:ascii="Amiri" w:hAnsi="Amiri" w:eastAsia="Amiri" w:cs="Amiri"/>
          <w:color w:val="111111"/>
          <w:sz w:val="28"/>
          <w:sz w:val="28"/>
          <w:szCs w:val="28"/>
          <w:rtl w:val="true"/>
          <w:lang w:bidi="ar-SA"/>
        </w:rPr>
        <w:t>، بخلاف الظنّ فإنّ وجوده لا يناط بترتيب الأثر كما لا يخفى على المتأمّل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الهادي </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xml:space="preserve">. </w:t>
      </w:r>
      <w:bookmarkStart w:id="237" w:name="pg16264_169605"/>
    </w:p>
    <w:p>
      <w:pPr>
        <w:pStyle w:val="Heading3"/>
        <w:numPr>
          <w:ilvl w:val="2"/>
          <w:numId w:val="1"/>
        </w:numPr>
        <w:rPr/>
      </w:pPr>
      <w:bookmarkStart w:id="238" w:name="__RefHeading___Toc4588682_1280447820"/>
      <w:bookmarkStart w:id="239" w:name="_Toc73"/>
      <w:bookmarkEnd w:id="237"/>
      <w:bookmarkEnd w:id="238"/>
      <w:r>
        <w:rPr>
          <w:rtl w:val="true"/>
        </w:rPr>
        <w:t>هداية</w:t>
      </w:r>
      <w:bookmarkEnd w:id="239"/>
    </w:p>
    <w:p>
      <w:pPr>
        <w:pStyle w:val="BookText"/>
        <w:rPr/>
      </w:pPr>
      <w:r>
        <w:rPr>
          <w:rFonts w:ascii="Amiri" w:hAnsi="Amiri" w:eastAsia="Amiri" w:cs="Amiri"/>
          <w:color w:val="111111"/>
          <w:sz w:val="28"/>
          <w:sz w:val="28"/>
          <w:szCs w:val="28"/>
          <w:rtl w:val="true"/>
          <w:lang w:bidi="ar-SA"/>
        </w:rPr>
        <w:t xml:space="preserve">لا إجمال في آية السرقة ، وهي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وَالسَّارِقُ وَالسَّارِقَةُ فَاقْطَعُوا أَيْدِيَهُما </w:t>
      </w:r>
      <w:r>
        <w:rPr>
          <w:rFonts w:eastAsia="Amiri" w:cs="Amiri" w:ascii="Amiri" w:hAnsi="Amiri"/>
          <w:color w:val="111111"/>
          <w:sz w:val="28"/>
          <w:szCs w:val="28"/>
          <w:rtl w:val="true"/>
          <w:lang w:bidi="ar-SA"/>
        </w:rPr>
        <w:t xml:space="preserve">... )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المتبادر منه مطلق الإبانة الصادقة على جميع مراتبها وخصوص مرتبة خاصّة وإرادتها بالدليل ، وقد مرّ أنّه لا يوجب الإجمال ، إذ بعده لا إجمال وقبله محمول على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يبعد القول بالإجمال من حيث إنّ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إبانة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مراد قطعا ولا ظاهر بعده فيتردّد بين المراتب العديدة من إبانة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الإجمال إنّما جاء به من قبل أمر آخر لا بواسطة نفس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منها تمام العضو المخصوص ، وثبوت اسم خاصّ لبعض أجزائه ممّا لا دليل فيه على خلاف ما ذكرنا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الموارد التي يستعمل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على بعضها كما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غوّصت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 فليس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مستعملة فيها في أبعاضها بل في تمام العضو ، إلاّ أنّ نسبة تلك الأفعال إنّما تقتضي اتّصاف المورد بالفعل المذكور على الوجه المذكور من دون مجاز في الفعل أو في المورد ، كما أفاده بعض المحقّقين في عوائده ، حيث قال بعد ما قرّر من أنّ العرف ربما يتسامحون في صدق بعض المعاني على مصاديقها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القاعدة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يعني المسامحة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في وضع الجزء الصوري للنسبة بين الشيئين أيضا ، فكلّ ما يعدّ في العرف هذه النسبة فهو المراد بالإضافة من غير تغيير في حقيقة المضاف والمضاف إليه ، فإنّ الموضوع له للماهيّة الإضافيّة النسبة العرفيّة الحاصلة بين الحقيقتين ، فالتقبيل الحقيقي لزيد الحقيقي يحصل بجزء منه عرفا ، لا بمعنى أنّ زيدا الواقع في هذا التركيب يراد منه جزؤه عرفا ، بل بمعنى أنّ النسبة العرفيّة التي هي الجزء الصوري تحصل بذلك ، ولم يعلم للجزء الصوري معنى غير هذا لغة ولم يعلم للهيئة معنى آخر سوى المصداق العرفي ، ولا يختصّ ذلك بالتركيب الإضافي بل كذلك الإسنادي والتوصيفي ، نحو زيد مضروب ، وهذا الثور أسود إذا كان فيه نقطة بيضاء والقصيدة العجميّة إذا كانت فيها ألفاظ عربيّة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ما أردنا نقله بأدنى تفاوت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r>
        <w:rPr>
          <w:rStyle w:val="FootnoteAnchor"/>
          <w:rtl w:val="true"/>
        </w:rPr>
        <w:footnoteReference w:id="641"/>
      </w:r>
      <w:r>
        <w:rPr>
          <w:rFonts w:ascii="Amiri" w:hAnsi="Amiri" w:eastAsia="Amiri" w:cs="Amiri"/>
          <w:color w:val="111111"/>
          <w:sz w:val="28"/>
          <w:sz w:val="28"/>
          <w:szCs w:val="28"/>
          <w:rtl w:val="true"/>
          <w:lang w:bidi="ar-SA"/>
        </w:rPr>
        <w:t xml:space="preserve">بعيد ، إلاّ أنّه لا حاجة إلى اعتبار المسامحة في النسبة ، كما يظهر من قياسها على ما يقع من التسامح في طرفيها ؛ مضافا إلى ما يظهر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المعنى العرفي يغاير المعنى الحقيقي ، وليس كذلك ، بل المعنى محفوظ على الوجهين ، إلاّ أنّ التسامح في دعوى العرف صدق المعنى الحقيقي على ما ينزّلونه </w:t>
      </w:r>
      <w:r>
        <w:rPr>
          <w:rStyle w:val="FootnoteAnchor"/>
          <w:rtl w:val="true"/>
        </w:rPr>
        <w:footnoteReference w:id="642"/>
      </w:r>
      <w:r>
        <w:rPr>
          <w:rFonts w:ascii="Amiri" w:hAnsi="Amiri" w:eastAsia="Amiri" w:cs="Amiri"/>
          <w:color w:val="111111"/>
          <w:sz w:val="28"/>
          <w:sz w:val="28"/>
          <w:szCs w:val="28"/>
          <w:rtl w:val="true"/>
          <w:lang w:bidi="ar-SA"/>
        </w:rPr>
        <w:t>منزلة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بإمعان النظر في كلامه لعلّك تطّلع على ما لم نطّلع عليه ، وهو الموفّق المسدّد الهادي</w:t>
      </w:r>
      <w:r>
        <w:rPr>
          <w:rFonts w:eastAsia="Amiri" w:cs="Amiri" w:ascii="Amiri" w:hAnsi="Amiri"/>
          <w:color w:val="111111"/>
          <w:sz w:val="28"/>
          <w:szCs w:val="28"/>
          <w:rtl w:val="true"/>
          <w:lang w:bidi="ar-SA"/>
        </w:rPr>
        <w:t xml:space="preserve">. </w:t>
      </w:r>
      <w:bookmarkStart w:id="240" w:name="pg16264_169607"/>
    </w:p>
    <w:p>
      <w:pPr>
        <w:pStyle w:val="Heading3"/>
        <w:numPr>
          <w:ilvl w:val="2"/>
          <w:numId w:val="1"/>
        </w:numPr>
        <w:rPr/>
      </w:pPr>
      <w:bookmarkStart w:id="241" w:name="__RefHeading___Toc4588684_1280447820"/>
      <w:bookmarkStart w:id="242" w:name="_Toc74"/>
      <w:bookmarkEnd w:id="240"/>
      <w:bookmarkEnd w:id="241"/>
      <w:r>
        <w:rPr>
          <w:rtl w:val="true"/>
        </w:rPr>
        <w:t>هداية</w:t>
      </w:r>
      <w:bookmarkEnd w:id="242"/>
    </w:p>
    <w:p>
      <w:pPr>
        <w:pStyle w:val="BookText"/>
        <w:rPr/>
      </w:pPr>
      <w:r>
        <w:rPr>
          <w:rFonts w:ascii="Amiri" w:hAnsi="Amiri" w:eastAsia="Amiri" w:cs="Amiri"/>
          <w:color w:val="111111"/>
          <w:sz w:val="28"/>
          <w:sz w:val="28"/>
          <w:szCs w:val="28"/>
          <w:rtl w:val="true"/>
          <w:lang w:bidi="ar-SA"/>
        </w:rPr>
        <w:t xml:space="preserve">الأقرب أنّ التحليل والتحريم المضافين إلى الأعيان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أُحِلَّتْ لَكُمْ بَهِيمَةُ الْأَنْعامِ </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أُمَّهاتُكُمْ </w:t>
      </w:r>
      <w:r>
        <w:rPr>
          <w:rFonts w:eastAsia="Amiri" w:cs="Amiri" w:ascii="Amiri" w:hAnsi="Amiri"/>
          <w:color w:val="111111"/>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لا يلازم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بالملازمة </w:t>
      </w:r>
      <w:r>
        <w:rPr>
          <w:rStyle w:val="FootnoteAnchor"/>
          <w:rtl w:val="true"/>
        </w:rPr>
        <w:footnoteReference w:id="645"/>
      </w:r>
      <w:r>
        <w:rPr>
          <w:rFonts w:ascii="Amiri" w:hAnsi="Amiri" w:eastAsia="Amiri" w:cs="Amiri"/>
          <w:color w:val="111111"/>
          <w:sz w:val="28"/>
          <w:sz w:val="28"/>
          <w:szCs w:val="28"/>
          <w:rtl w:val="true"/>
          <w:lang w:bidi="ar-SA"/>
        </w:rPr>
        <w:t xml:space="preserve">، وآخر بالبيان مطلقا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واحتجّ الأوّل بأنّ </w:t>
      </w:r>
      <w:r>
        <w:rPr>
          <w:rStyle w:val="FootnoteAnchor"/>
          <w:rtl w:val="true"/>
        </w:rPr>
        <w:footnoteReference w:id="647"/>
      </w:r>
      <w:r>
        <w:rPr>
          <w:rFonts w:ascii="Amiri" w:hAnsi="Amiri" w:eastAsia="Amiri" w:cs="Amiri"/>
          <w:color w:val="111111"/>
          <w:sz w:val="28"/>
          <w:sz w:val="28"/>
          <w:szCs w:val="28"/>
          <w:rtl w:val="true"/>
          <w:lang w:bidi="ar-SA"/>
        </w:rPr>
        <w:t xml:space="preserve">إضافة الحلّ والحرمة إلى نفس العين ليست إضافة حقيقيّة ، لامتناع تعلّقهما بها ، بل إنّما هي إضافة لملابسة </w:t>
      </w:r>
      <w:r>
        <w:rPr>
          <w:rStyle w:val="FootnoteAnchor"/>
          <w:rtl w:val="true"/>
        </w:rPr>
        <w:footnoteReference w:id="648"/>
      </w:r>
      <w:r>
        <w:rPr>
          <w:rFonts w:ascii="Amiri" w:hAnsi="Amiri" w:eastAsia="Amiri" w:cs="Amiri"/>
          <w:color w:val="111111"/>
          <w:sz w:val="28"/>
          <w:sz w:val="28"/>
          <w:szCs w:val="28"/>
          <w:rtl w:val="true"/>
          <w:lang w:bidi="ar-SA"/>
        </w:rPr>
        <w:t xml:space="preserve">، بين الحلّ والعين باعتبار الفعل المتعلّق بها ابتداء ، وحيث إنّ ذلك ممّا لا دليل على تعيينه بعد تعدّده </w:t>
      </w:r>
      <w:r>
        <w:rPr>
          <w:rStyle w:val="FootnoteAnchor"/>
          <w:rtl w:val="true"/>
        </w:rPr>
        <w:footnoteReference w:id="649"/>
      </w:r>
      <w:r>
        <w:rPr>
          <w:rFonts w:ascii="Amiri" w:hAnsi="Amiri" w:eastAsia="Amiri" w:cs="Amiri"/>
          <w:color w:val="111111"/>
          <w:sz w:val="28"/>
          <w:sz w:val="28"/>
          <w:szCs w:val="28"/>
          <w:rtl w:val="true"/>
          <w:lang w:bidi="ar-SA"/>
        </w:rPr>
        <w:t>في نفسه يصير مجملا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واحتجّ الثاني بأنّ حذف المتعلّق يفيد العموم بعد أنّ الأصل في كلّ كلام حمله على البيان والإفادة ، نظير المطلق الوارد بدون القيد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فبأنّه ربما يكون الفعل الرابط بينهما ظاهرا عند أهل الاستعمال كما هو كذلك في أغلب الموارد التي يتعاطونه أهل العرف في محاوراتهم كالأكل في المأكول واللبس في الملبوس والشرب في المشروب ونحوها ، فإن أريد الملازمة بمعنى أنّ نفس التركيب مع قطع النظر عن ظهور خارجي يقتضي الإجمال فهو حقّ ، وإن أريد أنّ الواقع على الإجمال في جميع موارد التركيب فهو فاسد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الإنصاف أنّه لم يظهر من القائل بالإجمال غير الشقّ الأوّل من الترديد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حذف المتعلّق إنّما يفيد العموم بعد البيان في الجملة بواسطة إحراز أركان الكلام من الموضوع والمحمول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عند عدم إحرازها كذكر الفعل بدون الفاعل أو العكس فلا شكّ في إجماله كما فيما نحن فيه ، فإنّ المضاف إليه هو الفاعل والموضوع في هذه التراكيب ، وأصالة البيان لا تجري بعد العلم بالإجمال عرفا ، فلا يقاس ذلك بالمطلق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الحلّية والحرمة في هذه التراكيب كسائر الأحكام المتعلّقة بموضوعاتها تدور مدار صدق ذلك العنوان الذي تعلّق به الحكم على وجه لو زال العنوان زال الحكم ، إلاّ أن يعلم من دليل خارج عن نفس القضيّة الحمليّة ثبوت الحكم بعد زوال العنوان أيضا ، فيكشف ذلك الدليل عن كون العلّة التامّة للحكم هو حدوث العنوان في أحد الأوقات</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بما ذكرنا ظهر </w:t>
      </w:r>
      <w:r>
        <w:rPr>
          <w:rStyle w:val="FootnoteAnchor"/>
          <w:rtl w:val="true"/>
        </w:rPr>
        <w:footnoteReference w:id="650"/>
      </w:r>
      <w:r>
        <w:rPr>
          <w:rFonts w:ascii="Amiri" w:hAnsi="Amiri" w:eastAsia="Amiri" w:cs="Amiri"/>
          <w:color w:val="111111"/>
          <w:sz w:val="28"/>
          <w:sz w:val="28"/>
          <w:szCs w:val="28"/>
          <w:rtl w:val="true"/>
          <w:lang w:bidi="ar-SA"/>
        </w:rPr>
        <w:t xml:space="preserve">أنّ وجه الإفادة في أمثال هذه التراكيب في مورد إفادتها ليس وضعا جديدا للهيئة التركيبيّة ، لعدم الحاجة إليه والأصل عدمه ،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يكفي في ذلك ملاحظة صحّة الإضافة بواسطة ارتباط حاصل من </w:t>
      </w:r>
      <w:r>
        <w:rPr>
          <w:rStyle w:val="FootnoteAnchor"/>
          <w:rtl w:val="true"/>
        </w:rPr>
        <w:footnoteReference w:id="651"/>
      </w:r>
      <w:r>
        <w:rPr>
          <w:rFonts w:ascii="Amiri" w:hAnsi="Amiri" w:eastAsia="Amiri" w:cs="Amiri"/>
          <w:color w:val="111111"/>
          <w:sz w:val="28"/>
          <w:sz w:val="28"/>
          <w:szCs w:val="28"/>
          <w:rtl w:val="true"/>
          <w:lang w:bidi="ar-SA"/>
        </w:rPr>
        <w:t xml:space="preserve">الحكم والعين من جهة ما هو منسوب إلى الطرفين ، كالأكل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 لَكُمْ بَهِيمَةُ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له تعلّقا بالحلّ </w:t>
      </w:r>
      <w:r>
        <w:rPr>
          <w:rStyle w:val="FootnoteAnchor"/>
          <w:rtl w:val="true"/>
        </w:rPr>
        <w:footnoteReference w:id="652"/>
      </w:r>
      <w:r>
        <w:rPr>
          <w:rFonts w:ascii="Amiri" w:hAnsi="Amiri" w:eastAsia="Amiri" w:cs="Amiri"/>
          <w:color w:val="111111"/>
          <w:sz w:val="28"/>
          <w:sz w:val="28"/>
          <w:szCs w:val="28"/>
          <w:rtl w:val="true"/>
          <w:lang w:bidi="ar-SA"/>
        </w:rPr>
        <w:t xml:space="preserve">من حيث اتّصافه به وبالعين </w:t>
      </w:r>
      <w:r>
        <w:rPr>
          <w:rStyle w:val="FootnoteAnchor"/>
          <w:rtl w:val="true"/>
        </w:rPr>
        <w:footnoteReference w:id="653"/>
      </w:r>
      <w:r>
        <w:rPr>
          <w:rFonts w:ascii="Amiri" w:hAnsi="Amiri" w:eastAsia="Amiri" w:cs="Amiri"/>
          <w:color w:val="111111"/>
          <w:sz w:val="28"/>
          <w:sz w:val="28"/>
          <w:szCs w:val="28"/>
          <w:rtl w:val="true"/>
          <w:lang w:bidi="ar-SA"/>
        </w:rPr>
        <w:t>من حيث تعلّقه بها ، فيضاف الحلّ بما هو متعلّق لمتعلّقه مجازا في الإضافة والإسناد ، كما يشهد بما ذكرنا أنّ الذهن إنّما يلتفت إلى هذا المذهب بعد الالتفات إلى عدم تعقّل سلوك سبيل يقتضيه الوضع من ارتباط الحكم إلى العين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ظاهر وإن زعم بعض الأجلّة </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للمحكيّ عن الشيخ </w:t>
      </w:r>
      <w:r>
        <w:rPr>
          <w:rStyle w:val="FootnoteAnchor"/>
          <w:rtl w:val="true"/>
        </w:rPr>
        <w:footnoteReference w:id="655"/>
      </w:r>
      <w:r>
        <w:rPr>
          <w:rFonts w:ascii="Amiri" w:hAnsi="Amiri" w:eastAsia="Amiri" w:cs="Amiri"/>
          <w:color w:val="111111"/>
          <w:sz w:val="28"/>
          <w:sz w:val="28"/>
          <w:szCs w:val="28"/>
          <w:rtl w:val="true"/>
          <w:lang w:bidi="ar-SA"/>
        </w:rPr>
        <w:t xml:space="preserve">والعلاّمة </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الهادي</w:t>
      </w:r>
      <w:r>
        <w:rPr>
          <w:rFonts w:eastAsia="Amiri" w:cs="Amiri" w:ascii="Amiri" w:hAnsi="Amiri"/>
          <w:color w:val="111111"/>
          <w:sz w:val="28"/>
          <w:szCs w:val="28"/>
          <w:rtl w:val="true"/>
          <w:lang w:bidi="ar-SA"/>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3" w:name="pg16264_169611"/>
      <w:bookmarkStart w:id="244" w:name="pg16264_169611"/>
      <w:bookmarkEnd w:id="244"/>
    </w:p>
    <w:p>
      <w:pPr>
        <w:pStyle w:val="Heading3"/>
        <w:numPr>
          <w:ilvl w:val="2"/>
          <w:numId w:val="1"/>
        </w:numPr>
        <w:rPr/>
      </w:pPr>
      <w:bookmarkStart w:id="245" w:name="pg16264_169611"/>
      <w:bookmarkStart w:id="246" w:name="__RefHeading___Toc4588686_1280447820"/>
      <w:bookmarkStart w:id="247" w:name="_Toc75"/>
      <w:bookmarkEnd w:id="245"/>
      <w:bookmarkEnd w:id="246"/>
      <w:r>
        <w:rPr>
          <w:rtl w:val="true"/>
        </w:rPr>
        <w:t>هداية</w:t>
      </w:r>
      <w:bookmarkEnd w:id="247"/>
    </w:p>
    <w:p>
      <w:pPr>
        <w:pStyle w:val="Heading4"/>
        <w:numPr>
          <w:ilvl w:val="3"/>
          <w:numId w:val="1"/>
        </w:numPr>
        <w:rPr/>
      </w:pPr>
      <w:bookmarkStart w:id="248" w:name="__RefHeading___Toc4588688_1280447820"/>
      <w:bookmarkStart w:id="249" w:name="_Toc76"/>
      <w:bookmarkEnd w:id="248"/>
      <w:r>
        <w:rPr>
          <w:rtl w:val="true"/>
        </w:rPr>
        <w:t>اشارة</w:t>
      </w:r>
      <w:bookmarkEnd w:id="249"/>
    </w:p>
    <w:p>
      <w:pPr>
        <w:pStyle w:val="BookText"/>
        <w:rPr/>
      </w:pPr>
      <w:r>
        <w:rPr>
          <w:rFonts w:ascii="Amiri" w:hAnsi="Amiri" w:eastAsia="Amiri" w:cs="Amiri"/>
          <w:color w:val="111111"/>
          <w:sz w:val="28"/>
          <w:sz w:val="28"/>
          <w:szCs w:val="28"/>
          <w:rtl w:val="true"/>
          <w:lang w:bidi="ar-SA"/>
        </w:rPr>
        <w:t xml:space="preserve">قد تداول في تضاعيف المحاورات إطلاق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Style w:val="FootnoteAnchor"/>
          <w:rtl w:val="true"/>
        </w:rPr>
        <w:footnoteReference w:id="657"/>
      </w:r>
      <w:r>
        <w:rPr>
          <w:rFonts w:ascii="Amiri" w:hAnsi="Amiri" w:eastAsia="Amiri" w:cs="Amiri"/>
          <w:color w:val="111111"/>
          <w:sz w:val="28"/>
          <w:sz w:val="28"/>
          <w:szCs w:val="28"/>
          <w:rtl w:val="true"/>
          <w:lang w:bidi="ar-SA"/>
        </w:rPr>
        <w:t>وموارد مثل هذا التركيب لا يخلو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 في نفي الحقيقة والذات ، فيكون مفاد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محمولا بنفسه ،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معدوم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ذهب جماعة إلى عدم احتياجه إلى الخبر ، كما تقدّم في كلمة التوحيد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المنفيّ قد يكون مجرّد الذات من دون عنوان ، وقد يكون الذات باعتبار عنوانه الملحوظ في الكلام كقولك </w:t>
      </w:r>
      <w:r>
        <w:rPr>
          <w:rStyle w:val="FootnoteAnchor"/>
          <w:rtl w:val="true"/>
        </w:rPr>
        <w:footnoteReference w:id="65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صغيرة مع الإصرار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المنفيّ هو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الصغر </w:t>
      </w:r>
      <w:r>
        <w:rPr>
          <w:rFonts w:eastAsia="Amiri" w:cs="Amiri" w:ascii="Amiri" w:hAnsi="Amiri"/>
          <w:color w:val="111111"/>
          <w:sz w:val="28"/>
          <w:szCs w:val="28"/>
          <w:rtl w:val="true"/>
          <w:lang w:bidi="ar-SA"/>
        </w:rPr>
        <w:t xml:space="preserve">» </w:t>
      </w:r>
      <w:r>
        <w:rPr>
          <w:rStyle w:val="FootnoteAnchor"/>
          <w:rtl w:val="true"/>
        </w:rPr>
        <w:footnoteReference w:id="660"/>
      </w:r>
      <w:r>
        <w:rPr>
          <w:rFonts w:ascii="Amiri" w:hAnsi="Amiri" w:eastAsia="Amiri" w:cs="Amiri"/>
          <w:color w:val="111111"/>
          <w:sz w:val="28"/>
          <w:sz w:val="28"/>
          <w:szCs w:val="28"/>
          <w:rtl w:val="true"/>
          <w:lang w:bidi="ar-SA"/>
        </w:rPr>
        <w:t>فالمنفيّ يمكن اعتباره على وجه المحموليّة إن لوحظ المنفيّ هو الذات المعنون من حيث إنّه معنون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اعتباره على وجه الربط من حيث إنّ ذلك راجع إلى انتفاء الوصف العنواني عن الذات ، فإنّ التوصيف مسبوق بالحمل قطعا ، كما هو ظاهر لا سترة عليه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وتارة يستعمل في نفي الصفة عن الذات ، فيكون مفاده مفاد العدم إذا كان رابطا ، وتلك الصفة مختلفة جدّا ، فتارة تكون صحّة ما تعلّق به النفي كقوله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حمل النفي فيه على نفي الذات وحمله على نفي الصحّة </w:t>
      </w:r>
      <w:r>
        <w:rPr>
          <w:rStyle w:val="FootnoteAnchor"/>
          <w:rtl w:val="true"/>
        </w:rPr>
        <w:footnoteReference w:id="661"/>
      </w:r>
      <w:r>
        <w:rPr>
          <w:rFonts w:ascii="Amiri" w:hAnsi="Amiri" w:eastAsia="Amiri" w:cs="Amiri"/>
          <w:color w:val="111111"/>
          <w:sz w:val="28"/>
          <w:sz w:val="28"/>
          <w:szCs w:val="28"/>
          <w:rtl w:val="true"/>
          <w:lang w:bidi="ar-SA"/>
        </w:rPr>
        <w:t xml:space="preserve">كما يراه جماعة </w:t>
      </w:r>
      <w:r>
        <w:rPr>
          <w:rStyle w:val="FootnoteAnchor"/>
          <w:rtl w:val="true"/>
        </w:rPr>
        <w:footnoteReference w:id="662"/>
      </w:r>
      <w:r>
        <w:rPr>
          <w:rFonts w:ascii="Amiri" w:hAnsi="Amiri" w:eastAsia="Amiri" w:cs="Amiri"/>
          <w:color w:val="111111"/>
          <w:sz w:val="28"/>
          <w:sz w:val="28"/>
          <w:szCs w:val="28"/>
          <w:rtl w:val="true"/>
          <w:lang w:bidi="ar-SA"/>
        </w:rPr>
        <w:t>، فيكون المراد هو عدم مطابقة الصلاة بدون الطهارة لما هو المأمور به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وتارة يراد به نفي المشروعيّة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جماعة في نافلة </w:t>
      </w:r>
      <w:r>
        <w:rPr>
          <w:rFonts w:eastAsia="Amiri" w:cs="Amiri" w:ascii="Amiri" w:hAnsi="Amiri"/>
          <w:color w:val="111111"/>
          <w:sz w:val="28"/>
          <w:szCs w:val="28"/>
          <w:rtl w:val="true"/>
          <w:lang w:bidi="ar-SA"/>
        </w:rPr>
        <w:t xml:space="preserve">» </w:t>
      </w:r>
      <w:r>
        <w:rPr>
          <w:rStyle w:val="FootnoteAnchor"/>
          <w:rtl w:val="true"/>
        </w:rPr>
        <w:footnoteReference w:id="663"/>
      </w:r>
      <w:r>
        <w:rPr>
          <w:rFonts w:ascii="Amiri" w:hAnsi="Amiri" w:eastAsia="Amiri" w:cs="Amiri"/>
          <w:color w:val="111111"/>
          <w:sz w:val="28"/>
          <w:sz w:val="28"/>
          <w:szCs w:val="28"/>
          <w:rtl w:val="true"/>
          <w:lang w:bidi="ar-SA"/>
        </w:rPr>
        <w:t>فيكون المراد هو عدم تعلّق طلب الشارع بالجماعة في النافلة ، ويغاير الأوّل بالاعتبار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يراد به نفي الفضيلة كقوله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لجار المسجد </w:t>
      </w:r>
      <w:r>
        <w:rPr>
          <w:rFonts w:eastAsia="Amiri" w:cs="Amiri" w:ascii="Amiri" w:hAnsi="Amiri"/>
          <w:color w:val="111111"/>
          <w:sz w:val="28"/>
          <w:szCs w:val="28"/>
          <w:rtl w:val="true"/>
          <w:lang w:bidi="ar-SA"/>
        </w:rPr>
        <w:t xml:space="preserve">» </w:t>
      </w:r>
      <w:r>
        <w:rPr>
          <w:rStyle w:val="FootnoteAnchor"/>
          <w:rtl w:val="true"/>
        </w:rPr>
        <w:footnoteReference w:id="664"/>
      </w:r>
      <w:r>
        <w:rPr>
          <w:rFonts w:ascii="Amiri" w:hAnsi="Amiri" w:eastAsia="Amiri" w:cs="Amiri"/>
          <w:color w:val="111111"/>
          <w:sz w:val="28"/>
          <w:sz w:val="28"/>
          <w:szCs w:val="28"/>
          <w:rtl w:val="true"/>
          <w:lang w:bidi="ar-SA"/>
        </w:rPr>
        <w:t xml:space="preserve">أو نفي الكمال كقوله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لحاقن </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 xml:space="preserve">ويفارق الأوّل بأنّ نفي الفضيلة لا ينافي الإباحة في العبادات ، وبخلاف نفي الكمال فإنّه يفيد </w:t>
      </w:r>
      <w:r>
        <w:rPr>
          <w:rStyle w:val="FootnoteAnchor"/>
          <w:rtl w:val="true"/>
        </w:rPr>
        <w:footnoteReference w:id="666"/>
      </w:r>
      <w:r>
        <w:rPr>
          <w:rFonts w:ascii="Amiri" w:hAnsi="Amiri" w:eastAsia="Amiri" w:cs="Amiri"/>
          <w:color w:val="111111"/>
          <w:sz w:val="28"/>
          <w:sz w:val="28"/>
          <w:szCs w:val="28"/>
          <w:rtl w:val="true"/>
          <w:lang w:bidi="ar-SA"/>
        </w:rPr>
        <w:t xml:space="preserve">الكراهة المعتبرة </w:t>
      </w:r>
      <w:r>
        <w:rPr>
          <w:rStyle w:val="FootnoteAnchor"/>
          <w:rtl w:val="true"/>
        </w:rPr>
        <w:footnoteReference w:id="667"/>
      </w:r>
      <w:r>
        <w:rPr>
          <w:rFonts w:ascii="Amiri" w:hAnsi="Amiri" w:eastAsia="Amiri" w:cs="Amiri"/>
          <w:color w:val="111111"/>
          <w:sz w:val="28"/>
          <w:sz w:val="28"/>
          <w:szCs w:val="28"/>
          <w:rtl w:val="true"/>
          <w:lang w:bidi="ar-SA"/>
        </w:rPr>
        <w:t>في العبادات</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يراد به نفي الوجوب كقوله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إعادة إلاّ في خمس </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 xml:space="preserve">أو نفي جميع الآثار الشرعيّة أو بعضها على اختلاف المقامات كقوله عليه‌السلام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رضاع بعد فطام </w:t>
      </w:r>
      <w:r>
        <w:rPr>
          <w:rFonts w:eastAsia="IRNazanin" w:cs="IRNazanin"/>
          <w:color w:val="111111"/>
          <w:sz w:val="28"/>
          <w:szCs w:val="28"/>
          <w:rtl w:val="true"/>
          <w:lang w:bidi="fa-IR"/>
        </w:rPr>
        <w:t xml:space="preserve">» </w:t>
      </w:r>
      <w:r>
        <w:rPr>
          <w:rStyle w:val="FootnoteAnchor"/>
          <w:rtl w:val="true"/>
        </w:rPr>
        <w:footnoteReference w:id="66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 بعد احتلام </w:t>
      </w:r>
      <w:r>
        <w:rPr>
          <w:rFonts w:eastAsia="Amiri" w:cs="Amiri" w:ascii="Amiri" w:hAnsi="Amiri"/>
          <w:color w:val="111111"/>
          <w:sz w:val="28"/>
          <w:szCs w:val="28"/>
          <w:rtl w:val="true"/>
          <w:lang w:bidi="ar-SA"/>
        </w:rPr>
        <w:t xml:space="preserve">» </w:t>
      </w:r>
      <w:r>
        <w:rPr>
          <w:rStyle w:val="FootnoteAnchor"/>
          <w:rtl w:val="true"/>
        </w:rPr>
        <w:footnoteReference w:id="67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عمل إلاّ بنيّة </w:t>
      </w:r>
      <w:r>
        <w:rPr>
          <w:rFonts w:eastAsia="Amiri" w:cs="Amiri" w:ascii="Amiri" w:hAnsi="Amiri"/>
          <w:color w:val="111111"/>
          <w:sz w:val="28"/>
          <w:szCs w:val="28"/>
          <w:rtl w:val="true"/>
          <w:lang w:bidi="ar-SA"/>
        </w:rPr>
        <w:t xml:space="preserve">» </w:t>
      </w:r>
      <w:r>
        <w:rPr>
          <w:rStyle w:val="FootnoteAnchor"/>
          <w:rtl w:val="true"/>
        </w:rPr>
        <w:footnoteReference w:id="671"/>
      </w:r>
      <w:r>
        <w:rPr>
          <w:rFonts w:ascii="Amiri" w:hAnsi="Amiri" w:eastAsia="Amiri" w:cs="Amiri"/>
          <w:color w:val="111111"/>
          <w:sz w:val="28"/>
          <w:sz w:val="28"/>
          <w:szCs w:val="28"/>
          <w:rtl w:val="true"/>
          <w:lang w:bidi="ar-SA"/>
        </w:rPr>
        <w:t>إلى غير ذلك من موارد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ذلك التركيب صالح لأن يراد به الوجوه المذكورة اختلف القوم في بيانه وإجماله على أقوال </w:t>
      </w:r>
      <w:r>
        <w:rPr>
          <w:rStyle w:val="FootnoteAnchor"/>
          <w:rtl w:val="true"/>
        </w:rPr>
        <w:footnoteReference w:id="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التفصيل بين الأسماء الشرعيّة واللغويّة التي لها حكم واحد وبين غيرها من الأحكام اللغويّة التي لها أحكام متعدّدة فالإجمال في الثاني والبيان في الأوّل ؛ ومثّل بعضهم </w:t>
      </w:r>
      <w:r>
        <w:rPr>
          <w:rStyle w:val="FootnoteAnchor"/>
          <w:rtl w:val="true"/>
        </w:rPr>
        <w:footnoteReference w:id="673"/>
      </w:r>
      <w:r>
        <w:rPr>
          <w:rFonts w:ascii="Amiri" w:hAnsi="Amiri" w:eastAsia="Amiri" w:cs="Amiri"/>
          <w:color w:val="111111"/>
          <w:sz w:val="28"/>
          <w:sz w:val="28"/>
          <w:szCs w:val="28"/>
          <w:rtl w:val="true"/>
          <w:lang w:bidi="ar-SA"/>
        </w:rPr>
        <w:t xml:space="preserve">للأوّل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إقرار لمن أقرّ بنفسه على الزنا </w:t>
      </w:r>
      <w:r>
        <w:rPr>
          <w:rFonts w:eastAsia="Amiri" w:cs="Amiri" w:ascii="Amiri" w:hAnsi="Amiri"/>
          <w:color w:val="111111"/>
          <w:sz w:val="28"/>
          <w:szCs w:val="28"/>
          <w:rtl w:val="true"/>
          <w:lang w:bidi="ar-SA"/>
        </w:rPr>
        <w:t xml:space="preserve">» </w:t>
      </w:r>
      <w:r>
        <w:rPr>
          <w:rStyle w:val="FootnoteAnchor"/>
          <w:rtl w:val="true"/>
        </w:rPr>
        <w:footnoteReference w:id="674"/>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غيبة لفاسق </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يتخبّل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وجه الإجمال في المقام على تقديره هو دوران الأمر بين مجازات عديدة بعد تعذّر الحمل على المعنى الحقيقي</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يورد عليه بأنّه ليس في محلّه ، بل المعنى الحقيقي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إرادة نفي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المحتملات من حيث حدوث الوهن في الحمل عليه ، للزوم تقييدات كثيرة في بعض الموارد كما هو معلوم في 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بفاتحة الكتاب </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فإنّ الحمل على نفي الذات يوجب تقييد الصلاة بغير الموارد التي تقع الصلاة بدون الفاتحة كالناسي والجاهل والأخرس والمضطرّ ونحوهم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أوّلا يظهر فساد ذلك كلّه ، فإنّ استعمال أداة النفي </w:t>
      </w:r>
      <w:r>
        <w:rPr>
          <w:rStyle w:val="FootnoteAnchor"/>
          <w:rtl w:val="true"/>
        </w:rPr>
        <w:footnoteReference w:id="677"/>
      </w:r>
      <w:r>
        <w:rPr>
          <w:rFonts w:ascii="Amiri" w:hAnsi="Amiri" w:eastAsia="Amiri" w:cs="Amiri"/>
          <w:color w:val="111111"/>
          <w:sz w:val="28"/>
          <w:sz w:val="28"/>
          <w:szCs w:val="28"/>
          <w:rtl w:val="true"/>
          <w:lang w:bidi="ar-SA"/>
        </w:rPr>
        <w:t xml:space="preserve">في نفي الذات على وجه يراد بها العدم المحمولي الذي لا يحتاج إلى الخبر </w:t>
      </w:r>
      <w:r>
        <w:rPr>
          <w:rStyle w:val="FootnoteAnchor"/>
          <w:rtl w:val="true"/>
        </w:rPr>
        <w:footnoteReference w:id="678"/>
      </w:r>
      <w:r>
        <w:rPr>
          <w:rFonts w:ascii="Amiri" w:hAnsi="Amiri" w:eastAsia="Amiri" w:cs="Amiri"/>
          <w:color w:val="111111"/>
          <w:sz w:val="28"/>
          <w:sz w:val="28"/>
          <w:szCs w:val="28"/>
          <w:rtl w:val="true"/>
          <w:lang w:bidi="ar-SA"/>
        </w:rPr>
        <w:t xml:space="preserve">لو لم نقل بكونه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المعاني الاسميّة التي لا يستفاد من الأداة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أقلّ من أن لا </w:t>
      </w:r>
      <w:r>
        <w:rPr>
          <w:rStyle w:val="FootnoteAnchor"/>
          <w:rtl w:val="true"/>
        </w:rPr>
        <w:footnoteReference w:id="679"/>
      </w:r>
      <w:r>
        <w:rPr>
          <w:rFonts w:ascii="Amiri" w:hAnsi="Amiri" w:eastAsia="Amiri" w:cs="Amiri"/>
          <w:color w:val="111111"/>
          <w:sz w:val="28"/>
          <w:sz w:val="28"/>
          <w:szCs w:val="28"/>
          <w:rtl w:val="true"/>
          <w:lang w:bidi="ar-SA"/>
        </w:rPr>
        <w:t xml:space="preserve">يكون استعمالها في نفي المحمول مجازا ، من غير فرق بين المحمولات ، سواء كان وجودا أو أمرا غيره ، فلا يتصوّر هناك مجاز في تلك المواد حتّى يقال بدوران الأمر بين المجازات بعد تعذّر الحقيقة أو بين الحقيقة وأحد المجازات ، بل الوجه في الإجمال هو ما قرّر من صلاحيّة إرادة جميع ما يمكن </w:t>
      </w:r>
      <w:r>
        <w:rPr>
          <w:rStyle w:val="FootnoteAnchor"/>
          <w:rtl w:val="true"/>
        </w:rPr>
        <w:footnoteReference w:id="680"/>
      </w:r>
      <w:r>
        <w:rPr>
          <w:rFonts w:ascii="Amiri" w:hAnsi="Amiri" w:eastAsia="Amiri" w:cs="Amiri"/>
          <w:color w:val="111111"/>
          <w:sz w:val="28"/>
          <w:sz w:val="28"/>
          <w:szCs w:val="28"/>
          <w:rtl w:val="true"/>
          <w:lang w:bidi="ar-SA"/>
        </w:rPr>
        <w:t>نفيه من الموضوع المفروض دخول الأداة عليه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على تقدير حمل الأداة على نفي المحمول والصفة لا بدّ من تقدير الخبر ، من غير فرق بين أن يكون الخبر وجودا أو أمرا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الأداة لو قلنا باحتياجها إلى الخبر هو نفي خصوص المحمول الوجودي ؛ ولعلّ هذا هو الوجه في امتيازها عن المشبّهة بليس بحسب المعنى ، إذ على تقدير كونها غير ظاهرة في نفيه خاصّة لا تمايز بينهما معنى ، وهو أيضا في غاية الإشكال ، فلا بدّ من التأمّل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احتجّ القائل بالبيان مطلقا بأنّ الفعل المنفيّ إمّا من العبادات أو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فإمّا أن تكون موضوعة للصحيحة أو الأعم ، فعلى الأوّل لا إجمال لإمكان الحمل على نفي الذات ، وعلى الثاني فيحمل على أقرب المجازات ، وهو نفي الصحّة ، لتعذّر الحمل على المعنى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فيحمل على نفي الفائدة ؛ لأنّه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نقل بثبوت وضع ثانوي لهذه التراكيب لنفي الفائدة ، وعلى تقديره فالأمر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عنه بأنّه على القول بالصحيح لا وجه لحمله على نفي الذات ، لما </w:t>
      </w:r>
      <w:r>
        <w:rPr>
          <w:rStyle w:val="FootnoteAnchor"/>
          <w:rtl w:val="true"/>
        </w:rPr>
        <w:footnoteReference w:id="681"/>
      </w:r>
      <w:r>
        <w:rPr>
          <w:rFonts w:ascii="Amiri" w:hAnsi="Amiri" w:eastAsia="Amiri" w:cs="Amiri"/>
          <w:color w:val="111111"/>
          <w:sz w:val="28"/>
          <w:sz w:val="28"/>
          <w:szCs w:val="28"/>
          <w:rtl w:val="true"/>
          <w:lang w:bidi="ar-SA"/>
        </w:rPr>
        <w:t>تقدّم من أنّه في عرض أحد المجازات ؛ مضافا إلى استلزامه حمل الكلام على الإخبار ، وهو ليس من شأن المعصوم وهو الإخبار عن نفي الذات بدون الشرط أو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بالأعمّ لا وجه لإطلاق القول بأنّه لا يحمل على نفي الذات ، لاحتمال أن يكون الجزء الثابت جزئيّته بالكلام المذكور من الأجزاء المقوّمة التي ينتفي الكلّ بانتفائه ولو عند القائل بالأعمّ ، بل لا بدّ من القول بأنّه من تلك الأجزاء نظرا إلى ظاهر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أنّه لا يتصوّر مجاز في التركيب المذكور</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لا مناص من حمل الكلام على الإخبار كما هو ظاهر التركيب أيضا ، غاية الأمر أنّ المخبر به على تقدير حمله على نفي الصفة هو الحكم الشرعي الذي شأن الإمام عليه‌السلام بيانه ، وهو حاصل على تقدير نفي الذات أيضا ، فلا داعي إلى صرف كلامه عن ظاهره إلى غيره ؛ مع أنّ ما أورده على القول </w:t>
      </w:r>
    </w:p>
    <w:p>
      <w:pPr>
        <w:pStyle w:val="BookText"/>
        <w:rPr/>
      </w:pPr>
      <w:r>
        <w:rPr>
          <w:rFonts w:ascii="Amiri" w:hAnsi="Amiri" w:eastAsia="Amiri" w:cs="Amiri"/>
          <w:color w:val="111111"/>
          <w:sz w:val="28"/>
          <w:sz w:val="28"/>
          <w:szCs w:val="28"/>
          <w:rtl w:val="true"/>
          <w:lang w:bidi="ar-SA"/>
        </w:rPr>
        <w:t xml:space="preserve">بالأعمّ لا ينافي مقصود المستدلّ من البيان ، فإنّ حمل الجزء على ما لا يتقوّم الكلّ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يؤكّد البيان ولا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يمكن على القول بالأعمّ حمله على نفي الذات بوجه آخر ، وهو تنزيل الفعل الفاقد لذلك الجزء منزلة العدم مبالغة في الاعتناء بشأن ذلك الجزء أو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وجه آخر لعدم لزوم مجاز في تلك التراكيب على تقدير حملها على نفي الصفات ، فإنّ التصرّف في أمر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في غير المقام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إذا وعد وفى </w:t>
      </w:r>
      <w:r>
        <w:rPr>
          <w:rFonts w:eastAsia="Amiri" w:cs="Amiri" w:ascii="Amiri" w:hAnsi="Amiri"/>
          <w:color w:val="111111"/>
          <w:sz w:val="28"/>
          <w:szCs w:val="28"/>
          <w:rtl w:val="true"/>
          <w:lang w:bidi="ar-SA"/>
        </w:rPr>
        <w:t xml:space="preserve">» </w:t>
      </w:r>
      <w:r>
        <w:rPr>
          <w:rStyle w:val="FootnoteAnchor"/>
          <w:rtl w:val="true"/>
        </w:rPr>
        <w:footnoteReference w:id="68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من سلم المسلمون من يده ولسانه </w:t>
      </w:r>
      <w:r>
        <w:rPr>
          <w:rFonts w:eastAsia="Amiri" w:cs="Amiri" w:ascii="Amiri" w:hAnsi="Amiri"/>
          <w:color w:val="111111"/>
          <w:sz w:val="28"/>
          <w:szCs w:val="28"/>
          <w:rtl w:val="true"/>
          <w:lang w:bidi="ar-SA"/>
        </w:rPr>
        <w:t xml:space="preserve">» </w:t>
      </w:r>
      <w:r>
        <w:rPr>
          <w:rStyle w:val="FootnoteAnchor"/>
          <w:rtl w:val="true"/>
        </w:rPr>
        <w:footnoteReference w:id="683"/>
      </w:r>
      <w:r>
        <w:rPr>
          <w:rFonts w:ascii="Amiri" w:hAnsi="Amiri" w:eastAsia="Amiri" w:cs="Amiri"/>
          <w:color w:val="111111"/>
          <w:sz w:val="28"/>
          <w:sz w:val="28"/>
          <w:szCs w:val="28"/>
          <w:rtl w:val="true"/>
          <w:lang w:bidi="ar-SA"/>
        </w:rPr>
        <w:t>فإنّه مشعر بعدم إيمان من لا يفي بالوعد وعدم إسلام من لم يسلم منه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محمول على ادّعاء نفي الإيمان والإسلام عند التخلّف والإيذاء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أنّه على القول بالأعمّ لا ينحصر وجه المبالغة في الاعتناء بما لا يعدّ الفعل صحيحا لولاه ، بل يحتمل أن يكون وجه التنزيل هو فقد الكمال كما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لجار المسجد إلاّ في المسجد </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واحتجّ القائل بالإجمال بما مرّ إليه الإشارة من صلاحيّة التركيب للوجوه المحتملة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المفصّل ففي جهة الإجمال يشارك من قال به مطلقا ، وفي جهة البيان بأنّ الفعل الشرعي يمكن انتفاؤه بفوات شرطه أو جزئه فيحمل النفي على ظاهره</w:t>
      </w:r>
      <w:r>
        <w:rPr>
          <w:rFonts w:eastAsia="Amiri" w:cs="Amiri" w:ascii="Amiri" w:hAnsi="Amiri"/>
          <w:color w:val="111111"/>
          <w:sz w:val="28"/>
          <w:szCs w:val="28"/>
          <w:rtl w:val="true"/>
          <w:lang w:bidi="ar-SA"/>
        </w:rPr>
        <w:t xml:space="preserve">. </w:t>
      </w:r>
      <w:bookmarkStart w:id="250" w:name="pg16264_169617"/>
    </w:p>
    <w:p>
      <w:pPr>
        <w:pStyle w:val="BookText"/>
        <w:rPr/>
      </w:pPr>
      <w:bookmarkEnd w:id="250"/>
      <w:r>
        <w:rPr>
          <w:rFonts w:ascii="Amiri" w:hAnsi="Amiri" w:eastAsia="Amiri" w:cs="Amiri"/>
          <w:color w:val="111111"/>
          <w:sz w:val="28"/>
          <w:sz w:val="28"/>
          <w:szCs w:val="28"/>
          <w:rtl w:val="true"/>
          <w:lang w:bidi="ar-SA"/>
        </w:rPr>
        <w:t xml:space="preserve">كما لا إجمال مع اتّحاد الحكم اللغوي لصرف </w:t>
      </w:r>
      <w:r>
        <w:rPr>
          <w:rStyle w:val="FootnoteAnchor"/>
          <w:rtl w:val="true"/>
        </w:rPr>
        <w:footnoteReference w:id="685"/>
      </w:r>
      <w:r>
        <w:rPr>
          <w:rFonts w:ascii="Amiri" w:hAnsi="Amiri" w:eastAsia="Amiri" w:cs="Amiri"/>
          <w:color w:val="111111"/>
          <w:sz w:val="28"/>
          <w:sz w:val="28"/>
          <w:szCs w:val="28"/>
          <w:rtl w:val="true"/>
          <w:lang w:bidi="ar-SA"/>
        </w:rPr>
        <w:t>النفي إليه على تقدير وجود الفعل ، وعلى تقدير عدمه فلا 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التراكيب لا يقتضي الإجمال ، إذ لو قلنا باستفادة العدم المحمولي من الأداة ، أو قلنا بأنّ المستفاد منها خصوص نفي الوجود دون سائر المحمولات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لعلّه الظاهر من الأداة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عدم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بأنّ المستفاد منها هو نفي المحمول ولو كان غير الوجود ولا وجه لدعوى </w:t>
      </w:r>
      <w:r>
        <w:rPr>
          <w:rStyle w:val="FootnoteAnchor"/>
          <w:rtl w:val="true"/>
        </w:rPr>
        <w:footnoteReference w:id="686"/>
      </w:r>
      <w:r>
        <w:rPr>
          <w:rFonts w:ascii="Amiri" w:hAnsi="Amiri" w:eastAsia="Amiri" w:cs="Amiri"/>
          <w:color w:val="111111"/>
          <w:sz w:val="28"/>
          <w:sz w:val="28"/>
          <w:szCs w:val="28"/>
          <w:rtl w:val="true"/>
          <w:lang w:bidi="ar-SA"/>
        </w:rPr>
        <w:t>ظهورها في نفي المحمول الوجودي ، فإن علمنا بانتفاء الذات فلا إجمال قطعا ، وإن علمنا بقاء الذات فالعرف يساعد على نفي جميع آثارها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ذلك ناش من ظهور الأداة في نفي المحمول الوجودي دون ساير المحمولات ، وبعد تعذّره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للقطع ببقائه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فالأقرب هو نفي جميع الآثار ، ودونه في القرب نفي معظم الآثار ، وهو الصحّة في العبادات ، والفائدة في غيرها ، ثم نفي التماميّة فإنّ الناقص كالمعدوم ، ثم نفي الكمال فإنّه 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الشكّ يحمل على نفي الوجود وعلى تقدير ظهورها في نفيه خاصّة</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4588690_1280447820"/>
      <w:bookmarkStart w:id="252" w:name="_Toc77"/>
      <w:bookmarkEnd w:id="251"/>
      <w:r>
        <w:rPr>
          <w:rtl w:val="true"/>
        </w:rPr>
        <w:t xml:space="preserve">تذنيبان </w:t>
      </w:r>
      <w:r>
        <w:rPr>
          <w:rtl w:val="true"/>
        </w:rPr>
        <w:t>:</w:t>
      </w:r>
      <w:bookmarkEnd w:id="252"/>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بيان خصوص 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Style w:val="FootnoteAnchor"/>
          <w:rtl w:val="true"/>
        </w:rPr>
        <w:footnoteReference w:id="687"/>
      </w:r>
      <w:r>
        <w:rPr>
          <w:rFonts w:ascii="Amiri" w:hAnsi="Amiri" w:eastAsia="Amiri" w:cs="Amiri"/>
          <w:color w:val="111111"/>
          <w:sz w:val="28"/>
          <w:sz w:val="28"/>
          <w:szCs w:val="28"/>
          <w:rtl w:val="true"/>
          <w:lang w:bidi="ar-SA"/>
        </w:rPr>
        <w:t xml:space="preserve">وإن احتمل إجمال غيره ، لظهوره في أنّ العمل الغير المتلبّس بالطهور فاسد </w:t>
      </w:r>
    </w:p>
    <w:p>
      <w:pPr>
        <w:pStyle w:val="BookText"/>
        <w:rPr/>
      </w:pPr>
      <w:r>
        <w:rPr>
          <w:rFonts w:ascii="Amiri" w:hAnsi="Amiri" w:eastAsia="Amiri" w:cs="Amiri"/>
          <w:color w:val="111111"/>
          <w:sz w:val="28"/>
          <w:sz w:val="28"/>
          <w:szCs w:val="28"/>
          <w:rtl w:val="true"/>
          <w:lang w:bidi="ar-SA"/>
        </w:rPr>
        <w:t>لا يحصل منه البراءة ، من غير فرق في ذلك بين القول بالأعمّ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حمل النفي على نفي الذات موقوف على القول بالصحيح ، وإمكان ذلك على القول بالأعمّ إنّما هو في غير الشرائط ، اللّهمّ إلاّ بالقول بدخول الشرط في بعض الاعتبارات في المشروط ، فيحتمل أن يكون ذلك من الأجزاء المقوّمة التي يرتفع الماهيّة بارتفاعها ولو عند القائل بالأعمّ أيضا ، وسيأتي تفصيله عن قريب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فرق في ذلك بين أن يكون النفي متوجّها إلى الذات أو إلى الصفة ، كالصحّة والفائدة بدعوى ظهوره في نفي الصحّة والفائدة بحسب متفاهم العرف ؛ وقد يحتجّ على ذلك بأنّ نفي الذات يدلّ على نفي الصفات وإذا ترك العمل به في نفي الذات لوجودها وجب العمل في نفي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قياس بما تقدّم في العامّ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خروج بعض الأفراد لا يوجب زوال الحكم عن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ظاهر ؛ لأنّ نفي الصفات إنّما هو تابع لنفي الذات في كونه مدلولا للّفظ ، ولا يعقل زوال المتبوع وبقاء التابع من حيث إنّه تابع ، بخلاف العامّ فإنّ أفراده في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ظهور تلك التراكيب في خصوص نفي الذات إمّا من دون احتياج الأداة إلى الخبر وإمّا معه ، فلو تعذّر الحمل عليه فيحتمل في التركيب المذكور وجوه من التصرّف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بالقول بأنّ التصرّف في أمر عقليّ تنزيلا لما لا صحّة له منزلة المعدوم ، أو لما لا كمال فيه 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دار الأمر بينهما فالظاهر الأوّل ؛ لأنّه الأقرب ولو في مقام التنزيل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بالقول بأنّه مجاز في الحذف بتقدير الاسم للأداة ، 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فائدة في الصلاة أو لا صحّة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وإمّا بالقول بأنّه مجاز في الإسناد فإنّ المحلّ المقرّر لإسناد النفي بعد وجود الذات هي الصفة عند العقل ، فإسناده إليها يكون مجازا فيه ، فهو من قبيل إسناد الفعل المنسوب إلى اللازم إلى ملزومه ،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بنى الأمير المدرسة </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وإمّا بالقول بأنّه مجاز لغويّ ، إمّا من جهة استعمال المطلق في خصوص المقيّد فيكون المراد من الصلاة خصوص الصحيحة ، أو من استعمال الملزوم وإرادة اللازم ؛ لأنّ نفي الذات يلازم نفي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قيل </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الأخير نظر</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ما أفاده قدس‌سره في مسألة المجمل والمبيّن ، ولعمري نعم ما أفاد ممّا لم يسبقه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ويتلوه الكلام في الأدلّة العقلية </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3" w:name="pg16264_169621"/>
      <w:bookmarkStart w:id="254" w:name="pg16264_169621"/>
      <w:bookmarkEnd w:id="254"/>
    </w:p>
    <w:p>
      <w:pPr>
        <w:pStyle w:val="BookText"/>
        <w:rPr/>
      </w:pPr>
      <w:bookmarkStart w:id="255" w:name="pg16264_169621"/>
      <w:bookmarkEnd w:id="255"/>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 والصلاة والسلام على محمّد وآله الطيّبين الطاهرين ، ولعنة اللّه على أعدائهم أجمعين إلى يوم الدين</w:t>
      </w:r>
      <w:r>
        <w:rPr>
          <w:rFonts w:eastAsia="Amiri" w:cs="Amiri" w:ascii="Amiri" w:hAnsi="Amiri"/>
          <w:color w:val="111111"/>
          <w:sz w:val="28"/>
          <w:szCs w:val="28"/>
          <w:rtl w:val="true"/>
          <w:lang w:bidi="ar-SA"/>
        </w:rPr>
        <w:t>.</w:t>
      </w:r>
    </w:p>
    <w:p>
      <w:pPr>
        <w:pStyle w:val="Heading2"/>
        <w:numPr>
          <w:ilvl w:val="1"/>
          <w:numId w:val="1"/>
        </w:numPr>
        <w:rPr/>
      </w:pPr>
      <w:bookmarkStart w:id="256" w:name="__RefHeading___Toc4588692_1280447820"/>
      <w:bookmarkStart w:id="257" w:name="_Toc78"/>
      <w:bookmarkEnd w:id="256"/>
      <w:r>
        <w:rPr>
          <w:rtl w:val="true"/>
        </w:rPr>
        <w:t>القول في الأدلّة العقليّة</w:t>
      </w:r>
      <w:bookmarkEnd w:id="257"/>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8" w:name="__RefHeading___Toc4588694_1280447820"/>
      <w:bookmarkStart w:id="259" w:name="_Toc79"/>
      <w:bookmarkEnd w:id="258"/>
      <w:r>
        <w:rPr>
          <w:rtl w:val="true"/>
        </w:rPr>
        <w:t>اشارة</w:t>
      </w:r>
      <w:bookmarkEnd w:id="259"/>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0" w:name="pg16264_169623"/>
      <w:bookmarkStart w:id="261" w:name="pg16264_169623"/>
      <w:bookmarkEnd w:id="261"/>
    </w:p>
    <w:p>
      <w:pPr>
        <w:pStyle w:val="BookText"/>
        <w:rPr/>
      </w:pPr>
      <w:bookmarkStart w:id="262" w:name="pg16264_169623"/>
      <w:bookmarkEnd w:id="262"/>
      <w:r>
        <w:rPr>
          <w:rFonts w:ascii="Amiri" w:hAnsi="Amiri" w:eastAsia="Amiri" w:cs="Amiri"/>
          <w:color w:val="111111"/>
          <w:sz w:val="28"/>
          <w:sz w:val="28"/>
          <w:szCs w:val="28"/>
          <w:rtl w:val="true"/>
          <w:lang w:bidi="ar-SA"/>
        </w:rPr>
        <w:t xml:space="preserve">ويتمّ الكلام فيه في طيّ اصول </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4588696_1280447820"/>
      <w:bookmarkStart w:id="264" w:name="_Toc80"/>
      <w:bookmarkEnd w:id="263"/>
      <w:r>
        <w:rPr>
          <w:rtl w:val="true"/>
        </w:rPr>
        <w:t>أصل</w:t>
      </w:r>
      <w:bookmarkEnd w:id="264"/>
    </w:p>
    <w:p>
      <w:pPr>
        <w:pStyle w:val="BookText"/>
        <w:rPr/>
      </w:pPr>
      <w:r>
        <w:rPr>
          <w:rFonts w:ascii="IRNazanin" w:hAnsi="IRNazanin" w:eastAsia="IRNazanin"/>
          <w:color w:val="111111"/>
          <w:sz w:val="28"/>
          <w:sz w:val="28"/>
          <w:szCs w:val="28"/>
          <w:rtl w:val="true"/>
          <w:lang w:bidi="fa-IR"/>
        </w:rPr>
        <w:t xml:space="preserve">أصل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عرّف الدليل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عقلي يتوصّل به إلى حكم 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وقسّموه إلى ما لا يتوقّف على خطاب شرعيّ كالحسن والقبح العقليّين وإلى ما يتوقّف عليه كالحكم بوجوب مقدّمة الواجب وحرمة الضدّ ،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الفاضل التوني </w:t>
      </w:r>
      <w:r>
        <w:rPr>
          <w:rStyle w:val="FootnoteAnchor"/>
          <w:rtl w:val="true"/>
        </w:rPr>
        <w:footnoteReference w:id="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ما لو ثبتت الملازمة شرعا كالملازمة بين القصر والإفطار ، مصرّحين بعدم الفرق بينه وبين ما كان الملازمة 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يرد على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الدليل العقلي إنّما هو فرد من أفراد مطلق الدليل ، وقد 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يمكن التوصّل بصحيح النظر فيه إلى مطلوب خبريّ </w:t>
      </w:r>
      <w:r>
        <w:rPr>
          <w:rFonts w:eastAsia="Amiri" w:cs="Amiri" w:ascii="Amiri" w:hAnsi="Amiri"/>
          <w:color w:val="111111"/>
          <w:sz w:val="28"/>
          <w:szCs w:val="28"/>
          <w:rtl w:val="true"/>
          <w:lang w:bidi="ar-SA"/>
        </w:rPr>
        <w:t xml:space="preserve">» </w:t>
      </w:r>
      <w:r>
        <w:rPr>
          <w:rStyle w:val="FootnoteAnchor"/>
          <w:rtl w:val="true"/>
        </w:rPr>
        <w:footnoteReference w:id="693"/>
      </w:r>
      <w:r>
        <w:rPr>
          <w:rFonts w:ascii="Amiri" w:hAnsi="Amiri" w:eastAsia="Amiri" w:cs="Amiri"/>
          <w:color w:val="111111"/>
          <w:sz w:val="28"/>
          <w:sz w:val="28"/>
          <w:szCs w:val="28"/>
          <w:rtl w:val="true"/>
          <w:lang w:bidi="ar-SA"/>
        </w:rPr>
        <w:t xml:space="preserve">فلا وجه لإهمال قيدي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النظر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 يراد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إمكانه ، وهو كما ترى مجاز لا يصار إليه في أمثال المقام كما لا يخفى</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الذبّ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الظاهر أنّ المقصود بالتحديد في المقام ليس إلاّ تميز هذا القسم من الدليل عمّا يشاركه في الجنس من الدليل الشرعي ، وبعد اعتبار القيدين فيما يتمّ القسمين لا غائلة في إهمالهما في مقام يراد فيه تميز </w:t>
      </w:r>
    </w:p>
    <w:p>
      <w:pPr>
        <w:pStyle w:val="BookText"/>
        <w:rPr/>
      </w:pPr>
      <w:r>
        <w:rPr>
          <w:rFonts w:ascii="Amiri" w:hAnsi="Amiri" w:eastAsia="Amiri" w:cs="Amiri"/>
          <w:color w:val="111111"/>
          <w:sz w:val="28"/>
          <w:sz w:val="28"/>
          <w:szCs w:val="28"/>
          <w:rtl w:val="true"/>
          <w:lang w:bidi="ar-SA"/>
        </w:rPr>
        <w:t xml:space="preserve">أحدهما عن الآخر إجمالا ، دون أن يكون المقصود كشف تمام حقيقتهما ؛ على أنّه يمكن القول بعدم الحاجة إلى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المصرّح به في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لإدراج المغفول عنه وهو في الأدلّة العقليّة غير معقول ، إذ المراد بالحكم هنا هو التصديق ، ومع حصوله لا معنى للغفلة ، وبدونه لا حكم هناك حتى يكون مغفولا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إن اريد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العلّة التامّة للعلم بالحكم الشرعي فلا يكاد يتمّ أصلا ، إذ الحكم العقلي لا يزيد على مقدّمة واحدة فيما هو الموصل واقعا ، فإنّ المجهول التصديقي ممّا لا يمكن الوصول إليه إلاّ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w:t>
      </w:r>
      <w:r>
        <w:rPr>
          <w:rFonts w:eastAsia="Amiri" w:cs="Amiri" w:ascii="Amiri" w:hAnsi="Amiri"/>
          <w:color w:val="111111"/>
          <w:sz w:val="28"/>
          <w:szCs w:val="28"/>
          <w:rtl w:val="true"/>
          <w:lang w:bidi="ar-SA"/>
        </w:rPr>
        <w:t>]</w:t>
      </w:r>
      <w:r>
        <w:rPr>
          <w:rStyle w:val="FootnoteAnchor"/>
          <w:rtl w:val="true"/>
        </w:rPr>
        <w:footnoteReference w:id="694"/>
      </w:r>
      <w:r>
        <w:rPr>
          <w:rFonts w:ascii="Amiri" w:hAnsi="Amiri" w:eastAsia="Amiri" w:cs="Amiri"/>
          <w:color w:val="111111"/>
          <w:sz w:val="28"/>
          <w:sz w:val="28"/>
          <w:szCs w:val="28"/>
          <w:rtl w:val="true"/>
          <w:lang w:bidi="ar-SA"/>
        </w:rPr>
        <w:t xml:space="preserve">قضيّتين يستفاد من إحداهما ثبوت اللازم ومن الاخرى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وتسمية الاصولي غيرهما دليلا إنّما يرجع إلى مجرّد الاصطلاح ، نظرا إلى إطلاق الدليل عندهم على المفرد وعلى القضيّة الواحدة وعلى القضيّتين من غير اعتبار ترتيب بينهما كما يظهر للمتدرّب في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منه مطلق ما له دخل في الإيصال ولو لم يكن علّة تامّة فيلزم دخول الكلّ فيه ، إذ ما من دليل شرعي إلاّ وللعقل فيه مدخليّة ، ولا أقلّ من انتهائه إليه في مقام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والالتزام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وقع 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يرضى به المنصف المتأمّل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باختيار الشقّ الثاني والقول بأنّ الحكم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يستدلّ عليه بدليل عقلي بكلتا مقدّمتيه ، ولا ريب في كونه دليلا عقليّا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وأخرى بدليل شرعيّ كذلك ، ولا ريب في كونه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مدخليّة العقل فيه فإنّما هو من حيث انتهائه إليه في إثبات حجّيته ، ولا شكّ في عدم اعتباره بعد إحراز حجّيته كما هو المقصود في أمثال المقام على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يكون إحدى مقدّمتيه عقليّة والأخرى نقليّة ، فالمقدّمة العقليّة لو كانت معلومة مفروغا عنها ومحرزة صحّ تسمية الدليل بالشرعيّ ، سواء كانت صغرى للقياس أو كبراه ، والمقدّمة الشرعيّة لو كانت مفروغا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فالدليل عقلي ، فإنّ المقدّمة العقليّة حينئذ ممّا </w:t>
      </w:r>
      <w:r>
        <w:rPr>
          <w:rStyle w:val="FootnoteAnchor"/>
          <w:rtl w:val="true"/>
        </w:rPr>
        <w:footnoteReference w:id="695"/>
      </w:r>
      <w:r>
        <w:rPr>
          <w:rFonts w:ascii="Amiri" w:hAnsi="Amiri" w:eastAsia="Amiri" w:cs="Amiri"/>
          <w:color w:val="111111"/>
          <w:sz w:val="28"/>
          <w:sz w:val="28"/>
          <w:szCs w:val="28"/>
          <w:rtl w:val="true"/>
          <w:lang w:bidi="ar-SA"/>
        </w:rPr>
        <w:t xml:space="preserve">يتوصّل به إلى حكم شرعي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مقدّمة الواجب ممّا يتوصّل بها إليه ، يعني أنّ بعد إحراز الشرائط ورفع الموانع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يتوصّل بها إليه ؛ ولا يراد منه أنّها علّة تامّة للتوصّل إلى ذيها ، ولكن حيثما كان وجود المعلول متوقّفا على حصول العلّة وكان حصولها لوجود الجزء الأخير منها صحّ إسناد المعلول إليه فكان الموصل هو هذا الجزء</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 المقدّمة العقليّة سواء كانت صغرى للقياس الذي هو المفيد للعلم بالحكم أو كبرى له فيما لو كانت المقدّمة النقليّة الأخرى محرزة مفروغا عنها تجري مجرى الجزء الأخير من العلّة ، فيصحّ استناد العلم إليها والقول بأنّها الموصلة إليه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ينظر كلام من قسّم الدليل إلى العقلي والنقلي من أساطين العلماء ، كالمحقّق في مقدّمات المعتبر </w:t>
      </w:r>
      <w:r>
        <w:rPr>
          <w:rStyle w:val="FootnoteAnchor"/>
          <w:rtl w:val="true"/>
        </w:rPr>
        <w:footnoteReference w:id="696"/>
      </w:r>
      <w:r>
        <w:rPr>
          <w:rFonts w:ascii="Amiri" w:hAnsi="Amiri" w:eastAsia="Amiri" w:cs="Amiri"/>
          <w:color w:val="111111"/>
          <w:sz w:val="28"/>
          <w:sz w:val="28"/>
          <w:szCs w:val="28"/>
          <w:rtl w:val="true"/>
          <w:lang w:bidi="ar-SA"/>
        </w:rPr>
        <w:t xml:space="preserve">والشهيد في الذكرى </w:t>
      </w:r>
      <w:r>
        <w:rPr>
          <w:rStyle w:val="FootnoteAnchor"/>
          <w:rtl w:val="true"/>
        </w:rPr>
        <w:footnoteReference w:id="697"/>
      </w:r>
      <w:r>
        <w:rPr>
          <w:rFonts w:ascii="Amiri" w:hAnsi="Amiri" w:eastAsia="Amiri" w:cs="Amiri"/>
          <w:color w:val="111111"/>
          <w:sz w:val="28"/>
          <w:sz w:val="28"/>
          <w:szCs w:val="28"/>
          <w:rtl w:val="true"/>
          <w:lang w:bidi="ar-SA"/>
        </w:rPr>
        <w:t xml:space="preserve">على ما حكى عنهما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من أنّ المراد من الموصل أعمّ من العلّة التامّة وغيرها ينافي ما هو المصرّح به في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الدليل النقلي ما لا يكون مقدّماته عقليّة صرفة ، فإنّ ذلك إنّما يلائم كون المراد من الموصل خصوص العلّة التامّة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يطلق الدليل العقلي ويراد به ما ليس بنقلي في قبال الدليل النقلي ، وقد يطلق ويراد به ما يقابل غير العقلي ، فالعقلي بأحد المعنيين لا ينافي النقلي بالمعنى الذي لا يقابله ، بل ينافي ما يقابله ، فالمراد من التسمية بالعقلي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مستند إلى العقل ، لا الإجماع وغيره من الأدلّة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كونه نقليّا بالمعنى الذي ذكروه ، فإنّه ربما يستند الحكم إلى الكتاب أو السنّة ؛ مع أنّ كلاّ منهما لا يكاد يتمّ الاستدلال بهما إلاّ بعد ضمّ مقدّمة عقليّة أو نقليّة كالإجماع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مركّبا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 ومع ذلك فالحكم مستند إلى الكتاب أو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الاجتناب عن الأثواب الملاقية لأبوال ما لا يؤكل لحمه يستفاد من السنّة ، والحكم في الأبدان إنّما يتمّ بعد انضمام عدم القول بالفصل بين الأبدان والأثواب إلاّ </w:t>
      </w:r>
      <w:r>
        <w:rPr>
          <w:rStyle w:val="FootnoteAnchor"/>
          <w:rtl w:val="true"/>
        </w:rPr>
        <w:footnoteReference w:id="699"/>
      </w:r>
      <w:r>
        <w:rPr>
          <w:rFonts w:ascii="Amiri" w:hAnsi="Amiri" w:eastAsia="Amiri" w:cs="Amiri"/>
          <w:color w:val="111111"/>
          <w:sz w:val="28"/>
          <w:sz w:val="28"/>
          <w:szCs w:val="28"/>
          <w:rtl w:val="true"/>
          <w:lang w:bidi="ar-SA"/>
        </w:rPr>
        <w:t xml:space="preserve">أنّ الحكم في الأبدان أيضا مستند إلى الكتاب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لا تنافي بين كون الدليل نقليّا بمعنى كون بعض مقدّماته نقليّة وكونه عقليّا بمعنى استناد الحكم إلى العقل ، كما عرفت عدم المنافاة بين استناد الحكم إلى السنّة أو </w:t>
      </w:r>
      <w:r>
        <w:rPr>
          <w:rStyle w:val="FootnoteAnchor"/>
          <w:rtl w:val="true"/>
        </w:rPr>
        <w:footnoteReference w:id="701"/>
      </w:r>
      <w:r>
        <w:rPr>
          <w:rFonts w:ascii="Amiri" w:hAnsi="Amiri" w:eastAsia="Amiri" w:cs="Amiri"/>
          <w:color w:val="111111"/>
          <w:sz w:val="28"/>
          <w:sz w:val="28"/>
          <w:szCs w:val="28"/>
          <w:rtl w:val="true"/>
          <w:lang w:bidi="ar-SA"/>
        </w:rPr>
        <w:t>الكتاب مع عدم انتهاضهما على تمام المطلوب إلاّ باعتبار مقدّمة خارجة عنهما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إنّه لا يخفى عليك عدم انعكاس الحدّ المذكور ، نظرا إلى أنّ المتبادر منه هو اختلاف حكمي العقل والشرع ، كما هو ممّا لا مناص عنه حذرا عن اتّحاد الدليل والمدلول ؛ ومع ذلك فبعض أفراد الدليل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كالحكم بوجوب المقدمة بعد وجوب ذيها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عين الحكم الشرعيّ ، فإنّ العقل يدرك وجوب المقدّمة وهو نفس المدلول ، فيلزم الاتّحاد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العقلي في المقام هو وجوب المقدّمة عند وجوب ذيها على وجه إجمالي كلّي يتوصّل به إلى حكم شرعيّ خاصّ ، كوجوب الوضوء للصلاة والخروج مع الرفقة للحجّ ، وأمثال ذلك ممّا هو ظاهر كالحكم في سائر الكبريات المستدلّ بها على ثبوت أحكام أفراد موضوعها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التقسيم المذكور ممّا لا وجه له ظاهرا ، إذ العقل بعد فرض حكمه فهو مستقلّ فيما يحكم به ، ولا ينافيه ثبوت موضوعه بالشرع ، فإنّ العقل يستقلّ بوجوب مقدّمة الواجب وحرمة الضدّ كما يستقل بوجوب ردّ الوديعة وحرمة الظلم ، من غير فرق بينهما إلاّ فيما لا عبرة به في الاستقلال وعدمه ، وهو تحقّق موضوعه شرعا في الخارج ، فالحاجة إلى ثبوت الموضوع لو كان ممّا يؤثّر في الاستقلال وعدمه لما كان هناك حكم يستقلّ به العقل ، للاحتياج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فالعقل يحكم بامتناع انفكاك أحد المتلازمين عن الآخر وإن كان ثبوت الملزوم متوقّفا على شيء آخر في الخارج</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ليس في تلك العناوين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المقدّمة عند وجوب ذيها أو امتناع الانفكاك بين المتلازمين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الكلام إنّما هو في العناوين المخصوصة المعنونة </w:t>
      </w:r>
      <w:r>
        <w:rPr>
          <w:rStyle w:val="FootnoteAnchor"/>
          <w:rtl w:val="true"/>
        </w:rPr>
        <w:footnoteReference w:id="702"/>
      </w:r>
      <w:r>
        <w:rPr>
          <w:rFonts w:ascii="Amiri" w:hAnsi="Amiri" w:eastAsia="Amiri" w:cs="Amiri"/>
          <w:color w:val="111111"/>
          <w:sz w:val="28"/>
          <w:sz w:val="28"/>
          <w:szCs w:val="28"/>
          <w:rtl w:val="true"/>
          <w:lang w:bidi="ar-SA"/>
        </w:rPr>
        <w:t xml:space="preserve">في كتب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الوضوء عند </w:t>
      </w:r>
    </w:p>
    <w:p>
      <w:pPr>
        <w:pStyle w:val="BookText"/>
        <w:rPr/>
      </w:pPr>
      <w:r>
        <w:rPr>
          <w:rFonts w:ascii="Amiri" w:hAnsi="Amiri" w:eastAsia="Amiri" w:cs="Amiri"/>
          <w:color w:val="111111"/>
          <w:sz w:val="28"/>
          <w:sz w:val="28"/>
          <w:szCs w:val="28"/>
          <w:rtl w:val="true"/>
          <w:lang w:bidi="ar-SA"/>
        </w:rPr>
        <w:t>وجوب الصلاة ، وحرمة الصلاة عند نجاسة المسجد ، وحرمة الضرب عند حرمة التأفيف ، ونحوها من الأحكام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العقل لا يستقلّ بإدراك أحكام تلك الأمور المخصوصة إلاّ بعد ورود خطاب شرعيّ على وجوب الفعل أو حرمته بخلاف حكم العقل بحرمة الظلم ولو في مورد خاصّ ، فإنّه لا حاجة في ذلك إلى خطاب أصلا ، بل يكفي فيه مجرّد حكم العقل بالتحسين والتقبيح ، فالحكم الكلّي بحرمة الأشدّ عند تحريم الأخفّ أو وجوب المقدّمة عند وجوب ذيها أو حرمة الضدّ عند وجوب الضدّ الآخر لا يثمر في حكم العقل بحرمة </w:t>
      </w:r>
      <w:r>
        <w:rPr>
          <w:rStyle w:val="FootnoteAnchor"/>
          <w:rtl w:val="true"/>
        </w:rPr>
        <w:footnoteReference w:id="703"/>
      </w:r>
      <w:r>
        <w:rPr>
          <w:rFonts w:ascii="Amiri" w:hAnsi="Amiri" w:eastAsia="Amiri" w:cs="Amiri"/>
          <w:color w:val="111111"/>
          <w:sz w:val="28"/>
          <w:sz w:val="28"/>
          <w:szCs w:val="28"/>
          <w:rtl w:val="true"/>
          <w:lang w:bidi="ar-SA"/>
        </w:rPr>
        <w:t>الصلاة والتأفيف ووجوب الوضوء إلاّ بعد ورود خطاب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المراد بالتقسيم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عدّه الفاضل التوني من الدليل العقلي كالحكم بالملازمة بين القصر والإفطار ولو كانت الملازمة شرعيّة </w:t>
      </w:r>
      <w:r>
        <w:rPr>
          <w:rStyle w:val="FootnoteAnchor"/>
          <w:rtl w:val="true"/>
        </w:rPr>
        <w:footnoteReference w:id="704"/>
      </w:r>
      <w:r>
        <w:rPr>
          <w:rFonts w:ascii="Amiri" w:hAnsi="Amiri" w:eastAsia="Amiri" w:cs="Amiri"/>
          <w:color w:val="111111"/>
          <w:sz w:val="28"/>
          <w:sz w:val="28"/>
          <w:szCs w:val="28"/>
          <w:rtl w:val="true"/>
          <w:lang w:bidi="ar-SA"/>
        </w:rPr>
        <w:t xml:space="preserve">، فهو بظاهره أيضا ليس بشيء ؛ لأنّك قد عرفت آنفا أنّ الدليل لو كان بكلتا مقدّمتيه شرعيّة صغرى وكبرى فهو دليل شرعي لا وجه لعدّه من الأدلّة العقليّة ، وفي المقام صغرى القصر شرعيّة ، والكبرى وهي القضيّة القائلة بالملازمة أيضا شرعيّة لا مدخل للعقل فيها إلاّ مجرّد الاستنتاج ، وهو لا يثمر في نسبة الدليل إلى العقل ، لوجوده فيما ليس بعقلي قطعا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وجوب القصر في أربع فراسخ وثبت أيضا وجوب الإفطار فيما وجب فيه القصر على وجه كلّي ، ثبت وجوب الإفطار في المسافة </w:t>
      </w:r>
    </w:p>
    <w:p>
      <w:pPr>
        <w:pStyle w:val="BookText"/>
        <w:rPr/>
      </w:pPr>
      <w:r>
        <w:rPr>
          <w:rFonts w:ascii="Amiri" w:hAnsi="Amiri" w:eastAsia="Amiri" w:cs="Amiri"/>
          <w:color w:val="111111"/>
          <w:sz w:val="28"/>
          <w:sz w:val="28"/>
          <w:szCs w:val="28"/>
          <w:rtl w:val="true"/>
          <w:lang w:bidi="ar-SA"/>
        </w:rPr>
        <w:t xml:space="preserve">المقدرة من غير توسيط للعقل إلاّ فيما لا مدخل له في انتساب الدليل إلى العقل ، وهو مجرّد الاستنتاج </w:t>
      </w:r>
      <w:r>
        <w:rPr>
          <w:rStyle w:val="FootnoteAnchor"/>
          <w:rtl w:val="true"/>
        </w:rPr>
        <w:footnoteReference w:id="706"/>
      </w:r>
      <w:r>
        <w:rPr>
          <w:rFonts w:ascii="Amiri" w:hAnsi="Amiri" w:eastAsia="Amiri" w:cs="Amiri"/>
          <w:color w:val="111111"/>
          <w:sz w:val="28"/>
          <w:sz w:val="28"/>
          <w:szCs w:val="28"/>
          <w:rtl w:val="true"/>
          <w:lang w:bidi="ar-SA"/>
        </w:rPr>
        <w:t>، وإلاّ فيلزم أن يكون الأدلّة الشرعيّة بأجمعها أدلّة عقليّة ، وفساده غير خفيّ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الاستاذ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عزّه </w:t>
      </w:r>
      <w:r>
        <w:rPr>
          <w:rStyle w:val="FootnoteAnchor"/>
          <w:rtl w:val="true"/>
        </w:rPr>
        <w:footnoteReference w:id="707"/>
      </w:r>
      <w:r>
        <w:rPr>
          <w:rFonts w:ascii="Amiri" w:hAnsi="Amiri" w:eastAsia="Amiri" w:cs="Amiri"/>
          <w:color w:val="111111"/>
          <w:sz w:val="28"/>
          <w:sz w:val="28"/>
          <w:szCs w:val="28"/>
          <w:rtl w:val="true"/>
          <w:lang w:bidi="ar-SA"/>
        </w:rPr>
        <w:t xml:space="preserve">السامي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وهذه الإيرادات على التعريف والتقسيم وعلى ما أفاده الفاضل التوني ممّا كنّا نورده في سالف الزمان ، وأمّا الآن فنحن معرضون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التعريف والتقسيم ، فلما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ما أفاده الفاضل التوني ، فلأنّ الحكم في الكبرى قد يكون على وجه كلّي ، كأن يقول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وجب فيه القصر وجب فيه الإفطار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صلوحه لإثبات النتيجة بعد ضمّ الصغرى الشرعيّة إليها من غير حاجة إلى حكم العقل بامتناع انفكاك أحد المتلازمين عن الآخر ، بل وهذا عين مفاد حكم العقل كما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متغيّر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لا يخفى</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الحكم الثابت بالشرع على وجه يحتاج إلى ملاحظة حكم العقل بامتناع انفكاك المتلازمين أيضا ، كأن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القصر ملازم للإفطار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يؤدّي مؤدّاه ، وحينئذ فلا بدّ من ضمّ كبرى عقليّة إليها يستند الحكم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امتناع الانفكاك بين المتلازمين ، وإن كان اللزوم شرعيّا ، فإنّه ليس بضائر كما في الحكم بوجوب المقدّمة وحرمة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أفاده من قبيل الثاني لا الأوّل ، فصحّ إفادته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5" w:name="pg16264_169631"/>
      <w:bookmarkStart w:id="266" w:name="pg16264_169631"/>
      <w:bookmarkEnd w:id="266"/>
    </w:p>
    <w:p>
      <w:pPr>
        <w:pStyle w:val="Heading3"/>
        <w:numPr>
          <w:ilvl w:val="2"/>
          <w:numId w:val="1"/>
        </w:numPr>
        <w:rPr/>
      </w:pPr>
      <w:bookmarkStart w:id="267" w:name="pg16264_169631"/>
      <w:bookmarkStart w:id="268" w:name="__RefHeading___Toc4588698_1280447820"/>
      <w:bookmarkStart w:id="269" w:name="_Toc81"/>
      <w:bookmarkEnd w:id="267"/>
      <w:bookmarkEnd w:id="268"/>
      <w:r>
        <w:rPr>
          <w:rtl w:val="true"/>
        </w:rPr>
        <w:t>أصل</w:t>
      </w:r>
      <w:bookmarkEnd w:id="269"/>
    </w:p>
    <w:p>
      <w:pPr>
        <w:pStyle w:val="Heading4"/>
        <w:numPr>
          <w:ilvl w:val="3"/>
          <w:numId w:val="1"/>
        </w:numPr>
        <w:rPr/>
      </w:pPr>
      <w:bookmarkStart w:id="270" w:name="__RefHeading___Toc4588700_1280447820"/>
      <w:bookmarkStart w:id="271" w:name="_Toc82"/>
      <w:bookmarkEnd w:id="270"/>
      <w:r>
        <w:rPr>
          <w:rtl w:val="true"/>
        </w:rPr>
        <w:t>اشارة</w:t>
      </w:r>
      <w:bookmarkEnd w:id="271"/>
    </w:p>
    <w:p>
      <w:pPr>
        <w:pStyle w:val="BookText"/>
        <w:rPr/>
      </w:pPr>
      <w:r>
        <w:rPr>
          <w:rFonts w:ascii="IRNazanin" w:hAnsi="IRNazanin" w:eastAsia="IRNazanin"/>
          <w:color w:val="111111"/>
          <w:sz w:val="28"/>
          <w:sz w:val="28"/>
          <w:szCs w:val="28"/>
          <w:rtl w:val="true"/>
          <w:lang w:bidi="fa-IR"/>
        </w:rPr>
        <w:t xml:space="preserve">أصل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لا كلام في المقام في حجّية العلم الحاصل من الأدلّة العقليّة </w:t>
      </w:r>
      <w:r>
        <w:rPr>
          <w:rStyle w:val="FootnoteAnchor"/>
          <w:rtl w:val="true"/>
        </w:rPr>
        <w:footnoteReference w:id="710"/>
      </w:r>
      <w:r>
        <w:rPr>
          <w:rFonts w:ascii="Amiri" w:hAnsi="Amiri" w:eastAsia="Amiri" w:cs="Amiri"/>
          <w:color w:val="111111"/>
          <w:sz w:val="28"/>
          <w:sz w:val="28"/>
          <w:szCs w:val="28"/>
          <w:rtl w:val="true"/>
          <w:lang w:bidi="ar-SA"/>
        </w:rPr>
        <w:t xml:space="preserve">التي لا تبتني على </w:t>
      </w:r>
      <w:r>
        <w:rPr>
          <w:rStyle w:val="FootnoteAnchor"/>
          <w:rtl w:val="true"/>
        </w:rPr>
        <w:footnoteReference w:id="711"/>
      </w:r>
      <w:r>
        <w:rPr>
          <w:rFonts w:ascii="Amiri" w:hAnsi="Amiri" w:eastAsia="Amiri" w:cs="Amiri"/>
          <w:color w:val="111111"/>
          <w:sz w:val="28"/>
          <w:sz w:val="28"/>
          <w:szCs w:val="28"/>
          <w:rtl w:val="true"/>
          <w:lang w:bidi="ar-SA"/>
        </w:rPr>
        <w:t xml:space="preserve">التحسين والتقبيح العقليّين ، فإنّ لها محلاّ آخر قد فرغنا عنه فيما سلف في حجّية الظنّ وذكرنا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المخالف فيها هناك </w:t>
      </w:r>
      <w:r>
        <w:rPr>
          <w:rStyle w:val="FootnoteAnchor"/>
          <w:rtl w:val="true"/>
        </w:rPr>
        <w:footnoteReference w:id="712"/>
      </w:r>
      <w:r>
        <w:rPr>
          <w:rFonts w:ascii="Amiri" w:hAnsi="Amiri" w:eastAsia="Amiri" w:cs="Amiri"/>
          <w:color w:val="111111"/>
          <w:sz w:val="28"/>
          <w:sz w:val="28"/>
          <w:szCs w:val="28"/>
          <w:rtl w:val="true"/>
          <w:lang w:bidi="ar-SA"/>
        </w:rPr>
        <w:t xml:space="preserve">هو بعض الأخبارية وتبعهم في ذلك بعض المتأخّرين </w:t>
      </w:r>
      <w:r>
        <w:rPr>
          <w:rStyle w:val="FootnoteAnchor"/>
          <w:rtl w:val="true"/>
        </w:rPr>
        <w:footnoteReference w:id="713"/>
      </w:r>
      <w:r>
        <w:rPr>
          <w:rStyle w:val="FootnoteAnchor"/>
          <w:rtl w:val="true"/>
        </w:rPr>
        <w:footnoteReference w:id="71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الكلام هنا في أنّ العقل فيما هو مبنيّ على القول بالحسن والقبح هل هو حجّة؟ بمعنى أنّه إذا أدركت عقولنا حسن شيء على وجه ملزم أو قبحه كذلك ، فهل هو ممّا يعتبر في التوصّل به إلى الحكم الشرعي ويصحّ استكشاف الحكم الشرعي منه أم لا؟</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أن يعلم أيضا أنّ محلّ الكلام بالتقييد المذكور ليس عامّا بحيث يشمل أفعاله تعالى أيضا ، كوجوب العدل وقبح الكذب والظلم في حقّه تعالى ، فإنّ هذه الأحكام وإن كانت ممّا يتفرّع على الحسن وما يقابله ، إلاّ أنّ أفعاله تعالى </w:t>
      </w:r>
      <w:bookmarkStart w:id="272" w:name="pg16264_169632"/>
    </w:p>
    <w:p>
      <w:pPr>
        <w:pStyle w:val="BookText"/>
        <w:rPr/>
      </w:pPr>
      <w:bookmarkEnd w:id="272"/>
      <w:r>
        <w:rPr>
          <w:rFonts w:ascii="Amiri" w:hAnsi="Amiri" w:eastAsia="Amiri" w:cs="Amiri"/>
          <w:color w:val="111111"/>
          <w:sz w:val="28"/>
          <w:sz w:val="28"/>
          <w:szCs w:val="28"/>
          <w:rtl w:val="true"/>
          <w:lang w:bidi="ar-SA"/>
        </w:rPr>
        <w:t>ليس ممّا يتعلّق به حكم شرعي حتّى يتوصّل بالحكم العقلي إلى الحكم الشرعي كما في أفعال العباد ، فإنّ من قبح الظلم وحسن ردّ الوديعة يستكشف الحكم الشرعيّ في حقّهم ، وذلك ظاهر لا سترة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المعروف بين من تقدّم على الفاضل التوني اكتفاؤهم عن هذا العنوان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إثبات إدراك العقل للحسن والقبح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من جعل هذا المبحث عنوانا آخر هو الفاضل المذكور </w:t>
      </w:r>
      <w:r>
        <w:rPr>
          <w:rStyle w:val="FootnoteAnchor"/>
          <w:rtl w:val="true"/>
        </w:rPr>
        <w:footnoteReference w:id="715"/>
      </w:r>
      <w:r>
        <w:rPr>
          <w:rFonts w:ascii="Amiri" w:hAnsi="Amiri" w:eastAsia="Amiri" w:cs="Amiri"/>
          <w:color w:val="111111"/>
          <w:sz w:val="28"/>
          <w:sz w:val="28"/>
          <w:szCs w:val="28"/>
          <w:rtl w:val="true"/>
          <w:lang w:bidi="ar-SA"/>
        </w:rPr>
        <w:t xml:space="preserve">، ولعلّه أخذه من كلام الفاضل الزركشي </w:t>
      </w:r>
      <w:r>
        <w:rPr>
          <w:rStyle w:val="FootnoteAnchor"/>
          <w:rtl w:val="true"/>
        </w:rPr>
        <w:footnoteReference w:id="716"/>
      </w:r>
      <w:r>
        <w:rPr>
          <w:rFonts w:ascii="Amiri" w:hAnsi="Amiri" w:eastAsia="Amiri" w:cs="Amiri"/>
          <w:color w:val="111111"/>
          <w:sz w:val="28"/>
          <w:sz w:val="28"/>
          <w:szCs w:val="28"/>
          <w:rtl w:val="true"/>
          <w:lang w:bidi="ar-SA"/>
        </w:rPr>
        <w:t>حيث التزم بالحكم العقلي ونفي الملازمة بينه وبين الحكم الشرعيّ ، إلاّ أنّه تبعه في ذلك جماعة ممّن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الأوّل على ما يستفاد من عناوينهم للمبحث وإقامة الأدلّة من الطرفين وثمرات المسألة بين الفريقين مغن عن العنوان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 يتوقّف على ذكر كلمات من تعرّض لها من أصحابنا ومخالفينا في الموارد الثلاثة</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4588702_1280447820"/>
      <w:bookmarkStart w:id="274" w:name="_Toc83"/>
      <w:bookmarkEnd w:id="273"/>
      <w:r>
        <w:rPr>
          <w:rtl w:val="true"/>
        </w:rPr>
        <w:t xml:space="preserve">أمّا كلمات أصحابنا في أوّل المقامات </w:t>
      </w:r>
      <w:r>
        <w:rPr>
          <w:rtl w:val="true"/>
        </w:rPr>
        <w:t>:</w:t>
      </w:r>
      <w:bookmarkEnd w:id="274"/>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الفاضل المحقّق اللاهيجي في رسالته الفارسيّة المسمّاة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گوهر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فسّر الحسن في محلّ النزاع 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جزاء الخير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والقبح 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جزاء الشرّ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لكن إذا أضيف إلى اللّه تعالى يكون الأوّل ثوابا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كون جزاء الخير منه إلاّ 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 عقابا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فلولا أنّ النزاع في المقامين ممّا يرجع إلى نزاع واحد لم يصحّ ذلك كما لا يخفى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العميدي في شرح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الفعل الذي لم يكن على صفة تؤثّر في استحقاق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صفة تؤثّر في استحقاق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وفسّر الذمّ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قول أو فعل أو ترك قول أو فعل ينبئ عن اتّضاع حال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للأوّل بالشتم من الرئيس لذي المروّة ، وللثاني بالضرب منه له ، وللثالث بتركه ردّ السلام ، والرابع بترك القيام له مع أهليّته لذلك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أنّ اعتبار الذمّ في الحسن والقبح وجودا وعدما ثم تفسيره بما عرفت أصرح دليل على الاكتفاء عن الثاني بالأوّل ، إذ ليس الذمّ بهذا المعنى إلاّ العقاب</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جمال المحقّقين في تعليقاته على العضدي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نسبة الحسن والقبح بالمعنى المذكور إلى المعتزلة </w:t>
      </w:r>
      <w:r>
        <w:rPr>
          <w:rStyle w:val="FootnoteAnchor"/>
          <w:rtl w:val="true"/>
        </w:rPr>
        <w:footnoteReference w:id="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مورد آخر ادّعى الإجماع من الإماميّة على القول بالحسن والقبح بالمعنى المذكور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 xml:space="preserve">. </w:t>
      </w:r>
      <w:bookmarkStart w:id="275" w:name="pg16264_169634"/>
    </w:p>
    <w:p>
      <w:pPr>
        <w:pStyle w:val="BookText"/>
        <w:rPr/>
      </w:pPr>
      <w:bookmarkEnd w:id="275"/>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الكاظمي في شرح الزبدة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تفسيره للحسن والقبح بما ذكرناه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جملة من أساطين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كالمحقّق </w:t>
      </w:r>
      <w:r>
        <w:rPr>
          <w:rStyle w:val="FootnoteAnchor"/>
          <w:rtl w:val="true"/>
        </w:rPr>
        <w:footnoteReference w:id="723"/>
      </w:r>
      <w:r>
        <w:rPr>
          <w:rFonts w:ascii="Amiri" w:hAnsi="Amiri" w:eastAsia="Amiri" w:cs="Amiri"/>
          <w:color w:val="111111"/>
          <w:sz w:val="28"/>
          <w:sz w:val="28"/>
          <w:szCs w:val="28"/>
          <w:rtl w:val="true"/>
          <w:lang w:bidi="ar-SA"/>
        </w:rPr>
        <w:t xml:space="preserve">والشهيد </w:t>
      </w:r>
      <w:r>
        <w:rPr>
          <w:rStyle w:val="FootnoteAnchor"/>
          <w:rtl w:val="true"/>
        </w:rPr>
        <w:footnoteReference w:id="724"/>
      </w:r>
      <w:r>
        <w:rPr>
          <w:rFonts w:ascii="Amiri" w:hAnsi="Amiri" w:eastAsia="Amiri" w:cs="Amiri"/>
          <w:color w:val="111111"/>
          <w:sz w:val="28"/>
          <w:sz w:val="28"/>
          <w:szCs w:val="28"/>
          <w:rtl w:val="true"/>
          <w:lang w:bidi="ar-SA"/>
        </w:rPr>
        <w:t xml:space="preserve">وأضرابهما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تقسيم حكم العقل إلى ما يتوقّف على خطاب شرعيّ وما لا يتوقّف ، ومثّلوا للثاني بالتحسين والتقبيح العقليّين كحرمة الظلم ووجوب ردّ الوديعة</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4588704_1280447820"/>
      <w:bookmarkStart w:id="277" w:name="_Toc84"/>
      <w:bookmarkEnd w:id="276"/>
      <w:r>
        <w:rPr>
          <w:rtl w:val="true"/>
        </w:rPr>
        <w:t xml:space="preserve">وأمّا كلمات مخالفينا </w:t>
      </w:r>
      <w:r>
        <w:rPr>
          <w:rtl w:val="true"/>
        </w:rPr>
        <w:t>:</w:t>
      </w:r>
      <w:bookmarkEnd w:id="277"/>
    </w:p>
    <w:p>
      <w:pPr>
        <w:pStyle w:val="BookText"/>
        <w:rPr/>
      </w:pPr>
      <w:r>
        <w:rPr>
          <w:rFonts w:ascii="Amiri" w:hAnsi="Amiri" w:eastAsia="Amiri" w:cs="Amiri"/>
          <w:color w:val="111111"/>
          <w:sz w:val="28"/>
          <w:sz w:val="28"/>
          <w:szCs w:val="28"/>
          <w:rtl w:val="true"/>
          <w:lang w:bidi="ar-SA"/>
        </w:rPr>
        <w:t xml:space="preserve">فعن 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باستحقاق المدح في العاجل والثواب في الآجل ، والقبح باستحقاق الذمّ والعقاب كذلك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القوشجي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الحسن والقبح أيضا بما سمعت </w:t>
      </w:r>
      <w:r>
        <w:rPr>
          <w:rStyle w:val="FootnoteAnchor"/>
          <w:rtl w:val="true"/>
        </w:rPr>
        <w:footnoteReference w:id="726"/>
      </w:r>
      <w:r>
        <w:rPr>
          <w:rFonts w:ascii="Amiri" w:hAnsi="Amiri" w:eastAsia="Amiri" w:cs="Amiri"/>
          <w:color w:val="111111"/>
          <w:sz w:val="28"/>
          <w:sz w:val="28"/>
          <w:szCs w:val="28"/>
          <w:rtl w:val="true"/>
          <w:lang w:bidi="ar-SA"/>
        </w:rPr>
        <w:t xml:space="preserve">، كما عن الباغنوي </w:t>
      </w:r>
      <w:r>
        <w:rPr>
          <w:rStyle w:val="FootnoteAnchor"/>
          <w:rtl w:val="true"/>
        </w:rPr>
        <w:footnoteReference w:id="727"/>
      </w:r>
      <w:r>
        <w:rPr>
          <w:rFonts w:ascii="Amiri" w:hAnsi="Amiri" w:eastAsia="Amiri" w:cs="Amiri"/>
          <w:color w:val="111111"/>
          <w:sz w:val="28"/>
          <w:sz w:val="28"/>
          <w:szCs w:val="28"/>
          <w:rtl w:val="true"/>
          <w:lang w:bidi="ar-SA"/>
        </w:rPr>
        <w:t xml:space="preserve">أيضا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الاسنوي في شرح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الحسن والقبح قد يراد بهما ملائمة الطبع ومنافرته ، وقد يراد صفة الكمال وصفة النقص ، وليس نزاع فيهما ، وإنّما النزاع في الحسن والقبح بمعنى ترتّب الثواب والعقاب ، فعندنا أنّهما </w:t>
      </w:r>
    </w:p>
    <w:p>
      <w:pPr>
        <w:pStyle w:val="BookText"/>
        <w:rPr/>
      </w:pPr>
      <w:r>
        <w:rPr>
          <w:rFonts w:ascii="Amiri" w:hAnsi="Amiri" w:eastAsia="Amiri" w:cs="Amiri"/>
          <w:color w:val="111111"/>
          <w:sz w:val="28"/>
          <w:sz w:val="28"/>
          <w:szCs w:val="28"/>
          <w:rtl w:val="true"/>
          <w:lang w:bidi="ar-SA"/>
        </w:rPr>
        <w:t xml:space="preserve">شرعيّان ، وذهب المعتزلة إلى أنّهما عقليّان ، بمعنى أنّ العقل له صلاحيّة الكشف عنهما وأنّه لا يفتقر الوقوف على حكم اللّه ، لاعتقادهم وجوب مراعاة المصالح والمفاسد وإنّما الشرائع مؤكّدة </w:t>
      </w:r>
      <w:r>
        <w:rPr>
          <w:rStyle w:val="FootnoteAnchor"/>
          <w:rtl w:val="true"/>
        </w:rPr>
        <w:footnoteReference w:id="729"/>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وصراحة ذلك في المقصود ممّا لا يخفى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فظهر من جميع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بالحسن والقبح الواقعين في العنوان ما ذا ، فإثبات أنّ العقل يحكم بالحسن والقبح في قوّة إثبات أنّ العقل يدرك حكم اللّه كما هو المراد بالملازمة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ويكفيك شاهدا في المقام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الوديعة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يعنون بالوجوب إلاّ الطلب الملازم للعقاب عند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 كان المراد من الحسن والقبح هو مجرّد المدح والذمّ دون الثواب والعقاب كان لتغاير العنوانين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عناوين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الأدلّة الواردة من الفريقين على الطرفين القاضية </w:t>
      </w:r>
      <w:r>
        <w:rPr>
          <w:rStyle w:val="FootnoteAnchor"/>
          <w:rtl w:val="true"/>
        </w:rPr>
        <w:footnoteReference w:id="731"/>
      </w:r>
      <w:r>
        <w:rPr>
          <w:rFonts w:ascii="Amiri" w:hAnsi="Amiri" w:eastAsia="Amiri" w:cs="Amiri"/>
          <w:color w:val="111111"/>
          <w:sz w:val="28"/>
          <w:sz w:val="28"/>
          <w:szCs w:val="28"/>
          <w:rtl w:val="true"/>
          <w:lang w:bidi="ar-SA"/>
        </w:rPr>
        <w:t xml:space="preserve">باتّحاد العنوانين وكفاية إثبات الحسن العقلي عن الملازمة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أدلّة المثبتين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لزوم إفحام الأنبياء وعدم وجوب معرفة اللّه لولاه ، حيث إنّ مجرّد </w:t>
      </w:r>
      <w:r>
        <w:rPr>
          <w:rStyle w:val="FootnoteAnchor"/>
          <w:rtl w:val="true"/>
        </w:rPr>
        <w:footnoteReference w:id="732"/>
      </w:r>
      <w:r>
        <w:rPr>
          <w:rFonts w:ascii="Amiri" w:hAnsi="Amiri" w:eastAsia="Amiri" w:cs="Amiri"/>
          <w:color w:val="111111"/>
          <w:sz w:val="28"/>
          <w:sz w:val="28"/>
          <w:szCs w:val="28"/>
          <w:rtl w:val="true"/>
          <w:lang w:bidi="ar-SA"/>
        </w:rPr>
        <w:t>إدراك استحقاق الذمّ والمدح لا يلزم منه الوجوب ولا يندفع منه إفحام الأنبياء ما لم يلاحظ مع ذلك العقاب ولو احتمالا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أدلّة النافين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التعذيب </w:t>
      </w:r>
      <w:r>
        <w:rPr>
          <w:rStyle w:val="FootnoteAnchor"/>
          <w:rtl w:val="true"/>
        </w:rPr>
        <w:footnoteReference w:id="733"/>
      </w:r>
      <w:r>
        <w:rPr>
          <w:rFonts w:ascii="Amiri" w:hAnsi="Amiri" w:eastAsia="Amiri" w:cs="Amiri"/>
          <w:color w:val="111111"/>
          <w:sz w:val="28"/>
          <w:sz w:val="28"/>
          <w:szCs w:val="28"/>
          <w:rtl w:val="true"/>
          <w:lang w:bidi="ar-SA"/>
        </w:rPr>
        <w:t xml:space="preserve">الصريحة في كون المراد من الحسن والقبح هو ما يلازم الثواب والعقاب </w:t>
      </w:r>
      <w:r>
        <w:rPr>
          <w:rStyle w:val="FootnoteAnchor"/>
          <w:rtl w:val="true"/>
        </w:rPr>
        <w:footnoteReference w:id="734"/>
      </w:r>
      <w:r>
        <w:rPr>
          <w:rFonts w:ascii="Amiri" w:hAnsi="Amiri" w:eastAsia="Amiri" w:cs="Amiri"/>
          <w:color w:val="111111"/>
          <w:sz w:val="28"/>
          <w:sz w:val="28"/>
          <w:szCs w:val="28"/>
          <w:rtl w:val="true"/>
          <w:lang w:bidi="ar-SA"/>
        </w:rPr>
        <w:t>، وإلاّ فنفي التعذيب لا مساس له في نفي الذمّ والمدح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جواب القائلين بالتحسين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المنفيّ هو فعليّة العذاب دون استحقاقه إيماء إلى المطلب المزبور </w:t>
      </w:r>
      <w:r>
        <w:rPr>
          <w:rStyle w:val="FootnoteAnchor"/>
          <w:rtl w:val="true"/>
        </w:rPr>
        <w:footnoteReference w:id="735"/>
      </w:r>
      <w:r>
        <w:rPr>
          <w:rFonts w:ascii="Amiri" w:hAnsi="Amiri" w:eastAsia="Amiri" w:cs="Amiri"/>
          <w:color w:val="111111"/>
          <w:sz w:val="28"/>
          <w:sz w:val="28"/>
          <w:szCs w:val="28"/>
          <w:rtl w:val="true"/>
          <w:lang w:bidi="ar-SA"/>
        </w:rPr>
        <w:t>من حيث عدم تعرّضهم لعدم مدخليّة الحسن والقبح للعذاب ، فنفيه لا يدلّ على عدم الحسن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ثمرات المسألة على ما فرّع عليه العضدي </w:t>
      </w:r>
      <w:r>
        <w:rPr>
          <w:rStyle w:val="FootnoteAnchor"/>
          <w:rtl w:val="true"/>
        </w:rPr>
        <w:footnoteReference w:id="736"/>
      </w:r>
      <w:r>
        <w:rPr>
          <w:rFonts w:ascii="IRNazanin" w:hAnsi="IRNazanin" w:eastAsia="IRNazanin"/>
          <w:color w:val="111111"/>
          <w:sz w:val="28"/>
          <w:sz w:val="28"/>
          <w:szCs w:val="28"/>
          <w:rtl w:val="true"/>
          <w:lang w:bidi="fa-IR"/>
        </w:rPr>
        <w:t xml:space="preserve">وأضرابه </w:t>
      </w:r>
      <w:r>
        <w:rPr>
          <w:rStyle w:val="FootnoteAnchor"/>
          <w:rtl w:val="true"/>
        </w:rPr>
        <w:footnoteReference w:id="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وجوب شكر المنعم فلا عقاب ولا إثم في تركه على من لم يبلغه دعوة النبي </w:t>
      </w:r>
      <w:r>
        <w:rPr>
          <w:rStyle w:val="FootnoteAnchor"/>
          <w:rtl w:val="true"/>
        </w:rPr>
        <w:footnoteReference w:id="738"/>
      </w:r>
      <w:r>
        <w:rPr>
          <w:rFonts w:ascii="Amiri" w:hAnsi="Amiri" w:eastAsia="Amiri" w:cs="Amiri"/>
          <w:color w:val="111111"/>
          <w:sz w:val="28"/>
          <w:sz w:val="28"/>
          <w:szCs w:val="28"/>
          <w:rtl w:val="true"/>
          <w:lang w:bidi="ar-SA"/>
        </w:rPr>
        <w:t>فممّا لا تصحّ إلاّ بملاحظة الدعوى التي ادّعيناها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لا نقول بأنّ المقامين متّحدان لا تغاير بينهما بوجه لا يمكن النزاع في أحدهما مع تسليم الآخر ، ولكنّا نلتزم بأنّ النزاع الواقع بين العدليّة والأشعريّة ممّا يغني عن هذا النزاع في المقام الثاني ، فكان بعد تسليم صغرى الإدراك من العقل وأهليته ، فلا نزاع في كونه سبيلا إلى الحكم الشرعيّ على وجه لا ريب فيه كما استظهرناه من المقامات الثلاثة المذكورة من العناوين </w:t>
      </w:r>
    </w:p>
    <w:p>
      <w:pPr>
        <w:pStyle w:val="BookText"/>
        <w:rPr/>
      </w:pPr>
      <w:r>
        <w:rPr>
          <w:rFonts w:ascii="Amiri" w:hAnsi="Amiri" w:eastAsia="Amiri" w:cs="Amiri"/>
          <w:color w:val="111111"/>
          <w:sz w:val="28"/>
          <w:sz w:val="28"/>
          <w:szCs w:val="28"/>
          <w:rtl w:val="true"/>
          <w:lang w:bidi="ar-SA"/>
        </w:rPr>
        <w:t xml:space="preserve">الواقعة في كتب القوم وأدلّتهم القائمة على الطرفين وثمرات المسألة المتفرعة عليها على ما هو الشأن في استكشاف أمثال هذه المقاصد ، وسيأتي ما يوضّح ذلك ، فإنّ الإيضاح عند الاستدلال على المقصود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وتوضيح البحث وتنقيحه يقتضي بسطا في المقام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 نزاعين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هل يدرك حسن شيء أو قبحه أم لا يدرك؟ فأثبته الإماميّة ومن تابعهم من المعتزلة ، وأنكره الأشاعرة ؛ وحيث إنّ الكلام في المقام ليس من الكلام في مباحث الفن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كون المسألة أصوليّة بل إنّما هو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مبادئ الأحكاميّة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طوينا الكشح عن ذكرها ؛ مضافا إلى بداهة المقصود ، حتى أنّ إكثار الكلام فيها ربما يعدّ من العبث ، حيث إنّه لا يفيدنا غير ما هو المعلوم لنا منها بسلامة الوجدان ، مع أنّ فيه غنى عن تجشّم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لا بدّ أن يعلم أنّ الحسن والقبح الواقعين في العنوان قد اختلف في تفسيرهما ، فعن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كالفاضل التوني والفاضل الزركشي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تفسيرهما بمجرّد المدح والذمّ دون الثواب والعقاب</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الأوّل في محكيّ الوافية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 ثبوت الحسن والقبح العقليّين في الجملة ، لقضاء الضرورة ، ولكن في إثبات الحكم الشرعي كالوجوب والحرمة الشرعيّين بهما نظر </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فرّق بين الوجوب العقلي والشرعي باستحقاق الذمّ </w:t>
      </w:r>
      <w:r>
        <w:rPr>
          <w:rStyle w:val="FootnoteAnchor"/>
          <w:rtl w:val="true"/>
        </w:rPr>
        <w:footnoteReference w:id="741"/>
      </w:r>
      <w:r>
        <w:rPr>
          <w:rFonts w:ascii="Amiri" w:hAnsi="Amiri" w:eastAsia="Amiri" w:cs="Amiri"/>
          <w:color w:val="111111"/>
          <w:sz w:val="28"/>
          <w:sz w:val="28"/>
          <w:szCs w:val="28"/>
          <w:rtl w:val="true"/>
          <w:lang w:bidi="ar-SA"/>
        </w:rPr>
        <w:t>على الأوّل والثواب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بعد ذكر أمور من وجوه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الواجب العقلي هو ما يكون تاركه مذموما عند كلّ عاقل حكيم ، والحرام العقليّ ما يكون فاعله مذموما كذلك ، فالحرام العقلي لا بدّ وأن يكون ممقوتا لله ، وليس الحرام الشرعيّ إلاّ ذلك ؛ لأنّ فاعل فعل ممقوت عنده مستحقّ لعقابه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الحرام الشرعي ما يجوز للمكلّف العقاب عليه ، ولا يكفي مجرّد الاستحقاق وإن علم انتفاؤه بسبب ما كان من إخباره بذلك </w:t>
      </w:r>
      <w:r>
        <w:rPr>
          <w:rStyle w:val="FootnoteAnchor"/>
          <w:rtl w:val="true"/>
        </w:rPr>
        <w:footnoteReference w:id="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بداهة استلزام المكروهيّة عند اللّه لاستحقاق عقابه محلّ نظر ، انتهى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الحسن والقبح عقليّان والوجوب والحرمة شرعيّان ، فلا ملازمة بينهما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تنبيهان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المعتزلة لا ينكرون أنّ اللّه تعالى هو الشارع للأحكام وإنّما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يدرك أنّ اللّه شرّع أحكام الأفعال بحسب ما يظهر من مصالحها ومفاسدها ، فهما عندهم مؤدّيان إلى العلم بالحكم الشرعي ، والحكم الشرعي تابع لهما لا عينهما ، فما كان حسنا جوّزه الشارع وما كان قبيحا منعه ، فصار عند المعتزلة حكمان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شرعيّ والآخر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في ثاني التنبيهين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اقتصر عليه المصنّف من حكاية قولهم هو المشهور بينهم </w:t>
      </w:r>
      <w:r>
        <w:rPr>
          <w:rStyle w:val="FootnoteAnchor"/>
          <w:rtl w:val="true"/>
        </w:rPr>
        <w:footnoteReference w:id="7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وتوسّط قوم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قبحها ثابت بالعقل ، والعقاب </w:t>
      </w:r>
      <w:r>
        <w:rPr>
          <w:rStyle w:val="FootnoteAnchor"/>
          <w:rtl w:val="true"/>
        </w:rPr>
        <w:footnoteReference w:id="745"/>
      </w:r>
      <w:r>
        <w:rPr>
          <w:rFonts w:ascii="IRNazanin" w:hAnsi="IRNazanin" w:eastAsia="IRNazanin"/>
          <w:color w:val="111111"/>
          <w:sz w:val="28"/>
          <w:sz w:val="28"/>
          <w:szCs w:val="28"/>
          <w:rtl w:val="true"/>
          <w:lang w:bidi="fa-IR"/>
        </w:rPr>
        <w:t>بالشرع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المنصور ، انتهى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من استظهارنا من العناوين والأدلّة والثمرة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 المراد منها هو الثواب والعقاب ويرشدك إليه أيضا تصديق الزركشي باشتهاره بين المعتزلة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Style w:val="FootnoteAnchor"/>
          <w:rtl w:val="true"/>
        </w:rPr>
        <w:footnoteReference w:id="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اشتهر بين من </w:t>
      </w:r>
      <w:r>
        <w:rPr>
          <w:rStyle w:val="FootnoteAnchor"/>
          <w:rtl w:val="true"/>
        </w:rPr>
        <w:footnoteReference w:id="748"/>
      </w:r>
      <w:r>
        <w:rPr>
          <w:rFonts w:ascii="Amiri" w:hAnsi="Amiri" w:eastAsia="Amiri" w:cs="Amiri"/>
          <w:color w:val="111111"/>
          <w:sz w:val="28"/>
          <w:sz w:val="28"/>
          <w:szCs w:val="28"/>
          <w:rtl w:val="true"/>
          <w:lang w:bidi="ar-SA"/>
        </w:rPr>
        <w:t xml:space="preserve">تأخّر من التوني في مسألة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بعد تسليم إدراك العقل للمدح والذمّ ، فهل يدرك الثواب والعقاب؟ زعما منهم أنّ الحسن والقبح في محلّ النزاع هو مجرّد المدح والذمّ من غير مدخليّة للثواب والعقاب فيهما ، وهذا هو البحث الذي نحن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المحقّقون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الملازمة الواقعيّة بين حكم العقل والشرع ، وهذا الحكم هو مفاد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حكم به العقل حكم به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بيان المراد من القضيّة المذكورة ، وحيث إنّ المخالف في المقام ممّن يعتدّ بشأنه ليس إلاّ جمال المحقّقين والسيّد الصدر شارح الوافية ، فالأقرب ذكر كلامهما لتوضيح مرامهما ، ثم ذكر ما يرد عليهما عندنا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قال السيّد المذكور في المقام بعد ما مهّد مقدّمتين في جملة كلام طويل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إذا أدركنا العلّة التامّة للحكم العقلي بوجوب شيء أو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أن يحكم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الشارع حكم أيضا بمثل الحكم العقلي عليه ، لما مرّ في المقدّمة الأولى ، ولمّا فرضنا عدم بلوغ التكليف إلينا لا يترتّب عليه الثواب وإن ترتّب على نفس الفعل شيء من قرب أو بعد فلا يكون واجبا أو حراما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وبالجملة ، وجود الإضافة التي يعبّر عنها بالخطاب معتبر في تحقّق حقيقة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مجرّد العلم التصديقي 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شيئا خاصّا ممّا </w:t>
      </w:r>
    </w:p>
    <w:p>
      <w:pPr>
        <w:pStyle w:val="BookText"/>
        <w:rPr/>
      </w:pPr>
      <w:r>
        <w:rPr>
          <w:rFonts w:ascii="Amiri" w:hAnsi="Amiri" w:eastAsia="Amiri" w:cs="Amiri"/>
          <w:color w:val="111111"/>
          <w:sz w:val="28"/>
          <w:sz w:val="28"/>
          <w:szCs w:val="28"/>
          <w:rtl w:val="true"/>
          <w:lang w:bidi="ar-SA"/>
        </w:rPr>
        <w:t xml:space="preserve">يحسن فعله أو تركه ، وكذا إرادته من المكلّف أن يفعل أو يترك ، ورضاه من فعل ومقته لآخر حكما شرعيّا من دون أن يصير المكلّف مخاطبا بالفعل بأن يصل إليه قول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إخبار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الشيء واجب أو حرام ، إذ طلبه قبل بلوغ الخطاب ليس حكما ، فعلى هذا يكون كلّ الأوامر والنواهي قبل علم المكلّف بها خطابات بالقوّة لا يترتّب عليها آثارها من الثواب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بقولك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يحكم به العقل مطابق للواقع </w:t>
      </w:r>
      <w:r>
        <w:rPr>
          <w:rStyle w:val="FootnoteAnchor"/>
          <w:rtl w:val="true"/>
        </w:rPr>
        <w:footnoteReference w:id="749"/>
      </w:r>
      <w:r>
        <w:rPr>
          <w:rFonts w:ascii="Amiri" w:hAnsi="Amiri" w:eastAsia="Amiri" w:cs="Amiri"/>
          <w:color w:val="111111"/>
          <w:sz w:val="28"/>
          <w:sz w:val="28"/>
          <w:szCs w:val="28"/>
          <w:rtl w:val="true"/>
          <w:lang w:bidi="ar-SA"/>
        </w:rPr>
        <w:t xml:space="preserve">فقد حكم الشارع عليه بحكم مماثل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علم وأذعن بأنّ هذا الشيء بحيث لو نقل إلى المكلّف الأمر به أو النهي عنه لكان مستحقّا للثواب والعقاب مع الامتثال وعدمه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أراد به </w:t>
      </w:r>
      <w:r>
        <w:rPr>
          <w:rStyle w:val="FootnoteAnchor"/>
          <w:rtl w:val="true"/>
        </w:rPr>
        <w:footnoteReference w:id="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الفعل أو الترك مرضيّ عنده أو ممقوت له ، أو أخبر أهل بيته بالحكم ، أو 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قولوا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افعلوا أو لا تفعلوا إن رأيتم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ما رأوها ، فجميع ذلك لا نمنعه ونسلّمه ، ولكن لا يترتّب عليه الثواب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أردت أنّه طلبه فعلا أو تركا بحيث حصل التكليف وصرنا مكلّفين فهو خلاف الفرض ؛ لأنّ المفروض عدم بلوغ الحكم إلينا ، بل نريد أن نثبت الحكم الشرعي بتوسّط الحكم العقلي</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بعد ذلك أورد على نفسه سؤالا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قطع العقل بالحكم الواقعي لا مجال لإنكار كونه حكم اللّه وهو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التعبّد بمثل هذا الشيء محلّ نظر ؛ لأنّ المعلوم أنّه يجب فعل شيء أو لا يجب إذا حصل </w:t>
      </w:r>
    </w:p>
    <w:p>
      <w:pPr>
        <w:pStyle w:val="BookText"/>
        <w:rPr/>
      </w:pPr>
      <w:r>
        <w:rPr>
          <w:rFonts w:ascii="Amiri" w:hAnsi="Amiri" w:eastAsia="Amiri" w:cs="Amiri"/>
          <w:color w:val="111111"/>
          <w:sz w:val="28"/>
          <w:sz w:val="28"/>
          <w:szCs w:val="28"/>
          <w:rtl w:val="true"/>
          <w:lang w:bidi="ar-SA"/>
        </w:rPr>
        <w:t xml:space="preserve">الظنّ أو القطع بوجوبه أو حرمته أو غيرهما من جهة نقل قول المعصوم عليه‌السلام أو فعله أو تقريره ، لا أنّه يجب فعله أو تركه أو لا يجب مع حصولهما من أي طريق كان كالفتوى ، فإنّه لا يجوز الانقياد بقول المعصوم المسموع منه في المنام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السيّد المذكور قد أفاد شيئا آخر في إحدى المقدّمتين الممهّدتين ، وهو عدم كون الجهات المدركة للعقل علّة تامّة للحكم ، بل غاية ما يمكن أن يدركه العقل هو بعض الجهات المحسّنة والمقبّحة ، ويجوز أن يكون هناك جهة أخرى في الواقع لم يحصّلها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تكون </w:t>
      </w:r>
      <w:r>
        <w:rPr>
          <w:rFonts w:eastAsia="Amiri" w:cs="Amiri" w:ascii="Amiri" w:hAnsi="Amiri"/>
          <w:color w:val="111111"/>
          <w:sz w:val="28"/>
          <w:szCs w:val="28"/>
          <w:rtl w:val="true"/>
          <w:lang w:bidi="ar-SA"/>
        </w:rPr>
        <w:t>]</w:t>
      </w:r>
      <w:r>
        <w:rPr>
          <w:rStyle w:val="FootnoteAnchor"/>
          <w:rtl w:val="true"/>
        </w:rPr>
        <w:footnoteReference w:id="752"/>
      </w:r>
      <w:r>
        <w:rPr>
          <w:rFonts w:ascii="Amiri" w:hAnsi="Amiri" w:eastAsia="Amiri" w:cs="Amiri"/>
          <w:color w:val="111111"/>
          <w:sz w:val="28"/>
          <w:sz w:val="28"/>
          <w:szCs w:val="28"/>
          <w:rtl w:val="true"/>
          <w:lang w:bidi="ar-SA"/>
        </w:rPr>
        <w:t xml:space="preserve">معارضة للجهة المدركة فلا يكون الحكم كما أدركه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جمال المحقّقين بعد ما نقلنا عنه في عنوان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والقبح في بعض الأشياء مسلّم ، لكن يمكن أن لا يكون في بعض الأشياء جهة حسن ولا جهة قبح ، ومع ذلك أمر الشارع به ونهى عنه ليعلم المطيع من العاصي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أجاب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بإمكان الاستكشاف من الأخبار والآثار الواردة عن الهداة الأبرار الأطهار والآيات القرآنيّة والبيّنات الفرقانيّة عدم تعلّق الأمر والنهي إلاّ لكلّ حسن وقبيح على أن يكون الحسن مأمورا به والقبيح منهيّا عنه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فلم يظهر من المحقّق المذكور مخالفة حتى يحتاج إلى دفع مقالته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فالأولى عطف عنان الكلام إلى دفع ما أفاده السيّد المذكور ، وستعرف الجواب عمّا أورده المحقّق المذكور في دفع الشبهة التي أوردها بعض الأجلّة في منع الملازمة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أفاده السيّد نظر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أفاده في تفكيك حكم العقل والشرع بتسليم الرضا والمقت ومنع الثواب والعقاب ليس على ما ينبغي وذلك لأنّ </w:t>
      </w:r>
      <w:r>
        <w:rPr>
          <w:rStyle w:val="FootnoteAnchor"/>
          <w:rtl w:val="true"/>
        </w:rPr>
        <w:footnoteReference w:id="756"/>
      </w:r>
      <w:r>
        <w:rPr>
          <w:rFonts w:ascii="Amiri" w:hAnsi="Amiri" w:eastAsia="Amiri" w:cs="Amiri"/>
          <w:color w:val="111111"/>
          <w:sz w:val="28"/>
          <w:sz w:val="28"/>
          <w:szCs w:val="28"/>
          <w:rtl w:val="true"/>
          <w:lang w:bidi="ar-SA"/>
        </w:rPr>
        <w:t xml:space="preserve">الحكم الشرعي قد يطلق ويراد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الفعلي التنجيزي الصادر منه تعالى أو أحد امنائه عليهم‌السلام ، وإليه ينظر تعريفهم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خطاب اللّه المتعلّق بأفعال المكلّفين ، على حسب اختلاف القيود المعتبرة فيه عند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يطلق ويراد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الخطابات الشأنيّة التي صدرت عن الشارع وإن لم يعلم بها المكلّف ، لعدم وصولها إليه من حيث ممانعة مانع داخلي أو خارجي عنه ، فهي مخزونة عند أهلها ، وبعبارة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التي يقول بثبوتها المخطئة وبعدمها المصوّبة ؛ ويشارك الأوّل في مجرّد الجعل ويمايزه من حيث عدم حصول فعليّة هنا </w:t>
      </w:r>
      <w:r>
        <w:rPr>
          <w:rStyle w:val="FootnoteAnchor"/>
          <w:rtl w:val="true"/>
        </w:rPr>
        <w:footnoteReference w:id="757"/>
      </w:r>
      <w:r>
        <w:rPr>
          <w:rFonts w:ascii="IRNazanin" w:hAnsi="IRNazanin" w:eastAsia="IRNazanin"/>
          <w:color w:val="111111"/>
          <w:sz w:val="28"/>
          <w:sz w:val="28"/>
          <w:szCs w:val="28"/>
          <w:rtl w:val="true"/>
          <w:lang w:bidi="fa-IR"/>
        </w:rPr>
        <w:t>بخلاف الأوّل</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يطلق ويراد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الجازمة والكراهة الثابتة في الواقع متعلّقة بالمراد في الأوّل وبالمكروه في الثاني على وجه يصير المظهر عنهما عند إرادة إظهارهما هو الأمر اللفظي والنهي كذلك ، فالإرادة هذه في الحقيقة روح الطلب ولبّه ، بل هو عينه بحيث لو أراد الشارع جعل حكم ، فلا بدّ من أن يكون مطابقا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أراد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 العقل بوجوب شيء وإدراكه العلّة التامّة المقتضية للوجوب لا يلازم صدور الخطاب على وجه يصدق أنّه حكم فعلي تنجيزيّ صادر من الشارع فمسلّم ، لكنّه لا يجديه ، فإنّ مدار الثواب والعقاب هو الإرادة والطلب الحتمي ، كما يشهد به الوجدان على ما ترى بالقياس إلى حال العقلاء في تعذيب عبيدهم ، فلو علم العبد بعدم إرادة المولى قتل ولده أو إرادة إكرامه وقتله أو أكرمه فيعدّ عندهم عاصيا ومطيعا من غير أن يدانيه </w:t>
      </w:r>
      <w:r>
        <w:rPr>
          <w:rStyle w:val="FootnoteAnchor"/>
          <w:rtl w:val="true"/>
        </w:rPr>
        <w:footnoteReference w:id="758"/>
      </w:r>
      <w:r>
        <w:rPr>
          <w:rFonts w:ascii="Amiri" w:hAnsi="Amiri" w:eastAsia="Amiri" w:cs="Amiri"/>
          <w:color w:val="111111"/>
          <w:sz w:val="28"/>
          <w:sz w:val="28"/>
          <w:szCs w:val="28"/>
          <w:rtl w:val="true"/>
          <w:lang w:bidi="ar-SA"/>
        </w:rPr>
        <w:t xml:space="preserve">ريبة أو يخالطه شبهة ، كما لا يخفى </w:t>
      </w:r>
      <w:r>
        <w:rPr>
          <w:rStyle w:val="FootnoteAnchor"/>
          <w:rtl w:val="true"/>
        </w:rPr>
        <w:footnoteReference w:id="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صدور اللفظ المعبّر عنه بالخطاب مدخليّة في ذلك كما هو ظاهر لا سترة عليه </w:t>
      </w: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لو أراد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نفى الملازمة بينه وبين حكم العقل الحكم الشأني كما في الإطلاق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القائل بالملازمة أيضا لا يقول به بواسطة مجرّد حكم العقل ، ألا ترى في المثال المذكور مع قطع العبد بعدم إرادة المولى قتل ولده يقطع بعدم صدور الخطاب عنه أيضا ولا تنافي بين القطعين؟</w:t>
      </w:r>
    </w:p>
    <w:p>
      <w:pPr>
        <w:pStyle w:val="BookText"/>
        <w:rPr/>
      </w:pPr>
      <w:r>
        <w:rPr>
          <w:rFonts w:ascii="Amiri" w:hAnsi="Amiri" w:eastAsia="Amiri" w:cs="Amiri"/>
          <w:color w:val="111111"/>
          <w:sz w:val="28"/>
          <w:sz w:val="28"/>
          <w:szCs w:val="28"/>
          <w:rtl w:val="true"/>
          <w:lang w:bidi="ar-SA"/>
        </w:rPr>
        <w:t xml:space="preserve">ويؤيّد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إرادة القائل بالملازمة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المتكلّمين من أصحابنا مع كونهم قائلين بأنّ الجهات الثابتة في الأفعال علل تامّة لم يكتفوا في إثبات التكاليف بمجرّد ذلك ، بل قالوا بها بواسطة وجوب اللطف</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انضمّ إلى ذلك مقدّمة خارجيّة أخرى كقولهم باللطف أو قولهم بعدم جواز خلوّ الواقعة عن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يستفاد من جملة من الأخبار </w:t>
      </w:r>
      <w:r>
        <w:rPr>
          <w:rStyle w:val="FootnoteAnchor"/>
          <w:rtl w:val="true"/>
        </w:rPr>
        <w:footnoteReference w:id="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العقلي يلازم الخطاب الفعلي ، يعني بعد ملاحظة المقدّمة الخارجيّة العقليّة أو 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الظاهر منهم في المقام دعوى ثبوت الملازمة بين حكم العقل وحكم الشرع مع قطع النظر عنها ، كما يشعر بذلك قول الحاجبي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شكر المنعم ليس بواجب عقلا ، فلا إثم على من لم يبلغه دعوة النبوّة </w:t>
      </w:r>
      <w:r>
        <w:rPr>
          <w:rFonts w:eastAsia="Amiri" w:cs="Amiri" w:ascii="Amiri" w:hAnsi="Amiri"/>
          <w:color w:val="111111"/>
          <w:sz w:val="28"/>
          <w:szCs w:val="28"/>
          <w:rtl w:val="true"/>
          <w:lang w:bidi="ar-SA"/>
        </w:rPr>
        <w:t xml:space="preserve">» </w:t>
      </w:r>
      <w:r>
        <w:rPr>
          <w:rStyle w:val="FootnoteAnchor"/>
          <w:rtl w:val="true"/>
        </w:rPr>
        <w:footnoteReference w:id="762"/>
      </w:r>
      <w:r>
        <w:rPr>
          <w:rFonts w:ascii="Amiri" w:hAnsi="Amiri" w:eastAsia="Amiri" w:cs="Amiri"/>
          <w:color w:val="111111"/>
          <w:sz w:val="28"/>
          <w:sz w:val="28"/>
          <w:szCs w:val="28"/>
          <w:rtl w:val="true"/>
          <w:lang w:bidi="ar-SA"/>
        </w:rPr>
        <w:t xml:space="preserve">حيث 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إثم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صرّح به السيّد الشريف </w:t>
      </w:r>
      <w:r>
        <w:rPr>
          <w:rStyle w:val="FootnoteAnchor"/>
          <w:rtl w:val="true"/>
        </w:rPr>
        <w:footnoteReference w:id="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المسألة ، ولا يخفى عدم ترتّبها إلاّ على دعوى الملازمة بين حكم العقل وحكم الشرع مع قطع النظر عن المقدّمات الخارجية ، وإلاّ فالثمرة </w:t>
      </w:r>
      <w:r>
        <w:rPr>
          <w:rStyle w:val="FootnoteAnchor"/>
          <w:rtl w:val="true"/>
        </w:rPr>
        <w:footnoteReference w:id="764"/>
      </w:r>
      <w:r>
        <w:rPr>
          <w:rFonts w:ascii="Amiri" w:hAnsi="Amiri" w:eastAsia="Amiri" w:cs="Amiri"/>
          <w:color w:val="111111"/>
          <w:sz w:val="28"/>
          <w:sz w:val="28"/>
          <w:szCs w:val="28"/>
          <w:rtl w:val="true"/>
          <w:lang w:bidi="ar-SA"/>
        </w:rPr>
        <w:t>لا تظهر إلاّ فيمن بلغه دعوة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ويومئ إليه ما استدلّ به الفاضل التوني في نفي الملازمة </w:t>
      </w:r>
      <w:r>
        <w:rPr>
          <w:rStyle w:val="FootnoteAnchor"/>
          <w:rtl w:val="true"/>
        </w:rPr>
        <w:footnoteReference w:id="765"/>
      </w:r>
      <w:r>
        <w:rPr>
          <w:rFonts w:ascii="Amiri" w:hAnsi="Amiri" w:eastAsia="Amiri" w:cs="Amiri"/>
          <w:color w:val="111111"/>
          <w:sz w:val="28"/>
          <w:sz w:val="28"/>
          <w:szCs w:val="28"/>
          <w:rtl w:val="true"/>
          <w:lang w:bidi="ar-SA"/>
        </w:rPr>
        <w:t>بالأخبار ، فإنّ ثبوت الأحكام الشرعيّة ولو بعد ملاحظة المقدّمة الشرعيّة فيما استقل فيه العقل ممّا لا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أراد منع الملازمة بين حكم العقل والحكم الشرعي </w:t>
      </w:r>
      <w:r>
        <w:rPr>
          <w:rStyle w:val="FootnoteAnchor"/>
          <w:rtl w:val="true"/>
        </w:rPr>
        <w:footnoteReference w:id="766"/>
      </w:r>
      <w:r>
        <w:rPr>
          <w:rFonts w:ascii="Amiri" w:hAnsi="Amiri" w:eastAsia="Amiri" w:cs="Amiri"/>
          <w:color w:val="111111"/>
          <w:sz w:val="28"/>
          <w:sz w:val="28"/>
          <w:szCs w:val="28"/>
          <w:rtl w:val="true"/>
          <w:lang w:bidi="ar-SA"/>
        </w:rPr>
        <w:t>اللفظي بأحد الوجهين فمسلّم ، ولكنّه كما عرفت غير مجد فيما يراه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أراد الملازمة بين حكم العقل وحكم الشرع بمعنى طلبه وإرادته ، فهو محجوج بقطع العقل الخالي عن شوائب الوهم بخلافه ، فإنّ العقل إذا أدرك حسن الشيء على وجه يستحقّ فاعله الثواب وجزاء الخير ، فقد أدرك من كل عاقل حكيم شاعر فكيف بمن هو خالقهم </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إذا أدرك قبح الشيء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الملازمة بين حكم العقل وحكم الشرع بهذا المعنى ممّا لا يقبل الإنكار ، فكأنّها نار في منار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ممّا لا يجدي شيئا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السيّد </w:t>
      </w:r>
      <w:r>
        <w:rPr>
          <w:rStyle w:val="FootnoteAnchor"/>
          <w:rtl w:val="true"/>
        </w:rPr>
        <w:footnoteReference w:id="768"/>
      </w:r>
      <w:r>
        <w:rPr>
          <w:rFonts w:ascii="Amiri" w:hAnsi="Amiri" w:eastAsia="Amiri" w:cs="Amiri"/>
          <w:color w:val="111111"/>
          <w:sz w:val="28"/>
          <w:sz w:val="28"/>
          <w:szCs w:val="28"/>
          <w:rtl w:val="true"/>
          <w:lang w:bidi="ar-SA"/>
        </w:rPr>
        <w:t xml:space="preserve">بذلك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الكلام في ترتّب الثواب على الواجب العقلي والعقاب على تركه ، ولا نسلّم ترتّبهما إلاّ على الأمر والنهي اللفظيين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ذلك منقوض بموارد الإجماع والضرورة والسيرة على وجه في الجميع ، فإن أراد عدم ترتّبهما على الواجب العقلي في الحقيقة وفي المعنى فهو مردود بملاحظة حال العقلاء في كيفيّة الإطاعة والعصيان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أنّ ما يترتّب على العقليّين من الواجب والحرام لا يسمّى في الاصطلاح عقابا وثوابا فبعد الغضّ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ينفيه تحديد المتكلّمين </w:t>
      </w:r>
      <w:r>
        <w:rPr>
          <w:rStyle w:val="FootnoteAnchor"/>
          <w:rtl w:val="true"/>
        </w:rPr>
        <w:footnoteReference w:id="769"/>
      </w:r>
      <w:r>
        <w:rPr>
          <w:rFonts w:ascii="Amiri" w:hAnsi="Amiri" w:eastAsia="Amiri" w:cs="Amiri"/>
          <w:color w:val="111111"/>
          <w:sz w:val="28"/>
          <w:sz w:val="28"/>
          <w:szCs w:val="28"/>
          <w:rtl w:val="true"/>
          <w:lang w:bidi="ar-SA"/>
        </w:rPr>
        <w:t xml:space="preserve">للثواب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إيصال النفع بقصد التعظيم ، والعقاب بما يقابله من غير ملاحظة الأمر فكيف باللفظيّ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ليس في مجرّد التسمية والاصطلاح ، إذ لا يترتّب على تسمية ذلك ثوابا أو غيره شيء من الأحكام الشرعيّة ، كما لا يخفى</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الآثار لا يترتّب إلاّ بعد إثبات الخطاب والثواب والعقاب مثل قتل فاعل الكبيرة في الرابعة ، حيث إنّها على ما عرّفها جماعة </w:t>
      </w:r>
      <w:r>
        <w:rPr>
          <w:rStyle w:val="FootnoteAnchor"/>
          <w:rtl w:val="true"/>
        </w:rPr>
        <w:footnoteReference w:id="770"/>
      </w:r>
      <w:r>
        <w:rPr>
          <w:rFonts w:ascii="Amiri" w:hAnsi="Amiri" w:eastAsia="Amiri" w:cs="Amiri"/>
          <w:color w:val="111111"/>
          <w:sz w:val="28"/>
          <w:sz w:val="28"/>
          <w:szCs w:val="28"/>
          <w:rtl w:val="true"/>
          <w:lang w:bidi="ar-SA"/>
        </w:rPr>
        <w:t xml:space="preserve">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أوعد اللّه عليها النار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يتحقّق إلاّ بعد تحقّق الخطاب ، والقائل بالملازمة لا بدّ له من إثبات الخطاب في صدق الثواب والعقاب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انحصار الكبيرة فيما ذكر ، فإنّها أعمّ عندنا من ذلك وممّا حكم العقل بحرمته على الوجه المعهود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Style w:val="FootnoteAnchor"/>
          <w:rtl w:val="true"/>
        </w:rPr>
        <w:footnoteReference w:id="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أفاده في دفع ما أورد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مجال للإنكار بعد ما قطع العقل بالحكم بالنظر والتأمّل في جواز التعبّد بأمثال هذه الإدراكات العقليّة القطعيّة أو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يبتني على أساس ولا له بما أورده مساس ، حيث قد فرغنا عن حجّيّة العلم المرآتي في محلّه على وجه ظهر عدم معقوليّة التخصيص بطريق دون آخر ، فليراجع ثمّة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أفاده من أنّ </w:t>
      </w:r>
      <w:r>
        <w:rPr>
          <w:rStyle w:val="FootnoteAnchor"/>
          <w:rtl w:val="true"/>
        </w:rPr>
        <w:footnoteReference w:id="772"/>
      </w:r>
      <w:r>
        <w:rPr>
          <w:rFonts w:ascii="Amiri" w:hAnsi="Amiri" w:eastAsia="Amiri" w:cs="Amiri"/>
          <w:color w:val="111111"/>
          <w:sz w:val="28"/>
          <w:sz w:val="28"/>
          <w:szCs w:val="28"/>
          <w:rtl w:val="true"/>
          <w:lang w:bidi="ar-SA"/>
        </w:rPr>
        <w:t xml:space="preserve">الجهات المدركة في المستقلاّت العقليّة ليست علّة تامّة فممّا لا يصغى إليه بعد موافقة الوجدان ، فإنّ الجهة المدركة </w:t>
      </w:r>
      <w:r>
        <w:rPr>
          <w:rStyle w:val="FootnoteAnchor"/>
          <w:rtl w:val="true"/>
        </w:rPr>
        <w:footnoteReference w:id="773"/>
      </w:r>
      <w:r>
        <w:rPr>
          <w:rFonts w:ascii="Amiri" w:hAnsi="Amiri" w:eastAsia="Amiri" w:cs="Amiri"/>
          <w:color w:val="111111"/>
          <w:sz w:val="28"/>
          <w:sz w:val="28"/>
          <w:szCs w:val="28"/>
          <w:rtl w:val="true"/>
          <w:lang w:bidi="ar-SA"/>
        </w:rPr>
        <w:t xml:space="preserve">في الإحسان والظلم الآمرة في الأوّل والناهية في الثاني بحسب وجداننا في حال العلم هي العلّة التامّة ، وأمّا جواز تبدّل العلم جهلا فهو أمر خارج عمّا نحن فيه ، إذ ليس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للعالم ، والمحتمل لغيرها لا علم له ، فيخرج عمّا نحن بصدده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ويشعر بذلك ما أفاده الشيخ في العدّة في مباحث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حكم الشارع إنّما هو كاشف عن الصفات ، لا أنّه به يحصل الوجوب </w:t>
      </w:r>
      <w:r>
        <w:rPr>
          <w:rStyle w:val="FootnoteAnchor"/>
          <w:rtl w:val="true"/>
        </w:rPr>
        <w:footnoteReference w:id="774"/>
      </w:r>
      <w:r>
        <w:rPr>
          <w:rFonts w:ascii="Amiri" w:hAnsi="Amiri" w:eastAsia="Amiri" w:cs="Amiri"/>
          <w:color w:val="111111"/>
          <w:sz w:val="28"/>
          <w:sz w:val="28"/>
          <w:szCs w:val="28"/>
          <w:rtl w:val="true"/>
          <w:lang w:bidi="ar-SA"/>
        </w:rPr>
        <w:t>؛ ومن هنا تمسّك الأشعري بعدم كونه حينئذ في جعل الأحكام مختارا ، بل لا بدّ وأن يكون موجبا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يشعر ما أجاب عنهم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انتفاء القبيح لصارف لا ينافي </w:t>
      </w:r>
    </w:p>
    <w:p>
      <w:pPr>
        <w:pStyle w:val="BookText"/>
        <w:rPr/>
      </w:pPr>
      <w:r>
        <w:rPr>
          <w:rFonts w:ascii="Amiri" w:hAnsi="Amiri" w:eastAsia="Amiri" w:cs="Amiri"/>
          <w:color w:val="111111"/>
          <w:sz w:val="28"/>
          <w:sz w:val="28"/>
          <w:szCs w:val="28"/>
          <w:rtl w:val="true"/>
          <w:lang w:bidi="ar-SA"/>
        </w:rPr>
        <w:t>الاختيار ، فإنكار كون تلك الجهات المدركة لنا في الأفعال التي تستقلّ عقولنا بأحكامها يشبه أن يكون سفسطة في سفسطة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المفروض استقلال العقل بإدراك الحكم في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 أنّ معنى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حكم العقل بوجوب شيء أو حرمته ممّا يمكن أن يتوصّل به إلى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يجعل دليلا للحكم الشرعي ، فإنّ حكم العقل باستحقاق فاعل الإحسان جزاء الخير بمنزلة كبرى كلّيّة لخصوص حكم الشارع ، بمعنى إرادته ورضاه وطلبه للإحسان ، وإن كان إطلاق الحكم على هذا المعنى مجازا عندهم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يلوح ضعف ما أفاده المحقّق القمّي رحمه‌اللّه في تحرير العنوان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تبيّن عندنا معاشر الإماميّة تبعا لأكثر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يدرك الحسن والقبح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يدرك أنّ بعض هذه الأفعال ممّا لا يرضى بتركه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توهّمه 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حكم العقل محض استحقاق المدح والذمّ ، فهو مبني على الغفلة عن مراد القوم وحسبان أنّ حكم العقل إنّما هو الذي ذكروه في مبحث إدراك العقل </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ووجه الضعف أمران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حسبانه تعدد النزاع وقد علمت أن كلام الأكثرين يشعر بخلافه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ما أفاده فلا معنى لدليليّة حكم العقل لحكم الشرع ، بل العقل تارة يدرك الحسن والقبح بمعنى المدح والذمّ ، وأخرى يدرك الثواب والعقاب بمعنى أنّه يدرك أنّه ممّا يرضى اللّه تعالى بفعله أو لا يرضى به ، </w:t>
      </w:r>
      <w:bookmarkStart w:id="278" w:name="pg16264_169648"/>
    </w:p>
    <w:p>
      <w:pPr>
        <w:pStyle w:val="BookText"/>
        <w:rPr/>
      </w:pPr>
      <w:bookmarkEnd w:id="278"/>
      <w:r>
        <w:rPr>
          <w:rFonts w:ascii="Amiri" w:hAnsi="Amiri" w:eastAsia="Amiri" w:cs="Amiri"/>
          <w:color w:val="111111"/>
          <w:sz w:val="28"/>
          <w:sz w:val="28"/>
          <w:szCs w:val="28"/>
          <w:rtl w:val="true"/>
          <w:lang w:bidi="ar-SA"/>
        </w:rPr>
        <w:t xml:space="preserve">فلا يتصوّر النزاع في ذلك إلاّ ممّن ينكر حجّيّة الإدراكات القطعيّة العقليّة ،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مذكور في عداد الأدلّة والمسألة أصوليّة ، إذ المقصود فيها إثبات دليليّة العقل للحكم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فما أفاده لا يكون دليلا للحكم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إنّما أخذ ذلك من كلام المحقّق اللاهيجي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العقل رسول في الباطن ، كما أنّ الرسول عقل في الظاهر </w:t>
      </w:r>
      <w:r>
        <w:rPr>
          <w:rFonts w:eastAsia="Amiri" w:cs="Amiri" w:ascii="Amiri" w:hAnsi="Amiri"/>
          <w:color w:val="111111"/>
          <w:sz w:val="28"/>
          <w:szCs w:val="28"/>
          <w:rtl w:val="true"/>
          <w:lang w:bidi="ar-SA"/>
        </w:rPr>
        <w:t xml:space="preserve">» </w:t>
      </w:r>
      <w:r>
        <w:rPr>
          <w:rStyle w:val="FootnoteAnchor"/>
          <w:rtl w:val="true"/>
        </w:rPr>
        <w:footnoteReference w:id="776"/>
      </w:r>
      <w:r>
        <w:rPr>
          <w:rFonts w:ascii="Amiri" w:hAnsi="Amiri" w:eastAsia="Amiri" w:cs="Amiri"/>
          <w:color w:val="111111"/>
          <w:sz w:val="28"/>
          <w:sz w:val="28"/>
          <w:szCs w:val="28"/>
          <w:rtl w:val="true"/>
          <w:lang w:bidi="ar-SA"/>
        </w:rPr>
        <w:t xml:space="preserve">فإنّ المستفاد من كلماته في موارد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لسان الشرع وطالب من قبله ، كما أنّ الرسول في الظاهر مبيّن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فلا وجه لما ذكره أيضا ، إلاّ أن يكون ذلك منه لبيان مقام </w:t>
      </w:r>
      <w:r>
        <w:rPr>
          <w:rStyle w:val="FootnoteAnchor"/>
          <w:rtl w:val="true"/>
        </w:rPr>
        <w:footnoteReference w:id="777"/>
      </w:r>
      <w:r>
        <w:rPr>
          <w:rFonts w:ascii="Amiri" w:hAnsi="Amiri" w:eastAsia="Amiri" w:cs="Amiri"/>
          <w:color w:val="111111"/>
          <w:sz w:val="28"/>
          <w:sz w:val="28"/>
          <w:szCs w:val="28"/>
          <w:rtl w:val="true"/>
          <w:lang w:bidi="ar-SA"/>
        </w:rPr>
        <w:t xml:space="preserve">آخر غير دلالة العقل على حكم الشرع كما هو </w:t>
      </w:r>
      <w:r>
        <w:rPr>
          <w:rStyle w:val="FootnoteAnchor"/>
          <w:rtl w:val="true"/>
        </w:rPr>
        <w:footnoteReference w:id="778"/>
      </w:r>
      <w:r>
        <w:rPr>
          <w:rFonts w:ascii="Amiri" w:hAnsi="Amiri" w:eastAsia="Amiri" w:cs="Amiri"/>
          <w:color w:val="111111"/>
          <w:sz w:val="28"/>
          <w:sz w:val="28"/>
          <w:szCs w:val="28"/>
          <w:rtl w:val="true"/>
          <w:lang w:bidi="ar-SA"/>
        </w:rPr>
        <w:t xml:space="preserve">الكلام في المسألة الأصوليّة المعبّر عنها بقولنا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حكم به العقل حكم به الشرع </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4588706_1280447820"/>
      <w:bookmarkStart w:id="280" w:name="_Toc85"/>
      <w:bookmarkEnd w:id="279"/>
      <w:r>
        <w:rPr>
          <w:rtl w:val="true"/>
        </w:rPr>
        <w:t xml:space="preserve">واعلم أنّ هذه القضيّة تحتمل وجوها </w:t>
      </w:r>
      <w:r>
        <w:rPr>
          <w:rtl w:val="true"/>
        </w:rPr>
        <w:t>:</w:t>
      </w:r>
      <w:bookmarkEnd w:id="280"/>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ما حكم به العقل حكم بمثله الشرع ، وهذا يلائم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العقل والشرع متطابقان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ظاهر في تعدّد الحكمين </w:t>
      </w:r>
      <w:r>
        <w:rPr>
          <w:rStyle w:val="FootnoteAnchor"/>
          <w:rtl w:val="true"/>
        </w:rPr>
        <w:footnoteReference w:id="779"/>
      </w:r>
      <w:r>
        <w:rPr>
          <w:rFonts w:ascii="Amiri" w:hAnsi="Amiri" w:eastAsia="Amiri" w:cs="Amiri"/>
          <w:color w:val="111111"/>
          <w:sz w:val="28"/>
          <w:sz w:val="28"/>
          <w:szCs w:val="28"/>
          <w:rtl w:val="true"/>
          <w:lang w:bidi="ar-SA"/>
        </w:rPr>
        <w:t>وتغايرهما ، من جهة أنّ أحد الحكمين شرعي والآخر عقلي إرشادي ، وعلى هذا المعنى ففي الموارد التي استقلّ بها العقل حكمان وحاكمان</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حكم به العقل حكم بعينه الشرع ، وبعبارة </w:t>
      </w:r>
    </w:p>
    <w:p>
      <w:pPr>
        <w:pStyle w:val="BookText"/>
        <w:rPr/>
      </w:pPr>
      <w:r>
        <w:rPr>
          <w:rFonts w:ascii="Amiri" w:hAnsi="Amiri" w:eastAsia="Amiri" w:cs="Amiri"/>
          <w:color w:val="111111"/>
          <w:sz w:val="28"/>
          <w:sz w:val="28"/>
          <w:szCs w:val="28"/>
          <w:rtl w:val="true"/>
          <w:lang w:bidi="ar-SA"/>
        </w:rPr>
        <w:t xml:space="preserve">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الشرع يصدّق العقل فيما يحكم به ، لا أنّه يحكم بحكم آخر لكنّه يماثل حكم العقل ، وعلى هذا فالحاكم اثنان والحكم واحد فإنّ أحدهما حاكم وهو العقل ، والثاني مصدّق وهو الشرع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ما حكم به العقل فهو عين ما حكم به الشرع ، بمعنى أنّ العقل رسول الشرع ، فكما أنّ الرسول لا يختلف حكمه حكم </w:t>
      </w:r>
      <w:r>
        <w:rPr>
          <w:rStyle w:val="FootnoteAnchor"/>
          <w:rtl w:val="true"/>
        </w:rPr>
        <w:footnoteReference w:id="781"/>
      </w:r>
      <w:r>
        <w:rPr>
          <w:rFonts w:ascii="Amiri" w:hAnsi="Amiri" w:eastAsia="Amiri" w:cs="Amiri"/>
          <w:color w:val="111111"/>
          <w:sz w:val="28"/>
          <w:sz w:val="28"/>
          <w:szCs w:val="28"/>
          <w:rtl w:val="true"/>
          <w:lang w:bidi="ar-SA"/>
        </w:rPr>
        <w:t xml:space="preserve">الشرع بل هو عين ما حكم به الشرع ، فكذلك العقل ، فإنّه رسول في الباطن ، كما أنّ الشرع عقل في الظاهر ، فحكم الشرع قائم بالعقل حيث إنّه لسان الشرع ، 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واحد والحاكم واحد ، كما في أحكام الرسول صلى‌اللّه‌عليه‌وآله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هذه القضيّة قد تطلق في قبال من يرى صحّة حكم العقل وعدم حكم الشرع ، لجواز خلوّ الواقعة عن الأحكام ، وقد تطلق في قبال من يرى أنّ حكم الشارع قد يكون على خلاف حكم العقل بعد تسليمه عدم جواز خلوّ الواقعة </w:t>
      </w:r>
      <w:r>
        <w:rPr>
          <w:rStyle w:val="FootnoteAnchor"/>
          <w:rtl w:val="true"/>
        </w:rPr>
        <w:footnoteReference w:id="782"/>
      </w:r>
      <w:r>
        <w:rPr>
          <w:rFonts w:ascii="Amiri" w:hAnsi="Amiri" w:eastAsia="Amiri" w:cs="Amiri"/>
          <w:color w:val="111111"/>
          <w:sz w:val="28"/>
          <w:sz w:val="28"/>
          <w:szCs w:val="28"/>
          <w:rtl w:val="true"/>
          <w:lang w:bidi="ar-SA"/>
        </w:rPr>
        <w:t xml:space="preserve">عن الحكم ، فعلى الأوّل يكون المقصود إثبات الحكم الشرعي قبالا لمن ينفيه ، والتطابق غير ملحوظ في المقام </w:t>
      </w:r>
      <w:r>
        <w:rPr>
          <w:rStyle w:val="FootnoteAnchor"/>
          <w:rtl w:val="true"/>
        </w:rPr>
        <w:footnoteReference w:id="783"/>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يكون المقصود إثبات التطابق ، ونفس الحكم الشرعي سواء كان مخالفا أو موافقا غير ملحوظ في النزاع ، وذلك كما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ضربته أمس ضربته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يكون قولك مسوقا لإثبات المسند قبالا لمن نفاه ، وقد يكون مسوقا لإثبات المضروب وبيانه ، وقد تقدّم ما يدلّ على ثبوت الملازمة بين حكم العقل وحكم الشرع بمعنى الإرادة </w:t>
      </w:r>
    </w:p>
    <w:p>
      <w:pPr>
        <w:pStyle w:val="BookText"/>
        <w:rPr/>
      </w:pPr>
      <w:r>
        <w:rPr>
          <w:rFonts w:ascii="Amiri" w:hAnsi="Amiri" w:eastAsia="Amiri" w:cs="Amiri"/>
          <w:color w:val="111111"/>
          <w:sz w:val="28"/>
          <w:sz w:val="28"/>
          <w:szCs w:val="28"/>
          <w:rtl w:val="true"/>
          <w:lang w:bidi="ar-SA"/>
        </w:rPr>
        <w:t xml:space="preserve">والكراهة والسخط والرضا ، وسيأتي ما يدلّ من الأدلّة الشرعيّة كتابا وسنّة وإجماعا بأقسامه محقّقا ومنقولا بسيطا ومركّبا على الملازمة بين حدّي </w:t>
      </w:r>
      <w:r>
        <w:rPr>
          <w:rStyle w:val="FootnoteAnchor"/>
          <w:rtl w:val="true"/>
        </w:rPr>
        <w:footnoteReference w:id="784"/>
      </w:r>
      <w:r>
        <w:rPr>
          <w:rFonts w:ascii="Amiri" w:hAnsi="Amiri" w:eastAsia="Amiri" w:cs="Amiri"/>
          <w:color w:val="111111"/>
          <w:sz w:val="28"/>
          <w:sz w:val="28"/>
          <w:szCs w:val="28"/>
          <w:rtl w:val="true"/>
          <w:lang w:bidi="ar-SA"/>
        </w:rPr>
        <w:t xml:space="preserve">الحكمين بمعنى الحكم اللفظي الخطابي كما أفاده </w:t>
      </w:r>
      <w:r>
        <w:rPr>
          <w:rStyle w:val="FootnoteAnchor"/>
          <w:rtl w:val="true"/>
        </w:rPr>
        <w:footnoteReference w:id="785"/>
      </w:r>
      <w:r>
        <w:rPr>
          <w:rFonts w:ascii="IRNazanin" w:hAnsi="IRNazanin" w:eastAsia="IRNazanin"/>
          <w:color w:val="111111"/>
          <w:sz w:val="28"/>
          <w:sz w:val="28"/>
          <w:szCs w:val="28"/>
          <w:rtl w:val="true"/>
          <w:lang w:bidi="fa-IR"/>
        </w:rPr>
        <w:t xml:space="preserve">محقّق الجمال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علاه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وزعم بعض المعاصرين جواز الانفكاك بين حكم العقل والشرع ، أراد به صاحب الفصول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عنون البحث في 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w:t>
      </w:r>
      <w:r>
        <w:rPr>
          <w:rStyle w:val="FootnoteAnchor"/>
          <w:rtl w:val="true"/>
        </w:rPr>
        <w:footnoteReference w:id="787"/>
      </w:r>
      <w:r>
        <w:rPr>
          <w:rFonts w:ascii="Amiri" w:hAnsi="Amiri" w:eastAsia="Amiri" w:cs="Amiri"/>
          <w:color w:val="111111"/>
          <w:sz w:val="28"/>
          <w:sz w:val="28"/>
          <w:szCs w:val="28"/>
          <w:rtl w:val="true"/>
          <w:lang w:bidi="ar-SA"/>
        </w:rPr>
        <w:t xml:space="preserve">إلى الكليّة القائلة بأنّ كلّ ما حكم به العقل حكم به الشرع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حجّيّة القطع وجواز عمل القاطع بقطعه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عندي في المقام الأوّل أن لا ملازمة عقلا بين حسن الفعل أو قبحه وبين وقوع التكليف على حسبه ومقتضاه ، وإنّما الملازمة بين حسن التكليف بالفعل أو الترك وبين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جهات الفعل من جملة جهات التكليف ، فقد يقتضي حسن الفعل أو قبحه حسن التكليف به ، وقد لا يقتضي لمعارضته لجهة أخرى في نفس التكليف </w:t>
      </w:r>
      <w:r>
        <w:rPr>
          <w:rStyle w:val="FootnoteAnchor"/>
          <w:rtl w:val="true"/>
        </w:rPr>
        <w:footnoteReference w:id="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واستند في ذلك إلى وجوه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التكليف الابتلائي ، فإنّ الضرورة قاضية بحسن أمر المولى عبده بما لا يستحقّ فاعله من حيث هو فاعله المدح في نظره ؛ استخبارا لحال العبد أو إظهارا لحاله عند غيره ، ولو كان حسن التكليف مقصورا على حسن الفعل لما حسن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والجواب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فبأنّه خارج عن محلّ الكلام ، فإنّ الكلام إنّما هو في الملازمة بين حكم العقل بعد إدراكه الجهة المحسّنة والمقبّحة وحكم الشرع ، ولا وجه للابتلاء بعد العلم بحال الفعل وجوبا وحرمة ، لعدم وجود الفائدة فيه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إنّما يرد ذلك نقضا على الملازمة بين حكم الشرع والعقل التي مرجعها إلى الحكم بتبعيّة الأحكام الشرعيّة للصفات الكامنة في الأشياء باعتبار حدود ذواتها أو بعد انضمام أمور أخر إليها زمانا ومكانا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يظهر عدم استقامة ما أجاب به عن الاعتراضات التي أوردها المحقّق القمّي على الوجه المذكور ، حيث إنّه إنّما حاول دفعها على </w:t>
      </w:r>
      <w:r>
        <w:rPr>
          <w:rStyle w:val="FootnoteAnchor"/>
          <w:rtl w:val="true"/>
        </w:rPr>
        <w:footnoteReference w:id="789"/>
      </w:r>
      <w:r>
        <w:rPr>
          <w:rFonts w:ascii="Amiri" w:hAnsi="Amiri" w:eastAsia="Amiri" w:cs="Amiri"/>
          <w:color w:val="111111"/>
          <w:sz w:val="28"/>
          <w:sz w:val="28"/>
          <w:szCs w:val="28"/>
          <w:rtl w:val="true"/>
          <w:lang w:bidi="ar-SA"/>
        </w:rPr>
        <w:t xml:space="preserve">ذلك المقام ، وقد عرفت أنّه لا ربط بين المقامين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التكاليف الابتلائيّة خارجة عن محلّ تشاجرهم وحريم نزاعهم ، إذ ليست بتكاليف حقيقة ، فإنّ التكاليف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المصرّح به في كلام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وأن تكون مشتملة على حسن زائد على حسن التكليف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الطوسي قدس‌سره القدّوسي في مقام بيان شرائط حسن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وشرائط حسنه انتفاء المفسدة وتقدّمه وإمكان متعلّقه وثبوت صفة زائدة على حسنه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وتحقيق المقام إنّما هو بعد بسط في الكلام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التكليف بشيء يقع على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الفعل المأمور به مشتملا على مصلحة توجب الأمر به أو يشتمل على مفسدة مقتضية للنهي عنه بحيث لو نهى عن الأوّل أو لم يأمر به أو أمر بالثاني </w:t>
      </w:r>
      <w:r>
        <w:rPr>
          <w:rStyle w:val="FootnoteAnchor"/>
          <w:rtl w:val="true"/>
        </w:rPr>
        <w:footnoteReference w:id="793"/>
      </w:r>
      <w:r>
        <w:rPr>
          <w:rFonts w:ascii="Amiri" w:hAnsi="Amiri" w:eastAsia="Amiri" w:cs="Amiri"/>
          <w:color w:val="111111"/>
          <w:sz w:val="28"/>
          <w:sz w:val="28"/>
          <w:szCs w:val="28"/>
          <w:rtl w:val="true"/>
          <w:lang w:bidi="ar-SA"/>
        </w:rPr>
        <w:t>أو لم ينه عنه لكان قبيحا على ما عرفت مرارا ، وهذا هو القسم الشائع عندنا معاشر العدليّة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المصلحة في نفس صدور الأمر من غير أن يكون الفعل ذا مصلحة بوجه ، بل قد يكون الفعل مبغوضا للآمر ، لكن المصلحة المقتضية لصدور الأمر دعته إلى الأمر به كالأوامر الواردة في مقام التقيّة من غير أن يكون في نفس العمل تقيّة ، ولا شكّ أنّ هذا القسم من الأمر لا يورث إيجابا بالنسبة إلى الفعل ولا شيئا آخر ، وإنّما هو فعل قد ألجأت إليه الضرورة فوقع من غير أن يكون منوطا بحسن في متعلّقه ، وإنّما الحسن في نفسه على النهج السائر في الأفعال الاختياريّة التي يكفي في صدورها عن الفاعل وجود الداعي إليه بخصوصه ولو كان هو حفظ النفس عن مكائد الأعادي ، بل هو من أعظم الدواعي</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المصلحة في الفعل ، لكنه بعد ما تعلّق الأمر به فتارة من حيث إنّ الفعل محصّل للامتثال بالنسبة إلى أمر المولى ، واخرى من حيث إنّ الفعل بعد ما تعلّق الأمر به </w:t>
      </w:r>
      <w:r>
        <w:rPr>
          <w:rStyle w:val="FootnoteAnchor"/>
          <w:rtl w:val="true"/>
        </w:rPr>
        <w:footnoteReference w:id="794"/>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w:t>
      </w:r>
      <w:r>
        <w:rPr>
          <w:rStyle w:val="FootnoteAnchor"/>
          <w:rtl w:val="true"/>
        </w:rPr>
        <w:footnoteReference w:id="795"/>
      </w:r>
      <w:r>
        <w:rPr>
          <w:rFonts w:ascii="Amiri" w:hAnsi="Amiri" w:eastAsia="Amiri" w:cs="Amiri"/>
          <w:color w:val="111111"/>
          <w:sz w:val="28"/>
          <w:sz w:val="28"/>
          <w:szCs w:val="28"/>
          <w:rtl w:val="true"/>
          <w:lang w:bidi="ar-SA"/>
        </w:rPr>
        <w:t xml:space="preserve">اشتمل على عنوان حسن كان الأمر به طريقا إلى تحصيل ذلك العنوان الحسن الذي هو المقصود بالأمر واقعا وإن تعلّق </w:t>
      </w:r>
    </w:p>
    <w:p>
      <w:pPr>
        <w:pStyle w:val="BookText"/>
        <w:rPr/>
      </w:pPr>
      <w:r>
        <w:rPr>
          <w:rFonts w:ascii="Amiri" w:hAnsi="Amiri" w:eastAsia="Amiri" w:cs="Amiri"/>
          <w:color w:val="111111"/>
          <w:sz w:val="28"/>
          <w:sz w:val="28"/>
          <w:szCs w:val="28"/>
          <w:rtl w:val="true"/>
          <w:lang w:bidi="ar-SA"/>
        </w:rPr>
        <w:t xml:space="preserve">بغيره ظاهرا ، فالمأمور به بالأمر اللفظي شيء والمقصود من الأمر الذي حسنه اقتضى صدور الأمر من الآمر شيء آخر ، إلاّ أنّ تعلّق الأمر به حيث لم يكن ممكنا لأدائه إلى مفسدة ابتداء تعلّق الأمر بغيره على وجه يحصل بواسطة تعلّق الأمر به ذلك العنوان الحسن ، فيصير مأمورا به بأمر آخر ؛ مثلا إذا كان في إظهار الإطاعة للمولى حسن أو مصلحة دعت إلى طلبه من العبد ، فلا يصحّ الأمر بإظهار الإطاعة ابتداء من غير سبق تكليف ؛ لأنّ الإطاعة ترجع في محصّل المعنى إلى الامتثال بأوامر المولى والإتيان بما تعلّق به الأمر ، والمفروض انتفاء موضوعه في المقام ، فلا بدّ في ذلك من الأمر بشيء آخر مثل الأمر بقطع يده مثلا أو قتل ولده لتحصيل موضوع ما هو مطلوب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إظهار الإطاعة وإن لم يكن قطع اليد محبوبا له ، بل إنّما يكون مبغوضا ، فكان الأمر اللفظي في المقام جزء لموضوع ما هو المقصود حقيقة ، وبعد تحصيل ذلك الموضوع يحكم العقل بالأمر العقلي بالإطاعة المطلوبة للمولى حقيقة ، فالأمر اللفظي لا يورث وجوبا في متعلّقه واقعا وإن تخيّله المأمور من حيث جهله بالواقع وكشف اللفظ عن الوجوب ظاهرا ، ولا يتبع هذا حسنا ، بل هو مستتبع لموضوع حسن تعلّق الأمر الحقيقي به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عرفت ذلك ، فاعلم أنّ القسم الأوّل ممّا لا كلام فيه ، والقسم الثاني ممّا لا دخل له في المقام ، فإنّه أمر صوري لفظي صرف وتخيّل 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القسم الثالث فبالنسبة إلى الأمر المتعلّق لفظا بقطع اليد أو ذبح الولد فلا شكّ في كونه صوريّا بحتا لا يورث وجوبا في الواقع وإن تخيّله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عدم اطّلاعه وجهله بالواقع وبالنسبة إلى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 فهو كالقسم الأوّل من حيث إنّ حسن الفعل دعا إلى 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والأوامر الابتلائية يحتمل أن تكون من هذا القبيل ، ولا ينافيه ما اشتهر في الألسنة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التكاليف الابتلائية </w:t>
      </w:r>
    </w:p>
    <w:p>
      <w:pPr>
        <w:pStyle w:val="BookText"/>
        <w:rPr/>
      </w:pPr>
      <w:r>
        <w:rPr>
          <w:rFonts w:ascii="Amiri" w:hAnsi="Amiri" w:eastAsia="Amiri" w:cs="Amiri"/>
          <w:color w:val="111111"/>
          <w:sz w:val="28"/>
          <w:sz w:val="28"/>
          <w:szCs w:val="28"/>
          <w:rtl w:val="true"/>
          <w:lang w:bidi="ar-SA"/>
        </w:rPr>
        <w:t>لا بدّ وأن يكون الفعل فيها غير مطلوب ، إذ بعد تسليمه فإنّما هو فيما تعلّق الأمر اللفظيّ به وتخيّله المكلّف مأمورا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دليل على أنّ ذلك الأمر لا يصحّ أن يجعل طريقا إلى الوصول إلى ما هو المطلوب حقيقة ، كما أنّه لا ينافيه مبغوضيّة ما تعلّق الأمر به ظاهرا ، نظرا إلى أنّ المطلوب الحقيقي هو إظهار الإطاعة والانقياد ، ومن جملة ما يحصل به هذا المفهوم هو قطع اليد أو قتل الولد ، والمفروض كونه مبغوضا للمولى ، 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كما يحصل بالقتل ذلك المفهوم فكذلك يحصل بإيقاعه في معرض القتل أو القطع ،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كلّه ظهر أنّ ما زعمه المحقّق القمّي تبعا لبعضهم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الأمر في أمثال المقام مجاز عن المقدّمات </w:t>
      </w:r>
      <w:r>
        <w:rPr>
          <w:rStyle w:val="FootnoteAnchor"/>
          <w:rtl w:val="true"/>
        </w:rPr>
        <w:footnoteReference w:id="796"/>
      </w:r>
      <w:r>
        <w:rPr>
          <w:rFonts w:ascii="IRNazanin" w:hAnsi="IRNazanin" w:eastAsia="IRNazanin"/>
          <w:color w:val="111111"/>
          <w:sz w:val="28"/>
          <w:sz w:val="28"/>
          <w:szCs w:val="28"/>
          <w:rtl w:val="true"/>
          <w:lang w:bidi="fa-IR"/>
        </w:rPr>
        <w:t>ممّا 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الأوامر الابتلائيّة لا ترد نقضا على الملازمة بعد احتمال ما ذكرناه ، فكيف بأنّ الظاهر من مساق كلماتهم هو ذلك الاحتمال</w:t>
      </w:r>
      <w:r>
        <w:rPr>
          <w:rFonts w:eastAsia="Amiri" w:cs="Amiri" w:ascii="Amiri" w:hAnsi="Amiri"/>
          <w:color w:val="111111"/>
          <w:sz w:val="28"/>
          <w:szCs w:val="28"/>
          <w:rtl w:val="true"/>
          <w:lang w:bidi="ar-SA"/>
        </w:rPr>
        <w:t xml:space="preserve">! </w:t>
      </w:r>
      <w:r>
        <w:rPr>
          <w:rStyle w:val="FootnoteAnchor"/>
          <w:rtl w:val="true"/>
        </w:rPr>
        <w:footnoteReference w:id="797"/>
      </w:r>
      <w:r>
        <w:rPr>
          <w:rFonts w:ascii="Amiri" w:hAnsi="Amiri" w:eastAsia="Amiri" w:cs="Amiri"/>
          <w:color w:val="111111"/>
          <w:sz w:val="28"/>
          <w:sz w:val="28"/>
          <w:szCs w:val="28"/>
          <w:rtl w:val="true"/>
          <w:lang w:bidi="ar-SA"/>
        </w:rPr>
        <w:t>فتأمّل جيّدا تهدى إلى الحقّ</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Style w:val="FootnoteAnchor"/>
          <w:rtl w:val="true"/>
        </w:rPr>
        <w:footnoteReference w:id="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التكاليف التي ترد مورد التقيّة إذا لم يكن في نفس العمل تقيّة فإنّ إمكانها بل وقوعها في الأخبار المأثورة عن أئمّتنا الأطهار عليهم‌السلام لا يكاد يعتريه شوب الإنكار وإن منعنا وقوعه في حقّه تعالى بل وفي حقّ النبيّ صلى‌اللّه‌عليه‌وآله أيضا ، فإنّ تلك التكاليف متّصفة بالحسن والرجحان ، لما فيها من صون المكلّف والمكلّف عن شرور المخالفين وإن تجرّد المكلّف به عن الحسن الابتدائي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وطريان الحسن </w:t>
      </w:r>
    </w:p>
    <w:p>
      <w:pPr>
        <w:pStyle w:val="BookText"/>
        <w:rPr/>
      </w:pPr>
      <w:r>
        <w:rPr>
          <w:rFonts w:ascii="Amiri" w:hAnsi="Amiri" w:eastAsia="Amiri" w:cs="Amiri"/>
          <w:color w:val="111111"/>
          <w:sz w:val="28"/>
          <w:sz w:val="28"/>
          <w:szCs w:val="28"/>
          <w:rtl w:val="true"/>
          <w:lang w:bidi="ar-SA"/>
        </w:rPr>
        <w:t xml:space="preserve">بعد التكليف من جهة الامتثال ممّا لا يجدي ، إذ الكلام في الجهات المتفرّع عليها التكاليف ، لا في الجهات المتفرّعة عليها هذا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والجواب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فبالنقض بما لو حكم العقل بوجوب شيء أو حرمته ، فإنّه يحسن التكليف اتّقاء من شرور الأعادي وصونا عن مكائدهم على خلاف حكم العقل من تحريم الواجب وإيجاب الحرام ، مع أنّه لا يلتزم بجوازه ولا يحكم بالانفكاك بين الحكمين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ذيل المبحث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ثبت عندك ممّا حقّقناه انتفاء الملازمة الكليّة ، فاعلم أنّ ذلك يتصوّر إمّا بالأمر بالحرام العقلي </w:t>
      </w:r>
      <w:r>
        <w:rPr>
          <w:rStyle w:val="FootnoteAnchor"/>
          <w:rtl w:val="true"/>
        </w:rPr>
        <w:footnoteReference w:id="800"/>
      </w:r>
      <w:r>
        <w:rPr>
          <w:rFonts w:ascii="Amiri" w:hAnsi="Amiri" w:eastAsia="Amiri" w:cs="Amiri"/>
          <w:color w:val="111111"/>
          <w:sz w:val="28"/>
          <w:sz w:val="28"/>
          <w:szCs w:val="28"/>
          <w:rtl w:val="true"/>
          <w:lang w:bidi="ar-SA"/>
        </w:rPr>
        <w:t xml:space="preserve">ولو ندبا والنهي عن الواجب العقلي </w:t>
      </w:r>
      <w:r>
        <w:rPr>
          <w:rStyle w:val="FootnoteAnchor"/>
          <w:rtl w:val="true"/>
        </w:rPr>
        <w:footnoteReference w:id="801"/>
      </w:r>
      <w:r>
        <w:rPr>
          <w:rFonts w:ascii="Amiri" w:hAnsi="Amiri" w:eastAsia="Amiri" w:cs="Amiri"/>
          <w:color w:val="111111"/>
          <w:sz w:val="28"/>
          <w:sz w:val="28"/>
          <w:szCs w:val="28"/>
          <w:rtl w:val="true"/>
          <w:lang w:bidi="ar-SA"/>
        </w:rPr>
        <w:t xml:space="preserve">ولو تنزيها </w:t>
      </w:r>
      <w:r>
        <w:rPr>
          <w:rFonts w:eastAsia="Amiri" w:cs="Amiri" w:ascii="Amiri" w:hAnsi="Amiri"/>
          <w:color w:val="111111"/>
          <w:sz w:val="28"/>
          <w:szCs w:val="28"/>
          <w:rtl w:val="true"/>
          <w:lang w:bidi="ar-SA"/>
        </w:rPr>
        <w:t xml:space="preserve">» </w:t>
      </w:r>
      <w:r>
        <w:rPr>
          <w:rStyle w:val="FootnoteAnchor"/>
          <w:rtl w:val="true"/>
        </w:rPr>
        <w:footnoteReference w:id="802"/>
      </w:r>
      <w:r>
        <w:rPr>
          <w:rFonts w:ascii="Amiri" w:hAnsi="Amiri" w:eastAsia="Amiri" w:cs="Amiri"/>
          <w:color w:val="111111"/>
          <w:sz w:val="28"/>
          <w:sz w:val="28"/>
          <w:szCs w:val="28"/>
          <w:rtl w:val="true"/>
          <w:lang w:bidi="ar-SA"/>
        </w:rPr>
        <w:t xml:space="preserve">وعدّ الأقسام المتصوّرة في المقام من الأمر بالمباح أو تحريمه أو إباحة الواجب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القسمان الأوّلان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ريب في امتناعهما بالقياس إلى الحكم الواقعي </w:t>
      </w:r>
      <w:r>
        <w:rPr>
          <w:rFonts w:eastAsia="Amiri" w:cs="Amiri" w:ascii="Amiri" w:hAnsi="Amiri"/>
          <w:color w:val="111111"/>
          <w:sz w:val="28"/>
          <w:szCs w:val="28"/>
          <w:rtl w:val="true"/>
          <w:lang w:bidi="ar-SA"/>
        </w:rPr>
        <w:t xml:space="preserve">» </w:t>
      </w:r>
      <w:r>
        <w:rPr>
          <w:rStyle w:val="FootnoteAnchor"/>
          <w:rtl w:val="true"/>
        </w:rPr>
        <w:footnoteReference w:id="803"/>
      </w:r>
      <w:r>
        <w:rPr>
          <w:rFonts w:ascii="Amiri" w:hAnsi="Amiri" w:eastAsia="Amiri" w:cs="Amiri"/>
          <w:color w:val="111111"/>
          <w:sz w:val="28"/>
          <w:sz w:val="28"/>
          <w:szCs w:val="28"/>
          <w:rtl w:val="true"/>
          <w:lang w:bidi="ar-SA"/>
        </w:rPr>
        <w:t>مع أنّ مقتضى ما ذكره من الدليل هو جواز مثل ذلك أيضا ، فما هو الجواب عنه هو الجواب عن غيره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النقض المذكور ممّا لا يختصّ وروده بهذا الدليل خاصّة ، بل يجري في أكثر الوجوه التي استند إليها ، كما لا يخفى</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فبالحلّ ،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التكاليف لا بدّ وأن تحمل على أحد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على التورية باعتبار إرادة معنى غير ظاهر منها على إطلاقها ، كأن يقال فيما لو أمر بالمسح على الخفّين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يجب عند الخوف على النفس ، والفعل </w:t>
      </w:r>
    </w:p>
    <w:p>
      <w:pPr>
        <w:pStyle w:val="BookText"/>
        <w:rPr/>
      </w:pPr>
      <w:r>
        <w:rPr>
          <w:rFonts w:ascii="Amiri" w:hAnsi="Amiri" w:eastAsia="Amiri" w:cs="Amiri"/>
          <w:color w:val="111111"/>
          <w:sz w:val="28"/>
          <w:sz w:val="28"/>
          <w:szCs w:val="28"/>
          <w:rtl w:val="true"/>
          <w:lang w:bidi="ar-SA"/>
        </w:rPr>
        <w:t>فيه يشتمل على الحسن قطعا ؛ لأنّ الفعل الواقع في مقام الخوف على النفس له وجه يغاير سائر وجوهه ويختلف الحسن والقبح باختلاف الوجوه المتّحدة مع الفعل المنتزع عنه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نظير ذلك في الأخبار بحيث لا يكاد يشوبه الإنكار ، فمن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 قاله الإمام عليه‌السلام فيما سأله السائل عن الوتر من وجوبه ، ثم فسّره بوجوبه على الرسول </w:t>
      </w:r>
      <w:r>
        <w:rPr>
          <w:rStyle w:val="FootnoteAnchor"/>
          <w:rtl w:val="true"/>
        </w:rPr>
        <w:footnoteReference w:id="8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فسّره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أصبت الباطل </w:t>
      </w:r>
      <w:r>
        <w:rPr>
          <w:rFonts w:eastAsia="IRNazanin" w:cs="IRNazanin"/>
          <w:color w:val="111111"/>
          <w:sz w:val="28"/>
          <w:szCs w:val="28"/>
          <w:rtl w:val="true"/>
          <w:lang w:bidi="fa-IR"/>
        </w:rPr>
        <w:t xml:space="preserve">» </w:t>
      </w:r>
      <w:r>
        <w:rPr>
          <w:rStyle w:val="FootnoteAnchor"/>
          <w:rtl w:val="true"/>
        </w:rPr>
        <w:footnoteReference w:id="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الشيخين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إنّهما إمامان عادلان قاسطان كانا على الحقّ وماتا على الحق </w:t>
      </w:r>
      <w:r>
        <w:rPr>
          <w:rFonts w:eastAsia="Amiri" w:cs="Amiri" w:ascii="Amiri" w:hAnsi="Amiri"/>
          <w:color w:val="111111"/>
          <w:sz w:val="28"/>
          <w:szCs w:val="28"/>
          <w:rtl w:val="true"/>
          <w:lang w:bidi="ar-SA"/>
        </w:rPr>
        <w:t xml:space="preserve">» </w:t>
      </w:r>
      <w:r>
        <w:rPr>
          <w:rStyle w:val="FootnoteAnchor"/>
          <w:rtl w:val="true"/>
        </w:rPr>
        <w:footnoteReference w:id="806"/>
      </w:r>
      <w:r>
        <w:rPr>
          <w:rFonts w:ascii="Amiri" w:hAnsi="Amiri" w:eastAsia="Amiri" w:cs="Amiri"/>
          <w:color w:val="111111"/>
          <w:sz w:val="28"/>
          <w:sz w:val="28"/>
          <w:szCs w:val="28"/>
          <w:rtl w:val="true"/>
          <w:lang w:bidi="ar-SA"/>
        </w:rPr>
        <w:t>ثم فسّره بما ينافيه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قبح في ذلك الوجه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حمل الأمر فيها على مجرّد اللفظ وإيجاد صيغة الأمر صورة من غير إرادة معنى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الكذب في الإخبارات من حيث عدم مطابقة نسبة الكلام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بعد فيه أصلا كما 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أنّه لا يستبعد وقوع التكليف بالقبح ويستبعد حمل الأمر في أمثال المقام على الأمر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في مقام التقيّة لا غائلة فيه بوجه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Style w:val="FootnoteAnchor"/>
          <w:rtl w:val="true"/>
        </w:rPr>
        <w:footnoteReference w:id="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جملة من الأوامر الشرعيّة متعلّقة بجملة من الأفعال مشروطة بقصد التقرّب والامتثال حتّى أنّها لو تجرّدت عنها تجرّدت عن وصف الوجوب كالصوم والصلاة والحجّ والزكاة ، فإنّ وقوعها موصوفة بالوجوب الشرعي أو رجحانه مشروط بنيّة القربة ، حتى أنّها لو وقعت بدونها لم تتّصف به ، مع أنّ تلك الأفعال لا تخلو واقعا إمّا أن تكون واجبات عقليّة مطلقا أو بشرط الأمر بها </w:t>
      </w:r>
    </w:p>
    <w:p>
      <w:pPr>
        <w:pStyle w:val="BookText"/>
        <w:rPr/>
      </w:pPr>
      <w:r>
        <w:rPr>
          <w:rFonts w:ascii="Amiri" w:hAnsi="Amiri" w:eastAsia="Amiri" w:cs="Amiri"/>
          <w:color w:val="111111"/>
          <w:sz w:val="28"/>
          <w:sz w:val="28"/>
          <w:szCs w:val="28"/>
          <w:rtl w:val="true"/>
          <w:lang w:bidi="ar-SA"/>
        </w:rPr>
        <w:t xml:space="preserve">ووقوعها بقصد الامتثال ، وعلى التقديرين يثبت المقصود ، أمّا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فلحكم العقل بوجوبها عند عدم قصد الامتثال وحكم الشارع بعدم وجوبه ، وأمّا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فلانتفاء الحسن قبل التكليف وحصوله بعده ، فلم يتفرّع حسن التكليف على حسن الفعل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تحريره بوجه آخر يغايره في الجملة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شكّ في اشتراط جملة من الأفعال بالإتيان على وجه الامتثال ، فمع قطع النظر عن هذا الاشتراط ، فإمّا أن يكون تلك الأفعال مشتملة على حسن يقتضي الأمر بها أو لا ، وعلى التقديرين لا يتمّ الملازمة ، أمّا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فلأنّها لا تجزي عن التكليف الواقعي ، وأمّا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فلأنّها مأمور بها مع أنّه لا حسن فيها ولا تناقض </w:t>
      </w:r>
      <w:r>
        <w:rPr>
          <w:rStyle w:val="FootnoteAnchor"/>
          <w:rtl w:val="true"/>
        </w:rPr>
        <w:footnoteReference w:id="809"/>
      </w:r>
      <w:r>
        <w:rPr>
          <w:rFonts w:ascii="Amiri" w:hAnsi="Amiri" w:eastAsia="Amiri" w:cs="Amiri"/>
          <w:color w:val="111111"/>
          <w:sz w:val="28"/>
          <w:sz w:val="28"/>
          <w:szCs w:val="28"/>
          <w:rtl w:val="true"/>
          <w:lang w:bidi="ar-SA"/>
        </w:rPr>
        <w:t>في البين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يتعلّق بها من حيث اشتراط وجه القربة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الجهات التي يتفرّع عليها التكليف ، ووجه القربة </w:t>
      </w:r>
      <w:r>
        <w:rPr>
          <w:rStyle w:val="FootnoteAnchor"/>
          <w:rtl w:val="true"/>
        </w:rPr>
        <w:footnoteReference w:id="810"/>
      </w:r>
      <w:r>
        <w:rPr>
          <w:rFonts w:ascii="Amiri" w:hAnsi="Amiri" w:eastAsia="Amiri" w:cs="Amiri"/>
          <w:color w:val="111111"/>
          <w:sz w:val="28"/>
          <w:sz w:val="28"/>
          <w:szCs w:val="28"/>
          <w:rtl w:val="true"/>
          <w:lang w:bidi="ar-SA"/>
        </w:rPr>
        <w:t>إنّما يتفرّع على التكليف ، فلا يحصل إلاّ بعد الأمر ، فأخذه في المأمور به يوجب الدور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بكلا تحريريه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فبخروجه عمّا نحن فيه ، إذ الكلام فيما إذا أدركت عقولنا حسن الفعل أو قبحه فهل يكشف عن حكمه الشرعي أم لا على ما عنون به المبحث؟ وذلك إنّما يرد نقضا على الملازمة بين حكمي العقل والشرع ، ولا يرتبط بما نحن فيه </w:t>
      </w:r>
      <w:r>
        <w:rPr>
          <w:rStyle w:val="FootnoteAnchor"/>
          <w:rtl w:val="true"/>
        </w:rPr>
        <w:footnoteReference w:id="811"/>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فنختار أنّها واجبات عقليّة مطلقا مع قطع النظر عن الاشتراط بقصد القربة ، ولا غائلة فيه أصلا ، وبيانه موقوف على مقدّمة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الفعل الواقع عن المكلّف ، له عناوين كثيرة ووجوه عديدة تصلح للحمل عليه ويصحّ انتزاعها منه ، فقد يكون الضرب الصادر من المكلّف معنونا بعنوان حسن </w:t>
      </w:r>
      <w:r>
        <w:rPr>
          <w:rStyle w:val="FootnoteAnchor"/>
          <w:rtl w:val="true"/>
        </w:rPr>
        <w:footnoteReference w:id="812"/>
      </w:r>
      <w:r>
        <w:rPr>
          <w:rFonts w:ascii="Amiri" w:hAnsi="Amiri" w:eastAsia="Amiri" w:cs="Amiri"/>
          <w:color w:val="111111"/>
          <w:sz w:val="28"/>
          <w:sz w:val="28"/>
          <w:szCs w:val="28"/>
          <w:rtl w:val="true"/>
          <w:lang w:bidi="ar-SA"/>
        </w:rPr>
        <w:t xml:space="preserve">حسنا كما إذا كان على وجه التأديب ، وقد يكون ملحوظا بلحاظ آخر موجّها بوجه غيره قبيحا كما إذا كان على وجه التعذيب مثلا </w:t>
      </w:r>
      <w:r>
        <w:rPr>
          <w:rStyle w:val="FootnoteAnchor"/>
          <w:rtl w:val="true"/>
        </w:rPr>
        <w:footnoteReference w:id="813"/>
      </w:r>
      <w:r>
        <w:rPr>
          <w:rFonts w:ascii="Amiri" w:hAnsi="Amiri" w:eastAsia="Amiri" w:cs="Amiri"/>
          <w:color w:val="111111"/>
          <w:sz w:val="28"/>
          <w:sz w:val="28"/>
          <w:szCs w:val="28"/>
          <w:rtl w:val="true"/>
          <w:lang w:bidi="ar-SA"/>
        </w:rPr>
        <w:t xml:space="preserve">، فإذا علمنا العنوان الحسن المنتزع من الفعل بخصوصه تفصيلا فلا كلام ، وإن علمناه إجمالا كأن علمنا أنّ الفعل الفلاني وجها يكون ملحوظا بذلك الوجه حسنا ، ولو كان علمنا أنّ للفعل الفلاني وجها يكون ذلك الفعل </w:t>
      </w:r>
      <w:r>
        <w:rPr>
          <w:rStyle w:val="FootnoteAnchor"/>
          <w:rtl w:val="true"/>
        </w:rPr>
        <w:footnoteReference w:id="814"/>
      </w:r>
      <w:r>
        <w:rPr>
          <w:rFonts w:ascii="Amiri" w:hAnsi="Amiri" w:eastAsia="Amiri" w:cs="Amiri"/>
          <w:color w:val="111111"/>
          <w:sz w:val="28"/>
          <w:sz w:val="28"/>
          <w:szCs w:val="28"/>
          <w:rtl w:val="true"/>
          <w:lang w:bidi="ar-SA"/>
        </w:rPr>
        <w:t xml:space="preserve">ملحوظا بذلك الوجه حسنا </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علمنا بذلك بواسطة أمر الشارع وكشفه عن وجود عنوان الحسن إجمالا فلا ريب أنّ الإتيان بالفعل في الخارج تحصيلا لذلك العنوان المعلوم حسنه إجمالا يجزي عن الأمر به لو كان مأمورا به ، ويحصل الحسن المنتزع من الفعل كما لا يخفى</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فبعض الأفعال لوقوعها مشتركة بين وجوه كثيرة لا بدّ في تعيين واحد منها إلى قصد ذلك الوجه بالخصوص تفصيلا أو إجمالا ، وإليه تنظر العبارة المنقولة عن المتكلمين من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أن يقع الفعل في الخارج إمّا لوجوبه أو لوجه وجوبه </w:t>
      </w:r>
      <w:r>
        <w:rPr>
          <w:rFonts w:eastAsia="Amiri" w:cs="Amiri" w:ascii="Amiri" w:hAnsi="Amiri"/>
          <w:color w:val="111111"/>
          <w:sz w:val="28"/>
          <w:szCs w:val="28"/>
          <w:rtl w:val="true"/>
          <w:lang w:bidi="ar-SA"/>
        </w:rPr>
        <w:t xml:space="preserve">» </w:t>
      </w:r>
      <w:r>
        <w:rPr>
          <w:rStyle w:val="FootnoteAnchor"/>
          <w:rtl w:val="true"/>
        </w:rPr>
        <w:footnoteReference w:id="816"/>
      </w:r>
      <w:r>
        <w:rPr>
          <w:rFonts w:ascii="Amiri" w:hAnsi="Amiri" w:eastAsia="Amiri" w:cs="Amiri"/>
          <w:color w:val="111111"/>
          <w:sz w:val="28"/>
          <w:sz w:val="28"/>
          <w:szCs w:val="28"/>
          <w:rtl w:val="true"/>
          <w:lang w:bidi="ar-SA"/>
        </w:rPr>
        <w:t>فإنّ هذا أحد الوجوه في وجه 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 قد عرفت هذه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نلتزم بأنّ الأفعال المخصوصة التي يعبّر عنها بالصلاة مثلا حسن ، لكن لا على أي وجه حصلت وعلى جميع العناوين المنتزعة عنها ، بل على وجه خاصّ علمنا به إجمالا من أمر الشارع وإن لم نعلم ذلك الوجه بخصوصه ، فهي معنونة بعنوان معلوم بالإجمال حسنه ، ولهذا قد أمر بها الشارع ، والإتيان بها على الوجه المأمور بها يجزي عن الواجب وإن لم يكن الامتثال ظاهرا ، وأمّا واقعا فمرجعه إلى حقيقة الامتثال كما لا يخفى فهي حسنة ومأمور بها فلا مخالفة بين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فنختار أنّها واجبات عقليّة بعد الاشتراط بنيّة القربة وقصد الامتثال ، ولا غائلة أيضا ، وبيانه أيضا يحتاج إلى تقديم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الحكمة الداعية إلى وضع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الكشف عن المقاصد في مقام الإفادة والاستفادة ، وذلك يحصل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المقصود بالإفادة والاستفادة ما هو المفهوم من اللفظ بحسب ما يستفاد منه لغة ، كما هو المتعارف عند العقلاء في أغلب إفاداتهم واستفاداتهم خبرا أو 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المقصود واقعا من إيراد اللفظ وإطلاقه بحسب ما يستفاد منه من الأمور اللازمة للمعنى أو الملزومة له ولو بملاحظة مدلوله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اللفظ في القسم الأوّل طريق للوصول إلى المعنى ، فكذلك المعنى المستفاد من اللفظ في المقام طريق للوصول إليه ، وذلك في الأخبار ظاهر شائع كالمداليل الكنائية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يتحقّق مثل ذلك أيضا ، كما إذا جعل الأمر بشيء عنوانا لمطلوبيّة شيء آخر ، فالمطلوب بحسب ما يعتقده المكلّف هو ما تعلّق </w:t>
      </w:r>
    </w:p>
    <w:p>
      <w:pPr>
        <w:pStyle w:val="BookText"/>
        <w:rPr/>
      </w:pPr>
      <w:r>
        <w:rPr>
          <w:rFonts w:ascii="Amiri" w:hAnsi="Amiri" w:eastAsia="Amiri" w:cs="Amiri"/>
          <w:color w:val="111111"/>
          <w:sz w:val="28"/>
          <w:sz w:val="28"/>
          <w:szCs w:val="28"/>
          <w:rtl w:val="true"/>
          <w:lang w:bidi="ar-SA"/>
        </w:rPr>
        <w:t xml:space="preserve">الأمر به لفظا ، إلاّ أنّ المحبوب واقعا ربما يكون شيئا آخر ولو بعمومه ، فيختلف المقصود المسوق للكلام والمستفاد من الأمر بحسب ما تعلّق به ظاهرا في مقام اللفظ ، كما إذا أمر المولى بضرب زيد مثلا أو إكرام عمرو ، فإنّه ربما يقال باختلاف المقصود والمطلوب ظاهرا من حيث إنّ الطلب لا يتعلّق إلاّ بالامور الاختياريّة للمكلّف ، ومع ذلك فيمكن الحكم بالإجزاء فيما لو أكرم عمرا من غير اختيار ومن دون قصد إليه ؛ لأنّ عدم تناول الطلب للامور الاضطراريّة التي لا تقع باختيار المكلّف إنّما هو من جهة قصور في الطلب ، وإلاّ فاللفظ المفيد لما تعلّق به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 به السكّاكي </w:t>
      </w:r>
      <w:r>
        <w:rPr>
          <w:rStyle w:val="FootnoteAnchor"/>
          <w:rtl w:val="true"/>
        </w:rPr>
        <w:footnoteReference w:id="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يعمّ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فاختلاف أحكام المقصود والمطلوب أمر ظاهر لا يكاد يخفى على أوائل العقول ، وإذ قد تقرّر هذه ، فنقول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الفعل مجرّدا عن الاشتراط بنيّة القربة غير واجد لحسن ملزم للأمر به وكان بعد الأخذ بها حسنا مقتضيا للأمر ولا يمكن الأمر به على وجه يكون الاشتراط بها مأخوذا في الفعل نظرا إلى محذور الدور ، انحصر الطريق في الأمر به أوّلا على وجه يكون نفس الفعل متعلّقا للأمر اللفظي مجرّدا عن اعتبار الاشتراط والقيد ، ليصحّ التقييد بالاشتراط بعد ذلك الأمر ، فالحيلة في الوصول إلى ما هو المقصود واقعا إنّما هو تعلّق الأمر لفظا بما هو مجرّد عن قيد المطلوب ثم التقييد بعد ذلك ، فالمقصود من الأمر بالصلاة هو التقرّب بها ، فإنّ </w:t>
      </w:r>
      <w:r>
        <w:rPr>
          <w:rStyle w:val="FootnoteAnchor"/>
          <w:rtl w:val="true"/>
        </w:rPr>
        <w:footnoteReference w:id="818"/>
      </w:r>
      <w:r>
        <w:rPr>
          <w:rFonts w:ascii="Amiri" w:hAnsi="Amiri" w:eastAsia="Amiri" w:cs="Amiri"/>
          <w:color w:val="111111"/>
          <w:sz w:val="28"/>
          <w:sz w:val="28"/>
          <w:szCs w:val="28"/>
          <w:rtl w:val="true"/>
          <w:lang w:bidi="ar-SA"/>
        </w:rPr>
        <w:t xml:space="preserve">المطلوب الظاهري هو مجرّد فعل الصلاة ، فما هو متعلّق للأمر الواقعي والطلب الحقيقي </w:t>
      </w:r>
    </w:p>
    <w:p>
      <w:pPr>
        <w:pStyle w:val="BookText"/>
        <w:rPr/>
      </w:pPr>
      <w:r>
        <w:rPr>
          <w:rFonts w:ascii="Amiri" w:hAnsi="Amiri" w:eastAsia="Amiri" w:cs="Amiri"/>
          <w:color w:val="111111"/>
          <w:sz w:val="28"/>
          <w:sz w:val="28"/>
          <w:szCs w:val="28"/>
          <w:rtl w:val="true"/>
          <w:lang w:bidi="ar-SA"/>
        </w:rPr>
        <w:t>حسن قطعا ، وما هو مأمور به في مقام اللفظ لا دليل على لزوم كونه حسنا ولا يدّعيه القائل بالملازمة أيضا على 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Style w:val="FootnoteAnchor"/>
          <w:rtl w:val="true"/>
        </w:rPr>
        <w:footnoteReference w:id="8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عدم تعلّق بعض التكاليف بهذه الامّة </w:t>
      </w:r>
      <w:r>
        <w:rPr>
          <w:rStyle w:val="FootnoteAnchor"/>
          <w:rtl w:val="true"/>
        </w:rPr>
        <w:footnoteReference w:id="820"/>
      </w:r>
      <w:r>
        <w:rPr>
          <w:rFonts w:ascii="Amiri" w:hAnsi="Amiri" w:eastAsia="Amiri" w:cs="Amiri"/>
          <w:color w:val="111111"/>
          <w:sz w:val="28"/>
          <w:sz w:val="28"/>
          <w:szCs w:val="28"/>
          <w:rtl w:val="true"/>
          <w:lang w:bidi="ar-SA"/>
        </w:rPr>
        <w:t xml:space="preserve">رفعا للكلفة والمشقّة عنهم ، كقوله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لا أن أشقّ على أمّتي لأمرتهم بالسواك عقيب كلّ صلاة </w:t>
      </w:r>
      <w:r>
        <w:rPr>
          <w:rFonts w:eastAsia="Amiri" w:cs="Amiri" w:ascii="Amiri" w:hAnsi="Amiri"/>
          <w:color w:val="111111"/>
          <w:sz w:val="28"/>
          <w:szCs w:val="28"/>
          <w:rtl w:val="true"/>
          <w:lang w:bidi="ar-SA"/>
        </w:rPr>
        <w:t xml:space="preserve">» </w:t>
      </w:r>
      <w:r>
        <w:rPr>
          <w:rStyle w:val="FootnoteAnchor"/>
          <w:rtl w:val="true"/>
        </w:rPr>
        <w:footnoteReference w:id="821"/>
      </w:r>
      <w:r>
        <w:rPr>
          <w:rFonts w:ascii="Amiri" w:hAnsi="Amiri" w:eastAsia="Amiri" w:cs="Amiri"/>
          <w:color w:val="111111"/>
          <w:sz w:val="28"/>
          <w:sz w:val="28"/>
          <w:szCs w:val="28"/>
          <w:rtl w:val="true"/>
          <w:lang w:bidi="ar-SA"/>
        </w:rPr>
        <w:t xml:space="preserve">فإنّ وجود المشقّة في الفعل قد يقدح في حسن الإلزام به وإن لم يقدح في حسن أصل الفعل ، وذلك حيث لا يكون هناك ما يحسن الابتلاء ولا يكون في الفعل مزيد حسن بحيث يرجّح الإلزام به مع المشقّة كما في الجهاد ، فالفعل الشاقّ قد يكون حسنا بل واجبا عقليّا لكن لا يحسن الإلزام به لما فيه من التضييق على المكلّفين مع قضاء الحكمة بعدمه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تحريره بوجهين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الأدلّة الدالة </w:t>
      </w:r>
      <w:r>
        <w:rPr>
          <w:rStyle w:val="FootnoteAnchor"/>
          <w:rtl w:val="true"/>
        </w:rPr>
        <w:footnoteReference w:id="823"/>
      </w:r>
      <w:r>
        <w:rPr>
          <w:rFonts w:ascii="Amiri" w:hAnsi="Amiri" w:eastAsia="Amiri" w:cs="Amiri"/>
          <w:color w:val="111111"/>
          <w:sz w:val="28"/>
          <w:sz w:val="28"/>
          <w:szCs w:val="28"/>
          <w:rtl w:val="true"/>
          <w:lang w:bidi="ar-SA"/>
        </w:rPr>
        <w:t xml:space="preserve">على رفع الحرج عن هذه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يعطي النظر في مساقها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إنّما هي واردة في مقام الامتنان عليهم ، فتلك التكاليف التي تفرّدت تلك الأمّة المرحومة بالعفو عنها لا تخلو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تكون حسنة في الواقع على وجه يقتضي الأمر بها إلزاما ، أو لا ، فعلى الأوّل يلازم القول بانتفاء الملازمة ، وعلى الثاني ينافي الامتنان ، فإنّ ترك الإلزام بما لا ملزم فيه لا يعدّ امتنانا بل التكليف الإلزامي حينئذ يعدّ قبيحا ، ولا امتنان في ترك القبيح ؛ مع أنّه قد </w:t>
      </w:r>
    </w:p>
    <w:p>
      <w:pPr>
        <w:pStyle w:val="BookText"/>
        <w:rPr/>
      </w:pPr>
      <w:r>
        <w:rPr>
          <w:rFonts w:ascii="Amiri" w:hAnsi="Amiri" w:eastAsia="Amiri" w:cs="Amiri"/>
          <w:color w:val="111111"/>
          <w:sz w:val="28"/>
          <w:sz w:val="28"/>
          <w:szCs w:val="28"/>
          <w:rtl w:val="true"/>
          <w:lang w:bidi="ar-SA"/>
        </w:rPr>
        <w:t xml:space="preserve">منّ اللّه تعالى ببركات نبيّنا نبيّ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وآله من الصلاة أزكاها ومن السلام أفضلها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الأمّة بترك الإلزام بها ، على ما يستفاد من جملة من الأخبار الواردة في هذا المضمار </w:t>
      </w:r>
      <w:r>
        <w:rPr>
          <w:rStyle w:val="FootnoteAnchor"/>
          <w:rtl w:val="true"/>
        </w:rPr>
        <w:footnoteReference w:id="824"/>
      </w:r>
      <w:r>
        <w:rPr>
          <w:rFonts w:ascii="Amiri" w:hAnsi="Amiri" w:eastAsia="Amiri" w:cs="Amiri"/>
          <w:color w:val="111111"/>
          <w:sz w:val="28"/>
          <w:sz w:val="28"/>
          <w:szCs w:val="28"/>
          <w:rtl w:val="true"/>
          <w:lang w:bidi="ar-SA"/>
        </w:rPr>
        <w:t>، كما لا يخفى على من 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لا أن أشقّ على أمّتي </w:t>
      </w:r>
      <w:r>
        <w:rPr>
          <w:rFonts w:eastAsia="Amiri" w:cs="Amiri" w:ascii="Amiri" w:hAnsi="Amiri"/>
          <w:color w:val="111111"/>
          <w:sz w:val="28"/>
          <w:szCs w:val="28"/>
          <w:rtl w:val="true"/>
          <w:lang w:bidi="ar-SA"/>
        </w:rPr>
        <w:t xml:space="preserve">... » </w:t>
      </w:r>
      <w:r>
        <w:rPr>
          <w:rStyle w:val="FootnoteAnchor"/>
          <w:rtl w:val="true"/>
        </w:rPr>
        <w:footnoteReference w:id="825"/>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لأخّرت العتمة إلى ثلث الليل </w:t>
      </w:r>
      <w:r>
        <w:rPr>
          <w:rFonts w:eastAsia="Amiri" w:cs="Amiri" w:ascii="Amiri" w:hAnsi="Amiri"/>
          <w:color w:val="111111"/>
          <w:sz w:val="28"/>
          <w:szCs w:val="28"/>
          <w:rtl w:val="true"/>
          <w:lang w:bidi="ar-SA"/>
        </w:rPr>
        <w:t xml:space="preserve">» </w:t>
      </w:r>
      <w:r>
        <w:rPr>
          <w:rStyle w:val="FootnoteAnchor"/>
          <w:rtl w:val="true"/>
        </w:rPr>
        <w:footnoteReference w:id="826"/>
      </w:r>
      <w:r>
        <w:rPr>
          <w:rFonts w:ascii="Amiri" w:hAnsi="Amiri" w:eastAsia="Amiri" w:cs="Amiri"/>
          <w:color w:val="111111"/>
          <w:sz w:val="28"/>
          <w:sz w:val="28"/>
          <w:szCs w:val="28"/>
          <w:rtl w:val="true"/>
          <w:lang w:bidi="ar-SA"/>
        </w:rPr>
        <w:t>ونحوه أنّ ترك التكليف بهذه الأفعال إنّما هو بواسطة عدم إلقائهم في المشقّة بعد ما هو يقتضي التكليف ، نظرا إلى ما هو المعهود من طريقة العقلاء حيث يستندون في عدم المعلول إلى عدم المقتضي فيما لو اجتمع مع وجود المانع ، وإنّما يحسن الاستناد إليه بعد إحراز المقتضي ، وإلاّ فينسب كلام القائل به إلى كلمات أصحاب الهزل والظرافة ، أو يلحق بكلمات أرباب السوداء والجنون ، فاللازم لذلك وجود الحسن في تلك الأفعال مع عدم الأمر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أمّا عن التحرير الأوّل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فبأنّه خارج عن العنوان ، إذ لا كلام فيما لا </w:t>
      </w:r>
      <w:r>
        <w:rPr>
          <w:rStyle w:val="FootnoteAnchor"/>
          <w:rtl w:val="true"/>
        </w:rPr>
        <w:footnoteReference w:id="827"/>
      </w:r>
      <w:r>
        <w:rPr>
          <w:rFonts w:ascii="Amiri" w:hAnsi="Amiri" w:eastAsia="Amiri" w:cs="Amiri"/>
          <w:color w:val="111111"/>
          <w:sz w:val="28"/>
          <w:sz w:val="28"/>
          <w:szCs w:val="28"/>
          <w:rtl w:val="true"/>
          <w:lang w:bidi="ar-SA"/>
        </w:rPr>
        <w:t>يستقلّ العقل بإدراكه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ثانيا فبالمعارضة ، إذ لو كان التكليف في تلك الأفعال قبيحا فلا امتنان في ترك القبيح ولو كان حسنا ، فلا ملازمة بين حسن التكليف ووقوعه على ما زعمه ، فهذا الإيراد على صحته مشترك الورود ، ولا بدّ لكلّ من الفريقين من التفصّي عنه ، فلا يصلح نقضا للملازمة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العسر واليسر من وجوه الفعل واعتباراته ، فيجوز أن يكون الفعل باعتبار العسر قبيحا فلا يكون مكلّفا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إشكال الامتنان فستعرف الحلّ منه على المذهبين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عدم ورود هذه الإيرادات على التحرير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المخبر الصادق قد كشف عن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فالقطع حاصل بحسنه ، مع أنّه لا تكليف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الظاهر من الرواية عدم كون الفعل شاقّا ، بل المشقّة إنّما تحصل من الإلزام به ، كما يظهر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استند </w:t>
      </w:r>
      <w:r>
        <w:rPr>
          <w:rStyle w:val="FootnoteAnchor"/>
          <w:rtl w:val="true"/>
        </w:rPr>
        <w:footnoteReference w:id="828"/>
      </w:r>
      <w:r>
        <w:rPr>
          <w:rFonts w:ascii="Amiri" w:hAnsi="Amiri" w:eastAsia="Amiri" w:cs="Amiri"/>
          <w:color w:val="111111"/>
          <w:sz w:val="28"/>
          <w:sz w:val="28"/>
          <w:szCs w:val="28"/>
          <w:rtl w:val="true"/>
          <w:lang w:bidi="ar-SA"/>
        </w:rPr>
        <w:t>مشقّتهم إلى نفسه صلى‌اللّه‌عليه‌وآله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يرد عليه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غاية ما يمكن أن يستفاد من هذه الأخبار هو الظنّ والظاهر يدفع بالقاطع ، فإنّ الدليل الدالّ على الملازمة قطعيّ ولا يعارضه خبر الواحد بل ولا المتواتر لفظا ، فلا بدّ إمّا من حمله على خلاف ظاهره ، 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المشقّة في تلك التكاليف إنّما هي من وجوه المكلّف به ، فبعد العسر والمشقّة لا يكون حسنا ، فلا مخالفة أو من طرحه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 لا يصحّ ترك الدليل العقليّ والأخذ برواية في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وفي دلالتها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كلام ، فهذه الكلمات في دفع الملازمة لو خيطت من ألف جانب لتهتّك من ألف جانب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جملة من الأخبار الدالّة على تفويض الأحكام إلى النبي صلى‌اللّه‌عليه‌وآله وأوصيائه عليهم‌السلام </w:t>
      </w:r>
      <w:r>
        <w:rPr>
          <w:rStyle w:val="FootnoteAnchor"/>
          <w:rtl w:val="true"/>
        </w:rPr>
        <w:footnoteReference w:id="829"/>
      </w:r>
      <w:r>
        <w:rPr>
          <w:rFonts w:ascii="Amiri" w:hAnsi="Amiri" w:eastAsia="Amiri" w:cs="Amiri"/>
          <w:color w:val="111111"/>
          <w:sz w:val="28"/>
          <w:sz w:val="28"/>
          <w:szCs w:val="28"/>
          <w:rtl w:val="true"/>
          <w:lang w:bidi="ar-SA"/>
        </w:rPr>
        <w:t xml:space="preserve">محمولة على وجوب اتّباع النبيّ صلى‌اللّه‌عليه‌وآله فيما لو أمر لداع غير التبليغ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إيصال العباد إلى جميع المصالح المكنونة قليلها وكثيرها من غير أن يفوّت منهم مثلا شيئا منها ، ومن هنا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وفرض رسوله ، فيجوز أن يكون الأمر المفروض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استناده إلى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فرائضه من غير أن يكون تبليغا منه صلى‌اللّه‌عليه‌وآله ، فالفعل بعد الأمر من النبيّ صلى‌اللّه‌عليه‌وآله يصير حسنا فيجب ، فأمره في الحقيقة محقّق لموضوع الواجب العقلي والشرعي كالنذر وأمر الوالد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علم النبيّ صلى‌اللّه‌عليه‌وآله وحكمته بعد ما عرفت من أنّه ربما يكون الداعي استيفاء جميع المصالح لهم ،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الإشكال الوارد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مقام الامتنان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التفصّي عنه على المذهبين ، أمّا على مذهب الناقض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التكليف وإن كان حسنا ، إلاّ أنّ ترك التكليف أحسن ، للامتنان </w:t>
      </w:r>
      <w:r>
        <w:rPr>
          <w:rStyle w:val="FootnoteAnchor"/>
          <w:rtl w:val="true"/>
        </w:rPr>
        <w:footnoteReference w:id="830"/>
      </w:r>
      <w:r>
        <w:rPr>
          <w:rFonts w:ascii="Amiri" w:hAnsi="Amiri" w:eastAsia="Amiri" w:cs="Amiri"/>
          <w:color w:val="111111"/>
          <w:sz w:val="28"/>
          <w:sz w:val="28"/>
          <w:szCs w:val="28"/>
          <w:rtl w:val="true"/>
          <w:lang w:bidi="ar-SA"/>
        </w:rPr>
        <w:t>على نهج العفو فيمن يستحقّ العقوبة ، فإنّها عدل لكن العفو أولى</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القول بأنّ فعل الأحسن بعد ما كان كذلك لا امتنان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وجوب </w:t>
      </w:r>
      <w:r>
        <w:rPr>
          <w:rStyle w:val="FootnoteAnchor"/>
          <w:rtl w:val="true"/>
        </w:rPr>
        <w:footnoteReference w:id="831"/>
      </w:r>
      <w:r>
        <w:rPr>
          <w:rFonts w:ascii="Amiri" w:hAnsi="Amiri" w:eastAsia="Amiri" w:cs="Amiri"/>
          <w:color w:val="111111"/>
          <w:sz w:val="28"/>
          <w:sz w:val="28"/>
          <w:szCs w:val="28"/>
          <w:rtl w:val="true"/>
          <w:lang w:bidi="ar-SA"/>
        </w:rPr>
        <w:t xml:space="preserve">صدور الأحسن منه تعالى ، فهو في مقام الربوبيّة وعدم جواز صدور </w:t>
      </w:r>
    </w:p>
    <w:p>
      <w:pPr>
        <w:pStyle w:val="BookText"/>
        <w:rPr/>
      </w:pPr>
      <w:r>
        <w:rPr>
          <w:rFonts w:ascii="Amiri" w:hAnsi="Amiri" w:eastAsia="Amiri" w:cs="Amiri"/>
          <w:color w:val="111111"/>
          <w:sz w:val="28"/>
          <w:sz w:val="28"/>
          <w:szCs w:val="28"/>
          <w:rtl w:val="true"/>
          <w:lang w:bidi="ar-SA"/>
        </w:rPr>
        <w:t xml:space="preserve">القبيح منه لا امتنان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فواه جدّا ، فإنّ عدم صدور القبيح منه تعالى إنّما هو لغنائه ، لا لشيء آخر على وجه يضطر إليه ، فإنّ امتناع القبيح لصارف يؤكّد الامتنان ، حيث إنّ اتّصافه </w:t>
      </w:r>
      <w:r>
        <w:rPr>
          <w:rStyle w:val="FootnoteAnchor"/>
          <w:rtl w:val="true"/>
        </w:rPr>
        <w:footnoteReference w:id="832"/>
      </w:r>
      <w:r>
        <w:rPr>
          <w:rFonts w:ascii="Amiri" w:hAnsi="Amiri" w:eastAsia="Amiri" w:cs="Amiri"/>
          <w:color w:val="111111"/>
          <w:sz w:val="28"/>
          <w:sz w:val="28"/>
          <w:szCs w:val="28"/>
          <w:rtl w:val="true"/>
          <w:lang w:bidi="ar-SA"/>
        </w:rPr>
        <w:t xml:space="preserve">بذلك أيضا من أعظم المنن </w:t>
      </w:r>
      <w:r>
        <w:rPr>
          <w:rStyle w:val="FootnoteAnchor"/>
          <w:rtl w:val="true"/>
        </w:rPr>
        <w:footnoteReference w:id="833"/>
      </w:r>
      <w:r>
        <w:rPr>
          <w:rFonts w:ascii="Amiri" w:hAnsi="Amiri" w:eastAsia="Amiri" w:cs="Amiri"/>
          <w:color w:val="111111"/>
          <w:sz w:val="28"/>
          <w:sz w:val="28"/>
          <w:szCs w:val="28"/>
          <w:rtl w:val="true"/>
          <w:lang w:bidi="ar-SA"/>
        </w:rPr>
        <w:t>، كما أنّ فيّاضيّته على وجه الإطلاق محض الامتنان على العباد ، وإلاّ فلا وجه لعدّ الوجود من أعظم نعمائه التي منّ بها على خلقه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مشرب التحقيق ، فبأن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حسن الفعل قد يتدارك بوجوه أخر ويحرز بجهات أخرى على الوجه الأتمّ الأكمل من غير تكليف إذا اقتضى المصلحة لذلك ، كما في الحكم بإفطار الصوم في السفر ، فإنّ التنعّم بنعمه في السفر </w:t>
      </w:r>
      <w:r>
        <w:rPr>
          <w:rStyle w:val="FootnoteAnchor"/>
          <w:rtl w:val="true"/>
        </w:rPr>
        <w:footnoteReference w:id="834"/>
      </w:r>
      <w:r>
        <w:rPr>
          <w:rFonts w:ascii="Amiri" w:hAnsi="Amiri" w:eastAsia="Amiri" w:cs="Amiri"/>
          <w:color w:val="111111"/>
          <w:sz w:val="28"/>
          <w:sz w:val="28"/>
          <w:szCs w:val="28"/>
          <w:rtl w:val="true"/>
          <w:lang w:bidi="ar-SA"/>
        </w:rPr>
        <w:t xml:space="preserve">عند المشقّة قد يوجب شكر المنعم والخضوع لوجهه الكريم المنّان المشتمل على أكمل المصالح وأتمّ الفوائد ، فرفع التكليف والإحسان بما لا يستحقّه من مجازاته تعالى له بجزائه الجميل ممّا لا يقدر العاقل بإحصاء </w:t>
      </w:r>
      <w:r>
        <w:rPr>
          <w:rStyle w:val="FootnoteAnchor"/>
          <w:rtl w:val="true"/>
        </w:rPr>
        <w:footnoteReference w:id="835"/>
      </w:r>
      <w:r>
        <w:rPr>
          <w:rFonts w:ascii="Amiri" w:hAnsi="Amiri" w:eastAsia="Amiri" w:cs="Amiri"/>
          <w:color w:val="111111"/>
          <w:sz w:val="28"/>
          <w:sz w:val="28"/>
          <w:szCs w:val="28"/>
          <w:rtl w:val="true"/>
          <w:lang w:bidi="ar-SA"/>
        </w:rPr>
        <w:t>وجوه امتنانه عمّا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أفاد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إفاداته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يخفى عدم اندفاع النقض على المذهبين بذلك وإن حلّ الإشكال به ، فتدبّر</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Style w:val="FootnoteAnchor"/>
          <w:rtl w:val="true"/>
        </w:rPr>
        <w:footnoteReference w:id="8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كثيرا من الأحكام المقرّرة في الشريعة معلّلة في الحقيقة ظنّا أو احتمالا بِحِكَمٍ غير مطّردة في مواردها ، ومع ذلك فقد حافظ الشارع على عمومها وكلّيتها حذرا من الأداء إلى الاختلال بموارد الحِكَم ، </w:t>
      </w:r>
    </w:p>
    <w:p>
      <w:pPr>
        <w:pStyle w:val="BookText"/>
        <w:rPr/>
      </w:pPr>
      <w:r>
        <w:rPr>
          <w:rFonts w:ascii="Amiri" w:hAnsi="Amiri" w:eastAsia="Amiri" w:cs="Amiri"/>
          <w:color w:val="111111"/>
          <w:sz w:val="28"/>
          <w:sz w:val="28"/>
          <w:szCs w:val="28"/>
          <w:rtl w:val="true"/>
          <w:lang w:bidi="ar-SA"/>
        </w:rPr>
        <w:t xml:space="preserve">كتشريع العدّة المعلّلة بحفظ الأنساب ونحوه ، فالفعل في الموارد المنفكّة عن العلّة خال عن المصلحة مع اطّراد الحكم واختصاص الحكمة بالبعض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والجواب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عرفت مرارا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نسلّم كون تلك الحكم علّة للحكم الشرعي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ولولاها لزم التخلّف ، بل تلك الحكم إنّما هي تقريبات لأذهان المخاطبين لمناسبة جزئيّة ، أو علل لتشريع الحكم وإظهاره وإبرازه كما في شأن نزول الآيات القرآنية ، فإنّ المصالح الكامنة في الأشياء المقتضية للأمر بها والنهي عنها ممّا لا يعلمها إلاّ اللّه والراسخون في العلم من امنائه وخلفائه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تخيّله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كفاية الاحتمال فيما يراه </w:t>
      </w:r>
      <w:r>
        <w:rPr>
          <w:rStyle w:val="FootnoteAnchor"/>
          <w:rtl w:val="true"/>
        </w:rPr>
        <w:footnoteReference w:id="838"/>
      </w:r>
      <w:r>
        <w:rPr>
          <w:rFonts w:ascii="Amiri" w:hAnsi="Amiri" w:eastAsia="Amiri" w:cs="Amiri"/>
          <w:color w:val="111111"/>
          <w:sz w:val="28"/>
          <w:sz w:val="28"/>
          <w:szCs w:val="28"/>
          <w:rtl w:val="true"/>
          <w:lang w:bidi="ar-SA"/>
        </w:rPr>
        <w:t xml:space="preserve">من نفي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إليه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ظنّا أو احتمالا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به أخيرا في ذيل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سهو عن قلمه أو غفلة عن قواعد المناظرة ، فإنّ الناقض لا بدّ وأن يكون في مقام النقض موردا لمورد يخالف مقصود خصمه قطعا ولا يكفيه الاحتمال ، نعم المانع يكفيه الاحتمال في قبال الاستدلال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فمن يقول بالملازمة فإن منعها مانع بتجويز أمثال ذلك فلا بدّ لنا </w:t>
      </w:r>
      <w:r>
        <w:rPr>
          <w:rStyle w:val="FootnoteAnchor"/>
          <w:rtl w:val="true"/>
        </w:rPr>
        <w:footnoteReference w:id="839"/>
      </w:r>
      <w:r>
        <w:rPr>
          <w:rFonts w:ascii="Amiri" w:hAnsi="Amiri" w:eastAsia="Amiri" w:cs="Amiri"/>
          <w:color w:val="111111"/>
          <w:sz w:val="28"/>
          <w:sz w:val="28"/>
          <w:szCs w:val="28"/>
          <w:rtl w:val="true"/>
          <w:lang w:bidi="ar-SA"/>
        </w:rPr>
        <w:t xml:space="preserve">من إحكام الدليل الدالّ على الملازمة وسدّ باب الاحتمال بإقامة البراهين القطعيّة ، وإن نقضها الناقض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المورد الكذائي قد تخلّف فيه الحكم المذكور فلا بدّ له من إتيانه بمورد قطعيّ المخالفة ، وعلينا إمّا إصلاحه أو الالتزام </w:t>
      </w:r>
    </w:p>
    <w:p>
      <w:pPr>
        <w:pStyle w:val="BookText"/>
        <w:rPr/>
      </w:pPr>
      <w:r>
        <w:rPr>
          <w:rFonts w:ascii="Amiri" w:hAnsi="Amiri" w:eastAsia="Amiri" w:cs="Amiri"/>
          <w:color w:val="111111"/>
          <w:sz w:val="28"/>
          <w:sz w:val="28"/>
          <w:szCs w:val="28"/>
          <w:rtl w:val="true"/>
          <w:lang w:bidi="ar-SA"/>
        </w:rPr>
        <w:t>بمقالته ، ومن الظاهر أنّ الوجوه التي استند إليها في عدم ثبوت الملازمة إنّما هو أوردها على وجه النقض كما لا يخفى ، فلا وجه حينئذ لإبداء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يحتمل أن يكون اطّراد تلك الأحكام بواسطة حسن في التكليف كذلك يحتمل أن يكون بواسطة حسن في الفعل المكلّف به في غير الموارد الموجود فيها العلّة ؛ لأنّ اشتمال فرد على مصلحة من </w:t>
      </w:r>
      <w:r>
        <w:rPr>
          <w:rStyle w:val="FootnoteAnchor"/>
          <w:rtl w:val="true"/>
        </w:rPr>
        <w:footnoteReference w:id="840"/>
      </w:r>
      <w:r>
        <w:rPr>
          <w:rFonts w:ascii="Amiri" w:hAnsi="Amiri" w:eastAsia="Amiri" w:cs="Amiri"/>
          <w:color w:val="111111"/>
          <w:sz w:val="28"/>
          <w:sz w:val="28"/>
          <w:szCs w:val="28"/>
          <w:rtl w:val="true"/>
          <w:lang w:bidi="ar-SA"/>
        </w:rPr>
        <w:t xml:space="preserve">طبيعة ممّا يجدي </w:t>
      </w:r>
      <w:r>
        <w:rPr>
          <w:rStyle w:val="FootnoteAnchor"/>
          <w:rtl w:val="true"/>
        </w:rPr>
        <w:footnoteReference w:id="841"/>
      </w:r>
      <w:r>
        <w:rPr>
          <w:rFonts w:ascii="Amiri" w:hAnsi="Amiri" w:eastAsia="Amiri" w:cs="Amiri"/>
          <w:color w:val="111111"/>
          <w:sz w:val="28"/>
          <w:sz w:val="28"/>
          <w:szCs w:val="28"/>
          <w:rtl w:val="true"/>
          <w:lang w:bidi="ar-SA"/>
        </w:rPr>
        <w:t>في انتزاع عنوان عن فرد مماثل له في النوع ، فيصير ذلك العنوان من وجوه ذلك الفرد ، ويحتمل أن يكون حسنا فيصير مأمورا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فلا دليل على انحصار المصلحة في شيء بخصوصه ، فلعلّ الحكم في الأفراد الغير الواجدة لتلك الحكم مستند إلى علّة عامّة لغيرها أيضا أو </w:t>
      </w:r>
      <w:r>
        <w:rPr>
          <w:rStyle w:val="FootnoteAnchor"/>
          <w:rtl w:val="true"/>
        </w:rPr>
        <w:footnoteReference w:id="842"/>
      </w:r>
      <w:r>
        <w:rPr>
          <w:rFonts w:ascii="Amiri" w:hAnsi="Amiri" w:eastAsia="Amiri" w:cs="Amiri"/>
          <w:color w:val="111111"/>
          <w:sz w:val="28"/>
          <w:sz w:val="28"/>
          <w:szCs w:val="28"/>
          <w:rtl w:val="true"/>
          <w:lang w:bidi="ar-SA"/>
        </w:rPr>
        <w:t>يخصّ بها ، ولعمري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يرضى العاقل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بالاستناد إلى مثل هذه الوجوه في دفع ما قد اتّفقت العدليّة عليه؟ كما سنبيّنه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w:t>
      </w:r>
      <w:r>
        <w:rPr>
          <w:rStyle w:val="FootnoteAnchor"/>
          <w:rtl w:val="true"/>
        </w:rPr>
        <w:footnoteReference w:id="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 المراهق إذا كان لطيف القريحة كامل العقل تثبت في حقّه الأحكام العقليّة ، مع أنّه لا يجب عليه شرعا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الالتزام بالأحكام الشرعيّة في حقه أيضا بعد ما أدرك الحكم العقلي كحرمة الظلم أو وجوب ردّ الوديعة ، غاية ما في الباب عفوه ثابت بالشرع تفضّلا كما في المعاصي الصغيرة مثلا ؛ مع أنّ الحكم بثبوت العفو </w:t>
      </w:r>
    </w:p>
    <w:p>
      <w:pPr>
        <w:pStyle w:val="BookText"/>
        <w:rPr/>
      </w:pPr>
      <w:r>
        <w:rPr>
          <w:rFonts w:ascii="Amiri" w:hAnsi="Amiri" w:eastAsia="Amiri" w:cs="Amiri"/>
          <w:color w:val="111111"/>
          <w:sz w:val="28"/>
          <w:sz w:val="28"/>
          <w:szCs w:val="28"/>
          <w:rtl w:val="true"/>
          <w:lang w:bidi="ar-SA"/>
        </w:rPr>
        <w:t xml:space="preserve">في بعض المقامات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فرضنا فيما لو قتل الصبيّ قبل بلوغه ساعة مع كمال عقله وإدراكه نبيّا أو وصيّ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الصعوبة ، فإنّه ربما يخالف العدل على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كلّما أدرك العقل أنّ الفعل الفلاني ممّا يترتّب عليه الثواب بمعنى جزاء الخير ، أو العقاب بمعنى جزاء الشرّ ، أو لا يترتّب عليه شيء منهما عند العقلاء والحكماء ، فيمتنع أن يكون حكم الشارع الذي هو خالق العقلاء الحكماء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التوضيح فلاحظ المباح العقلي هل يصحّ أن يحكم الشارع بوجوبه أو حرمته أو لا يصحّ؟ وقس عليه البواقي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بعد ما أدرك العقل جهات الفعل ولم يحكم بوجوبه أو حرمته أو استحبابه أو كراهته وحكم بإباحته ، فإيجاب الشارع الحكيم له لا يخلو عن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لحسن فيه قبل الأمر والمفروض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لحسن فيه بعد الأمر على وجه يتفرّع عليه التكليف ، فالأمر فيه محقّق لعنوان حسن مطلوب حقيقة هو مأمور به واقعا كما في الأوامر التعبّديّة كالصلاة والزكاة ، فإنّ بعد الأمر يحصل عنوان حسن غير الامتثال هو يصير مأمورا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حسن الامتثال فلا يتفرّع عليه التكليف بل الامتثال يتفرّع عليه ، فلا يصلح وجها لتعلّق التكليف بالفعل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وإمّا الابتلاء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كما أورده القوشجي على المحقّق الطوسي في بيان كلامه </w:t>
      </w:r>
      <w:r>
        <w:rPr>
          <w:rStyle w:val="FootnoteAnchor"/>
          <w:rtl w:val="true"/>
        </w:rPr>
        <w:footnoteReference w:id="8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وإرادة القبيح قبيحة وكذا ترك إرادة الحسن ، فأمّا مع العلم فلا وجه له ، وأمّا مع الجهل فالامتثال به أيضا لا حسن فيه ؛ لأنّ حسن الامتثال إنّما هو من حيث تحصيل محبوب المولى ، والمفروض أنّه لا حسن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 صورة الجهل لاعتقاد المخاطب </w:t>
      </w:r>
      <w:r>
        <w:rPr>
          <w:rStyle w:val="FootnoteAnchor"/>
          <w:rtl w:val="true"/>
        </w:rPr>
        <w:footnoteReference w:id="8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ظاهر الأمر الكاشف عن الطلب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بالمحبوبيّة يحسن منه الانقياد ويحرم عليه التجرّي بترك المطلوب على حسب ما اعتقده ، وهذا ليس من حسن الامتثال في شيء كما لا يخفى ، وليس هذا الأمر إلاّ صوريّا صرفا ولفظيّا بحتا ، والكلام على تقدير خلافه فلا يصلح نقضا على الملازمة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الطلب أمر يغاير الإرادة أو لا يستتبعها ، بل يمكن الانفكاك بينهما كما يراه بعض الأعاظم </w:t>
      </w:r>
      <w:r>
        <w:rPr>
          <w:rStyle w:val="FootnoteAnchor"/>
          <w:rtl w:val="true"/>
        </w:rPr>
        <w:footnoteReference w:id="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ملازمة بين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الناقض المذكور قد بنى كلامه على ذلك ، إلاّ أنّ الكلام معه حينئذ </w:t>
      </w:r>
      <w:r>
        <w:rPr>
          <w:rStyle w:val="FootnoteAnchor"/>
          <w:rtl w:val="true"/>
        </w:rPr>
        <w:footnoteReference w:id="849"/>
      </w:r>
      <w:r>
        <w:rPr>
          <w:rFonts w:ascii="Amiri" w:hAnsi="Amiri" w:eastAsia="Amiri" w:cs="Amiri"/>
          <w:color w:val="111111"/>
          <w:sz w:val="28"/>
          <w:sz w:val="28"/>
          <w:szCs w:val="28"/>
          <w:rtl w:val="true"/>
          <w:lang w:bidi="ar-SA"/>
        </w:rPr>
        <w:t>في أصل المبنى</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قال في عنوان المبحث بعد ما نفى الملازمة الواقعيّة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إذا أريد بالملازمة القطعيّة الواقعيّة منها ، ولو أريد بها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بحسب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ثبوتها </w:t>
      </w:r>
      <w:r>
        <w:rPr>
          <w:rFonts w:eastAsia="Amiri" w:cs="Amiri" w:ascii="Amiri" w:hAnsi="Amiri"/>
          <w:color w:val="111111"/>
          <w:sz w:val="28"/>
          <w:szCs w:val="28"/>
          <w:rtl w:val="true"/>
          <w:lang w:bidi="ar-SA"/>
        </w:rPr>
        <w:t xml:space="preserve">» </w:t>
      </w:r>
      <w:r>
        <w:rPr>
          <w:rStyle w:val="FootnoteAnchor"/>
          <w:rtl w:val="true"/>
        </w:rPr>
        <w:footnoteReference w:id="850"/>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إيراد النقوض على الملازمة الواقعيّة بما </w:t>
      </w:r>
    </w:p>
    <w:p>
      <w:pPr>
        <w:pStyle w:val="BookText"/>
        <w:rPr/>
      </w:pPr>
      <w:r>
        <w:rPr>
          <w:rFonts w:ascii="IRNazanin" w:hAnsi="IRNazanin" w:eastAsia="IRNazanin"/>
          <w:color w:val="111111"/>
          <w:sz w:val="28"/>
          <w:sz w:val="28"/>
          <w:szCs w:val="28"/>
          <w:rtl w:val="true"/>
          <w:lang w:bidi="fa-IR"/>
        </w:rPr>
        <w:t xml:space="preserve">عرفت </w:t>
      </w:r>
      <w:r>
        <w:rPr>
          <w:rStyle w:val="FootnoteAnchor"/>
          <w:rtl w:val="true"/>
        </w:rPr>
        <w:footnoteReference w:id="851"/>
      </w:r>
      <w:r>
        <w:rPr>
          <w:rFonts w:ascii="Amiri" w:hAnsi="Amiri" w:eastAsia="Amiri" w:cs="Amiri"/>
          <w:color w:val="111111"/>
          <w:sz w:val="28"/>
          <w:sz w:val="28"/>
          <w:szCs w:val="28"/>
          <w:rtl w:val="true"/>
          <w:lang w:bidi="ar-SA"/>
        </w:rPr>
        <w:t xml:space="preserve">والاستدلال على مقصوده من إثبات الملازمة بين حسن التكليف ووقوعه في أثناء الاحتجاج على الملازمة الظاهريّة في المقام الثاني الذي يرجع في محصّل </w:t>
      </w:r>
      <w:r>
        <w:rPr>
          <w:rStyle w:val="FootnoteAnchor"/>
          <w:rtl w:val="true"/>
        </w:rPr>
        <w:footnoteReference w:id="852"/>
      </w:r>
      <w:r>
        <w:rPr>
          <w:rFonts w:ascii="Amiri" w:hAnsi="Amiri" w:eastAsia="Amiri" w:cs="Amiri"/>
          <w:color w:val="111111"/>
          <w:sz w:val="28"/>
          <w:sz w:val="28"/>
          <w:szCs w:val="28"/>
          <w:rtl w:val="true"/>
          <w:lang w:bidi="ar-SA"/>
        </w:rPr>
        <w:t xml:space="preserve">المعنى إلى حجّيّة العلم والقطع في الظاهر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هنا يتّضح أنّه لو جهل العقل جهات التكليف وأدرك جهات الفعل حكم في الظاهر بثبوت التكليف عملا بعموم الآيات وما في معناها من الأخبار ؛ ولأنّ قضيّة جهات الفعل وقوع التكليف على حسبها ، إلاّ أن يعارضها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يكفي احتماله ، إذ المحتمل لا يصلح في نظر العقل لمعارضة المقطوع به </w:t>
      </w:r>
      <w:r>
        <w:rPr>
          <w:rStyle w:val="FootnoteAnchor"/>
          <w:rtl w:val="true"/>
        </w:rPr>
        <w:footnoteReference w:id="85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أيضا ليس في محلّه ، فإنّ الملازمة لو كانت ثابتة فهي واقعيّة على ما عرفت ، وإلاّ فالملازمة الظاهريّة ممّا لا محصّل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استند إليها من عموم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تقدير دلالتها إنّما يثبت بها الملازمة الواقعيّة دون غيرها ، فالحكم بلزوم العمل على مقتضى ما أدركه العقل من جهات الفعل في الظاهر يبقى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وغاية ما يمكن الاستناد إليه في تصحيح مرامه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الرجوع إلى الوجدان يقضي بأنّ الجهات المحسّنة للفعل بعد وصول العقل إليها إنّما هي المقتضية للتكليف ، واحتمال المانع ممّا لا يعبأ به العقل سيّما إذا كان بعيدا ، مع أنّ الأصل يقضي بعدمه ، فيثبت التكليف في مرحلة الظاهر إلى ثبوت مانعة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الرجوع إلى الوجدان شاهد صدق على أنّ جهات الفعل علّة تامّة </w:t>
      </w:r>
    </w:p>
    <w:p>
      <w:pPr>
        <w:pStyle w:val="BookText"/>
        <w:rPr/>
      </w:pPr>
      <w:r>
        <w:rPr>
          <w:rFonts w:ascii="Amiri" w:hAnsi="Amiri" w:eastAsia="Amiri" w:cs="Amiri"/>
          <w:color w:val="111111"/>
          <w:sz w:val="28"/>
          <w:sz w:val="28"/>
          <w:szCs w:val="28"/>
          <w:rtl w:val="true"/>
          <w:lang w:bidi="ar-SA"/>
        </w:rPr>
        <w:t>للتكليف ، فليست هناك حالة منتظرة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التنزّل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كونها علّة تامّة </w:t>
      </w:r>
      <w:r>
        <w:rPr>
          <w:rStyle w:val="FootnoteAnchor"/>
          <w:rtl w:val="true"/>
        </w:rPr>
        <w:footnoteReference w:id="854"/>
      </w:r>
      <w:r>
        <w:rPr>
          <w:rFonts w:ascii="Amiri" w:hAnsi="Amiri" w:eastAsia="Amiri" w:cs="Amiri"/>
          <w:color w:val="111111"/>
          <w:sz w:val="28"/>
          <w:sz w:val="28"/>
          <w:szCs w:val="28"/>
          <w:rtl w:val="true"/>
          <w:lang w:bidi="ar-SA"/>
        </w:rPr>
        <w:t xml:space="preserve">لا دليل على كونها مقتضية للحكم ، فلعلّها جزء للمقتضي ، فإنّ ارتفاع التكليف في الصبي </w:t>
      </w:r>
      <w:r>
        <w:rPr>
          <w:rStyle w:val="FootnoteAnchor"/>
          <w:rtl w:val="true"/>
        </w:rPr>
        <w:footnoteReference w:id="855"/>
      </w:r>
      <w:r>
        <w:rPr>
          <w:rFonts w:ascii="Amiri" w:hAnsi="Amiri" w:eastAsia="Amiri" w:cs="Amiri"/>
          <w:color w:val="111111"/>
          <w:sz w:val="28"/>
          <w:sz w:val="28"/>
          <w:szCs w:val="28"/>
          <w:rtl w:val="true"/>
          <w:lang w:bidi="ar-SA"/>
        </w:rPr>
        <w:t xml:space="preserve">يحتمل أن يكون لوجود مانع منه ، ويحتمل أن يكون مستندا إلى فقدان شرط من شروط التكليف ولا معيّن لأحد الاحتمالين في البين ، فالجزم بأنّ العدم في أمثال المقام مستند إلى وجود المانع إنّما هو تعرّض على الغيب أو تحكّم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إحراز المقتضي فلا نسلّم أنّ الشكّ إنّما هو في وجود المانع عن ثبوت المقتضي وترتّبه على المقتضي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الشكّ في مانعيّة شيء موجود ولا يجري الأصل حينئذ </w:t>
      </w:r>
      <w:r>
        <w:rPr>
          <w:rStyle w:val="FootnoteAnchor"/>
          <w:rtl w:val="true"/>
        </w:rPr>
        <w:footnoteReference w:id="857"/>
      </w:r>
      <w:r>
        <w:rPr>
          <w:rFonts w:ascii="Amiri" w:hAnsi="Amiri" w:eastAsia="Amiri" w:cs="Amiri"/>
          <w:color w:val="111111"/>
          <w:sz w:val="28"/>
          <w:sz w:val="28"/>
          <w:szCs w:val="28"/>
          <w:rtl w:val="true"/>
          <w:lang w:bidi="ar-SA"/>
        </w:rPr>
        <w:t xml:space="preserve">لعدم العلم بالحالة السابقة ، فإنّ ما يحتمل مانعيّته مذ خلق ومنذ جعل يحتمل مانعيّته وعدمها ، فهي من الآثار واللوازم الغير الشرعيّة </w:t>
      </w:r>
      <w:r>
        <w:rPr>
          <w:rStyle w:val="FootnoteAnchor"/>
          <w:rtl w:val="true"/>
        </w:rPr>
        <w:footnoteReference w:id="858"/>
      </w:r>
      <w:r>
        <w:rPr>
          <w:rFonts w:ascii="Amiri" w:hAnsi="Amiri" w:eastAsia="Amiri" w:cs="Amiri"/>
          <w:color w:val="111111"/>
          <w:sz w:val="28"/>
          <w:sz w:val="28"/>
          <w:szCs w:val="28"/>
          <w:rtl w:val="true"/>
          <w:lang w:bidi="ar-SA"/>
        </w:rPr>
        <w:t xml:space="preserve">وقد تقرّر في مقامه عدم جريان الأصل فيها لكنّه يختصّ بالموانع الواقعيّة للمطالب الخارجيّة ، وأمّا الموانع الجعليّة كالموانع الشرعيّة التي يناط كونها مانعة للأحكام الشرعيّة بجعل فيها ، فيجري فيها الأصل ، وليس </w:t>
      </w:r>
      <w:r>
        <w:rPr>
          <w:rStyle w:val="FootnoteAnchor"/>
          <w:rtl w:val="true"/>
        </w:rPr>
        <w:footnoteReference w:id="859"/>
      </w:r>
      <w:r>
        <w:rPr>
          <w:rFonts w:ascii="Amiri" w:hAnsi="Amiri" w:eastAsia="Amiri" w:cs="Amiri"/>
          <w:color w:val="111111"/>
          <w:sz w:val="28"/>
          <w:sz w:val="28"/>
          <w:szCs w:val="28"/>
          <w:rtl w:val="true"/>
          <w:lang w:bidi="ar-SA"/>
        </w:rPr>
        <w:t xml:space="preserve">المقام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الكلام في الموانع التي تمنع عن ترتّب الحكم العقلي على مقتضياتها ، وهذه أمور واقعيّة غير منوطة بجعل ، ولا وجه للأصل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ودعوى استقرار بناء العقلاء على عدم اعتبار ما يحتمل مانعيّته في ترتيب آثار </w:t>
      </w:r>
      <w:r>
        <w:rPr>
          <w:rStyle w:val="FootnoteAnchor"/>
          <w:rtl w:val="true"/>
        </w:rPr>
        <w:footnoteReference w:id="860"/>
      </w:r>
      <w:r>
        <w:rPr>
          <w:rFonts w:ascii="Amiri" w:hAnsi="Amiri" w:eastAsia="Amiri" w:cs="Amiri"/>
          <w:color w:val="111111"/>
          <w:sz w:val="28"/>
          <w:sz w:val="28"/>
          <w:szCs w:val="28"/>
          <w:rtl w:val="true"/>
          <w:lang w:bidi="ar-SA"/>
        </w:rPr>
        <w:t>المقتضي بعد إحراز المقتضي غير مسموعة جدّا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نجد منها عينا ولا أثرا ، ألا ترى أنّه من أراد المسافرة إلى بلد خاصّ بعد وجود المقتضي لذلك السفر واحتمل هناك مانعيّة شيء موجود عنه فهم لا يترتّبون </w:t>
      </w:r>
      <w:r>
        <w:rPr>
          <w:rStyle w:val="FootnoteAnchor"/>
          <w:rtl w:val="true"/>
        </w:rPr>
        <w:footnoteReference w:id="861"/>
      </w:r>
      <w:r>
        <w:rPr>
          <w:rFonts w:ascii="Amiri" w:hAnsi="Amiri" w:eastAsia="Amiri" w:cs="Amiri"/>
          <w:color w:val="111111"/>
          <w:sz w:val="28"/>
          <w:sz w:val="28"/>
          <w:szCs w:val="28"/>
          <w:rtl w:val="true"/>
          <w:lang w:bidi="ar-SA"/>
        </w:rPr>
        <w:t xml:space="preserve">آثار وصول المسافر إلى البلد المقصود 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إرسال المكاتيب إليه وتوكيله وجعله وصيّا ،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أصالة عدم وجود المانع فقد تقرّر </w:t>
      </w:r>
      <w:r>
        <w:rPr>
          <w:rStyle w:val="FootnoteAnchor"/>
          <w:rtl w:val="true"/>
        </w:rPr>
        <w:footnoteReference w:id="862"/>
      </w:r>
      <w:r>
        <w:rPr>
          <w:rFonts w:ascii="Amiri" w:hAnsi="Amiri" w:eastAsia="Amiri" w:cs="Amiri"/>
          <w:color w:val="111111"/>
          <w:sz w:val="28"/>
          <w:sz w:val="28"/>
          <w:szCs w:val="28"/>
          <w:rtl w:val="true"/>
          <w:lang w:bidi="ar-SA"/>
        </w:rPr>
        <w:t xml:space="preserve">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جار في الامور الشرعيّة ، فإنّ من آثار عدم المانع الشرعي وجود المقتضي الشرعي بخلاف الامور الواقعيّة فإنّها تستند إلى عللها الواقعيّة بجميع أجزائها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وجود المقتضيات ورفع الموانع ، فعدم المانع المحرز بالأصل </w:t>
      </w:r>
      <w:r>
        <w:rPr>
          <w:rStyle w:val="FootnoteAnchor"/>
          <w:rtl w:val="true"/>
        </w:rPr>
        <w:footnoteReference w:id="863"/>
      </w:r>
      <w:r>
        <w:rPr>
          <w:rFonts w:ascii="Amiri" w:hAnsi="Amiri" w:eastAsia="Amiri" w:cs="Amiri"/>
          <w:color w:val="111111"/>
          <w:sz w:val="28"/>
          <w:sz w:val="28"/>
          <w:szCs w:val="28"/>
          <w:rtl w:val="true"/>
          <w:lang w:bidi="ar-SA"/>
        </w:rPr>
        <w:t>لا يجدي في الحكم بوجود المقتضي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مرجع الأصل في أمثال ذلك إلى الاصول المثبتة ، ولا ثبات لها عندنا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المانع وإن كان يجدي في إثبات الملازمة الظاهريّة ، إلاّ أنّ الكلام في مورده ، فإثبات أنّ المقام إنّما هو ممّا نعلم فيه بوجود المقتضي ونشكّ في وجود المانع دونه خرط القتاد</w:t>
      </w:r>
      <w:r>
        <w:rPr>
          <w:rFonts w:eastAsia="Amiri" w:cs="Amiri" w:ascii="Amiri" w:hAnsi="Amiri"/>
          <w:color w:val="111111"/>
          <w:sz w:val="28"/>
          <w:szCs w:val="28"/>
          <w:rtl w:val="true"/>
          <w:lang w:bidi="ar-SA"/>
        </w:rPr>
        <w:t xml:space="preserve">.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يستفاد من كلامه الملازمة الظاهريّة أيضا فيما لو أدرك العقل بعض جهات الفعل واحتمل وجود معارض يعارض قبحه أو حسنه فيما أدركه ، كما إذا أدرك حسن العدل أو قبح الكذب ولكنّه يحتمل هناك وجود عنوان آخر في الكذب من إنجاء نفس محترمة ونحوه ، فانّ العقل في مقام الظاهر يستقلّ بحرمته أو وجوبه مثلا ما لم ينكشف الخلاف أو يعتمد على أصالة عدم المانع ، وهذا أيضا ممّا لا وجه له في وجه ، فانّ العقل بعد ما أحرز العنوان الحسن فلا يجدي في الحكم بخلاف مقتضاه احتمال طريان عنوان القبيح ؛ لأنّ الحسن وخلافه من الصفات الطارئة على الأفعال الاختياريّة والعناوين المقصودة ، فكلّما لم يكن العنوان القبيح مقصودا لا يتّصف بالقبح وإن وقع وكذا العنوان الحسن ، فإنّ قطع اليد من اليتيم ممّا يستقلّ به العقل قبحا ، ولا يكفي في رفع قبحه احتمال رفع شقاقلوسه </w:t>
      </w:r>
      <w:r>
        <w:rPr>
          <w:rStyle w:val="FootnoteAnchor"/>
          <w:rtl w:val="true"/>
        </w:rPr>
        <w:footnoteReference w:id="865"/>
      </w:r>
      <w:r>
        <w:rPr>
          <w:rFonts w:ascii="Amiri" w:hAnsi="Amiri" w:eastAsia="Amiri" w:cs="Amiri"/>
          <w:color w:val="111111"/>
          <w:sz w:val="28"/>
          <w:sz w:val="28"/>
          <w:szCs w:val="28"/>
          <w:rtl w:val="true"/>
          <w:lang w:bidi="ar-SA"/>
        </w:rPr>
        <w:t xml:space="preserve">مثلا وإن وقع مفيدا واقعا ، فالحكم بقبح الظلم وقطع اليد حكم واقعيّ غير مبتن على الظاهر ، فعند عدم القصد إلى العنوان الحسن لا يتزلزل العقل في الحكم بالقبح حكما واقعيّا ولا يحتمل الخلاف لا في الواقع ولا في الظاهر ، فكيف يكون مثل هذا الحكم حكما ظاهريّا؟ ولا حاجة إلى إعمال الأصل في عدم لحوق العنوان المحتمل ، فإنّ الآثار التي تحرز بالأصل ويحكم بترتّبها في المقام ممّا </w:t>
      </w:r>
      <w:r>
        <w:rPr>
          <w:rStyle w:val="FootnoteAnchor"/>
          <w:rtl w:val="true"/>
        </w:rPr>
        <w:footnoteReference w:id="866"/>
      </w:r>
      <w:r>
        <w:rPr>
          <w:rFonts w:ascii="Amiri" w:hAnsi="Amiri" w:eastAsia="Amiri" w:cs="Amiri"/>
          <w:color w:val="111111"/>
          <w:sz w:val="28"/>
          <w:sz w:val="28"/>
          <w:szCs w:val="28"/>
          <w:rtl w:val="true"/>
          <w:lang w:bidi="ar-SA"/>
        </w:rPr>
        <w:t>يترتّب على نفس الشكّ في وجود العنوان اللاحق من غير حاجة إلى إعمال الأصل ، كما لو شككنا في حجّيّة أمارة فنفس الشكّ فيها يكفي في عدم ترتيب آثار الحجّيّة عليها فلا فائدة حينئذ في إجراء أصالة عدم الحجّيّة كما نبهنا عليه في مباحث حجّيّة الظنّ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 إذا أدرك العقل بعض جهات الفعل وأحرز عنوانا حسنا وشكّ في وجود عنوان آخر معارض للأوّل </w:t>
      </w:r>
      <w:r>
        <w:rPr>
          <w:rStyle w:val="FootnoteAnchor"/>
          <w:rtl w:val="true"/>
        </w:rPr>
        <w:footnoteReference w:id="867"/>
      </w:r>
      <w:r>
        <w:rPr>
          <w:rFonts w:ascii="Amiri" w:hAnsi="Amiri" w:eastAsia="Amiri" w:cs="Amiri"/>
          <w:color w:val="111111"/>
          <w:sz w:val="28"/>
          <w:sz w:val="28"/>
          <w:szCs w:val="28"/>
          <w:rtl w:val="true"/>
          <w:lang w:bidi="ar-SA"/>
        </w:rPr>
        <w:t>فبمجرّد الشكّ يحكم بحسن الفعل واقعا من غير تأمّل وتزلزل ، فإنّ الشكّ دليل على عدم عنوان مقتض للقبح ، إذ لا يتّصف بالقبح إلاّ بعد القصد والاختيار ، ولا قصد مع الشكّ فلا قبح قطعا من غير احتمال خلاف في الواقع ؛ واحتمال وقوع العنوان القبيح ممّا لا يجدي ؛ لأنّه بعد عدم القصد فعل اضطراري لا يتّصف بحسن ولا 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القبيل فعل المتجرّي لو اعتقد حرمة شيء واجب واقعا ، فإنّه لا يجدي به مع عدم قصده إليه ولا يتّصف بالحسن والقبح ، وكذا لو اعتقد وجوب شيء حرام وتركه تجرّيا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يذمّ على نفس التجرّي ولا يمدح في ترك الحرام الواقعي ، كما نبّهنا عليه في بعض المباحث السابقة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فتخلّص ممّا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الملازمة الظاهريّة ممّا لا محصّل لها بوجه ، والحقّ ثبوت الملازمة الواقعيّة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قد يتوهّم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دلالة الظواهر على انتفاء الملازمة ، كما في قوله تعالى في تحريم الشحوم على اليهود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فَبِظُلْمٍ مِنَ الَّذِينَ هادُوا حَرَّمْنا </w:t>
      </w:r>
      <w:r>
        <w:rPr>
          <w:rFonts w:eastAsia="Amiri" w:cs="Amiri" w:ascii="Amiri" w:hAnsi="Amiri"/>
          <w:color w:val="111111"/>
          <w:sz w:val="28"/>
          <w:szCs w:val="28"/>
          <w:rtl w:val="true"/>
          <w:lang w:bidi="ar-SA"/>
        </w:rPr>
        <w:t xml:space="preserve">... ) </w:t>
      </w:r>
      <w:r>
        <w:rPr>
          <w:rStyle w:val="FootnoteAnchor"/>
          <w:rtl w:val="true"/>
        </w:rPr>
        <w:footnoteReference w:id="869"/>
      </w:r>
      <w:r>
        <w:rPr>
          <w:rFonts w:ascii="Amiri" w:hAnsi="Amiri" w:eastAsia="Amiri" w:cs="Amiri"/>
          <w:color w:val="111111"/>
          <w:sz w:val="28"/>
          <w:sz w:val="28"/>
          <w:szCs w:val="28"/>
          <w:rtl w:val="true"/>
          <w:lang w:bidi="ar-SA"/>
        </w:rPr>
        <w:t xml:space="preserve">الخ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جَزَيْناهُمْ بِبَغْيِهِمْ </w:t>
      </w:r>
      <w:r>
        <w:rPr>
          <w:rFonts w:eastAsia="Amiri" w:cs="Amiri" w:ascii="Amiri" w:hAnsi="Amiri"/>
          <w:color w:val="111111"/>
          <w:sz w:val="28"/>
          <w:szCs w:val="28"/>
          <w:rtl w:val="true"/>
          <w:lang w:bidi="ar-SA"/>
        </w:rPr>
        <w:t xml:space="preserve">... ) </w:t>
      </w:r>
      <w:r>
        <w:rPr>
          <w:rStyle w:val="FootnoteAnchor"/>
          <w:rtl w:val="true"/>
        </w:rPr>
        <w:footnoteReference w:id="870"/>
      </w:r>
      <w:r>
        <w:rPr>
          <w:rFonts w:ascii="Amiri" w:hAnsi="Amiri" w:eastAsia="Amiri" w:cs="Amiri"/>
          <w:color w:val="111111"/>
          <w:sz w:val="28"/>
          <w:sz w:val="28"/>
          <w:szCs w:val="28"/>
          <w:rtl w:val="true"/>
          <w:lang w:bidi="ar-SA"/>
        </w:rPr>
        <w:t xml:space="preserve">الخ ، وقول ابن عبّاس في اليهود في قصّة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شدّدوا فشدّد اللّه عليهم </w:t>
      </w:r>
      <w:r>
        <w:rPr>
          <w:rFonts w:eastAsia="Amiri" w:cs="Amiri" w:ascii="Amiri" w:hAnsi="Amiri"/>
          <w:color w:val="111111"/>
          <w:sz w:val="28"/>
          <w:szCs w:val="28"/>
          <w:rtl w:val="true"/>
          <w:lang w:bidi="ar-SA"/>
        </w:rPr>
        <w:t xml:space="preserve">» </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لا يقاوم </w:t>
      </w:r>
    </w:p>
    <w:p>
      <w:pPr>
        <w:pStyle w:val="BookText"/>
        <w:rPr/>
      </w:pPr>
      <w:r>
        <w:rPr>
          <w:rFonts w:ascii="Amiri" w:hAnsi="Amiri" w:eastAsia="Amiri" w:cs="Amiri"/>
          <w:color w:val="111111"/>
          <w:sz w:val="28"/>
          <w:sz w:val="28"/>
          <w:szCs w:val="28"/>
          <w:rtl w:val="true"/>
          <w:lang w:bidi="ar-SA"/>
        </w:rPr>
        <w:t xml:space="preserve">ضرورة العقل ، فلا بدّ من حمله على أنّ الفعل بعد الظلم والبغي والتشديد منهم اختلف أوصافه ، لا أنّ مجرّد الظلم حرّم الشحوم عليهم مثلا من غير وجدان الفعل للصفة المقتضية للتحريم ، كما نبّه عليه المحقّق القمّي في بعض مباحث القياس </w:t>
      </w:r>
      <w:r>
        <w:rPr>
          <w:rStyle w:val="FootnoteAnchor"/>
          <w:rtl w:val="true"/>
        </w:rPr>
        <w:footnoteReference w:id="872"/>
      </w:r>
      <w:r>
        <w:rPr>
          <w:rFonts w:ascii="Amiri" w:hAnsi="Amiri" w:eastAsia="Amiri" w:cs="Amiri"/>
          <w:color w:val="111111"/>
          <w:sz w:val="28"/>
          <w:sz w:val="28"/>
          <w:szCs w:val="28"/>
          <w:rtl w:val="true"/>
          <w:lang w:bidi="ar-SA"/>
        </w:rPr>
        <w:t xml:space="preserve">، فتدبّر جيّدا فإنّه حقيق بالتدبّر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يعدّ من الوجوه الدالّة على ثبوت الملازمة الواقعيّة بين حكمي العقل والشرع الإجماع بأقسامه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وتحصيلا ، مركّبا وبسيطا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الإجماع البسيط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فيكشف عن تحقّقه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عزى الأستاذ إلى الشيخ في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خلاف في أنّ كلّ محظور عقلي فهو محظور شرعي </w:t>
      </w:r>
      <w:r>
        <w:rPr>
          <w:rStyle w:val="FootnoteAnchor"/>
          <w:rtl w:val="true"/>
        </w:rPr>
        <w:footnoteReference w:id="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نفي الخلاف بين أرباب التحصيل وأهل النظر ، ولا أقلّ من نفيه بين العدليّة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جمال المحقّقين في تعليقاته على العضدي </w:t>
      </w:r>
      <w:r>
        <w:rPr>
          <w:rStyle w:val="FootnoteAnchor"/>
          <w:rtl w:val="true"/>
        </w:rPr>
        <w:footnoteReference w:id="8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خلاف بين العدليّة في ذلك</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ذكروه في ثمرة النزاع بين الفريقين من ترتيب </w:t>
      </w:r>
      <w:r>
        <w:rPr>
          <w:rStyle w:val="FootnoteAnchor"/>
          <w:rtl w:val="true"/>
        </w:rPr>
        <w:footnoteReference w:id="876"/>
      </w:r>
      <w:r>
        <w:rPr>
          <w:rFonts w:ascii="Amiri" w:hAnsi="Amiri" w:eastAsia="Amiri" w:cs="Amiri"/>
          <w:color w:val="111111"/>
          <w:sz w:val="28"/>
          <w:sz w:val="28"/>
          <w:szCs w:val="28"/>
          <w:rtl w:val="true"/>
          <w:lang w:bidi="ar-SA"/>
        </w:rPr>
        <w:t>الأحكام الشرعيّة على القول بالإدراك وعدمه على تقدير 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 الأشعري </w:t>
      </w:r>
      <w:r>
        <w:rPr>
          <w:rStyle w:val="FootnoteAnchor"/>
          <w:rtl w:val="true"/>
        </w:rPr>
        <w:footnoteReference w:id="877"/>
      </w:r>
      <w:r>
        <w:rPr>
          <w:rFonts w:ascii="Amiri" w:hAnsi="Amiri" w:eastAsia="Amiri" w:cs="Amiri"/>
          <w:color w:val="111111"/>
          <w:sz w:val="28"/>
          <w:sz w:val="28"/>
          <w:szCs w:val="28"/>
          <w:rtl w:val="true"/>
          <w:lang w:bidi="ar-SA"/>
        </w:rPr>
        <w:t xml:space="preserve">في نفي الحسن والقبح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الجبر في أفعاله تعالى ، وجواب العدليّة </w:t>
      </w:r>
      <w:r>
        <w:rPr>
          <w:rStyle w:val="FootnoteAnchor"/>
          <w:rtl w:val="true"/>
        </w:rPr>
        <w:footnoteReference w:id="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انتفاء القبح لصارف لا ينافي الاختيار وعدم تعرّضهم في دفع ذلك بمنع الملازمة مع كفايته في الجواب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 الأشعري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بنفي التعذيب اللازم للحكم الشرعي على انتفاء الملزوم كما يرشد إليه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كُنَّا مُعَذِّبِينَ حَتَّى نَبْعَثَ رَسُولاً </w:t>
      </w:r>
      <w:r>
        <w:rPr>
          <w:rFonts w:eastAsia="Amiri" w:cs="Amiri" w:ascii="Amiri" w:hAnsi="Amiri"/>
          <w:color w:val="111111"/>
          <w:sz w:val="28"/>
          <w:szCs w:val="28"/>
          <w:rtl w:val="true"/>
          <w:lang w:bidi="ar-SA"/>
        </w:rPr>
        <w:t xml:space="preserve">) </w:t>
      </w:r>
      <w:r>
        <w:rPr>
          <w:rStyle w:val="FootnoteAnchor"/>
          <w:rtl w:val="true"/>
        </w:rPr>
        <w:footnoteReference w:id="879"/>
      </w:r>
      <w:r>
        <w:rPr>
          <w:rFonts w:ascii="Amiri" w:hAnsi="Amiri" w:eastAsia="Amiri" w:cs="Amiri"/>
          <w:color w:val="111111"/>
          <w:sz w:val="28"/>
          <w:sz w:val="28"/>
          <w:szCs w:val="28"/>
          <w:rtl w:val="true"/>
          <w:lang w:bidi="ar-SA"/>
        </w:rPr>
        <w:t xml:space="preserve">وجواب أهل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الرسول أعمّ من الرسول الظاهر ، ولم يتعرّض واحد منهم لنفي الملازمة إلاّ من هو محجوج بالإجماع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أضافه بعضهم </w:t>
      </w:r>
      <w:r>
        <w:rPr>
          <w:rStyle w:val="FootnoteAnchor"/>
          <w:rtl w:val="true"/>
        </w:rPr>
        <w:footnoteReference w:id="880"/>
      </w:r>
      <w:r>
        <w:rPr>
          <w:rFonts w:ascii="Amiri" w:hAnsi="Amiri" w:eastAsia="Amiri" w:cs="Amiri"/>
          <w:color w:val="111111"/>
          <w:sz w:val="28"/>
          <w:sz w:val="28"/>
          <w:szCs w:val="28"/>
          <w:rtl w:val="true"/>
          <w:lang w:bidi="ar-SA"/>
        </w:rPr>
        <w:t>بالمدح والذمّ الثواب والعقاب آجلا وعاجلا في تفسير الحسن والقبح عند تحريره لمحلّ النزاع ، فإنّه قد أفرط في الإشعار بأنّ بعد تسليم الإدراك لا ينبغي التشكيك في ثبوت الملازمة حتّى أنّه يعلم في مقام إثبات الحسن والقبح ، وإلاّ فهو بظاهره فاسد ، إذ لا يذهب وهم إلى دعوى إدراك الثواب والعقاب في الآجل إلاّ بعد تسالم الخصمين بعد الإدراك في ثبوته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فمن تدبّر في مطاوي كلماتهم في مجاري استدلالاتهم وموارد ثمراتهم وتحرير عنواناتهم لا يكاد يرتاب في ثبوت الملازمة بعد تسليم صغرى الإدراك ، حتّى أنّ الأشاعرة الذين نسبتهم إلى القواعد المأخوذة من مشكاة الولاية ومصباح الهداية كنسبة السوفسطائيّة إلى القواعد الموروثة عن البداهة </w:t>
      </w:r>
    </w:p>
    <w:p>
      <w:pPr>
        <w:pStyle w:val="BookText"/>
        <w:rPr/>
      </w:pPr>
      <w:r>
        <w:rPr>
          <w:rFonts w:ascii="Amiri" w:hAnsi="Amiri" w:eastAsia="Amiri" w:cs="Amiri"/>
          <w:color w:val="111111"/>
          <w:sz w:val="28"/>
          <w:sz w:val="28"/>
          <w:szCs w:val="28"/>
          <w:rtl w:val="true"/>
          <w:lang w:bidi="ar-SA"/>
        </w:rPr>
        <w:t xml:space="preserve">والمنتهية إلى الضرورة و </w:t>
      </w:r>
      <w:r>
        <w:rPr>
          <w:rStyle w:val="FootnoteAnchor"/>
          <w:rtl w:val="true"/>
        </w:rPr>
        <w:footnoteReference w:id="881"/>
      </w:r>
      <w:r>
        <w:rPr>
          <w:rFonts w:ascii="Amiri" w:hAnsi="Amiri" w:eastAsia="Amiri" w:cs="Amiri"/>
          <w:color w:val="111111"/>
          <w:sz w:val="28"/>
          <w:sz w:val="28"/>
          <w:szCs w:val="28"/>
          <w:rtl w:val="true"/>
          <w:lang w:bidi="ar-SA"/>
        </w:rPr>
        <w:t>لا ينكرون ثبوت الملازمة بعد تسليم الإدراك كما عرفت في إلزاماتهم على العدليّة ؛ فتنبّه في الغاية وتذكّر ما أسلفنا لك في تحرير العنوان إلى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الإجماع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علماء الإسلام بأجمعهم بين منكر للحسن والقبح العقليّين وبين ملتزم بالملازمة بين الحكمين ، فكلّ من قال بثبوت الإدراك العقلي التزم بملازمته للحكم الشرعي ، إلاّ ما قد يحكى عن الزركشي </w:t>
      </w:r>
      <w:r>
        <w:rPr>
          <w:rStyle w:val="FootnoteAnchor"/>
          <w:rtl w:val="true"/>
        </w:rPr>
        <w:footnoteReference w:id="882"/>
      </w:r>
      <w:r>
        <w:rPr>
          <w:rFonts w:ascii="Amiri" w:hAnsi="Amiri" w:eastAsia="Amiri" w:cs="Amiri"/>
          <w:color w:val="111111"/>
          <w:sz w:val="28"/>
          <w:sz w:val="28"/>
          <w:szCs w:val="28"/>
          <w:rtl w:val="true"/>
          <w:lang w:bidi="ar-SA"/>
        </w:rPr>
        <w:t>وأشباهه ممّن لا يعتدّ بشأنهم في تحصيل الإجماع الكاشف عن رضا الإمام والرئيس بالعمل بما أدركه العقل ، فالقول بثبوت الحسن والقبح وانتفاء الملازمة إحداث لقول ثالث ، فيكون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ثبوت الملازمة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والسنّة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مدح النبيّ صلى‌اللّه‌عليه‌وآله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يَأْمُرُهُمْ بِالْمَعْرُوفِ وَيَنْهاهُمْ عَنِ الْمُنْكَرِ وَيُحِلُّ لَهُمُ الطَّيِّباتِ وَيُحَرِّمُ عَلَيْهِمُ الْخَبائِثَ </w:t>
      </w:r>
      <w:r>
        <w:rPr>
          <w:rFonts w:eastAsia="Amiri" w:cs="Amiri" w:ascii="Amiri" w:hAnsi="Amiri"/>
          <w:color w:val="111111"/>
          <w:sz w:val="28"/>
          <w:szCs w:val="28"/>
          <w:rtl w:val="true"/>
          <w:lang w:bidi="ar-SA"/>
        </w:rPr>
        <w:t xml:space="preserve">... ) </w:t>
      </w:r>
      <w:r>
        <w:rPr>
          <w:rStyle w:val="FootnoteAnchor"/>
          <w:rtl w:val="true"/>
        </w:rPr>
        <w:footnoteReference w:id="883"/>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المعروف والمنكر هما الحسن والقبيح العقليّان ، والمستفاد من السياق بدلالة وقوعه في مقام المدح هو العموم وإن كان تعريف الجنس ممّا لا يلازمه ، ولا مدح على تقديره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فيه محمول على مطلق الطلب ، لعموم المعروف للمستحب ، فالترك لو كان من المنكرات التي تنهى عنها فالفعل واجب وإلاّ فهو مستحبّ ، فلا يرد عدم التميز كما زعمه بعض الأجلّة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يَأْمُرُ بِالْعَدْلِ وَالْإِحْسانِ وَإِيتاءِ ذِي الْقُرْبى وَيَنْهى عَنِ الْفَحْشاءِ وَالْمُنْكَرِ </w:t>
      </w:r>
      <w:r>
        <w:rPr>
          <w:rFonts w:eastAsia="Amiri" w:cs="Amiri" w:ascii="Amiri" w:hAnsi="Amiri"/>
          <w:color w:val="111111"/>
          <w:sz w:val="28"/>
          <w:szCs w:val="28"/>
          <w:rtl w:val="true"/>
          <w:lang w:bidi="ar-SA"/>
        </w:rPr>
        <w:t xml:space="preserve">... ) </w:t>
      </w:r>
      <w:r>
        <w:rPr>
          <w:rStyle w:val="FootnoteAnchor"/>
          <w:rtl w:val="true"/>
        </w:rPr>
        <w:footnoteReference w:id="885"/>
      </w:r>
      <w:r>
        <w:rPr>
          <w:rFonts w:ascii="Amiri" w:hAnsi="Amiri" w:eastAsia="Amiri" w:cs="Amiri"/>
          <w:color w:val="111111"/>
          <w:sz w:val="28"/>
          <w:sz w:val="28"/>
          <w:szCs w:val="28"/>
          <w:rtl w:val="true"/>
          <w:lang w:bidi="ar-SA"/>
        </w:rPr>
        <w:t xml:space="preserve">وجه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العدل من كلّ شيء وسطه ومستقيمه ومستقيم الأفعال حسنها ، والعموم أيضا مستفاد من المقام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وَلْتَكُنْ مِنْكُمْ أُمَّةٌ يَدْعُونَ إِلَى الْخَيْرِ وَيَأْمُرُونَ بِالْمَعْرُوفِ وَيَنْهَوْنَ عَنِ الْمُنْكَرِ </w:t>
      </w:r>
      <w:r>
        <w:rPr>
          <w:rFonts w:eastAsia="Amiri" w:cs="Amiri" w:ascii="Amiri" w:hAnsi="Amiri"/>
          <w:color w:val="111111"/>
          <w:sz w:val="28"/>
          <w:szCs w:val="28"/>
          <w:rtl w:val="true"/>
          <w:lang w:bidi="ar-SA"/>
        </w:rPr>
        <w:t xml:space="preserve">... )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عن لقمان في وصيّة 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أَقِمِ الصَّلاةَ وَأْمُرْ بِالْمَعْرُوفِ وَانْهَ عَنِ الْمُنْكَرِ </w:t>
      </w:r>
      <w:r>
        <w:rPr>
          <w:rFonts w:eastAsia="Amiri" w:cs="Amiri" w:ascii="Amiri" w:hAnsi="Amiri"/>
          <w:color w:val="111111"/>
          <w:sz w:val="28"/>
          <w:szCs w:val="28"/>
          <w:rtl w:val="true"/>
          <w:lang w:bidi="ar-SA"/>
        </w:rPr>
        <w:t xml:space="preserve">... )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الدلالة في الكلّ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والمناقشة فيها ممّا لا وقع لها بعد اعتضاد بعضها ببعض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الثاني </w:t>
      </w:r>
      <w:r>
        <w:rPr>
          <w:rStyle w:val="FootnoteAnchor"/>
          <w:rtl w:val="true"/>
        </w:rPr>
        <w:footnoteReference w:id="888"/>
      </w:r>
      <w:r>
        <w:rPr>
          <w:rFonts w:ascii="Amiri" w:hAnsi="Amiri" w:eastAsia="Amiri" w:cs="Amiri"/>
          <w:color w:val="111111"/>
          <w:sz w:val="28"/>
          <w:sz w:val="28"/>
          <w:szCs w:val="28"/>
          <w:rtl w:val="true"/>
          <w:lang w:bidi="ar-SA"/>
        </w:rPr>
        <w:t xml:space="preserve">جملة من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خطبة الوداع التي خطب بها النبيّ صلى‌اللّه‌عليه‌وآله يوم الغدير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ما من شيء يقرّبكم إلى الجنّة ويبعّدكم عن النار إلاّ وقد أمر اللّه تعالى به ، ألا ما من شيء يقرّبكم إلى النار ويبعّدكم عن الجنّة إلاّ وقد نهاكم عنه </w:t>
      </w:r>
      <w:r>
        <w:rPr>
          <w:rFonts w:eastAsia="Amiri" w:cs="Amiri" w:ascii="Amiri" w:hAnsi="Amiri"/>
          <w:color w:val="111111"/>
          <w:sz w:val="28"/>
          <w:szCs w:val="28"/>
          <w:rtl w:val="true"/>
          <w:lang w:bidi="ar-SA"/>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أبي جعفر عليه‌السلام في رجل سأله عن طول الجلوس في بيت الخلاء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 القبيح لأهله ، فإنّ لكلّ شيء أهلا </w:t>
      </w:r>
      <w:r>
        <w:rPr>
          <w:rFonts w:eastAsia="Amiri" w:cs="Amiri" w:ascii="Amiri" w:hAnsi="Amiri"/>
          <w:color w:val="111111"/>
          <w:sz w:val="28"/>
          <w:szCs w:val="28"/>
          <w:rtl w:val="true"/>
          <w:lang w:bidi="ar-SA"/>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وجه الدلالة ظاهر ، وفيما تقدّم منّا من البرهان العقلي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فلنعطف عنان القلم إلى بيان الكلّيّة القائلة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حكم به الشرع حكم به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الكلّيّة منهم تحتمل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ما حكم به الشرع قد صدّقه في الحكم في تلك الواقعة العقل واعتقد وقوعه في محلّه وصدوره من أهله ، وهذا المعنى ممّا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w:t>
      </w:r>
      <w:r>
        <w:rPr>
          <w:rFonts w:eastAsia="Amiri" w:cs="Amiri" w:ascii="Amiri" w:hAnsi="Amiri"/>
          <w:color w:val="111111"/>
          <w:sz w:val="28"/>
          <w:szCs w:val="28"/>
          <w:rtl w:val="true"/>
          <w:lang w:bidi="ar-SA"/>
        </w:rPr>
        <w:t>]</w:t>
      </w:r>
      <w:r>
        <w:rPr>
          <w:rStyle w:val="FootnoteAnchor"/>
          <w:rtl w:val="true"/>
        </w:rPr>
        <w:footnoteReference w:id="891"/>
      </w:r>
      <w:r>
        <w:rPr>
          <w:rFonts w:ascii="Amiri" w:hAnsi="Amiri" w:eastAsia="Amiri" w:cs="Amiri"/>
          <w:color w:val="111111"/>
          <w:sz w:val="28"/>
          <w:sz w:val="28"/>
          <w:szCs w:val="28"/>
          <w:rtl w:val="true"/>
          <w:lang w:bidi="ar-SA"/>
        </w:rPr>
        <w:t>ينكره القائل بانفكاك الحكمين من العدليّة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حكم به الشرع حكم العقل على طبقه حكما إنشائيّا جعليّا كما في عكسه ، على ما مرّ تحقيق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فالمعنى الأوّل يتوقّف ثبوته على مقدّمتين مسلّمتين عند العدليّة ، وقد فرغنا عن إثباتهما في غير الفنّ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أفعاله تعالى معلّلة بأغراض لا تعود إليه لئلاّ يلزم الاستكمال في حقّه والعبث منه ، تعالى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الترجيح بلا مرجّح وأنّه لا يكفي للترجيح إرادة الفاعل وتعلّق قصده بأحد المتساويين في نظر الفاعل وإلاّ لزم الترجّح بلا مرجّح وهو ضروري البطلان وبديهي الاستحالة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إحراز هاتين المقدّمتين لا يعقل عدم تصديق العقل لأحكام الشرع ، فإنّه تعالى خبير في حكمه وحكيم في صنعه ، فلا مناص من إمضاء العقل حكم الشرع على الوجه المذكور</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زعم بعض المعاصرين </w:t>
      </w:r>
      <w:r>
        <w:rPr>
          <w:rStyle w:val="FootnoteAnchor"/>
          <w:rtl w:val="true"/>
        </w:rPr>
        <w:footnoteReference w:id="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قال بعدم كفاية الإرادة في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ينافي قوله في دفع ما ذهب إليه سليمان بن عبّاد الصيمري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أنّ دلالة الألفاظ ذاتيّة أو الوضع إنّما هو لمناسبة ذاتية ، بأنّ إرادة الواضع مرجّحة ؛ فإنّ كون إرادة الواضع مرجّحة إنّما يناسب مذاق من يجوّز صدور الفعل عن الفاعل من غير اقترانه واستناده إلى الفاعل وقدرته ، وأمّا على المشرب الحق الأصفى الأتمّ الأكمل فلا يكفي في الترجيح تعلّق الإرادة بأحد المتساويين ، إذ الكلام إنّما ينقل إلى نفس الإرادة بعد تساوي نسبتها إلى الطرفين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لا يخفى عدم استقامة ما زعمه ، فإنّ الإرادة تارة قد يقال للقصد ، وأخرى للعلم بالأصلح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لا يكفي في الترجيح كما في المقام ، وعلى الثاني فهي بعينها هي المصلحة الداعية للفعل وصدوره من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المرجّحة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الوضع هو هذا المعنى ، نظرا إلى منع انحصار المرجّح في الوضع فيما يرجع إلى ذات اللفظ ، والإتيان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مجرّدا عن القيد المذكور إنّما هو الإشعار بتوغّل اللفظ وما يتعلّق به من الوضع ومرجّحاته في التوقيفيّة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المعنى الثاني </w:t>
      </w:r>
      <w:r>
        <w:rPr>
          <w:rStyle w:val="FootnoteAnchor"/>
          <w:rtl w:val="true"/>
        </w:rPr>
        <w:footnoteReference w:id="8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يحمل على أنّ كلّ ما حكم به الشرع حكم به العقل تفصيلا أو فعلا ، وأخرى على أنّ كلّ ما حكم به الشرع حكم به العقل إجمالا أو بعد الاطّلاع على جهات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لا شكّ في فسادها ، لمخالفتها للوجدان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فلا شكّ في صحّتها ، لوجوه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حكم به الشرع حكم به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صادقا لم يصدق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حكم به العقل حكم به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والتالي باطل فالمقدّم </w:t>
      </w:r>
    </w:p>
    <w:p>
      <w:pPr>
        <w:pStyle w:val="BookText"/>
        <w:rPr/>
      </w:pP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بطلان التالي ، فلما تقدّم في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الملازمة ، فلأنّ عدم صدق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حكم به الشرع حكم به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يلازم عدم صدق عكسه ، وهو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ما حكم به العقل حكم به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وكذب العكس يلازم صدق نقيضه ، لاستحالة ارتفاع النقيضين ، وهو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شيء ممّا حكم به العقل حكم به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ثبت أنّ كلّ ما حكم به العقل حكم به الشرع ، وهو المذكور في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بأنّ العقل يمكن أن لا يكون له حكم في مورد حكم الشرع فليس على ما ينبغي ؛ لأنّ الكلام إنّما هو بعد الاطّلاع على الواقع على ما هو عليه ، وعلى تقديره لا يعقل عدم الحكم ؛ لأنّ الأحكام منحصرة بالحصر العقلي في الخمسة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العزيز ،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أَمَرَ رَبِّي بِالْقِسْطِ </w:t>
      </w:r>
      <w:r>
        <w:rPr>
          <w:rFonts w:eastAsia="Amiri" w:cs="Amiri" w:ascii="Amiri" w:hAnsi="Amiri"/>
          <w:color w:val="111111"/>
          <w:sz w:val="28"/>
          <w:szCs w:val="28"/>
          <w:rtl w:val="true"/>
          <w:lang w:bidi="ar-SA"/>
        </w:rPr>
        <w:t xml:space="preserve">... ) </w:t>
      </w:r>
      <w:r>
        <w:rPr>
          <w:rStyle w:val="FootnoteAnchor"/>
          <w:rtl w:val="true"/>
        </w:rPr>
        <w:footnoteReference w:id="89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من قائل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 إِنَّما حَرَّمَ رَبِّيَ الْفَواحِشَ ما ظَهَرَ مِنْها وَما بَطَنَ </w:t>
      </w:r>
      <w:r>
        <w:rPr>
          <w:rFonts w:eastAsia="Amiri" w:cs="Amiri" w:ascii="Amiri" w:hAnsi="Amiri"/>
          <w:color w:val="111111"/>
          <w:sz w:val="28"/>
          <w:szCs w:val="28"/>
          <w:rtl w:val="true"/>
          <w:lang w:bidi="ar-SA"/>
        </w:rPr>
        <w:t xml:space="preserve">... )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انحصار المأمور به في القسط والمحرّم في الفواحش هو ذلك ، كما هو ظاهر</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 كما في خطبة أوصى بها أمير المؤمنين ابنه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أفضل الصلاة والسلام من الرحمن وأكملها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يأمرك إلاّ بحسن ولم ينهك إلاّ عن قبيح </w:t>
      </w:r>
      <w:r>
        <w:rPr>
          <w:rFonts w:eastAsia="Amiri" w:cs="Amiri" w:ascii="Amiri" w:hAnsi="Amiri"/>
          <w:color w:val="111111"/>
          <w:sz w:val="28"/>
          <w:szCs w:val="28"/>
          <w:rtl w:val="true"/>
          <w:lang w:bidi="ar-SA"/>
        </w:rPr>
        <w:t xml:space="preserve">» </w:t>
      </w:r>
      <w:r>
        <w:rPr>
          <w:rStyle w:val="FootnoteAnchor"/>
          <w:rtl w:val="true"/>
        </w:rPr>
        <w:footnoteReference w:id="897"/>
      </w:r>
      <w:r>
        <w:rPr>
          <w:rFonts w:ascii="Amiri" w:hAnsi="Amiri" w:eastAsia="Amiri" w:cs="Amiri"/>
          <w:color w:val="111111"/>
          <w:sz w:val="28"/>
          <w:sz w:val="28"/>
          <w:szCs w:val="28"/>
          <w:rtl w:val="true"/>
          <w:lang w:bidi="ar-SA"/>
        </w:rPr>
        <w:t xml:space="preserve">، وقول الباقر عليه‌السلام في رواية سبق </w:t>
      </w:r>
    </w:p>
    <w:p>
      <w:pPr>
        <w:pStyle w:val="BookText"/>
        <w:rPr/>
      </w:pPr>
      <w:r>
        <w:rPr>
          <w:rFonts w:ascii="Amiri" w:hAnsi="Amiri" w:eastAsia="Amiri" w:cs="Amiri"/>
          <w:color w:val="111111"/>
          <w:sz w:val="28"/>
          <w:sz w:val="28"/>
          <w:szCs w:val="28"/>
          <w:rtl w:val="true"/>
          <w:lang w:bidi="ar-SA"/>
        </w:rPr>
        <w:t xml:space="preserve">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يكره اللّه إلاّ القبيح </w:t>
      </w:r>
      <w:r>
        <w:rPr>
          <w:rFonts w:eastAsia="Amiri" w:cs="Amiri" w:ascii="Amiri" w:hAnsi="Amiri"/>
          <w:color w:val="111111"/>
          <w:sz w:val="28"/>
          <w:szCs w:val="28"/>
          <w:rtl w:val="true"/>
          <w:lang w:bidi="ar-SA"/>
        </w:rPr>
        <w:t xml:space="preserve">» </w:t>
      </w:r>
      <w:r>
        <w:rPr>
          <w:rStyle w:val="FootnoteAnchor"/>
          <w:rtl w:val="true"/>
        </w:rPr>
        <w:footnoteReference w:id="898"/>
      </w:r>
      <w:r>
        <w:rPr>
          <w:rFonts w:ascii="Amiri" w:hAnsi="Amiri" w:eastAsia="Amiri" w:cs="Amiri"/>
          <w:color w:val="111111"/>
          <w:sz w:val="28"/>
          <w:sz w:val="28"/>
          <w:szCs w:val="28"/>
          <w:rtl w:val="true"/>
          <w:lang w:bidi="ar-SA"/>
        </w:rPr>
        <w:t>فالأمر ظاهر لا ينبغي أن يرتاب فيه ذو مسكة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بقي هنا شيء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تقدّم </w:t>
      </w:r>
      <w:r>
        <w:rPr>
          <w:rStyle w:val="FootnoteAnchor"/>
          <w:rtl w:val="true"/>
        </w:rPr>
        <w:footnoteReference w:id="899"/>
      </w:r>
      <w:r>
        <w:rPr>
          <w:rFonts w:ascii="Amiri" w:hAnsi="Amiri" w:eastAsia="Amiri" w:cs="Amiri"/>
          <w:color w:val="111111"/>
          <w:sz w:val="28"/>
          <w:sz w:val="28"/>
          <w:szCs w:val="28"/>
          <w:rtl w:val="true"/>
          <w:lang w:bidi="ar-SA"/>
        </w:rPr>
        <w:t xml:space="preserve">أنّ الأشاعرة قد تمسّكوا في نفي الإدراك العقلي بآية التعذيب ؛ نظرا إلى أنّ انتفاء اللازم يساوق انتفاء الملزوم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 على طريقة العدليّة من ثبوت الملازمة بعد ثبوت الحسن والقبح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وتنظّر فيه الفاضل التوني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ثبوت الحسن والقبح العقليّين لا يلازم وقوع التكليف ؛ نظرا إلى جواز التفكيك بين الحكمين </w:t>
      </w:r>
      <w:r>
        <w:rPr>
          <w:rStyle w:val="FootnoteAnchor"/>
          <w:rtl w:val="true"/>
        </w:rPr>
        <w:footnoteReference w:id="900"/>
      </w:r>
      <w:r>
        <w:rPr>
          <w:rFonts w:ascii="Amiri" w:hAnsi="Amiri" w:eastAsia="Amiri" w:cs="Amiri"/>
          <w:color w:val="111111"/>
          <w:sz w:val="28"/>
          <w:sz w:val="28"/>
          <w:szCs w:val="28"/>
          <w:rtl w:val="true"/>
          <w:lang w:bidi="ar-SA"/>
        </w:rPr>
        <w:t>، فاستند في دفع الملازمة بالآية المذكورة في أحد الوجهين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أجاب عنها القوم بوجوه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Style w:val="FootnoteAnchor"/>
          <w:rtl w:val="true"/>
        </w:rPr>
        <w:footnoteReference w:id="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يشهد به مساقها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واردة في مقام نفي التعذيب في الدنيا قبل البعثة ، ويظهر ذلك بعد الرجوع إلى الآيات السابقة منها واللاحقة لها ، فعدم وقوع التعذيب في مستقلاّت العقل في الدنيا لا يقتضي عدم </w:t>
      </w:r>
      <w:r>
        <w:rPr>
          <w:rStyle w:val="FootnoteAnchor"/>
          <w:rtl w:val="true"/>
        </w:rPr>
        <w:footnoteReference w:id="903"/>
      </w:r>
      <w:r>
        <w:rPr>
          <w:rFonts w:ascii="Amiri" w:hAnsi="Amiri" w:eastAsia="Amiri" w:cs="Amiri"/>
          <w:color w:val="111111"/>
          <w:sz w:val="28"/>
          <w:sz w:val="28"/>
          <w:szCs w:val="28"/>
          <w:rtl w:val="true"/>
          <w:lang w:bidi="ar-SA"/>
        </w:rPr>
        <w:t>ترتّب العقاب عليها ولو في الآخرة ، لوضوح أنّ نفي الأخصّ لا يستلزم نفي الأعمّ ولو في فرد آخر غير الأخصّ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ومنها </w:t>
      </w:r>
      <w:r>
        <w:rPr>
          <w:rStyle w:val="FootnoteAnchor"/>
          <w:rtl w:val="true"/>
        </w:rPr>
        <w:footnoteReference w:id="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يستفاد من الآية نفي العذاب الفعلي ولو في الآخرة ، وهو لا ينافي الاستحقاق ، لمكان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واستحقاق العقاب في المستقلاّت العقليّة ممّا لا يدانيه 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في الوافية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الواجب ما يجوّز العقل ترتّب العقاب على تركه </w:t>
      </w:r>
      <w:r>
        <w:rPr>
          <w:rStyle w:val="FootnoteAnchor"/>
          <w:rtl w:val="true"/>
        </w:rPr>
        <w:footnoteReference w:id="905"/>
      </w:r>
      <w:r>
        <w:rPr>
          <w:rFonts w:ascii="Amiri" w:hAnsi="Amiri" w:eastAsia="Amiri" w:cs="Amiri"/>
          <w:color w:val="111111"/>
          <w:sz w:val="28"/>
          <w:sz w:val="28"/>
          <w:szCs w:val="28"/>
          <w:rtl w:val="true"/>
          <w:lang w:bidi="ar-SA"/>
        </w:rPr>
        <w:t xml:space="preserve">، وبعد ما عرفت من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العقل ترتّب العقاب على المدركات العقليّة ؛ للقطع بصدق المخبر بالعفو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تعريف الواجب بما ذكره إنّما هو اقتراح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حقيقة الوجوب هو الطلب </w:t>
      </w:r>
      <w:r>
        <w:rPr>
          <w:rStyle w:val="FootnoteAnchor"/>
          <w:rtl w:val="true"/>
        </w:rPr>
        <w:footnoteReference w:id="906"/>
      </w:r>
      <w:r>
        <w:rPr>
          <w:rFonts w:ascii="Amiri" w:hAnsi="Amiri" w:eastAsia="Amiri" w:cs="Amiri"/>
          <w:color w:val="111111"/>
          <w:sz w:val="28"/>
          <w:sz w:val="28"/>
          <w:szCs w:val="28"/>
          <w:rtl w:val="true"/>
          <w:lang w:bidi="ar-SA"/>
        </w:rPr>
        <w:t>الأكيد ، وهو أمر بسيط لا مدخل لتجويز ترتّب العقاب عليه فيه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نقول بمدخليّة الاستحقاق أيضا </w:t>
      </w:r>
      <w:r>
        <w:rPr>
          <w:rStyle w:val="FootnoteAnchor"/>
          <w:rtl w:val="true"/>
        </w:rPr>
        <w:footnoteReference w:id="907"/>
      </w:r>
      <w:r>
        <w:rPr>
          <w:rFonts w:ascii="Amiri" w:hAnsi="Amiri" w:eastAsia="Amiri" w:cs="Amiri"/>
          <w:color w:val="111111"/>
          <w:sz w:val="28"/>
          <w:sz w:val="28"/>
          <w:szCs w:val="28"/>
          <w:rtl w:val="true"/>
          <w:lang w:bidi="ar-SA"/>
        </w:rPr>
        <w:t>في حقيقته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عرّفه بعضهم بما يترتّب على تركه الذمّ والعقاب </w:t>
      </w:r>
      <w:r>
        <w:rPr>
          <w:rStyle w:val="FootnoteAnchor"/>
          <w:rtl w:val="true"/>
        </w:rPr>
        <w:footnoteReference w:id="908"/>
      </w:r>
      <w:r>
        <w:rPr>
          <w:rFonts w:ascii="Amiri" w:hAnsi="Amiri" w:eastAsia="Amiri" w:cs="Amiri"/>
          <w:color w:val="111111"/>
          <w:sz w:val="28"/>
          <w:sz w:val="28"/>
          <w:szCs w:val="28"/>
          <w:rtl w:val="true"/>
          <w:lang w:bidi="ar-SA"/>
        </w:rPr>
        <w:t>، فهو تعريف باللازم ، وعلى تقديره فلا غائلة أيضا ؛ لأنّ تجويز ترتّب العقاب على تركه إنّما هو من حيث ذات الواجب مع قطع النظر عمّا عداه ، وهذا موجود في المقام وإن لم نجوّز ترتّب العقاب على تركه نظرا إلى امتناع تخلّف وعده سبحانه ، فإنّ عدم التجويز لعارض ليس بضائر ،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جملة ما يقرّب العباد إلى الطاعة ويبعّدهم عن المعصية هو وعد اللّه سبحانه على الطاعة ووعيده على ارتكاب المعصية ، بل هذا من أعظم ألطافه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جلّت 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العباد ، فالإخبار بالعفو إنّما يوجب التهاون في مدركات العقول ويورث الإغراء في أفاعيلهم والذهول ، فربما يفرط المكلّف فيما تشتهيه نفسه من ارتكاب المحرّمات العقليّة وترك واجباتها اتّكالا على عفوه تعالى واعتمادا على فضله ، وذلك ينافي ما هو المعلوم من طريقة الشرع من الحثّ على فعل الواجبات والتحريض على ترك المحرّمات ، فهو نقض لغرضه تعالى ؛ وعلى هذا فلا وجه لحمل الآية على الإخبار بالعفو ، بل لا بدّ من حملها على نفي الحكم قبل بيان الرسول صلى‌اللّه‌عليه‌وآله ، فيتمّ ما يراه المستدلّ من نفي الحكم الشرعي في موارد استقلال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ذلك لازم على تقدير عدم الحكم الشرعي في موارد حكم العقل أيضا على ما تنبّه به المستدلّ أيضا </w:t>
      </w:r>
      <w:r>
        <w:rPr>
          <w:rStyle w:val="FootnoteAnchor"/>
          <w:rtl w:val="true"/>
        </w:rPr>
        <w:footnoteReference w:id="909"/>
      </w:r>
      <w:r>
        <w:rPr>
          <w:rFonts w:ascii="Amiri" w:hAnsi="Amiri" w:eastAsia="Amiri" w:cs="Amiri"/>
          <w:color w:val="111111"/>
          <w:sz w:val="28"/>
          <w:sz w:val="28"/>
          <w:szCs w:val="28"/>
          <w:rtl w:val="true"/>
          <w:lang w:bidi="ar-SA"/>
        </w:rPr>
        <w:t xml:space="preserve">في بيان وجه ترديده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على من لاحظ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منقوض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بالموارد التي وعد اللّه تعالى بالعفو عنها </w:t>
      </w:r>
      <w:r>
        <w:rPr>
          <w:rStyle w:val="FootnoteAnchor"/>
          <w:rtl w:val="true"/>
        </w:rPr>
        <w:footnoteReference w:id="910"/>
      </w:r>
      <w:r>
        <w:rPr>
          <w:rFonts w:ascii="Amiri" w:hAnsi="Amiri" w:eastAsia="Amiri" w:cs="Amiri"/>
          <w:color w:val="111111"/>
          <w:sz w:val="28"/>
          <w:sz w:val="28"/>
          <w:szCs w:val="28"/>
          <w:rtl w:val="true"/>
          <w:lang w:bidi="ar-SA"/>
        </w:rPr>
        <w:t xml:space="preserve">فيها ، كما فيمن ترك الكبائر ، فإنّه عفو في صغائره ، على ما يشهد به الكتاب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يَجْتَنِبُونَ كَبائِرَ الْإِثْمِ </w:t>
      </w:r>
      <w:r>
        <w:rPr>
          <w:rFonts w:eastAsia="Amiri" w:cs="Amiri" w:ascii="Amiri" w:hAnsi="Amiri"/>
          <w:color w:val="111111"/>
          <w:sz w:val="28"/>
          <w:szCs w:val="28"/>
          <w:rtl w:val="true"/>
          <w:lang w:bidi="ar-SA"/>
        </w:rPr>
        <w:t xml:space="preserve">) </w:t>
      </w:r>
      <w:r>
        <w:rPr>
          <w:rStyle w:val="FootnoteAnchor"/>
          <w:rtl w:val="true"/>
        </w:rPr>
        <w:footnoteReference w:id="911"/>
      </w:r>
      <w:r>
        <w:rPr>
          <w:rFonts w:ascii="Amiri" w:hAnsi="Amiri" w:eastAsia="Amiri" w:cs="Amiri"/>
          <w:color w:val="111111"/>
          <w:sz w:val="28"/>
          <w:sz w:val="28"/>
          <w:szCs w:val="28"/>
          <w:rtl w:val="true"/>
          <w:lang w:bidi="ar-SA"/>
        </w:rPr>
        <w:t xml:space="preserve">الآية ، وكما في الظهار </w:t>
      </w:r>
      <w:r>
        <w:rPr>
          <w:rStyle w:val="FootnoteAnchor"/>
          <w:rtl w:val="true"/>
        </w:rPr>
        <w:footnoteReference w:id="912"/>
      </w:r>
      <w:r>
        <w:rPr>
          <w:rFonts w:ascii="Amiri" w:hAnsi="Amiri" w:eastAsia="Amiri" w:cs="Amiri"/>
          <w:color w:val="111111"/>
          <w:sz w:val="28"/>
          <w:sz w:val="28"/>
          <w:szCs w:val="28"/>
          <w:rtl w:val="true"/>
          <w:lang w:bidi="ar-SA"/>
        </w:rPr>
        <w:t xml:space="preserve">، فإنّ ما دلّ على حرمته </w:t>
      </w:r>
    </w:p>
    <w:p>
      <w:pPr>
        <w:pStyle w:val="BookText"/>
        <w:rPr/>
      </w:pPr>
      <w:r>
        <w:rPr>
          <w:rFonts w:ascii="Amiri" w:hAnsi="Amiri" w:eastAsia="Amiri" w:cs="Amiri"/>
          <w:color w:val="111111"/>
          <w:sz w:val="28"/>
          <w:sz w:val="28"/>
          <w:szCs w:val="28"/>
          <w:rtl w:val="true"/>
          <w:lang w:bidi="ar-SA"/>
        </w:rPr>
        <w:t xml:space="preserve">قد دلّ أيضا على كونه معفوّا عنه ، كما لا يخفى </w:t>
      </w:r>
      <w:r>
        <w:rPr>
          <w:rStyle w:val="FootnoteAnchor"/>
          <w:rtl w:val="true"/>
        </w:rPr>
        <w:footnoteReference w:id="9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في الصبيّ المراهق ، بناء على ما هو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ثبوت الأحكام العقليّة في حقّه دون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يرد نقضا عليه ، على ما لا يخفى فالإغراء المذكور لازم في هذه الموارد ، فما هو الجواب عنها هو الجواب عنه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التوبة أيضا ممّا يرد نقضا على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w:t>
      </w:r>
      <w:r>
        <w:rPr>
          <w:rStyle w:val="FootnoteAnchor"/>
          <w:rtl w:val="true"/>
        </w:rPr>
        <w:footnoteReference w:id="914"/>
      </w:r>
      <w:r>
        <w:rPr>
          <w:rFonts w:ascii="Amiri" w:hAnsi="Amiri" w:eastAsia="Amiri" w:cs="Amiri"/>
          <w:color w:val="111111"/>
          <w:sz w:val="28"/>
          <w:sz w:val="28"/>
          <w:szCs w:val="28"/>
          <w:rtl w:val="true"/>
          <w:lang w:bidi="ar-SA"/>
        </w:rPr>
        <w:t>، فإنّ فيها حالة ترتدع النفس بها عن القبائح حقيقة ، كما هو ظاهر على من له شمّ روائح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أن يكون العفو معلّقا على إيجاد سبب كالبكاء على الحسين عليه‌السلام أو لم يكن ؛ فإنّه ربما يتوهّم الجاهل ويغترّ بفعل القبائح نظرا إلى عدم تخلّف 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العقليّة من ضروريّات جميع الملل والأديان ، فالمكلّف يعلم بتحريمه في الشريعة قبل اطّلاعه على الوعد على عفوها ، فلا غرو ولا اغترار</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ممّا لا ينبغي الاستناد إليها في اعتقاد العفو ، نظرا إلى عدم كونه من الأحكام الشرعيّة وعدم إفادة أصالة الحقيقة في غير الأحكام الشرعيّة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حصل العلم بالعفو عنها ولا أقلّ من الظنّ الشخصي تمّ ما ذكروا </w:t>
      </w:r>
      <w:r>
        <w:rPr>
          <w:rStyle w:val="FootnoteAnchor"/>
          <w:rtl w:val="true"/>
        </w:rPr>
        <w:footnoteReference w:id="915"/>
      </w:r>
      <w:r>
        <w:rPr>
          <w:rFonts w:ascii="Amiri" w:hAnsi="Amiri" w:eastAsia="Amiri" w:cs="Amiri"/>
          <w:color w:val="111111"/>
          <w:sz w:val="28"/>
          <w:sz w:val="28"/>
          <w:szCs w:val="28"/>
          <w:rtl w:val="true"/>
          <w:lang w:bidi="ar-SA"/>
        </w:rPr>
        <w:t xml:space="preserve">وأنّى لها لإفادة </w:t>
      </w:r>
      <w:r>
        <w:rPr>
          <w:rStyle w:val="FootnoteAnchor"/>
          <w:rtl w:val="true"/>
        </w:rPr>
        <w:footnoteReference w:id="916"/>
      </w:r>
      <w:r>
        <w:rPr>
          <w:rFonts w:ascii="Amiri" w:hAnsi="Amiri" w:eastAsia="Amiri" w:cs="Amiri"/>
          <w:color w:val="111111"/>
          <w:sz w:val="28"/>
          <w:sz w:val="28"/>
          <w:szCs w:val="28"/>
          <w:rtl w:val="true"/>
          <w:lang w:bidi="ar-SA"/>
        </w:rPr>
        <w:t xml:space="preserve">العلم لأمثال المكلّفين الذين يغترّون بالعفو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نعم ، يحصل العلم بذلك من أهل اللّه ، وهم لا يعصون اللّه طرفة عين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Style w:val="FootnoteAnchor"/>
          <w:rtl w:val="true"/>
        </w:rPr>
        <w:footnoteReference w:id="9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أجاب عنها العلاّمة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دلالة الآية على نفي الملازمة ظاهرة ، وقد سبق في مقام إثباتها ما يفيد القطع بها ، والظاهر يدفع بالقاطع ، فلا بدّ من تأويلها وتنزيلها على غير محلّ الكلام من تخصيص ونحوه </w:t>
      </w:r>
      <w:r>
        <w:rPr>
          <w:rStyle w:val="FootnoteAnchor"/>
          <w:rtl w:val="true"/>
        </w:rPr>
        <w:footnoteReference w:id="9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في ذلك المحقّق القمّي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 عليه بعض الأجلّة بعدم استقامة هذا الجواب </w:t>
      </w:r>
      <w:r>
        <w:rPr>
          <w:rStyle w:val="FootnoteAnchor"/>
          <w:rtl w:val="true"/>
        </w:rPr>
        <w:footnoteReference w:id="922"/>
      </w:r>
      <w:r>
        <w:rPr>
          <w:rFonts w:ascii="IRNazanin" w:hAnsi="IRNazanin" w:eastAsia="IRNazanin"/>
          <w:color w:val="111111"/>
          <w:sz w:val="28"/>
          <w:sz w:val="28"/>
          <w:szCs w:val="28"/>
          <w:rtl w:val="true"/>
          <w:lang w:bidi="fa-IR"/>
        </w:rPr>
        <w:t xml:space="preserve">على إطلاقه ، فإنّ </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 xml:space="preserve">استلزام الحكم العقلي للحكم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واقعيّا كان أو ظاهريّا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مشروط في نظر العقل بعدم ثبوت منع شرعي من جواز تعويله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Style w:val="FootnoteAnchor"/>
          <w:rtl w:val="true"/>
        </w:rPr>
        <w:footnoteReference w:id="92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والجواب المذكور إنّما يقتضي منع دلالتها على القسم الأوّل </w:t>
      </w:r>
      <w:r>
        <w:rPr>
          <w:rStyle w:val="FootnoteAnchor"/>
          <w:rtl w:val="true"/>
        </w:rPr>
        <w:footnoteReference w:id="92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يخفى أنّ الجواب المذكور في غاية المتانة وبمكان من الواقع </w:t>
      </w:r>
      <w:r>
        <w:rPr>
          <w:rStyle w:val="FootnoteAnchor"/>
          <w:rtl w:val="true"/>
        </w:rPr>
        <w:footnoteReference w:id="926"/>
      </w:r>
      <w:r>
        <w:rPr>
          <w:rFonts w:ascii="Amiri" w:hAnsi="Amiri" w:eastAsia="Amiri" w:cs="Amiri"/>
          <w:color w:val="111111"/>
          <w:sz w:val="28"/>
          <w:sz w:val="28"/>
          <w:szCs w:val="28"/>
          <w:rtl w:val="true"/>
          <w:lang w:bidi="ar-SA"/>
        </w:rPr>
        <w:t xml:space="preserve">؛ فإنّك قد عرفت سابقا في مسألة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حجّيّة العلم غير مجعولة ، بل هو بنفسه طريق إلى الواقع وليس بواسطة في ثبوت أحكام متعلّقه له ، إذ الأحكام ممّا تترتّب عليه في مرتبة ذاته ، والعلم متأخّر عن المعلوم ولا يعقل تأثير المتأخر في المتقدم وإلاّ يلزم تقديم المتأخر أو تأخير المتقدّم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القطع إنّما هو مرآة لثبوت أحكام متعلّقه عليه ؛ ولهذا لا يحتاج في إثباتها وترتّبها </w:t>
      </w:r>
      <w:r>
        <w:rPr>
          <w:rStyle w:val="FootnoteAnchor"/>
          <w:rtl w:val="true"/>
        </w:rPr>
        <w:footnoteReference w:id="927"/>
      </w:r>
      <w:r>
        <w:rPr>
          <w:rFonts w:ascii="Amiri" w:hAnsi="Amiri" w:eastAsia="Amiri" w:cs="Amiri"/>
          <w:color w:val="111111"/>
          <w:sz w:val="28"/>
          <w:sz w:val="28"/>
          <w:szCs w:val="28"/>
          <w:rtl w:val="true"/>
          <w:lang w:bidi="ar-SA"/>
        </w:rPr>
        <w:t xml:space="preserve">عليه إلى شيء آخر عدا دليل الواقع ، فإنّ الكبرى في قياس يطلب فيه إثبات التحيّز مثلا للإنسان هو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حيوان متحيّز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دخل للعلم في ثبوت التحيّز للأصغر سوى أنّه طريق إليه ومرآة يحكي عنه ، وكذا لا مدخليّة لإثبات النجاسة للبول في العلم بالبوليّة </w:t>
      </w:r>
      <w:r>
        <w:rPr>
          <w:rStyle w:val="FootnoteAnchor"/>
          <w:rtl w:val="true"/>
        </w:rPr>
        <w:footnoteReference w:id="928"/>
      </w:r>
      <w:r>
        <w:rPr>
          <w:rFonts w:ascii="Amiri" w:hAnsi="Amiri" w:eastAsia="Amiri" w:cs="Amiri"/>
          <w:color w:val="111111"/>
          <w:sz w:val="28"/>
          <w:sz w:val="28"/>
          <w:szCs w:val="28"/>
          <w:rtl w:val="true"/>
          <w:lang w:bidi="ar-SA"/>
        </w:rPr>
        <w:t xml:space="preserve">؛ ولذا يقال في قياس يطلب فيه </w:t>
      </w:r>
      <w:r>
        <w:rPr>
          <w:rStyle w:val="FootnoteAnchor"/>
          <w:rtl w:val="true"/>
        </w:rPr>
        <w:footnoteReference w:id="929"/>
      </w:r>
      <w:r>
        <w:rPr>
          <w:rFonts w:ascii="Amiri" w:hAnsi="Amiri" w:eastAsia="Amiri" w:cs="Amiri"/>
          <w:color w:val="111111"/>
          <w:sz w:val="28"/>
          <w:sz w:val="28"/>
          <w:szCs w:val="28"/>
          <w:rtl w:val="true"/>
          <w:lang w:bidi="ar-SA"/>
        </w:rPr>
        <w:t xml:space="preserve">ذلك وكلّ بول نجس ، بدون توسيط العلم ومدخليّته في الكبرى ، إلاّ في كونه جهة للقضيّة كالضرورة والدوام ونحوهما ، وعلى هذا فلا يعقل تخصيص الاعتبار ببعض أقسامه دون آخر ، لعدم مدخليّته في شيء ، وإلاّ يلزم خروج الواقع </w:t>
      </w:r>
      <w:r>
        <w:rPr>
          <w:rStyle w:val="FootnoteAnchor"/>
          <w:rtl w:val="true"/>
        </w:rPr>
        <w:footnoteReference w:id="930"/>
      </w:r>
      <w:r>
        <w:rPr>
          <w:rFonts w:ascii="Amiri" w:hAnsi="Amiri" w:eastAsia="Amiri" w:cs="Amiri"/>
          <w:color w:val="111111"/>
          <w:sz w:val="28"/>
          <w:sz w:val="28"/>
          <w:szCs w:val="28"/>
          <w:rtl w:val="true"/>
          <w:lang w:bidi="ar-SA"/>
        </w:rPr>
        <w:t xml:space="preserve">عن كونه واقعا ، وقد أجمع العقلاء على امتناع تخلّف الذات والذاتي عن صاحبها </w:t>
      </w:r>
      <w:r>
        <w:rPr>
          <w:rStyle w:val="FootnoteAnchor"/>
          <w:rtl w:val="true"/>
        </w:rPr>
        <w:footnoteReference w:id="931"/>
      </w:r>
      <w:r>
        <w:rPr>
          <w:rFonts w:ascii="Amiri" w:hAnsi="Amiri" w:eastAsia="Amiri" w:cs="Amiri"/>
          <w:color w:val="111111"/>
          <w:sz w:val="28"/>
          <w:sz w:val="28"/>
          <w:szCs w:val="28"/>
          <w:rtl w:val="true"/>
          <w:lang w:bidi="ar-SA"/>
        </w:rPr>
        <w:t xml:space="preserve">فالقول بالتفصيل بين أقسام العلم ثم القول بحجّيته ظاهرا لا واقعا ممّا لا يصغى إليه </w:t>
      </w:r>
      <w:r>
        <w:rPr>
          <w:rStyle w:val="FootnoteAnchor"/>
          <w:rtl w:val="true"/>
        </w:rPr>
        <w:footnoteReference w:id="932"/>
      </w:r>
      <w:r>
        <w:rPr>
          <w:rFonts w:ascii="IRNazanin" w:hAnsi="IRNazanin" w:eastAsia="IRNazanin"/>
          <w:color w:val="111111"/>
          <w:sz w:val="28"/>
          <w:sz w:val="28"/>
          <w:szCs w:val="28"/>
          <w:rtl w:val="true"/>
          <w:lang w:bidi="fa-IR"/>
        </w:rPr>
        <w:t>لا ظاهرا ولا واقعا</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ظهر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نسب </w:t>
      </w:r>
      <w:r>
        <w:rPr>
          <w:rStyle w:val="FootnoteAnchor"/>
          <w:rtl w:val="true"/>
        </w:rPr>
        <w:footnoteReference w:id="933"/>
      </w:r>
      <w:r>
        <w:rPr>
          <w:rFonts w:ascii="Amiri" w:hAnsi="Amiri" w:eastAsia="Amiri" w:cs="Amiri"/>
          <w:color w:val="111111"/>
          <w:sz w:val="28"/>
          <w:sz w:val="28"/>
          <w:szCs w:val="28"/>
          <w:rtl w:val="true"/>
          <w:lang w:bidi="ar-SA"/>
        </w:rPr>
        <w:t xml:space="preserve">إلى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الفتوى بعدم اعتبار قطع القطّاع أيضا غير سديد كما مرّ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 أخذ الشارع العلم جزءا لموضوع أو جعله موضوعا لصحّ تخصيص ذلك بما أراده بحسب الخصوصيّات المعتبرة في أنفس الأشياء في حدود ذواتها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ما ذكرنا يظهر أنّه لو قيل للقطّاع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تعمل بقطعك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أن يكون هذا إرشادا له إلى زوال 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تعمل بقطعك فيمن لا يعرف مناقضة ذلك للعلم ويعتقد صحّة المنع ، كما في حقّ بعض من لا يلتفت إلى شيء من العوام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ومنها </w:t>
      </w:r>
      <w:r>
        <w:rPr>
          <w:rStyle w:val="FootnoteAnchor"/>
          <w:rtl w:val="true"/>
        </w:rPr>
        <w:footnoteReference w:id="9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غير واحد </w:t>
      </w:r>
      <w:r>
        <w:rPr>
          <w:rStyle w:val="FootnoteAnchor"/>
          <w:rtl w:val="true"/>
        </w:rPr>
        <w:footnoteReference w:id="9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Style w:val="FootnoteAnchor"/>
          <w:rtl w:val="true"/>
        </w:rPr>
        <w:footnoteReference w:id="937"/>
      </w:r>
      <w:r>
        <w:rPr>
          <w:rFonts w:ascii="Amiri" w:hAnsi="Amiri" w:eastAsia="Amiri" w:cs="Amiri"/>
          <w:color w:val="111111"/>
          <w:sz w:val="28"/>
          <w:sz w:val="28"/>
          <w:szCs w:val="28"/>
          <w:rtl w:val="true"/>
          <w:lang w:bidi="ar-SA"/>
        </w:rPr>
        <w:t>أعمّ من الظاهري والباطني ، فيصير كناية عن إتمام الحجّة ولو بالعقل ، والتعبير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رعاية للغالب ، حيث إنّ التبليغ به غالبا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البعث الذي هو غاية في التعذيب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المراد مجرّد البعث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تقدير خلوّه عن التبليغ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المراد به التبليغ فهو أيضا حاصل ؛ لما ورد عنهم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صدور كلّ حكم عن النبيّ صلى‌اللّه‌عليه‌وآله حتى أرش الخدش ، وهو مخزون عندهم عليهم‌السلام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بالتبليغ هو التبليغ التفصيلي ، كما هو ظاهر من مساق الآية الواردة في مقام إتمام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ظهور ذلك من الآية ، بل الغاية تسليم وجوب اللطف على حسب ما يتعارف فيه ، كما يظهر من كيفيّة تبليغ الأنبياء والأوصياء من الاكتفاء به ولو نوعا ، فإنّه ربما يمنع الإيصال إلى جميع الأشخاص عادة ويمنع عنه المانع </w:t>
      </w:r>
      <w:r>
        <w:rPr>
          <w:rStyle w:val="FootnoteAnchor"/>
          <w:rtl w:val="true"/>
        </w:rPr>
        <w:footnoteReference w:id="940"/>
      </w:r>
      <w:r>
        <w:rPr>
          <w:rFonts w:ascii="Amiri" w:hAnsi="Amiri" w:eastAsia="Amiri" w:cs="Amiri"/>
          <w:color w:val="111111"/>
          <w:sz w:val="28"/>
          <w:sz w:val="28"/>
          <w:szCs w:val="28"/>
          <w:rtl w:val="true"/>
          <w:lang w:bidi="ar-SA"/>
        </w:rPr>
        <w:t xml:space="preserve">، ولتحقيق المقام محلّ آخر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يجاب بوجوه ضعيفة أخر لا مجال لذكرها وتزييفها ، فتدبّر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وممّا استند إليه الفاضل التوني لدفع الملازمة </w:t>
      </w:r>
      <w:r>
        <w:rPr>
          <w:rStyle w:val="FootnoteAnchor"/>
          <w:rtl w:val="true"/>
        </w:rPr>
        <w:footnoteReference w:id="943"/>
      </w:r>
      <w:r>
        <w:rPr>
          <w:rFonts w:ascii="Amiri" w:hAnsi="Amiri" w:eastAsia="Amiri" w:cs="Amiri"/>
          <w:color w:val="111111"/>
          <w:sz w:val="28"/>
          <w:sz w:val="28"/>
          <w:szCs w:val="28"/>
          <w:rtl w:val="true"/>
          <w:lang w:bidi="ar-SA"/>
        </w:rPr>
        <w:t xml:space="preserve">جملة من الأخبار ، مثل ما رواه الكليني عن 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يحتجّ على العباد بما آتاهم وعرّفهم ، ثمّ أرسل إليهم رسولا وأنزل عليهم الكتاب </w:t>
      </w:r>
      <w:r>
        <w:rPr>
          <w:rFonts w:eastAsia="Amiri" w:cs="Amiri" w:ascii="Amiri" w:hAnsi="Amiri"/>
          <w:color w:val="111111"/>
          <w:sz w:val="28"/>
          <w:szCs w:val="28"/>
          <w:rtl w:val="true"/>
          <w:lang w:bidi="ar-SA"/>
        </w:rPr>
        <w:t xml:space="preserve">... »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الموصول ، لعدم الاعتداد بالإرسال لولاه ، لتمام الحجّة بدونه ، فيدلّ على أنّ اللّه تعالى لا يحتجّ على العقل وحده ، وهو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بها يتمكّن من تمييز الحقّ عن الباطل كما يشهد به </w:t>
      </w:r>
      <w:r>
        <w:rPr>
          <w:rStyle w:val="FootnoteAnchor"/>
          <w:rtl w:val="true"/>
        </w:rPr>
        <w:footnoteReference w:id="945"/>
      </w:r>
      <w:r>
        <w:rPr>
          <w:rFonts w:ascii="Amiri" w:hAnsi="Amiri" w:eastAsia="Amiri" w:cs="Amiri"/>
          <w:color w:val="111111"/>
          <w:sz w:val="28"/>
          <w:sz w:val="28"/>
          <w:szCs w:val="28"/>
          <w:rtl w:val="true"/>
          <w:lang w:bidi="ar-SA"/>
        </w:rPr>
        <w:t xml:space="preserve">جملة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الكافي </w:t>
      </w:r>
      <w:r>
        <w:rPr>
          <w:rStyle w:val="FootnoteAnchor"/>
          <w:rtl w:val="true"/>
        </w:rPr>
        <w:footnoteReference w:id="94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 حجّة اللّه تعالى على الخلق هو النبيّ صلى‌اللّه‌عليه‌وآله ، وحجّته فيما بينه وبينهم هو العقل لتميّز الحقّ عن الباطل ، فيدلّ على انحصار الحجّة من اللّه تعالى في النبي صلى‌اللّه‌عليه‌وآله والشرع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حمل الرواية على الغالب ، حيث إنّها واردة في مقام بيانه ، والغالب عدم تماميّة الحجّة إلاّ بالشرع ، ومن ذلك الأخبار الدالّة على عدم التكليف إلاّ بعد البعثة ليهلك من هلك عن بيّنة ويحيى من حيّ عن بيّنة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ومجمل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البعثة ، فلا بدّ من ترك ما يستقلّ العقل بقبحه وفعل ما يستقلّ العقل بحسنه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ذلك أيضا الأخبار الدالّة على عدم جواز خلوّ الزمان عن حجّة ليعرّفهم ما يصلحهم وما يفسدهم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نصب الإمام للمستقلاّت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الكلام ، والسيّد المرتضى </w:t>
      </w:r>
      <w:r>
        <w:rPr>
          <w:rStyle w:val="FootnoteAnchor"/>
          <w:rtl w:val="true"/>
        </w:rPr>
        <w:footnoteReference w:id="949"/>
      </w:r>
      <w:r>
        <w:rPr>
          <w:rFonts w:ascii="Amiri" w:hAnsi="Amiri" w:eastAsia="Amiri" w:cs="Amiri"/>
          <w:color w:val="111111"/>
          <w:sz w:val="28"/>
          <w:sz w:val="28"/>
          <w:szCs w:val="28"/>
          <w:rtl w:val="true"/>
          <w:lang w:bidi="ar-SA"/>
        </w:rPr>
        <w:t xml:space="preserve">والطبرسي </w:t>
      </w:r>
      <w:r>
        <w:rPr>
          <w:rStyle w:val="FootnoteAnchor"/>
          <w:rtl w:val="true"/>
        </w:rPr>
        <w:footnoteReference w:id="950"/>
      </w:r>
      <w:r>
        <w:rPr>
          <w:rFonts w:ascii="Amiri" w:hAnsi="Amiri" w:eastAsia="Amiri" w:cs="Amiri"/>
          <w:color w:val="111111"/>
          <w:sz w:val="28"/>
          <w:sz w:val="28"/>
          <w:szCs w:val="28"/>
          <w:rtl w:val="true"/>
          <w:lang w:bidi="ar-SA"/>
        </w:rPr>
        <w:t xml:space="preserve">ينكرانه ، بل وجماعة وافرة من العلماء أيضا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w:t>
      </w:r>
      <w:r>
        <w:rPr>
          <w:rFonts w:eastAsia="Amiri" w:cs="Amiri" w:ascii="Amiri" w:hAnsi="Amiri"/>
          <w:color w:val="111111"/>
          <w:sz w:val="28"/>
          <w:szCs w:val="28"/>
          <w:rtl w:val="true"/>
          <w:lang w:bidi="ar-SA"/>
        </w:rPr>
        <w:t xml:space="preserve">»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وجوابه عدم نهوضه في المستقلاّت العقليّة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ما رواه الكليني عن زرارة عن أبي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بني الإسلام على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إنّ رجلا قام ليله وصام نهاره وتصدّق بجميع ماله وحجّ دهره ولم يعرف ولاية وليّ اللّه فيواليه ، فيكون جميع أعماله بدلالته إليه ما كان على اللّه حقّ في ثوابه </w:t>
      </w:r>
      <w:r>
        <w:rPr>
          <w:rFonts w:eastAsia="Amiri" w:cs="Amiri" w:ascii="Amiri" w:hAnsi="Amiri"/>
          <w:color w:val="111111"/>
          <w:sz w:val="28"/>
          <w:szCs w:val="28"/>
          <w:rtl w:val="true"/>
          <w:lang w:bidi="ar-SA"/>
        </w:rPr>
        <w:t xml:space="preserve">» </w:t>
      </w:r>
      <w:r>
        <w:rPr>
          <w:rStyle w:val="FootnoteAnchor"/>
          <w:rtl w:val="true"/>
        </w:rPr>
        <w:footnoteReference w:id="953"/>
      </w:r>
      <w:r>
        <w:rPr>
          <w:rFonts w:ascii="Amiri" w:hAnsi="Amiri" w:eastAsia="Amiri" w:cs="Amiri"/>
          <w:color w:val="111111"/>
          <w:sz w:val="28"/>
          <w:sz w:val="28"/>
          <w:szCs w:val="28"/>
          <w:rtl w:val="true"/>
          <w:lang w:bidi="ar-SA"/>
        </w:rPr>
        <w:t xml:space="preserve">ووجه الدلالة ظاهر بعد عدّ التصدّق في عداد ما ذكر ، فإنّه من قبيل الإحسان الذي هو </w:t>
      </w:r>
      <w:r>
        <w:rPr>
          <w:rStyle w:val="FootnoteAnchor"/>
          <w:rtl w:val="true"/>
        </w:rPr>
        <w:footnoteReference w:id="954"/>
      </w:r>
      <w:r>
        <w:rPr>
          <w:rFonts w:ascii="Amiri" w:hAnsi="Amiri" w:eastAsia="Amiri" w:cs="Amiri"/>
          <w:color w:val="111111"/>
          <w:sz w:val="28"/>
          <w:sz w:val="28"/>
          <w:szCs w:val="28"/>
          <w:rtl w:val="true"/>
          <w:lang w:bidi="ar-SA"/>
        </w:rPr>
        <w:t>من المستقلاّت العقليّة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w:t>
      </w:r>
      <w:r>
        <w:rPr>
          <w:rStyle w:val="FootnoteAnchor"/>
          <w:rtl w:val="true"/>
        </w:rPr>
        <w:footnoteReference w:id="955"/>
      </w:r>
      <w:r>
        <w:rPr>
          <w:rFonts w:ascii="Amiri" w:hAnsi="Amiri" w:eastAsia="Amiri" w:cs="Amiri"/>
          <w:color w:val="111111"/>
          <w:sz w:val="28"/>
          <w:sz w:val="28"/>
          <w:szCs w:val="28"/>
          <w:rtl w:val="true"/>
          <w:lang w:bidi="ar-SA"/>
        </w:rPr>
        <w:t>مبنيّ على الحثّ والمبالغة في معرفة وليّ اللّه ، ولا دلالة له على عدم حجّية المدركات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التصدّق فبقرينة الحجّ </w:t>
      </w:r>
    </w:p>
    <w:p>
      <w:pPr>
        <w:pStyle w:val="BookText"/>
        <w:rPr/>
      </w:pPr>
      <w:r>
        <w:rPr>
          <w:rFonts w:ascii="Amiri" w:hAnsi="Amiri" w:eastAsia="Amiri" w:cs="Amiri"/>
          <w:color w:val="111111"/>
          <w:sz w:val="28"/>
          <w:sz w:val="28"/>
          <w:szCs w:val="28"/>
          <w:rtl w:val="true"/>
          <w:lang w:bidi="ar-SA"/>
        </w:rPr>
        <w:t xml:space="preserve">والصوم والصلاة محمول على الواجب منه كالزكاة الواجبة </w:t>
      </w:r>
      <w:r>
        <w:rPr>
          <w:rStyle w:val="FootnoteAnchor"/>
          <w:rtl w:val="true"/>
        </w:rPr>
        <w:footnoteReference w:id="956"/>
      </w:r>
      <w:r>
        <w:rPr>
          <w:rFonts w:ascii="Amiri" w:hAnsi="Amiri" w:eastAsia="Amiri" w:cs="Amiri"/>
          <w:color w:val="111111"/>
          <w:sz w:val="28"/>
          <w:sz w:val="28"/>
          <w:szCs w:val="28"/>
          <w:rtl w:val="true"/>
          <w:lang w:bidi="ar-SA"/>
        </w:rPr>
        <w:t>، وإلاّ فليس مطلق التصدّق ممّا بني عليه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غاية ما يستفاد من الحديث عدم الثواب إلاّ بعد دلالة ولي اللّه ، ويمكن الالتزام بذلك حتّى في الواجبات العقليّة ، كما يراه بعضهم من عدم استقلال العقل في لزوم الثواب في الأشياء الحسنة وإن كان يستقلّ في قبح الأشياء القبيحة ولزوم العذاب على تقديرها ، لكنّ الإنصاف فساد هذا الجواب ، كما يشعر بذلك اتّفاق المتكلّمين على خلافه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واستند الفاضل التوني أيضا </w:t>
      </w:r>
      <w:r>
        <w:rPr>
          <w:rStyle w:val="FootnoteAnchor"/>
          <w:rtl w:val="true"/>
        </w:rPr>
        <w:footnoteReference w:id="9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أصحابنا والمعتزلة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التكليف ممّا يستقلّ به العقل لطف ، والعقاب بدون اللطف قبيح ، فلا يجوز العقاب على ما لا يرد به نصّ من الشارع وإن كان قد حكم به العقل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المحقّق القمي </w:t>
      </w:r>
      <w:r>
        <w:rPr>
          <w:rStyle w:val="FootnoteAnchor"/>
          <w:rtl w:val="true"/>
        </w:rPr>
        <w:footnoteReference w:id="9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للسيّد الكاظمي </w:t>
      </w:r>
      <w:r>
        <w:rPr>
          <w:rStyle w:val="FootnoteAnchor"/>
          <w:rtl w:val="true"/>
        </w:rPr>
        <w:footnoteReference w:id="9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وجوب كلّ لطف استنادا إلى أنّ كثيرا من الألطاف مندوبة ، لوضوح أنّ التكاليف المندوبة أيضا لطف في المندوبات العقليّة أو مؤكّدة للواجبات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يقال </w:t>
      </w:r>
      <w:r>
        <w:rPr>
          <w:rStyle w:val="FootnoteAnchor"/>
          <w:rtl w:val="true"/>
        </w:rPr>
        <w:footnoteReference w:id="9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باستشعارهم ذلك من كلام المحقّق الثاني في باب النيّة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دلالته على ما ذكر تأمّل ، ومن أراد الاطّلاع عليه ، فراجعه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الجواب المذكور ممّا لا يوافقه البرهان ، فإنّه هدم لما أسّسه أكابر المتكلّمين في جملة من الأصول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المانع المذكور قد يتسرّى منعه إلى عدم وجوب اللطف في </w:t>
      </w:r>
      <w:r>
        <w:rPr>
          <w:rStyle w:val="FootnoteAnchor"/>
          <w:rtl w:val="true"/>
        </w:rPr>
        <w:footnoteReference w:id="964"/>
      </w:r>
      <w:r>
        <w:rPr>
          <w:rFonts w:ascii="Amiri" w:hAnsi="Amiri" w:eastAsia="Amiri" w:cs="Amiri"/>
          <w:color w:val="111111"/>
          <w:sz w:val="28"/>
          <w:sz w:val="28"/>
          <w:szCs w:val="28"/>
          <w:rtl w:val="true"/>
          <w:lang w:bidi="ar-SA"/>
        </w:rPr>
        <w:t>بعث الأنبياء</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أفاد مثل ذلك أيضا في ردّ مسلك الشيخ في الإجماع </w:t>
      </w:r>
      <w:r>
        <w:rPr>
          <w:rStyle w:val="FootnoteAnchor"/>
          <w:rtl w:val="true"/>
        </w:rPr>
        <w:footnoteReference w:id="965"/>
      </w:r>
      <w:r>
        <w:rPr>
          <w:rFonts w:ascii="Amiri" w:hAnsi="Amiri" w:eastAsia="Amiri" w:cs="Amiri"/>
          <w:color w:val="111111"/>
          <w:sz w:val="28"/>
          <w:sz w:val="28"/>
          <w:szCs w:val="28"/>
          <w:rtl w:val="true"/>
          <w:lang w:bidi="ar-SA"/>
        </w:rPr>
        <w:t xml:space="preserve">، ونحن لم نحصّله إلى الآن ؛ ولعلّ المنشأ في ذلك ما قد اشتهر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اللطف ما يقرّب العباد إلى الطاعة ويبعّدهم عن المعصية فيما لم يصل إلى حدّ الإلجاء ؛ وصدق ذلك في مثل المقام أدّاهم إلى مثل هذه المقالة ، مع أنّ فسادها ممّا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إنّما أخذوا بظاهر التحديد مع </w:t>
      </w:r>
      <w:r>
        <w:rPr>
          <w:rStyle w:val="FootnoteAnchor"/>
          <w:rtl w:val="true"/>
        </w:rPr>
        <w:footnoteReference w:id="966"/>
      </w:r>
      <w:r>
        <w:rPr>
          <w:rFonts w:ascii="Amiri" w:hAnsi="Amiri" w:eastAsia="Amiri" w:cs="Amiri"/>
          <w:color w:val="111111"/>
          <w:sz w:val="28"/>
          <w:sz w:val="28"/>
          <w:szCs w:val="28"/>
          <w:rtl w:val="true"/>
          <w:lang w:bidi="ar-SA"/>
        </w:rPr>
        <w:t xml:space="preserve">صراحة الدليل على وجوب اللطف بخلافه ، حيث علّل بلزوم نقض الغرض ، كما مثّله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أراد ضيافة شخص وتعلّق غرضه بها ولو بواسطة عوده إليه وعلم بأنّه ما لم يفعل بالنسبة إليه نوع 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أظهر طلب قدومه في ضمن رقعة أو إرسال أمين من امنائه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يجبه يجب عليه حينئذ أن يفعل ما يتوقّف حصول غرضه عليه تحصيلا للغرض ، فإنّ نقضه من العاقل الحكيم يعدّ قبيحا ولو قطعنا النظر عن التعليل </w:t>
      </w:r>
      <w:r>
        <w:rPr>
          <w:rStyle w:val="FootnoteAnchor"/>
          <w:rtl w:val="true"/>
        </w:rPr>
        <w:footnoteReference w:id="967"/>
      </w:r>
      <w:r>
        <w:rPr>
          <w:rFonts w:ascii="Amiri" w:hAnsi="Amiri" w:eastAsia="Amiri" w:cs="Amiri"/>
          <w:color w:val="111111"/>
          <w:sz w:val="28"/>
          <w:sz w:val="28"/>
          <w:szCs w:val="28"/>
          <w:rtl w:val="true"/>
          <w:lang w:bidi="ar-SA"/>
        </w:rPr>
        <w:t xml:space="preserve">فالتحديد المذكور أيضا لا يدلّ على مرادهم ، حيث إنّ المراد إيصال العباد إلى المصالح ، </w:t>
      </w:r>
    </w:p>
    <w:p>
      <w:pPr>
        <w:pStyle w:val="BookText"/>
        <w:rPr/>
      </w:pPr>
      <w:r>
        <w:rPr>
          <w:rFonts w:ascii="Amiri" w:hAnsi="Amiri" w:eastAsia="Amiri" w:cs="Amiri"/>
          <w:color w:val="111111"/>
          <w:sz w:val="28"/>
          <w:sz w:val="28"/>
          <w:szCs w:val="28"/>
          <w:rtl w:val="true"/>
          <w:lang w:bidi="ar-SA"/>
        </w:rPr>
        <w:t xml:space="preserve">ولا شكّ أنّ اللطف أصلح وفعل الأصلح واجب عليه ، فلا ينقسم إلى الواجب والمندوب ، إلاّ أن يراد بالوجوب ما فيه المصلحة الموجبة للّطف مع قطع النظر عن لزوم فعل الأصلح عليه تعالى </w:t>
      </w:r>
      <w:r>
        <w:rPr>
          <w:rStyle w:val="FootnoteAnchor"/>
          <w:rtl w:val="true"/>
        </w:rPr>
        <w:footnoteReference w:id="968"/>
      </w:r>
      <w:r>
        <w:rPr>
          <w:rFonts w:ascii="Amiri" w:hAnsi="Amiri" w:eastAsia="Amiri" w:cs="Amiri"/>
          <w:color w:val="111111"/>
          <w:sz w:val="28"/>
          <w:sz w:val="28"/>
          <w:szCs w:val="28"/>
          <w:rtl w:val="true"/>
          <w:lang w:bidi="ar-SA"/>
        </w:rPr>
        <w:t>وبالجملة ، فالتحقيق منع كونه لطفا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عدم التكليف في الواجبات العقليّة لا يلزم نقض الغرض ، لاستقلال العقل بلزوم الإتيان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سلّمنا كونه لطفا فيكون واجبا ، فهو صادر ولا دلالة فيه على مقصود الخصم ، إذ التبليغ حاصل نوعا ولو إجمالا ، والبيان موجود فالعقاب صحيح </w:t>
      </w:r>
      <w:r>
        <w:rPr>
          <w:rStyle w:val="FootnoteAnchor"/>
          <w:rtl w:val="true"/>
        </w:rPr>
        <w:footnoteReference w:id="9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أفاد ، إلاّ أنّه لا يخلو من ضعف ، حيث إنّ كلام المستدلّ في قبح العقاب بدون اللطف وحصول اللطف وإن كان يصحّح العقاب ، إلاّ أنّه خارج عن فرض المستدلّ ، كما لا يخفى</w:t>
      </w:r>
      <w:r>
        <w:rPr>
          <w:rFonts w:eastAsia="Amiri" w:cs="Amiri" w:ascii="Amiri" w:hAnsi="Amiri"/>
          <w:color w:val="111111"/>
          <w:sz w:val="28"/>
          <w:szCs w:val="28"/>
          <w:rtl w:val="true"/>
          <w:lang w:bidi="ar-SA"/>
        </w:rPr>
        <w:t xml:space="preserve">. </w:t>
      </w:r>
      <w:bookmarkStart w:id="281" w:name="pg16264_169695"/>
    </w:p>
    <w:p>
      <w:pPr>
        <w:pStyle w:val="Heading3"/>
        <w:numPr>
          <w:ilvl w:val="2"/>
          <w:numId w:val="1"/>
        </w:numPr>
        <w:rPr/>
      </w:pPr>
      <w:bookmarkStart w:id="282" w:name="__RefHeading___Toc4588708_1280447820"/>
      <w:bookmarkStart w:id="283" w:name="_Toc86"/>
      <w:bookmarkEnd w:id="281"/>
      <w:bookmarkEnd w:id="282"/>
      <w:r>
        <w:rPr>
          <w:rtl w:val="true"/>
        </w:rPr>
        <w:t>أصل</w:t>
      </w:r>
      <w:bookmarkEnd w:id="283"/>
    </w:p>
    <w:p>
      <w:pPr>
        <w:pStyle w:val="Heading4"/>
        <w:numPr>
          <w:ilvl w:val="3"/>
          <w:numId w:val="1"/>
        </w:numPr>
        <w:rPr/>
      </w:pPr>
      <w:bookmarkStart w:id="284" w:name="__RefHeading___Toc4588710_1280447820"/>
      <w:bookmarkStart w:id="285" w:name="_Toc87"/>
      <w:bookmarkEnd w:id="284"/>
      <w:r>
        <w:rPr>
          <w:rtl w:val="true"/>
        </w:rPr>
        <w:t>اشارة</w:t>
      </w:r>
      <w:bookmarkEnd w:id="285"/>
    </w:p>
    <w:p>
      <w:pPr>
        <w:pStyle w:val="BookText"/>
        <w:rPr/>
      </w:pPr>
      <w:r>
        <w:rPr>
          <w:rFonts w:ascii="IRNazanin" w:hAnsi="IRNazanin" w:eastAsia="IRNazanin"/>
          <w:color w:val="111111"/>
          <w:sz w:val="28"/>
          <w:sz w:val="28"/>
          <w:szCs w:val="28"/>
          <w:rtl w:val="true"/>
          <w:lang w:bidi="fa-IR"/>
        </w:rPr>
        <w:t xml:space="preserve">أصل </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 xml:space="preserve">هل الحسن والقبح ذاتيّان للأشياء ، أو بالصفات اللازمة ، أو يفصّل بين الحسن والقبح ، ففي الأوّل يكفي انتفاء الجهة المقبّحة وفي الثاني بالصفات اللازمة ، أو بالوجوه والاعتبارات ، أو يختلف بحسب اختلاف الأشياء ، ففي البعض ذاتي وفي آخر اعتباري وفي ثالث بالصفات اللازمة؟ وجوه بل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بأنّهما ذاتيّان </w:t>
      </w:r>
      <w:r>
        <w:rPr>
          <w:rStyle w:val="FootnoteAnchor"/>
          <w:rtl w:val="true"/>
        </w:rPr>
        <w:footnoteReference w:id="9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يراد به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نفس ذات الشيء كافية في انتزاع الحسن والقبح منها من غير حاجة إلى ملاحظة حيثيّة خارجة عنها بعد وجودها ، كما في سائر لوازم الماهيّات كالزوجيّة بالنسبة إلى الأربعة ، فإنّ بعد ملاحظة الحيثيّة التعليليّة المقيّدة لوجودها يكفي في انتزاع الزوجيّة منها ، أي ذاتها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الذات مقتضية للحسن والقبح ، فيتوقّف انتزاعها عنها إلى عدم المانع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إمّا أن يكون المراد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ذوات كلّيّات الأجناس العالية والمتوسطة والأنواع الحقيقيّة والأصناف ، أو المراد ذوات المصاديق الخارجيّة والجزئيّات الحقيقيّة ولا يجري هذا التقسيم في الثاني ، إذ لا يعقل أن يكون الجزئي الحقيقيّ مقتضيا للحسن ، لجواز انقسامه باعتبار وجود المانع وعدمه ، والمفروض كونه جزئيّا حقيقيّا ،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المراد هو الأول من الأول كما يرشدك إليه ما اورد على القائل بالذاتيّة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جواز النسخ على تقديرها </w:t>
      </w:r>
      <w:r>
        <w:rPr>
          <w:rStyle w:val="FootnoteAnchor"/>
          <w:rtl w:val="true"/>
        </w:rPr>
        <w:footnoteReference w:id="972"/>
      </w:r>
      <w:r>
        <w:rPr>
          <w:rFonts w:ascii="Amiri" w:hAnsi="Amiri" w:eastAsia="Amiri" w:cs="Amiri"/>
          <w:color w:val="111111"/>
          <w:sz w:val="28"/>
          <w:sz w:val="28"/>
          <w:szCs w:val="28"/>
          <w:rtl w:val="true"/>
          <w:lang w:bidi="ar-SA"/>
        </w:rPr>
        <w:t xml:space="preserve">وجواب بعض أصحاب هذه المقالة بأنّ النسخ من جهة تعارض الذاتيّين </w:t>
      </w:r>
      <w:r>
        <w:rPr>
          <w:rStyle w:val="FootnoteAnchor"/>
          <w:rtl w:val="true"/>
        </w:rPr>
        <w:footnoteReference w:id="973"/>
      </w:r>
      <w:r>
        <w:rPr>
          <w:rFonts w:ascii="Amiri" w:hAnsi="Amiri" w:eastAsia="Amiri" w:cs="Amiri"/>
          <w:color w:val="111111"/>
          <w:sz w:val="28"/>
          <w:sz w:val="28"/>
          <w:szCs w:val="28"/>
          <w:rtl w:val="true"/>
          <w:lang w:bidi="ar-SA"/>
        </w:rPr>
        <w:t>، فإنّ كلاّ من الإيراد والجواب صريح في أنّ المراد هو أنّ الذات تكفي في انتزاع الحسن والقبح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يشعر بذلك ما اورد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التناقض في الصدق الضارّ والكذب النافع </w:t>
      </w:r>
      <w:r>
        <w:rPr>
          <w:rStyle w:val="FootnoteAnchor"/>
          <w:rtl w:val="true"/>
        </w:rPr>
        <w:footnoteReference w:id="974"/>
      </w:r>
      <w:r>
        <w:rPr>
          <w:rFonts w:ascii="Amiri" w:hAnsi="Amiri" w:eastAsia="Amiri" w:cs="Amiri"/>
          <w:color w:val="111111"/>
          <w:sz w:val="28"/>
          <w:sz w:val="28"/>
          <w:szCs w:val="28"/>
          <w:rtl w:val="true"/>
          <w:lang w:bidi="ar-SA"/>
        </w:rPr>
        <w:t>؛ مضافا إلى أنّ احتمال أن يكون الذات مقتضية للحسن والقبح فاسد من جهة أخرى ؛ لأنّ عدم المانع إن لوحظ فيهما على وجه يصير منوعا فينقلب إلى الأوّل ، وإلاّ فلا يفترق عن القول بالوجوه والاعتبارات</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ضعيفا أن يراد بالذات ذوات الجزئيّات أيضا ، إذ ليس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والقبح في الكلّ كذلك ، بل قد يكون ذات المصداق الخارجي مقتضيا للحسن أيضا ، فلا ينتقض بالعلم ، لعدم مدخليّة صدق زيد في حسن كلّي الصدق ،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w:t>
      </w:r>
      <w:r>
        <w:rPr>
          <w:rStyle w:val="FootnoteAnchor"/>
          <w:rtl w:val="true"/>
        </w:rPr>
        <w:footnoteReference w:id="975"/>
      </w:r>
      <w:r>
        <w:rPr>
          <w:rFonts w:ascii="Amiri" w:hAnsi="Amiri" w:eastAsia="Amiri" w:cs="Amiri"/>
          <w:color w:val="111111"/>
          <w:sz w:val="28"/>
          <w:sz w:val="28"/>
          <w:szCs w:val="28"/>
          <w:rtl w:val="true"/>
          <w:lang w:bidi="ar-SA"/>
        </w:rPr>
        <w:t xml:space="preserve">بالصفات اللازمة </w:t>
      </w:r>
      <w:r>
        <w:rPr>
          <w:rStyle w:val="FootnoteAnchor"/>
          <w:rtl w:val="true"/>
        </w:rPr>
        <w:footnoteReference w:id="9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يراد بها ما هي لازمة للذوات الكلّيّة والجزئيّة </w:t>
      </w:r>
      <w:r>
        <w:rPr>
          <w:rStyle w:val="FootnoteAnchor"/>
          <w:rtl w:val="true"/>
        </w:rPr>
        <w:footnoteReference w:id="9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يراد بها الصفات التي هي بمنزلة الفصول للأجناس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هي الصفات اللازمة لنفس </w:t>
      </w:r>
      <w:r>
        <w:rPr>
          <w:rStyle w:val="FootnoteAnchor"/>
          <w:rtl w:val="true"/>
        </w:rPr>
        <w:footnoteReference w:id="978"/>
      </w:r>
      <w:r>
        <w:rPr>
          <w:rFonts w:ascii="Amiri" w:hAnsi="Amiri" w:eastAsia="Amiri" w:cs="Amiri"/>
          <w:color w:val="111111"/>
          <w:sz w:val="28"/>
          <w:sz w:val="28"/>
          <w:szCs w:val="28"/>
          <w:rtl w:val="true"/>
          <w:lang w:bidi="ar-SA"/>
        </w:rPr>
        <w:t>الماهيّات على وجه يكفي في انتزاعها تحقّق الماهيّة ، فعلى القول بالذاتي نفس الحسن والقبح بمنزلة تلك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القول هذه الصفات واسطة فيه ، كما لا يخفى</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بالتفصيل بين الحسن والقبح فيكفي في الأوّل انتفاء جهة مقبّحة ، وفي الثاني بالصفات اللازمة </w:t>
      </w:r>
      <w:r>
        <w:rPr>
          <w:rStyle w:val="FootnoteAnchor"/>
          <w:rtl w:val="true"/>
        </w:rPr>
        <w:footnoteReference w:id="9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الحرج في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ينظر ما قد يوجد في كلمات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الحسن ما لا حرج في فعله </w:t>
      </w:r>
      <w:r>
        <w:rPr>
          <w:rStyle w:val="FootnoteAnchor"/>
          <w:rtl w:val="true"/>
        </w:rPr>
        <w:footnoteReference w:id="9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يراد أنّ الحسن في الفعل إنّما هو بحسب اقتضاء الذات ، فيكفي فيه انتفاء جهة مقبّحة ، بخلاف القبح فإنّه بالصفات اللازمة </w:t>
      </w:r>
      <w:r>
        <w:rPr>
          <w:rStyle w:val="FootnoteAnchor"/>
          <w:rtl w:val="true"/>
        </w:rPr>
        <w:footnoteReference w:id="981"/>
      </w:r>
      <w:r>
        <w:rPr>
          <w:rFonts w:ascii="Amiri" w:hAnsi="Amiri" w:eastAsia="Amiri" w:cs="Amiri"/>
          <w:color w:val="111111"/>
          <w:sz w:val="28"/>
          <w:sz w:val="28"/>
          <w:szCs w:val="28"/>
          <w:rtl w:val="true"/>
          <w:lang w:bidi="ar-SA"/>
        </w:rPr>
        <w:t>على أحد الوجوه المتقدّمة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بالوجوه والاعتبارات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والفرق بين الوجوه والاعتبار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يساعده الاعتبار وإن كان لا يظهر من موارد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بالأوّل هي العناوين المنتزعة من ذوات الأفعال التي لا يمكن تخلّف الفعل عنها ، فلا بدّ من أن يقع على واحد منها كالتأديب والتعذيب </w:t>
      </w:r>
      <w:r>
        <w:rPr>
          <w:rStyle w:val="FootnoteAnchor"/>
          <w:rtl w:val="true"/>
        </w:rPr>
        <w:footnoteReference w:id="983"/>
      </w:r>
      <w:r>
        <w:rPr>
          <w:rFonts w:ascii="Amiri" w:hAnsi="Amiri" w:eastAsia="Amiri" w:cs="Amiri"/>
          <w:color w:val="111111"/>
          <w:sz w:val="28"/>
          <w:sz w:val="28"/>
          <w:szCs w:val="28"/>
          <w:rtl w:val="true"/>
          <w:lang w:bidi="ar-SA"/>
        </w:rPr>
        <w:t>في الضرب ، والإنجاء والإضرار في الكذب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الأوصاف اللاحقة للأفعال باعتبار ملاحظة المعتبر على وجه لو لم يكن الاعتبار لما كانت تلحق بالفعل ؛ مثلا قد يكون الخروج عن البلد ممّا لا يقضي به شيء ، إلاّ أنّه بعد ملاحظة خروج الرفقة والرئيس قد يوجد في نفس الخروج صفة بعد الاعتبار تقضي بالخروج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يصير المثال من قبل الأوّل ؛ والأمر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الفرق بين هذا القول والقول الأوّل ظاهر ، فإنّه على الأوّل مورد الحسن تمام الفعل والوجه ، وعلى الثاني نفس الفعل باعتبار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الفرق بين هذا القول والقول بالصفات اللازمة أيضا ظاهر باللزوم وعدمه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أصحاب هذا القول بين معمم في الوجوه والاعتبارات حتّى العلم والجهل ، سواء كانا متعلّقين بالصفة أو 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ومخصّص بالموصوف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ومخصّص بغيرهما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فعلى الأوّل ما لم يعلم بالظلم وبقبحه لا يكون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لو جهل بالظلم لا يكون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الثالث فهو قبيح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باختلاف الموارد </w:t>
      </w:r>
      <w:r>
        <w:rPr>
          <w:rStyle w:val="FootnoteAnchor"/>
          <w:rtl w:val="true"/>
        </w:rPr>
        <w:footnoteReference w:id="984"/>
      </w:r>
      <w:r>
        <w:rPr>
          <w:rFonts w:ascii="Amiri" w:hAnsi="Amiri" w:eastAsia="Amiri" w:cs="Amiri"/>
          <w:color w:val="111111"/>
          <w:sz w:val="28"/>
          <w:sz w:val="28"/>
          <w:szCs w:val="28"/>
          <w:rtl w:val="true"/>
          <w:lang w:bidi="ar-SA"/>
        </w:rPr>
        <w:t xml:space="preserve">، فربّما يكون ذاتيّا كما في الظلم والشرك وشكر المنعم والخضوع لوجهه الكريم ، وربّما يكون بالوجوه والاعتبار كما في التأديب والتعذيب </w:t>
      </w:r>
      <w:r>
        <w:rPr>
          <w:rStyle w:val="FootnoteAnchor"/>
          <w:rtl w:val="true"/>
        </w:rPr>
        <w:footnoteReference w:id="985"/>
      </w:r>
      <w:r>
        <w:rPr>
          <w:rFonts w:ascii="Amiri" w:hAnsi="Amiri" w:eastAsia="Amiri" w:cs="Amiri"/>
          <w:color w:val="111111"/>
          <w:sz w:val="28"/>
          <w:sz w:val="28"/>
          <w:szCs w:val="28"/>
          <w:rtl w:val="true"/>
          <w:lang w:bidi="ar-SA"/>
        </w:rPr>
        <w:t xml:space="preserve">وغير ذلك كما في اعتبار </w:t>
      </w:r>
      <w:r>
        <w:rPr>
          <w:rStyle w:val="FootnoteAnchor"/>
          <w:rtl w:val="true"/>
        </w:rPr>
        <w:footnoteReference w:id="986"/>
      </w:r>
      <w:r>
        <w:rPr>
          <w:rFonts w:ascii="Amiri" w:hAnsi="Amiri" w:eastAsia="Amiri" w:cs="Amiri"/>
          <w:color w:val="111111"/>
          <w:sz w:val="28"/>
          <w:sz w:val="28"/>
          <w:szCs w:val="28"/>
          <w:rtl w:val="true"/>
          <w:lang w:bidi="ar-SA"/>
        </w:rPr>
        <w:t xml:space="preserve">مطابقة العمل بقول 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المطابقة ليست من العناوين المتّحدة مع الفعل في الخارج إلاّ اعتبارا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الحقّ الحقيق بالتصديق الذي لا محيص عنه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هذا ما ذهب إليه الإماميّة بأجمعهم على حسب ما يظهر منهم في موارد كلماتهم ومطاوي تحقيقاتهم ؛ ولذا </w:t>
      </w:r>
      <w:r>
        <w:rPr>
          <w:rStyle w:val="FootnoteAnchor"/>
          <w:rtl w:val="true"/>
        </w:rPr>
        <w:footnoteReference w:id="987"/>
      </w:r>
      <w:r>
        <w:rPr>
          <w:rFonts w:ascii="Amiri" w:hAnsi="Amiri" w:eastAsia="Amiri" w:cs="Amiri"/>
          <w:color w:val="111111"/>
          <w:sz w:val="28"/>
          <w:sz w:val="28"/>
          <w:szCs w:val="28"/>
          <w:rtl w:val="true"/>
          <w:lang w:bidi="ar-SA"/>
        </w:rPr>
        <w:t xml:space="preserve">لا يلتزمون بالنسخ في جميع الأحكام كما صرّح به الشيخ في العدّة </w:t>
      </w:r>
      <w:r>
        <w:rPr>
          <w:rStyle w:val="FootnoteAnchor"/>
          <w:rtl w:val="true"/>
        </w:rPr>
        <w:footnoteReference w:id="988"/>
      </w:r>
      <w:r>
        <w:rPr>
          <w:rFonts w:ascii="Amiri" w:hAnsi="Amiri" w:eastAsia="Amiri" w:cs="Amiri"/>
          <w:color w:val="111111"/>
          <w:sz w:val="28"/>
          <w:sz w:val="28"/>
          <w:szCs w:val="28"/>
          <w:rtl w:val="true"/>
          <w:lang w:bidi="ar-SA"/>
        </w:rPr>
        <w:t xml:space="preserve">والعلاّمة في النهاية </w:t>
      </w:r>
      <w:r>
        <w:rPr>
          <w:rStyle w:val="FootnoteAnchor"/>
          <w:rtl w:val="true"/>
        </w:rPr>
        <w:footnoteReference w:id="989"/>
      </w:r>
      <w:r>
        <w:rPr>
          <w:rFonts w:ascii="Amiri" w:hAnsi="Amiri" w:eastAsia="Amiri" w:cs="Amiri"/>
          <w:color w:val="111111"/>
          <w:sz w:val="28"/>
          <w:sz w:val="28"/>
          <w:szCs w:val="28"/>
          <w:rtl w:val="true"/>
          <w:lang w:bidi="ar-SA"/>
        </w:rPr>
        <w:t xml:space="preserve">وجماعة من متكلّمي الإماميّة </w:t>
      </w:r>
      <w:r>
        <w:rPr>
          <w:rStyle w:val="FootnoteAnchor"/>
          <w:rtl w:val="true"/>
        </w:rPr>
        <w:footnoteReference w:id="990"/>
      </w:r>
      <w:r>
        <w:rPr>
          <w:rFonts w:ascii="Amiri" w:hAnsi="Amiri" w:eastAsia="Amiri" w:cs="Amiri"/>
          <w:color w:val="111111"/>
          <w:sz w:val="28"/>
          <w:sz w:val="28"/>
          <w:szCs w:val="28"/>
          <w:rtl w:val="true"/>
          <w:lang w:bidi="ar-SA"/>
        </w:rPr>
        <w:t xml:space="preserve">، كما لا يخفى على المتتبّع </w:t>
      </w:r>
      <w:r>
        <w:rPr>
          <w:rStyle w:val="FootnoteAnchor"/>
          <w:rtl w:val="true"/>
        </w:rPr>
        <w:footnoteReference w:id="991"/>
      </w:r>
      <w:r>
        <w:rPr>
          <w:rFonts w:ascii="Amiri" w:hAnsi="Amiri" w:eastAsia="Amiri" w:cs="Amiri"/>
          <w:color w:val="111111"/>
          <w:sz w:val="28"/>
          <w:sz w:val="28"/>
          <w:szCs w:val="28"/>
          <w:rtl w:val="true"/>
          <w:lang w:bidi="ar-SA"/>
        </w:rPr>
        <w:t xml:space="preserve">، لكن ينبغي أن تخصّص الوجوه والاعتبار بغير العلم والجهل المتعلّقين بالصفة ، إذ لولاه لزم الدور الباطل </w:t>
      </w:r>
      <w:r>
        <w:rPr>
          <w:rStyle w:val="FootnoteAnchor"/>
          <w:rtl w:val="true"/>
        </w:rPr>
        <w:footnoteReference w:id="992"/>
      </w:r>
      <w:r>
        <w:rPr>
          <w:rFonts w:ascii="IRNazanin" w:hAnsi="IRNazanin" w:eastAsia="IRNazanin"/>
          <w:color w:val="111111"/>
          <w:sz w:val="28"/>
          <w:sz w:val="28"/>
          <w:szCs w:val="28"/>
          <w:rtl w:val="true"/>
          <w:lang w:bidi="fa-IR"/>
        </w:rPr>
        <w:t xml:space="preserve">فإنّ العلم بالقبح </w:t>
      </w:r>
      <w:bookmarkStart w:id="286" w:name="pg16264_169700"/>
    </w:p>
    <w:p>
      <w:pPr>
        <w:pStyle w:val="BookText"/>
        <w:rPr/>
      </w:pPr>
      <w:bookmarkEnd w:id="286"/>
      <w:r>
        <w:rPr>
          <w:rFonts w:ascii="Amiri" w:hAnsi="Amiri" w:eastAsia="Amiri" w:cs="Amiri"/>
          <w:color w:val="111111"/>
          <w:sz w:val="28"/>
          <w:sz w:val="28"/>
          <w:szCs w:val="28"/>
          <w:rtl w:val="true"/>
          <w:lang w:bidi="ar-SA"/>
        </w:rPr>
        <w:t xml:space="preserve">متأخّر عنه لكونه متعلّقا به ، فلو كان العلم المتأخّر عنه مؤثّرا فيه قبحا </w:t>
      </w:r>
      <w:r>
        <w:rPr>
          <w:rStyle w:val="FootnoteAnchor"/>
          <w:rtl w:val="true"/>
        </w:rPr>
        <w:footnoteReference w:id="993"/>
      </w:r>
      <w:r>
        <w:rPr>
          <w:rFonts w:ascii="Amiri" w:hAnsi="Amiri" w:eastAsia="Amiri" w:cs="Amiri"/>
          <w:color w:val="111111"/>
          <w:sz w:val="28"/>
          <w:sz w:val="28"/>
          <w:szCs w:val="28"/>
          <w:rtl w:val="true"/>
          <w:lang w:bidi="ar-SA"/>
        </w:rPr>
        <w:t>لزم تأثير المتأخّر في المتقدّم ، فلا بدّ من فرضه مقدّما ؛ وعلى تقديره يلزم تقدّم العلم على وجوده وتأخّر القبح عن وجوده ، وهو باطل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العلم بالموصوف ، إذ لو لم يكن الموصوف معلوما لما كان وقوعه على وجه الاختيار ، فإنّه ممّا علم ضرورة احتياج الفعل الاختياري إلى العلم والإرادة ، فعلى تقدير الجهل يكون الفعل اضطراريّا ومن المقطوع به المجمع عليه عدم اتّصاف الفعل الاضطراري بالحسن والقبح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فالعلم بالموصوف لا بدّ وأن يكون ممّا له دخل بالحسن والقبح على هذه الوجوه </w:t>
      </w:r>
      <w:r>
        <w:rPr>
          <w:rStyle w:val="FootnoteAnchor"/>
          <w:rtl w:val="true"/>
        </w:rPr>
        <w:footnoteReference w:id="994"/>
      </w:r>
      <w:r>
        <w:rPr>
          <w:rFonts w:ascii="Amiri" w:hAnsi="Amiri" w:eastAsia="Amiri" w:cs="Amiri"/>
          <w:color w:val="111111"/>
          <w:sz w:val="28"/>
          <w:sz w:val="28"/>
          <w:szCs w:val="28"/>
          <w:rtl w:val="true"/>
          <w:lang w:bidi="ar-SA"/>
        </w:rPr>
        <w:t>دون العلم بالصفة ؛ لما عرفت ، مضافا إلى لزوم التصويب ، إذ الظلم في حقّ العالم بقبحه حرام وفي حقّ الجاهل مباح ، وما هو إلاّ اختلاف الأحكام في حقّ العباد من غير اندراجهم تحت عنوان يخصّهم بالعلم والجهل</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4588712_1280447820"/>
      <w:bookmarkStart w:id="288" w:name="_Toc88"/>
      <w:bookmarkEnd w:id="287"/>
      <w:r>
        <w:rPr>
          <w:rtl w:val="true"/>
        </w:rPr>
        <w:t xml:space="preserve">تنبيهان </w:t>
      </w:r>
      <w:r>
        <w:rPr>
          <w:rtl w:val="true"/>
        </w:rPr>
        <w:t>:</w:t>
      </w:r>
      <w:bookmarkEnd w:id="288"/>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w:t>
      </w:r>
      <w:r>
        <w:rPr>
          <w:rStyle w:val="FootnoteAnchor"/>
          <w:rtl w:val="true"/>
        </w:rPr>
        <w:footnoteReference w:id="995"/>
      </w:r>
      <w:r>
        <w:rPr>
          <w:rFonts w:ascii="Amiri" w:hAnsi="Amiri" w:eastAsia="Amiri" w:cs="Amiri"/>
          <w:color w:val="111111"/>
          <w:sz w:val="28"/>
          <w:sz w:val="28"/>
          <w:szCs w:val="28"/>
          <w:rtl w:val="true"/>
          <w:lang w:bidi="ar-SA"/>
        </w:rPr>
        <w:t xml:space="preserve">هذا النزاع بينهم هو ما قد تقرّر عند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النزاع في أنّ اختلاف الأفعال هل هو بواسطة اختلافها في حدود أنفسها وذواتها ، أو لأمور خارجة عنها؟ كالنزاع بين أرباب الصنعة في اختلاف الجواهر والفلزّات ، فيمكن إرجاع الاختلاف في المقام إلى اختلاف أقوالهم هناك ، فمن يرى أنّ شرب الخمر ماهيّة متميّزة عن غيرها لا تختلف لوقوعها في حالتي </w:t>
      </w:r>
    </w:p>
    <w:p>
      <w:pPr>
        <w:pStyle w:val="BookText"/>
        <w:rPr/>
      </w:pPr>
      <w:r>
        <w:rPr>
          <w:rFonts w:ascii="Amiri" w:hAnsi="Amiri" w:eastAsia="Amiri" w:cs="Amiri"/>
          <w:color w:val="111111"/>
          <w:sz w:val="28"/>
          <w:sz w:val="28"/>
          <w:szCs w:val="28"/>
          <w:rtl w:val="true"/>
          <w:lang w:bidi="ar-SA"/>
        </w:rPr>
        <w:t xml:space="preserve">المرض والصحّة ، بل ذلك أمر خارج عنها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والقبح ليسا بالذات بل يلحقان الأفعال باعتبار الصفات الخارجة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الوقوع في حالتي الصحّة والمرض منوّع للشرب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القبيح هو الشرب الواقع في حالة الصحة ،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ذكروا في ثمرة النزاع امورا لا يترتّب شيء منها على قول من الأقوال ، أحسنها في المقام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بالوجوه والاعتبار على تقدير التعميم إلى العلم المتعلّق بالصفة لازمه التصويب ، وباقي الأقوال لازمها التخطئة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ضعفه ، فإنّ </w:t>
      </w:r>
      <w:r>
        <w:rPr>
          <w:rStyle w:val="FootnoteAnchor"/>
          <w:rtl w:val="true"/>
        </w:rPr>
        <w:footnoteReference w:id="996"/>
      </w:r>
      <w:r>
        <w:rPr>
          <w:rFonts w:ascii="Amiri" w:hAnsi="Amiri" w:eastAsia="Amiri" w:cs="Amiri"/>
          <w:color w:val="111111"/>
          <w:sz w:val="28"/>
          <w:sz w:val="28"/>
          <w:szCs w:val="28"/>
          <w:rtl w:val="true"/>
          <w:lang w:bidi="ar-SA"/>
        </w:rPr>
        <w:t>أصحاب هذه المقالة الباطلة لا يقولون بالحكم الواقعي ولا الحسن والقبح ، بل لازم القول بالتصويب حدوث الحكم بواسطة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قد يجاب عن إشكال الدور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الظنّ بما هو أشبه بالقواعد والأصول ، كما قرّره العضدي </w:t>
      </w:r>
      <w:r>
        <w:rPr>
          <w:rStyle w:val="FootnoteAnchor"/>
          <w:rtl w:val="true"/>
        </w:rPr>
        <w:footnoteReference w:id="9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إنّما </w:t>
      </w:r>
      <w:r>
        <w:rPr>
          <w:rStyle w:val="FootnoteAnchor"/>
          <w:rtl w:val="true"/>
        </w:rPr>
        <w:footnoteReference w:id="998"/>
      </w:r>
      <w:r>
        <w:rPr>
          <w:rFonts w:ascii="Amiri" w:hAnsi="Amiri" w:eastAsia="Amiri" w:cs="Amiri"/>
          <w:color w:val="111111"/>
          <w:sz w:val="28"/>
          <w:sz w:val="28"/>
          <w:szCs w:val="28"/>
          <w:rtl w:val="true"/>
          <w:lang w:bidi="ar-SA"/>
        </w:rPr>
        <w:t xml:space="preserve">هو نوع آخر من التصويب كما هو اللازم من مذهبنا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ثبوت الأحكام الواقعيّة والحسن والقبح ، كما مرّ</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التصويب المشهور عنه أهله فلا ملازمة بينه وبين هذا القول بل قد يخالفه ؛ لأنّ مبنى التصويب على عدم الحكم والحسن والقبح ، ومبنى هذا القول على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يعلم أن الجواب الذي أورده العضدي لا ينهض جوابا هناك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القول بالذاتي جواز اجتماع الأمر والنهي في مثل الصدق الضارّ والكذب النافع ، لعدم جواز تخلّف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وضعفه ظاهر أيضا ، لأنّ القائل بالذاتيّة 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مقتضية للحسن والقبح فلا ملازمة أصلا </w:t>
      </w:r>
      <w:r>
        <w:rPr>
          <w:rStyle w:val="FootnoteAnchor"/>
          <w:rtl w:val="true"/>
        </w:rPr>
        <w:footnoteReference w:id="999"/>
      </w:r>
      <w:r>
        <w:rPr>
          <w:rFonts w:ascii="Amiri" w:hAnsi="Amiri" w:eastAsia="Amiri" w:cs="Amiri"/>
          <w:color w:val="111111"/>
          <w:sz w:val="28"/>
          <w:sz w:val="28"/>
          <w:szCs w:val="28"/>
          <w:rtl w:val="true"/>
          <w:lang w:bidi="ar-SA"/>
        </w:rPr>
        <w:t>؛ لاحتمال كون الضرر مانعا عن الحسن ، والنفع مانعا عن القبح ، فلا حسن ولا أمر ، فلا يجتمع 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علّة تامّة للانتزاع كما مرّ </w:t>
      </w:r>
      <w:r>
        <w:rPr>
          <w:rStyle w:val="FootnoteAnchor"/>
          <w:rtl w:val="true"/>
        </w:rPr>
        <w:footnoteReference w:id="1000"/>
      </w:r>
      <w:r>
        <w:rPr>
          <w:rFonts w:ascii="Amiri" w:hAnsi="Amiri" w:eastAsia="Amiri" w:cs="Amiri"/>
          <w:color w:val="111111"/>
          <w:sz w:val="28"/>
          <w:sz w:val="28"/>
          <w:szCs w:val="28"/>
          <w:rtl w:val="true"/>
          <w:lang w:bidi="ar-SA"/>
        </w:rPr>
        <w:t xml:space="preserve">، فلازمه اجتماع الحسن والقبح معا ، لامتناع تخلّف اللازم عن الملزوم ، إلاّ أنّه لا ملازمة بينه وبين الاجتماع ؛ لأنّ الحسن والقبح إنّما يوجبان الأمر </w:t>
      </w:r>
      <w:r>
        <w:rPr>
          <w:rStyle w:val="FootnoteAnchor"/>
          <w:rtl w:val="true"/>
        </w:rPr>
        <w:footnoteReference w:id="1001"/>
      </w:r>
      <w:r>
        <w:rPr>
          <w:rFonts w:ascii="Amiri" w:hAnsi="Amiri" w:eastAsia="Amiri" w:cs="Amiri"/>
          <w:color w:val="111111"/>
          <w:sz w:val="28"/>
          <w:sz w:val="28"/>
          <w:szCs w:val="28"/>
          <w:rtl w:val="true"/>
          <w:lang w:bidi="ar-SA"/>
        </w:rPr>
        <w:t>والنهي لو لم يكن هناك جهة خارجة توجب قبح الحسن وحسن القبيح بالعرض كما في موارد اجتماعهما ، فإنّ الكذب النافع قبيح بالذات وحسن بالعرض ، ولا يؤثّر مثل هذا الحسن والقبح في الأمر والنهي ؛ لأنّه في قوّة الخارج عن تحت القدرة والاختيار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صحّ هذه الثمرة فلازمه جواز الاجتماع المسبّب من الأمر أيضا ، مع أنّ البداهة تشهد بخلافه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مسألة الحسن والقبح</w:t>
      </w:r>
      <w:r>
        <w:rPr>
          <w:rFonts w:eastAsia="Amiri" w:cs="Amiri" w:ascii="Amiri" w:hAnsi="Amiri"/>
          <w:color w:val="111111"/>
          <w:sz w:val="28"/>
          <w:szCs w:val="28"/>
          <w:rtl w:val="true"/>
          <w:lang w:bidi="ar-SA"/>
        </w:rPr>
        <w:t xml:space="preserve">. </w:t>
      </w:r>
      <w:bookmarkStart w:id="289" w:name="pg16264_169703"/>
    </w:p>
    <w:p>
      <w:pPr>
        <w:pStyle w:val="Heading3"/>
        <w:numPr>
          <w:ilvl w:val="2"/>
          <w:numId w:val="1"/>
        </w:numPr>
        <w:rPr/>
      </w:pPr>
      <w:bookmarkStart w:id="290" w:name="__RefHeading___Toc4588714_1280447820"/>
      <w:bookmarkStart w:id="291" w:name="_Toc89"/>
      <w:bookmarkEnd w:id="289"/>
      <w:bookmarkEnd w:id="290"/>
      <w:r>
        <w:rPr>
          <w:rtl w:val="true"/>
        </w:rPr>
        <w:t>أصل</w:t>
      </w:r>
      <w:bookmarkEnd w:id="291"/>
    </w:p>
    <w:p>
      <w:pPr>
        <w:pStyle w:val="Heading4"/>
        <w:numPr>
          <w:ilvl w:val="3"/>
          <w:numId w:val="1"/>
        </w:numPr>
        <w:rPr/>
      </w:pPr>
      <w:bookmarkStart w:id="292" w:name="__RefHeading___Toc4588716_1280447820"/>
      <w:bookmarkStart w:id="293" w:name="_Toc90"/>
      <w:bookmarkEnd w:id="292"/>
      <w:r>
        <w:rPr>
          <w:rtl w:val="true"/>
        </w:rPr>
        <w:t>اشارة</w:t>
      </w:r>
      <w:bookmarkEnd w:id="293"/>
    </w:p>
    <w:p>
      <w:pPr>
        <w:pStyle w:val="BookText"/>
        <w:rPr/>
      </w:pPr>
      <w:r>
        <w:rPr>
          <w:rFonts w:ascii="IRNazanin" w:hAnsi="IRNazanin" w:eastAsia="IRNazanin"/>
          <w:color w:val="111111"/>
          <w:sz w:val="28"/>
          <w:sz w:val="28"/>
          <w:szCs w:val="28"/>
          <w:rtl w:val="true"/>
          <w:lang w:bidi="fa-IR"/>
        </w:rPr>
        <w:t xml:space="preserve">أصل </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 xml:space="preserve">اختلف الآراء في أنّ الأصل في الأفعال الاختياريّة التي لا ضرورة فيها عقلا هل هو الإباحة أو الحظر؟ على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الخوض في نقلها ونقدها ينبغي رسم أمور </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4588718_1280447820"/>
      <w:bookmarkStart w:id="295" w:name="_Toc91"/>
      <w:bookmarkEnd w:id="294"/>
      <w:r>
        <w:rPr>
          <w:rtl w:val="true"/>
        </w:rPr>
        <w:t xml:space="preserve">الأوّل </w:t>
      </w:r>
      <w:r>
        <w:rPr>
          <w:rtl w:val="true"/>
        </w:rPr>
        <w:t>:</w:t>
      </w:r>
      <w:bookmarkEnd w:id="295"/>
    </w:p>
    <w:p>
      <w:pPr>
        <w:pStyle w:val="BookText"/>
        <w:rPr/>
      </w:pPr>
      <w:r>
        <w:rPr>
          <w:rFonts w:ascii="IRNazanin" w:hAnsi="IRNazanin" w:eastAsia="IRNazanin"/>
          <w:color w:val="111111"/>
          <w:sz w:val="28"/>
          <w:sz w:val="28"/>
          <w:szCs w:val="28"/>
          <w:rtl w:val="true"/>
          <w:lang w:bidi="fa-IR"/>
        </w:rPr>
        <w:t xml:space="preserve">أنّه قد استصعب بعضهم </w:t>
      </w:r>
      <w:r>
        <w:rPr>
          <w:rStyle w:val="FootnoteAnchor"/>
          <w:rtl w:val="true"/>
        </w:rPr>
        <w:footnoteReference w:id="1003"/>
      </w:r>
      <w:r>
        <w:rPr>
          <w:rFonts w:ascii="Amiri" w:hAnsi="Amiri" w:eastAsia="Amiri" w:cs="Amiri"/>
          <w:color w:val="111111"/>
          <w:sz w:val="28"/>
          <w:sz w:val="28"/>
          <w:szCs w:val="28"/>
          <w:rtl w:val="true"/>
          <w:lang w:bidi="ar-SA"/>
        </w:rPr>
        <w:t xml:space="preserve">الفرق بين هذه المسألة وبين المسألة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الأصل العملي في مقام الشكّ في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اختلاف موارده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البراءة أو الاحتياط ، زاعما أنّ عنوان إحدى المسألتين مغن عن الأخرى ، إمّا لعموم إحداهما ، وإمّا لاتّحادهما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على ما زعم ولا على تلك المكانة من الصعوبة ، فإنّ الفرق بين المقامين في منار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جهة عنوان البحث في المقام تغاير الجهة المعنونة في ذلك المقام</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الأشاعرة بعد ما نازعوا مع العدليّة القائلين بالتحسين والتقبيح العقليّين في إثبات الحسن والقبح ونفيه نازعوهم في مسألتين على سبيل التنزّل والانحطاط عمّا قالوا به ، مما شاة منهم للعدليّة ، فجعلوهما من فروع تلك </w:t>
      </w:r>
    </w:p>
    <w:p>
      <w:pPr>
        <w:pStyle w:val="BookText"/>
        <w:rPr/>
      </w:pPr>
      <w:r>
        <w:rPr>
          <w:rFonts w:ascii="Amiri" w:hAnsi="Amiri" w:eastAsia="Amiri" w:cs="Amiri"/>
          <w:color w:val="111111"/>
          <w:sz w:val="28"/>
          <w:sz w:val="28"/>
          <w:szCs w:val="28"/>
          <w:rtl w:val="true"/>
          <w:lang w:bidi="ar-SA"/>
        </w:rPr>
        <w:t xml:space="preserve">المسألة وتذنيباتها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ذلك بعد الرجوع إلى عناوينهم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وجوب شكر المنعم ، والأخرى هذه المسألة ، فكأنّهم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أنّ للعقل في بعض العناوين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ردّ الوديعة والظلم والإحسان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 ولكنّا لا نسلّم أنّ هذين المقامين من جملة موارد حكم العقل ، فلا حكم للعقل على تقدير حكومته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والعدليّة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العقل يحكم في الأولى منهما بالوجوب ، وبالإباحة أو الحظر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فمحصّل النزاع في المقام إنّما يرجع إلى أنّ للعقل حكما في الأشياء الخالية عن أمارة المفسدة أم لا؟ ولا مدخل في تشخيص المرجع في العمل عند الشكّ فيه ، فانّ الحاضر ربما يحكم بالإباحة في ذلك المقام والمبيح بالحظر ، من غير تناف بينهما ، لإمكان ورود دليل عقليّ أو نقليّ آخر على خلاف ما أصّله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 النزاع في المقام الآتي يرجع إلى أنّ المرجع شرعا عند الشكّ في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أقسامه وموارده سواء كان المدرك في ذلك هو العقل أو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فالأخباريّ على الاحتياط والأصولي على البراءة ، فكان الجهة الملحوظة في تلك المسألة مباينة للجهة المبحوث عنها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مجملة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مسألة أصالة البراءة من المسائل الأصوليّة التي هي مبان لأحكام أفعال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المسألة من فروع الخلاف في الحسن والقبح الذي هو من مبادئ الأحكام ، على ما هو المحرّر في كلماتهم كما لا يخفى</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المقصود بأصالة 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الإغماض عمّا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إثبات الإباحة التي هي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والمطلوب بأصل البراءة هو نفي العقاب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يستفاد من بعض الأدلّة الناهضة عليها من إثبات الإباحة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w:t>
      </w:r>
      <w:r>
        <w:rPr>
          <w:rFonts w:eastAsia="Amiri" w:cs="Amiri" w:ascii="Amiri" w:hAnsi="Amiri"/>
          <w:color w:val="111111"/>
          <w:sz w:val="28"/>
          <w:szCs w:val="28"/>
          <w:rtl w:val="true"/>
          <w:lang w:bidi="ar-SA"/>
        </w:rPr>
        <w:t xml:space="preserve">» </w:t>
      </w:r>
      <w:r>
        <w:rPr>
          <w:rStyle w:val="FootnoteAnchor"/>
          <w:rtl w:val="true"/>
        </w:rPr>
        <w:footnoteReference w:id="1004"/>
      </w:r>
      <w:r>
        <w:rPr>
          <w:rFonts w:ascii="Amiri" w:hAnsi="Amiri" w:eastAsia="Amiri" w:cs="Amiri"/>
          <w:color w:val="111111"/>
          <w:sz w:val="28"/>
          <w:sz w:val="28"/>
          <w:szCs w:val="28"/>
          <w:rtl w:val="true"/>
          <w:lang w:bidi="ar-SA"/>
        </w:rPr>
        <w:t xml:space="preserve">ونحوه إنّما هو تفضّل من الدليل ، وإلاّ فلا وجه للتمسّك ببعض ما لا يستفاد منها إلاّ رفع العقاب كما هو الغالب فيها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حجب اللّه علمه عن العباد </w:t>
      </w:r>
      <w:r>
        <w:rPr>
          <w:rFonts w:eastAsia="Amiri" w:cs="Amiri" w:ascii="Amiri" w:hAnsi="Amiri"/>
          <w:color w:val="111111"/>
          <w:sz w:val="28"/>
          <w:szCs w:val="28"/>
          <w:rtl w:val="true"/>
          <w:lang w:bidi="ar-SA"/>
        </w:rPr>
        <w:t xml:space="preserve">... » </w:t>
      </w:r>
      <w:r>
        <w:rPr>
          <w:rStyle w:val="FootnoteAnchor"/>
          <w:rtl w:val="true"/>
        </w:rPr>
        <w:footnoteReference w:id="100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عن امتي </w:t>
      </w:r>
      <w:r>
        <w:rPr>
          <w:rFonts w:eastAsia="Amiri" w:cs="Amiri" w:ascii="Amiri" w:hAnsi="Amiri"/>
          <w:color w:val="111111"/>
          <w:sz w:val="28"/>
          <w:szCs w:val="28"/>
          <w:rtl w:val="true"/>
          <w:lang w:bidi="ar-SA"/>
        </w:rPr>
        <w:t xml:space="preserve">... » </w:t>
      </w:r>
      <w:r>
        <w:rPr>
          <w:rStyle w:val="FootnoteAnchor"/>
          <w:rtl w:val="true"/>
        </w:rPr>
        <w:footnoteReference w:id="1006"/>
      </w:r>
      <w:r>
        <w:rPr>
          <w:rFonts w:ascii="Amiri" w:hAnsi="Amiri" w:eastAsia="Amiri" w:cs="Amiri"/>
          <w:color w:val="111111"/>
          <w:sz w:val="28"/>
          <w:sz w:val="28"/>
          <w:szCs w:val="28"/>
          <w:rtl w:val="true"/>
          <w:lang w:bidi="ar-SA"/>
        </w:rPr>
        <w:t>ونحوهما ممّا يدل على الرفع والوضع وانتفاء العقاب والمؤاخذة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أصالة الإباحة لا يزيد على نفي الحرج وعدم المؤاخذة ، فلا ينهض فرقا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المبيح يدّعي الإذن والترخيص ، كما يستفاد من قولهم في دفع حجة الحاظرين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الإذن معلوم</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النزاع في المقام في الإباحة الواقعيّة ، وفي البراءة في الإباحة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ذلك من الرجوع إلى مطاوي استدلالاتهم وفحاوي كلماتهم ، ألا ترى أنّهم قد جعلوا في قبال القول بالحظر القول بالوقف </w:t>
      </w:r>
      <w:r>
        <w:rPr>
          <w:rStyle w:val="FootnoteAnchor"/>
          <w:rtl w:val="true"/>
        </w:rPr>
        <w:footnoteReference w:id="1007"/>
      </w:r>
      <w:r>
        <w:rPr>
          <w:rFonts w:ascii="Amiri" w:hAnsi="Amiri" w:eastAsia="Amiri" w:cs="Amiri"/>
          <w:color w:val="111111"/>
          <w:sz w:val="28"/>
          <w:sz w:val="28"/>
          <w:szCs w:val="28"/>
          <w:rtl w:val="true"/>
          <w:lang w:bidi="ar-SA"/>
        </w:rPr>
        <w:t xml:space="preserve">مع تصريحهم باشتراكهما في العمل </w:t>
      </w:r>
      <w:r>
        <w:rPr>
          <w:rStyle w:val="FootnoteAnchor"/>
          <w:rtl w:val="true"/>
        </w:rPr>
        <w:footnoteReference w:id="1008"/>
      </w:r>
      <w:r>
        <w:rPr>
          <w:rFonts w:ascii="Amiri" w:hAnsi="Amiri" w:eastAsia="Amiri" w:cs="Amiri"/>
          <w:color w:val="111111"/>
          <w:sz w:val="28"/>
          <w:sz w:val="28"/>
          <w:szCs w:val="28"/>
          <w:rtl w:val="true"/>
          <w:lang w:bidi="ar-SA"/>
        </w:rPr>
        <w:t>، فلولا أنّ المراد بالحظر الحظر الواقعي لما صحّ عدّ القول بالوقف قولا آخر ، ولا شكّ أنّ الحظر بعد ما كان واقعيّا لا مناص من كون الإباحة أيضا واقعيّة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يدلّ على أنّ الكلام في المقام في الإباحة الواقعيّة استدلال القائل بالحظر بأنّ التصرّف في الأشياء المذكورة تصرّف في ملك الغير بغير إذنه ، وجواب المبيح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الإذن من المالك معلوم ، فإنّ كلاّ من الدليل والجواب أدلّ دليل على أنّ المراد بالإباحة والحظر الواقعيّين منهما كما لا يخفى ، إذ التصرّف في ملك الغير حرمته واقعيّة وبعد معلوميّة الإذن إباحة التصرّف 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احتجاج القائل بالإباحة بما يقرب من قاعدة اللطف يلائم كونها واقعيّة ، إلى غير ذلك ممّا يلوح من عنواناتهم لها في ذيل مبحث الحسن والقبح في عرض وجوب شكر المنعم ، كما عرفت في أوّل الوجوه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كانت الإباحة واقعيّة لا يجوز ورود الشرع بخلافها لأولها </w:t>
      </w:r>
      <w:r>
        <w:rPr>
          <w:rStyle w:val="FootnoteAnchor"/>
          <w:rtl w:val="true"/>
        </w:rPr>
        <w:footnoteReference w:id="1010"/>
      </w:r>
      <w:r>
        <w:rPr>
          <w:rFonts w:ascii="Amiri" w:hAnsi="Amiri" w:eastAsia="Amiri" w:cs="Amiri"/>
          <w:color w:val="111111"/>
          <w:sz w:val="28"/>
          <w:sz w:val="28"/>
          <w:szCs w:val="28"/>
          <w:rtl w:val="true"/>
          <w:lang w:bidi="ar-SA"/>
        </w:rPr>
        <w:t>إلى التناقض بين العقل والشرع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الشرع بخلافها لا يقتضي التناقض ، فإنّ العقل في موضوع التصرّف في ملك الغير بغير إذن المالك يحكم بالحظر وفي موضوع </w:t>
      </w:r>
      <w:r>
        <w:rPr>
          <w:rStyle w:val="FootnoteAnchor"/>
          <w:rtl w:val="true"/>
        </w:rPr>
        <w:footnoteReference w:id="1011"/>
      </w:r>
      <w:r>
        <w:rPr>
          <w:rFonts w:ascii="Amiri" w:hAnsi="Amiri" w:eastAsia="Amiri" w:cs="Amiri"/>
          <w:color w:val="111111"/>
          <w:sz w:val="28"/>
          <w:sz w:val="28"/>
          <w:szCs w:val="28"/>
          <w:rtl w:val="true"/>
          <w:lang w:bidi="ar-SA"/>
        </w:rPr>
        <w:t>الإذن يحكم بالإباحة ، ولا يجوز ورود الشرع بخلاف حكم العقل في هذين الموضوعين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يمكن تبدّل أحد الموضوعين بالآخر بحصول الإذن كما في الغصب على ما لا يخفى ، فلا تناقض على تقديره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المستفاد من ظاهر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أصالة 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موارد إجرائها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المتداول في ألسنة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اختصاصها بالشبهة التحريميّة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اختصاصها بالشبهة الوجوبيّة ولا أقلّ من عمومها لها وللتحريمية</w:t>
      </w:r>
      <w:r>
        <w:rPr>
          <w:rFonts w:eastAsia="Amiri" w:cs="Amiri" w:ascii="Amiri" w:hAnsi="Amiri"/>
          <w:color w:val="111111"/>
          <w:sz w:val="28"/>
          <w:szCs w:val="28"/>
          <w:rtl w:val="true"/>
          <w:lang w:bidi="ar-SA"/>
        </w:rPr>
        <w:t xml:space="preserve">. </w:t>
      </w:r>
      <w:bookmarkStart w:id="296" w:name="pg16264_169707"/>
    </w:p>
    <w:p>
      <w:pPr>
        <w:pStyle w:val="BookText"/>
        <w:rPr/>
      </w:pPr>
      <w:bookmarkEnd w:id="296"/>
      <w:r>
        <w:rPr>
          <w:rFonts w:ascii="Amiri" w:hAnsi="Amiri" w:eastAsia="Amiri" w:cs="Amiri"/>
          <w:color w:val="111111"/>
          <w:sz w:val="28"/>
          <w:sz w:val="28"/>
          <w:szCs w:val="28"/>
          <w:rtl w:val="true"/>
          <w:lang w:bidi="ar-SA"/>
        </w:rPr>
        <w:t>فالفرق ظاهر بين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يذكر في وجه الفرق وجوه أخر ضعيفة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7" w:name="__RefHeading___Toc4588720_1280447820"/>
      <w:bookmarkStart w:id="298" w:name="_Toc92"/>
      <w:bookmarkEnd w:id="297"/>
      <w:r>
        <w:rPr>
          <w:rtl w:val="true"/>
        </w:rPr>
        <w:t xml:space="preserve">الثاني من الامور في تحرير محل النزاع </w:t>
      </w:r>
      <w:r>
        <w:rPr>
          <w:rtl w:val="true"/>
        </w:rPr>
        <w:t>:</w:t>
      </w:r>
      <w:bookmarkEnd w:id="298"/>
    </w:p>
    <w:p>
      <w:pPr>
        <w:pStyle w:val="BookText"/>
        <w:rPr/>
      </w:pPr>
      <w:r>
        <w:rPr>
          <w:rFonts w:ascii="Amiri" w:hAnsi="Amiri" w:eastAsia="Amiri" w:cs="Amiri"/>
          <w:color w:val="111111"/>
          <w:sz w:val="28"/>
          <w:sz w:val="28"/>
          <w:szCs w:val="28"/>
          <w:rtl w:val="true"/>
          <w:lang w:bidi="ar-SA"/>
        </w:rPr>
        <w:t xml:space="preserve">الثاني من الامور </w:t>
      </w:r>
      <w:r>
        <w:rPr>
          <w:rStyle w:val="FootnoteAnchor"/>
          <w:rtl w:val="true"/>
        </w:rPr>
        <w:footnoteReference w:id="1013"/>
      </w:r>
      <w:r>
        <w:rPr>
          <w:rFonts w:ascii="Amiri" w:hAnsi="Amiri" w:eastAsia="Amiri" w:cs="Amiri"/>
          <w:color w:val="111111"/>
          <w:sz w:val="28"/>
          <w:sz w:val="28"/>
          <w:szCs w:val="28"/>
          <w:rtl w:val="true"/>
          <w:lang w:bidi="ar-SA"/>
        </w:rPr>
        <w:t xml:space="preserve">في تحرير محل النزاع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الأشياء عند العدليّة تنقسم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يستقلّ بإدراك حكمه العقل ، وقسم لا يستقلّ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خارج عن هذا النزاع وينقسم على أقسامه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الوجوب والحرمة والندب والكراهة والإباحة العقليّات</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أيضا على قسمين ، فإنّه إمّا من الأفعال التي لا يمكن بقاء النوع وحفظ النظام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كالتنفّس في الهواء ونحوه من ضروريّات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لا يكون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أيضا خارج عن هذا النزاع ، ضرورة حكم العقل بجواز ارتكابه فيه </w:t>
      </w:r>
      <w:r>
        <w:rPr>
          <w:rStyle w:val="FootnoteAnchor"/>
          <w:rtl w:val="true"/>
        </w:rPr>
        <w:footnoteReference w:id="1014"/>
      </w:r>
      <w:r>
        <w:rPr>
          <w:rFonts w:ascii="Amiri" w:hAnsi="Amiri" w:eastAsia="Amiri" w:cs="Amiri"/>
          <w:color w:val="111111"/>
          <w:sz w:val="28"/>
          <w:sz w:val="28"/>
          <w:szCs w:val="28"/>
          <w:rtl w:val="true"/>
          <w:lang w:bidi="ar-SA"/>
        </w:rPr>
        <w:t>، ففي الحقيقة مرجع هذا القسم إلى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لا يخلو إمّا أن يكون ممّا يشتمل على أمارة المنفعة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فلا شكّ في كونه </w:t>
      </w:r>
      <w:r>
        <w:rPr>
          <w:rStyle w:val="FootnoteAnchor"/>
          <w:rtl w:val="true"/>
        </w:rPr>
        <w:footnoteReference w:id="1015"/>
      </w:r>
      <w:r>
        <w:rPr>
          <w:rFonts w:ascii="Amiri" w:hAnsi="Amiri" w:eastAsia="Amiri" w:cs="Amiri"/>
          <w:color w:val="111111"/>
          <w:sz w:val="28"/>
          <w:sz w:val="28"/>
          <w:szCs w:val="28"/>
          <w:rtl w:val="true"/>
          <w:lang w:bidi="ar-SA"/>
        </w:rPr>
        <w:t xml:space="preserve">لغوا وعبثا ، فلا يجوز الارتكاب فيه أيضا </w:t>
      </w:r>
      <w:r>
        <w:rPr>
          <w:rStyle w:val="FootnoteAnchor"/>
          <w:rtl w:val="true"/>
        </w:rPr>
        <w:footnoteReference w:id="1016"/>
      </w:r>
      <w:r>
        <w:rPr>
          <w:rFonts w:ascii="Amiri" w:hAnsi="Amiri" w:eastAsia="Amiri" w:cs="Amiri"/>
          <w:color w:val="111111"/>
          <w:sz w:val="28"/>
          <w:sz w:val="28"/>
          <w:szCs w:val="28"/>
          <w:rtl w:val="true"/>
          <w:lang w:bidi="ar-SA"/>
        </w:rPr>
        <w:t xml:space="preserve">إمّا الكراهة عقليّة أو حرمة ، كما لا يخفى </w:t>
      </w:r>
      <w:r>
        <w:rPr>
          <w:rStyle w:val="FootnoteAnchor"/>
          <w:rtl w:val="true"/>
        </w:rPr>
        <w:footnoteReference w:id="10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إمّا أن يكون ممّا يشتمل على أمارة المفسدة أيضا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فلا ريب أيضا في عدم جواز الارتكاب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فهو محلّ النزاع</w:t>
      </w:r>
      <w:r>
        <w:rPr>
          <w:rFonts w:eastAsia="Amiri" w:cs="Amiri" w:ascii="Amiri" w:hAnsi="Amiri"/>
          <w:color w:val="111111"/>
          <w:sz w:val="28"/>
          <w:szCs w:val="28"/>
          <w:rtl w:val="true"/>
          <w:lang w:bidi="ar-SA"/>
        </w:rPr>
        <w:t xml:space="preserve">. </w:t>
      </w:r>
      <w:bookmarkStart w:id="299" w:name="pg16264_169708"/>
    </w:p>
    <w:p>
      <w:pPr>
        <w:pStyle w:val="BookText"/>
        <w:rPr/>
      </w:pPr>
      <w:bookmarkEnd w:id="299"/>
      <w:r>
        <w:rPr>
          <w:rFonts w:ascii="Amiri" w:hAnsi="Amiri" w:eastAsia="Amiri" w:cs="Amiri"/>
          <w:color w:val="111111"/>
          <w:sz w:val="28"/>
          <w:sz w:val="28"/>
          <w:szCs w:val="28"/>
          <w:rtl w:val="true"/>
          <w:lang w:bidi="ar-SA"/>
        </w:rPr>
        <w:t>وبالجملة ، فالنزاع إنّما هو في الأفعال الغير الضروريّة التي لا يستقلّ العقل بإدراك حكمه الخالية عن إمارة المفسدة المشتملة على أمارة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توهّم بعض الأجلّة </w:t>
      </w:r>
      <w:r>
        <w:rPr>
          <w:rStyle w:val="FootnoteAnchor"/>
          <w:rtl w:val="true"/>
        </w:rPr>
        <w:footnoteReference w:id="1018"/>
      </w:r>
      <w:r>
        <w:rPr>
          <w:rFonts w:ascii="Amiri" w:hAnsi="Amiri" w:eastAsia="Amiri" w:cs="Amiri"/>
          <w:color w:val="111111"/>
          <w:sz w:val="28"/>
          <w:sz w:val="28"/>
          <w:szCs w:val="28"/>
          <w:rtl w:val="true"/>
          <w:lang w:bidi="ar-SA"/>
        </w:rPr>
        <w:t xml:space="preserve">دخول ما لا فيه أمارة المفسدة ولا أمارة المنفعة </w:t>
      </w:r>
      <w:r>
        <w:rPr>
          <w:rStyle w:val="FootnoteAnchor"/>
          <w:rtl w:val="true"/>
        </w:rPr>
        <w:footnoteReference w:id="1019"/>
      </w:r>
      <w:r>
        <w:rPr>
          <w:rFonts w:ascii="Amiri" w:hAnsi="Amiri" w:eastAsia="Amiri" w:cs="Amiri"/>
          <w:color w:val="111111"/>
          <w:sz w:val="28"/>
          <w:sz w:val="28"/>
          <w:szCs w:val="28"/>
          <w:rtl w:val="true"/>
          <w:lang w:bidi="ar-SA"/>
        </w:rPr>
        <w:t>في النزاع ، وليس بسديد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زعمه من اشتمال العنوان بشموله لها بعد ما يظهر منهم التصريح بخلافه في عناوينهم </w:t>
      </w:r>
      <w:r>
        <w:rPr>
          <w:rStyle w:val="FootnoteAnchor"/>
          <w:rtl w:val="true"/>
        </w:rPr>
        <w:footnoteReference w:id="1020"/>
      </w:r>
      <w:r>
        <w:rPr>
          <w:rFonts w:ascii="Amiri" w:hAnsi="Amiri" w:eastAsia="Amiri" w:cs="Amiri"/>
          <w:color w:val="111111"/>
          <w:sz w:val="28"/>
          <w:sz w:val="28"/>
          <w:szCs w:val="28"/>
          <w:rtl w:val="true"/>
          <w:lang w:bidi="ar-SA"/>
        </w:rPr>
        <w:t>، فممّا لا يصغى إليه ، كتوهّم شمول الأدلّة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زعمه من الدليل ربما يشمله ، إلاّ أنّه بمعزل عن الصواب ، لعدم استقامة الاحتجاج بمثله في أمثال المقام كما لا يخفى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0" w:name="__RefHeading___Toc4588722_1280447820"/>
      <w:bookmarkStart w:id="301" w:name="_Toc93"/>
      <w:bookmarkEnd w:id="300"/>
      <w:r>
        <w:rPr>
          <w:rtl w:val="true"/>
        </w:rPr>
        <w:t xml:space="preserve">بقي هنا شيئان </w:t>
      </w:r>
      <w:r>
        <w:rPr>
          <w:rtl w:val="true"/>
        </w:rPr>
        <w:t>:</w:t>
      </w:r>
      <w:bookmarkEnd w:id="301"/>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استشكله المحقّق القمّي </w:t>
      </w:r>
      <w:r>
        <w:rPr>
          <w:rStyle w:val="FootnoteAnchor"/>
          <w:rtl w:val="true"/>
        </w:rPr>
        <w:footnoteReference w:id="10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بعد ما كان مثل شمّ الطيب وأكل الفاكهة ممّا اختلف في إباحته ، فأي شيء يبقى بعد ذلك يكون مباحا عقليّا في قبال أقسامه الأربعة؟ فالأولى تربيع الأقسام فيما يستقلّ العقل بإدراك حكمه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يجاب عنه بما ذكره بعض الأجلّة </w:t>
      </w:r>
      <w:r>
        <w:rPr>
          <w:rStyle w:val="FootnoteAnchor"/>
          <w:rtl w:val="true"/>
        </w:rPr>
        <w:footnoteReference w:id="10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التقسيم مبني على أن يراد باستقلال العقل في الجملة ولو بحسب بعض أفراده ، وفساده غير خفيّ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يجاب أيضا </w:t>
      </w:r>
      <w:r>
        <w:rPr>
          <w:rStyle w:val="FootnoteAnchor"/>
          <w:rtl w:val="true"/>
        </w:rPr>
        <w:footnoteReference w:id="10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العلم بعدم المفسدة فيما فيه أمارة المصلحة يوجب القطع بالإباحة ، فهو مباح عقليّ 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الحاظر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التصرّف فيه تصرّف غير مأذون فيه يجري فيه أيضا ، فلا يصير متّفقا عليه كما هو المطلوب ، ولا غائلة فيه بعد تمييز </w:t>
      </w:r>
      <w:r>
        <w:rPr>
          <w:rStyle w:val="FootnoteAnchor"/>
          <w:rtl w:val="true"/>
        </w:rPr>
        <w:footnoteReference w:id="1025"/>
      </w:r>
      <w:r>
        <w:rPr>
          <w:rFonts w:ascii="Amiri" w:hAnsi="Amiri" w:eastAsia="Amiri" w:cs="Amiri"/>
          <w:color w:val="111111"/>
          <w:sz w:val="28"/>
          <w:sz w:val="28"/>
          <w:szCs w:val="28"/>
          <w:rtl w:val="true"/>
          <w:lang w:bidi="ar-SA"/>
        </w:rPr>
        <w:t>المفاهيم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المعروف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فرض العنوان فيما لا يستقلّ العقل بإدراك حكمه يناقض دعوى الحاظر والمبيح باستقلال العقل </w:t>
      </w:r>
      <w:r>
        <w:rPr>
          <w:rStyle w:val="FootnoteAnchor"/>
          <w:rtl w:val="true"/>
        </w:rPr>
        <w:footnoteReference w:id="10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بإباحته أو حظره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الوجه في اختيار الحاجبي عدم الحكم في المسألة </w:t>
      </w:r>
      <w:r>
        <w:rPr>
          <w:rStyle w:val="FootnoteAnchor"/>
          <w:rtl w:val="true"/>
        </w:rPr>
        <w:footnoteReference w:id="1027"/>
      </w:r>
      <w:r>
        <w:rPr>
          <w:rFonts w:ascii="Amiri" w:hAnsi="Amiri" w:eastAsia="Amiri" w:cs="Amiri"/>
          <w:color w:val="111111"/>
          <w:sz w:val="28"/>
          <w:sz w:val="28"/>
          <w:szCs w:val="28"/>
          <w:rtl w:val="true"/>
          <w:lang w:bidi="ar-SA"/>
        </w:rPr>
        <w:t>حيث إنّ الحكم فرع الحاكم ولا حاكم في المقام ، أمّا العقل فلأنّ المفروض عدم استقلاله بالحكم ، وأمّا الشرع فلأنّ الكلام قبل وروده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w:t>
      </w:r>
      <w:r>
        <w:rPr>
          <w:rStyle w:val="FootnoteAnchor"/>
          <w:rtl w:val="true"/>
        </w:rPr>
        <w:footnoteReference w:id="1028"/>
      </w:r>
      <w:r>
        <w:rPr>
          <w:rFonts w:ascii="IRNazanin" w:hAnsi="IRNazanin" w:eastAsia="IRNazanin"/>
          <w:color w:val="111111"/>
          <w:sz w:val="28"/>
          <w:sz w:val="28"/>
          <w:szCs w:val="28"/>
          <w:rtl w:val="true"/>
          <w:lang w:bidi="fa-IR"/>
        </w:rPr>
        <w:t xml:space="preserve">عنه بوجوه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يستقلّ بإدراك حكم العناوين الخاصّة من حيث أنفسها وفي حدود ذواتها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كأكل الرمّان وشرب الماء البارد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ليس هناك ضرورة ونحوهما ، وهو لا ينافي استقلال العقل بإدراك حكم عنوان عامّ صادق على تلك العناوين الخاصّة على وجه كلّي إجمالي كما في الحكم بكليّة الكبرى في الشكل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التقسيم حينئذ يبقى </w:t>
      </w:r>
      <w:r>
        <w:rPr>
          <w:rStyle w:val="FootnoteAnchor"/>
          <w:rtl w:val="true"/>
        </w:rPr>
        <w:footnoteReference w:id="1029"/>
      </w:r>
      <w:r>
        <w:rPr>
          <w:rFonts w:ascii="Amiri" w:hAnsi="Amiri" w:eastAsia="Amiri" w:cs="Amiri"/>
          <w:color w:val="111111"/>
          <w:sz w:val="28"/>
          <w:sz w:val="28"/>
          <w:szCs w:val="28"/>
          <w:rtl w:val="true"/>
          <w:lang w:bidi="ar-SA"/>
        </w:rPr>
        <w:t xml:space="preserve">بلا وجه ، لجريانه بعد فيما يستقلّ العقل بإدراك حكمه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الخاصّ القائم بشخص خاصّ ممّا لا يستقلّ العقل بقبحه بخصوصه ، بل مما يستقلّ العقل بإدراك حكمه من حيث اندراجه تحت عنوان 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ردّ الوديعة ونحوه لو لوحظ من حيث خصوص أفراده لا يستقلّ العقل بإدراك حكمه ، ولو لوحظ باعتبار شمول عنوان كلّي له فهو من المستقلاّت العقليّة </w:t>
      </w:r>
      <w:r>
        <w:rPr>
          <w:rStyle w:val="FootnoteAnchor"/>
          <w:rtl w:val="true"/>
        </w:rPr>
        <w:footnoteReference w:id="1030"/>
      </w:r>
      <w:r>
        <w:rPr>
          <w:rFonts w:ascii="Amiri" w:hAnsi="Amiri" w:eastAsia="Amiri" w:cs="Amiri"/>
          <w:color w:val="111111"/>
          <w:sz w:val="28"/>
          <w:sz w:val="28"/>
          <w:szCs w:val="28"/>
          <w:rtl w:val="true"/>
          <w:lang w:bidi="ar-SA"/>
        </w:rPr>
        <w:t xml:space="preserve">ونحن لا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اختلاف حكم الكلّي والجزئي لا يجزي في دفع الإشكال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ولولاه لبطل الاستدلال من أصله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مجرّد هذا الاختلاف لا يقضي بعدّ الظلم من المفاهيم التي يستقلّ العقل بإدراك حكمه ، وما نحن فيه ممّا لا يستقلّ بإدراكه بعد جريان الكلام المذكور فيه أيضا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Style w:val="FootnoteAnchor"/>
          <w:rtl w:val="true"/>
        </w:rPr>
        <w:footnoteReference w:id="10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لا يستقلّ العقل بإدراك حكمه ضرورة من دون حاجة إلى الوسط في الإثبات هل يستقل بإدراك حكمه بالنظر ومع ملاحظة الدليل والوسط أم لا؟ فمحلّ النفي هو الإدراك الضروري ومحلّ الإثبات على تقديره هو الإدراك النظري ، فلا تناقض</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يستفاد هذا الجواب من تحرير البعض في عنوان البحث كالعميدي </w:t>
      </w:r>
      <w:r>
        <w:rPr>
          <w:rStyle w:val="FootnoteAnchor"/>
          <w:rtl w:val="true"/>
        </w:rPr>
        <w:footnoteReference w:id="1032"/>
      </w:r>
      <w:r>
        <w:rPr>
          <w:rFonts w:ascii="Amiri" w:hAnsi="Amiri" w:eastAsia="Amiri" w:cs="Amiri"/>
          <w:color w:val="111111"/>
          <w:sz w:val="28"/>
          <w:sz w:val="28"/>
          <w:szCs w:val="28"/>
          <w:rtl w:val="true"/>
          <w:lang w:bidi="ar-SA"/>
        </w:rPr>
        <w:t xml:space="preserve">على ما لا يخفى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جريانه بعينه فيما يستقلّ العقل بإدراكه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هذا الوجه عند التدبّر هو الوجه الأوّل ، وعلى </w:t>
      </w:r>
      <w:r>
        <w:rPr>
          <w:rStyle w:val="FootnoteAnchor"/>
          <w:rtl w:val="true"/>
        </w:rPr>
        <w:footnoteReference w:id="1034"/>
      </w:r>
      <w:r>
        <w:rPr>
          <w:rFonts w:ascii="Amiri" w:hAnsi="Amiri" w:eastAsia="Amiri" w:cs="Amiri"/>
          <w:color w:val="111111"/>
          <w:sz w:val="28"/>
          <w:sz w:val="28"/>
          <w:szCs w:val="28"/>
          <w:rtl w:val="true"/>
          <w:lang w:bidi="ar-SA"/>
        </w:rPr>
        <w:t>بعض الوجوه فالعنوان الذي لا يستقلّ بإدراك حكمه العقل إلاّ بعد ملاحظة الوسط ليس من المستقلاّت العقليّة وإنّما الوسط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معيار في المقام لاختلاف المراتب ، فربما يكون الشيء بعنوان جزئي منها وربما يكون منها باعتبار صنفه على اختلاف مراتب الأصناف أو باعتبار نوعه أو جنسه السافل إلى أن يصل إلى جنس الأجناس في سلسلة الطول ، فأكل الفاكهة في المقام بمنزلة الظلم الشخصي في ذلك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الظلم الشخصي لا يعدّ من المستقلاّت العقليّة إلاّ باعتبار الاندراج فكذلك ، أكل الفاكهة لا يعدّ منها إلاّ باعتبار التصرّف في ملك الغير الذي مرجعه في الحقيقة إلى عنوان الظلم على بعض الوجوه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بعض أفاضل المتأخّرين </w:t>
      </w:r>
      <w:r>
        <w:rPr>
          <w:rStyle w:val="FootnoteAnchor"/>
          <w:rtl w:val="true"/>
        </w:rPr>
        <w:footnoteReference w:id="1035"/>
      </w:r>
      <w:r>
        <w:rPr>
          <w:rFonts w:ascii="Amiri" w:hAnsi="Amiri" w:eastAsia="Amiri" w:cs="Amiri"/>
          <w:color w:val="111111"/>
          <w:sz w:val="28"/>
          <w:sz w:val="28"/>
          <w:szCs w:val="28"/>
          <w:rtl w:val="true"/>
          <w:lang w:bidi="ar-SA"/>
        </w:rPr>
        <w:t xml:space="preserve">طاعنا على الفاضل القمّي حيث استصعب دفع الإشكال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في المقام بالنسبة إلى مرحلة الظاهر والجهل بالنسبة إلى مرحلة الواقع ، والنفي في الواقع لا ينافي الإثبات في الظاهر كما في أصالة البراءة ، فإنّ شرب التتن ممّا لا يستقلّ العقل بإدراك حكمه الواقعي ويستقلّ بإدراك حكمه الظاهري من غير تناقض بين الحكمين</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قد عرفت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العقل بالإباحة عند المبيح وبالحظر عند الحاظر واقعيّ على ما هو لائح من مطاوي كلماتهم وإن كان باعتبار جهالة حكم موضوعه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وتوضيحه وتحقيقه يحتاج إلى رسم مقدّمة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يتصوّر في الحكم العقلي أن يكون ظاهريّا بل كلّ ما يحكم به العقل فهو حكم واقعي ، لأنّ اختلاف الأحكام الشرعيّة بأن يكون بعضها واقعية وبعض آخر ظاهريّة إنّما هو بواسطة إمكان جعل حكم في الواقع وعدم الوصول لمانع إلى المكلّف ، فما هو مجعول واقعا حكم واقعيّ ، وما هو المحكوم به في مقام العمل والفتوى حكم 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كما هو ظاهر يصحّ فيما لو كان الحاكم غير المكلّف وأمّا فيما إذا كان هو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لعدم الوصول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المجعول الغير الواصل حكم واقعيّ والمحكوم به في مقام الجهل بالواقع حكم 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الفعل قبيحا والعقل من حيث جهله بقبحه مثلا يحكم بجواز ارتكابه وإباحته ، فمن حيث قبحه واقعا له حكم واقعيّ ، ومن حيث الجهل به له حكم ظاهريّ</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المقام إنّما هو في الحكم التابع للقبح والحسن على ما هو المقرّر في المراد منهما </w:t>
      </w:r>
      <w:r>
        <w:rPr>
          <w:rStyle w:val="FootnoteAnchor"/>
          <w:rtl w:val="true"/>
        </w:rPr>
        <w:footnoteReference w:id="1036"/>
      </w:r>
      <w:r>
        <w:rPr>
          <w:rFonts w:ascii="Amiri" w:hAnsi="Amiri" w:eastAsia="Amiri" w:cs="Amiri"/>
          <w:color w:val="111111"/>
          <w:sz w:val="28"/>
          <w:sz w:val="28"/>
          <w:szCs w:val="28"/>
          <w:rtl w:val="true"/>
          <w:lang w:bidi="ar-SA"/>
        </w:rPr>
        <w:t xml:space="preserve">في محلّ النزاع ، والحسن والقبح بالمعنيين المعهودين لا يلحقان للأفعال </w:t>
      </w:r>
      <w:r>
        <w:rPr>
          <w:rStyle w:val="FootnoteAnchor"/>
          <w:rtl w:val="true"/>
        </w:rPr>
        <w:footnoteReference w:id="1037"/>
      </w:r>
      <w:r>
        <w:rPr>
          <w:rFonts w:ascii="Amiri" w:hAnsi="Amiri" w:eastAsia="Amiri" w:cs="Amiri"/>
          <w:color w:val="111111"/>
          <w:sz w:val="28"/>
          <w:sz w:val="28"/>
          <w:szCs w:val="28"/>
          <w:rtl w:val="true"/>
          <w:lang w:bidi="ar-SA"/>
        </w:rPr>
        <w:t xml:space="preserve">الغير الاختياريّة اتّفاقا من العدليّة والأشعرية ، فالفعل القبيح في الواقع لا يتّصف بالقبح إلاّ بعد العلم به على وجه يصير </w:t>
      </w:r>
      <w:r>
        <w:rPr>
          <w:rStyle w:val="FootnoteAnchor"/>
          <w:rtl w:val="true"/>
        </w:rPr>
        <w:footnoteReference w:id="1038"/>
      </w:r>
      <w:r>
        <w:rPr>
          <w:rFonts w:ascii="Amiri" w:hAnsi="Amiri" w:eastAsia="Amiri" w:cs="Amiri"/>
          <w:color w:val="111111"/>
          <w:sz w:val="28"/>
          <w:sz w:val="28"/>
          <w:szCs w:val="28"/>
          <w:rtl w:val="true"/>
          <w:lang w:bidi="ar-SA"/>
        </w:rPr>
        <w:t>اختياريّا ، فهو حال الجهل لا يتحقّق قبيحا ؛ لأنّ المفروض عدم العلم بالعنوان القبيح ومع عدمه لا يصحّ قصده وبدون القصد لا يكون اختياريّا فلا يكون متّصفا بالقبح في 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تمهّدت هذه المقدّمة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 العقل بقبح التصرّف في ملك الغير يقع على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مع العلم بعدم إذنه ، ولا ريب في كونه حكما واقعيّا غير منوط بالجهل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مع عدم العلم بإذنه ، فإمّا مع إذنه واقعا أو مع عدم الإذن في الواقع ، والحكم بقبح التصرّف في الصورتين أيضا حكم واقعيّ وإن كان في موضوع الجهل </w:t>
      </w:r>
      <w:r>
        <w:rPr>
          <w:rStyle w:val="FootnoteAnchor"/>
          <w:rtl w:val="true"/>
        </w:rPr>
        <w:footnoteReference w:id="1039"/>
      </w:r>
      <w:r>
        <w:rPr>
          <w:rFonts w:ascii="Amiri" w:hAnsi="Amiri" w:eastAsia="Amiri" w:cs="Amiri"/>
          <w:color w:val="111111"/>
          <w:sz w:val="28"/>
          <w:sz w:val="28"/>
          <w:szCs w:val="28"/>
          <w:rtl w:val="true"/>
          <w:lang w:bidi="ar-SA"/>
        </w:rPr>
        <w:t>، فإنّ تعريض النفس في معرض الهلاكة عنوان حكم العقل ولا اختلاف فيه في جميع الصور ، وعدم وقوع الهلاكة في البعض لا يناط بالاختيار ، فلا يصحّ القول بكونه فارقا في الصور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فمقتضى القول بالحظر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ما تمسّك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الحظر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قباله القول بالإباحة ، سيّما بعد ملاحظة ما أجابوا به عن دليل الحظر من معلوميّة الإذن هو الإباحة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النزاع في الحكم الظاهري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أصالة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 التناقض بأنّ عدم الاستقلال إنّما هو بالنسبة إلى الواقع والاستقلال إنّما هو بالنسبة إلى الظاهر إنّما هو تأويل بما لا يرضاه المتنازعون ، كما لا يخفى على المتأمّل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فالتحقيق في دفع الإشكال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استقلال العقل إنّما هو في موضوع عدم وجدان ما يقتضي المفسدة ، وعدم استقلاله فيما لم يلاحظ مع الفعل هذا العنوان ، وليس من الحكم الظاهري في شيء ، فإنّ موضوعات أحكام العقل </w:t>
      </w:r>
    </w:p>
    <w:p>
      <w:pPr>
        <w:pStyle w:val="BookText"/>
        <w:rPr/>
      </w:pPr>
      <w:r>
        <w:rPr>
          <w:rFonts w:ascii="Amiri" w:hAnsi="Amiri" w:eastAsia="Amiri" w:cs="Amiri"/>
          <w:color w:val="111111"/>
          <w:sz w:val="28"/>
          <w:sz w:val="28"/>
          <w:szCs w:val="28"/>
          <w:rtl w:val="true"/>
          <w:lang w:bidi="ar-SA"/>
        </w:rPr>
        <w:t>ليس أحدها في سلسلة طول الآخر ، بل الكلّ في عرض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الأحكام الشرعيّة ، فإنّها ربما يكون أحد الموضوعين فيها في عرض الموضوع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كالحاضر والمسافر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مرتّبا على الآخر كما في أصالة البراءة على ما سيجيء 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والأحكام الظاهريّة إنّما تتصوّر فيما إذا كان أحد الموضوعين مرتّبا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حكم العقل بحرمة الظلم حكم واقعيّ وحكمه بحرمة الضرب فيما إذا شكّ في حصول التأديب أيضا حكم واقعي وإن حصل التأديب ، ومثله في الشرعيّات يسمى بالحكم الظاهري ، فإنّ للشيء مع قطع النظر عن العلم والجهل حكما مخزونا في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الأحكام العقليّة ، فموضوعاتها لا تحصل إلاّ بعد العلم والإرادة ، حيث إنّ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في الحكم التابع للحسن والقبح اللاحقين للأفعال </w:t>
      </w:r>
      <w:r>
        <w:rPr>
          <w:rStyle w:val="FootnoteAnchor"/>
          <w:rtl w:val="true"/>
        </w:rPr>
        <w:footnoteReference w:id="1041"/>
      </w:r>
      <w:r>
        <w:rPr>
          <w:rFonts w:ascii="Amiri" w:hAnsi="Amiri" w:eastAsia="Amiri" w:cs="Amiri"/>
          <w:color w:val="111111"/>
          <w:sz w:val="28"/>
          <w:sz w:val="28"/>
          <w:szCs w:val="28"/>
          <w:rtl w:val="true"/>
          <w:lang w:bidi="ar-SA"/>
        </w:rPr>
        <w:t>الاختياريّة التي لا تصير اختياريّة إلاّ بعد العلم والإرادة ، فما لم يقصد حصول عنوان لم يحصل على وجه يتّصف بالحسن والقبح وإن وقع ما هو القبيح أو الحسن في الواقع ، كالتأديب المترتّب على الضرب فيما لم يكن مقصودا وقتل النبيّ المترتب على الصدق إذا لم يكن الصادق مريدا له في صدقه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 جميع ذلك هو ما عرفت في المقدّمة الممهّدة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مناط الانقسام إلى الحكمين هو إمكان جعل الأحكام الشأنيّة وعدم وصولها إلى المكلّف ، 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للشيء مع قطع النظر عن الجهل حكما ومن حيث هو مجهول حكما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الأحكام العقليّة ، فإنّ الشأنيّة فيها غير معقول ، لامتناع ذهول النفس عنها ، كما لا يخفى</w:t>
      </w:r>
      <w:r>
        <w:rPr>
          <w:rFonts w:eastAsia="Amiri" w:cs="Amiri" w:ascii="Amiri" w:hAnsi="Amiri"/>
          <w:color w:val="111111"/>
          <w:sz w:val="28"/>
          <w:szCs w:val="28"/>
          <w:rtl w:val="true"/>
          <w:lang w:bidi="ar-SA"/>
        </w:rPr>
        <w:t xml:space="preserve">. </w:t>
      </w:r>
      <w:bookmarkStart w:id="302" w:name="pg16264_169715"/>
    </w:p>
    <w:p>
      <w:pPr>
        <w:pStyle w:val="BookText"/>
        <w:rPr/>
      </w:pPr>
      <w:bookmarkEnd w:id="302"/>
      <w:r>
        <w:rPr>
          <w:rFonts w:ascii="IRNazanin" w:hAnsi="IRNazanin" w:eastAsia="IRNazanin"/>
          <w:color w:val="111111"/>
          <w:sz w:val="28"/>
          <w:sz w:val="28"/>
          <w:szCs w:val="28"/>
          <w:rtl w:val="true"/>
          <w:lang w:bidi="fa-IR"/>
        </w:rPr>
        <w:t xml:space="preserve">الثالث من الامور </w:t>
      </w:r>
      <w:r>
        <w:rPr>
          <w:rStyle w:val="FootnoteAnchor"/>
          <w:rtl w:val="true"/>
        </w:rPr>
        <w:footnoteReference w:id="10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الأقوال في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بالإباحة </w:t>
      </w:r>
      <w:r>
        <w:rPr>
          <w:rStyle w:val="FootnoteAnchor"/>
          <w:rtl w:val="true"/>
        </w:rPr>
        <w:footnoteReference w:id="10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بالحظر </w:t>
      </w:r>
      <w:r>
        <w:rPr>
          <w:rStyle w:val="FootnoteAnchor"/>
          <w:rtl w:val="true"/>
        </w:rPr>
        <w:footnoteReference w:id="10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وتوقّف شيخ الأشاعرة </w:t>
      </w:r>
      <w:r>
        <w:rPr>
          <w:rStyle w:val="FootnoteAnchor"/>
          <w:rtl w:val="true"/>
        </w:rPr>
        <w:footnoteReference w:id="1045"/>
      </w:r>
      <w:r>
        <w:rPr>
          <w:rFonts w:ascii="Amiri" w:hAnsi="Amiri" w:eastAsia="Amiri" w:cs="Amiri"/>
          <w:color w:val="111111"/>
          <w:sz w:val="28"/>
          <w:sz w:val="28"/>
          <w:szCs w:val="28"/>
          <w:rtl w:val="true"/>
          <w:lang w:bidi="ar-SA"/>
        </w:rPr>
        <w:t xml:space="preserve">، وفسّر تارة بعدم الحكم </w:t>
      </w:r>
      <w:r>
        <w:rPr>
          <w:rStyle w:val="FootnoteAnchor"/>
          <w:rtl w:val="true"/>
        </w:rPr>
        <w:footnoteReference w:id="1046"/>
      </w:r>
      <w:r>
        <w:rPr>
          <w:rFonts w:ascii="Amiri" w:hAnsi="Amiri" w:eastAsia="Amiri" w:cs="Amiri"/>
          <w:color w:val="111111"/>
          <w:sz w:val="28"/>
          <w:sz w:val="28"/>
          <w:szCs w:val="28"/>
          <w:rtl w:val="true"/>
          <w:lang w:bidi="ar-SA"/>
        </w:rPr>
        <w:t xml:space="preserve">، واخرى بعدم العلم بالحكم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التفسير الأوّل يلائم مذهب الأشاعرة بعدم حكم للعقل في أمثال المقام ، كما عن الحاجبي </w:t>
      </w:r>
      <w:r>
        <w:rPr>
          <w:rStyle w:val="FootnoteAnchor"/>
          <w:rtl w:val="true"/>
        </w:rPr>
        <w:footnoteReference w:id="1048"/>
      </w:r>
      <w:r>
        <w:rPr>
          <w:rFonts w:ascii="Amiri" w:hAnsi="Amiri" w:eastAsia="Amiri" w:cs="Amiri"/>
          <w:color w:val="111111"/>
          <w:sz w:val="28"/>
          <w:sz w:val="28"/>
          <w:szCs w:val="28"/>
          <w:rtl w:val="true"/>
          <w:lang w:bidi="ar-SA"/>
        </w:rPr>
        <w:t>وأضرابه ، والتفسير الثاني يلائم كون هذا البحث إحدى مسألتي التنزّل والمماشاة ، كما لا يخفى</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4588724_1280447820"/>
      <w:bookmarkStart w:id="304" w:name="_Toc94"/>
      <w:bookmarkEnd w:id="303"/>
      <w:r>
        <w:rPr>
          <w:rtl w:val="true"/>
        </w:rPr>
        <w:t xml:space="preserve">وإذ قد عرفت هذه الامور فالمنقول من حجج المبيحين امور </w:t>
      </w:r>
      <w:r>
        <w:rPr>
          <w:rtl w:val="true"/>
        </w:rPr>
        <w:t>:</w:t>
      </w:r>
      <w:bookmarkEnd w:id="304"/>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الشيخ في محكيّ العدّة </w:t>
      </w:r>
      <w:r>
        <w:rPr>
          <w:rStyle w:val="FootnoteAnchor"/>
          <w:rtl w:val="true"/>
        </w:rPr>
        <w:footnoteReference w:id="10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تلك الأفعال منفعة بلا مضرّة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منفعة فبالفرض ، وأمّا إنّها بلا مضرّة ؛ لأنّها لو كانت فيها مضرّة آجلا أو عاجلا لوجب على الحكيم اللطيف نصب أمارة مفيدة للعلم ولا أقلّ من الظنّ المفيد للوثوق عليها والمفروض عدمها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نبّه به الشيخ </w:t>
      </w:r>
      <w:r>
        <w:rPr>
          <w:rStyle w:val="FootnoteAnchor"/>
          <w:rtl w:val="true"/>
        </w:rPr>
        <w:footnoteReference w:id="1050"/>
      </w:r>
      <w:r>
        <w:rPr>
          <w:rFonts w:ascii="Amiri" w:hAnsi="Amiri" w:eastAsia="Amiri" w:cs="Amiri"/>
          <w:color w:val="111111"/>
          <w:sz w:val="28"/>
          <w:sz w:val="28"/>
          <w:szCs w:val="28"/>
          <w:rtl w:val="true"/>
          <w:lang w:bidi="ar-SA"/>
        </w:rPr>
        <w:t xml:space="preserve">والمحقّق الجمال في تعليقاته على العضدي </w:t>
      </w:r>
      <w:r>
        <w:rPr>
          <w:rStyle w:val="FootnoteAnchor"/>
          <w:rtl w:val="true"/>
        </w:rPr>
        <w:footnoteReference w:id="10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لزوم نصب أمارة عليها ، لم لا يجوز أنّه تعالى قد وكلنا على أنفسنا بعد وضوح طريقة العقلاء في الإطاعة والعصيان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الجواب عن الشيخ كما ترى يناقض ما أورده في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طريق ثبوت الإجماع منحصر في سلوك سبيل اللطف </w:t>
      </w:r>
      <w:r>
        <w:rPr>
          <w:rStyle w:val="FootnoteAnchor"/>
          <w:rtl w:val="true"/>
        </w:rPr>
        <w:footnoteReference w:id="1052"/>
      </w:r>
      <w:r>
        <w:rPr>
          <w:rFonts w:ascii="Amiri" w:hAnsi="Amiri" w:eastAsia="Amiri" w:cs="Amiri"/>
          <w:color w:val="111111"/>
          <w:sz w:val="28"/>
          <w:sz w:val="28"/>
          <w:szCs w:val="28"/>
          <w:rtl w:val="true"/>
          <w:lang w:bidi="ar-SA"/>
        </w:rPr>
        <w:t xml:space="preserve">، بل هذا هو بعينه ما أورد عليه السيّد </w:t>
      </w:r>
      <w:r>
        <w:rPr>
          <w:rStyle w:val="FootnoteAnchor"/>
          <w:rtl w:val="true"/>
        </w:rPr>
        <w:footnoteReference w:id="10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السيّد قد احتجّ للقول بالإباحة بهذه الحجّة </w:t>
      </w:r>
      <w:r>
        <w:rPr>
          <w:rStyle w:val="FootnoteAnchor"/>
          <w:rtl w:val="true"/>
        </w:rPr>
        <w:footnoteReference w:id="10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يوجّه بأنّ اللطف ربما يقول بوجوبه الشيخ على اللّه تعالى بعد ما يقتضي التكليف ، لا قبل ملاحظة ما يقتضي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فالسيّد والشيخ متعاكسان في المسألتين ، بل ربما يعدّ هذا من الشيخ من وجوه التأييد لاعتبار الإجماعات المنقولة في كلماته رحمه‌اللّه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الأشياء المشتملة على المنفعة لو لم تكن مباحة لزم أن يكون إيجادها عبثا منه تعالى </w:t>
      </w:r>
      <w:r>
        <w:rPr>
          <w:rStyle w:val="FootnoteAnchor"/>
          <w:rtl w:val="true"/>
        </w:rPr>
        <w:footnoteReference w:id="1056"/>
      </w:r>
      <w:r>
        <w:rPr>
          <w:rFonts w:ascii="Amiri" w:hAnsi="Amiri" w:eastAsia="Amiri" w:cs="Amiri"/>
          <w:color w:val="111111"/>
          <w:sz w:val="28"/>
          <w:sz w:val="28"/>
          <w:szCs w:val="28"/>
          <w:rtl w:val="true"/>
          <w:lang w:bidi="ar-SA"/>
        </w:rPr>
        <w:t xml:space="preserve">، تعالى عن ذلك علوّا كبيرا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سخافته بحيث لا يخفى على أحد ، إذ غاية ما يمكن للقول </w:t>
      </w:r>
      <w:r>
        <w:rPr>
          <w:rStyle w:val="FootnoteAnchor"/>
          <w:rtl w:val="true"/>
        </w:rPr>
        <w:footnoteReference w:id="1058"/>
      </w:r>
      <w:r>
        <w:rPr>
          <w:rFonts w:ascii="Amiri" w:hAnsi="Amiri" w:eastAsia="Amiri" w:cs="Amiri"/>
          <w:color w:val="111111"/>
          <w:sz w:val="28"/>
          <w:sz w:val="28"/>
          <w:szCs w:val="28"/>
          <w:rtl w:val="true"/>
          <w:lang w:bidi="ar-SA"/>
        </w:rPr>
        <w:t>عدم العلم بالفائدة ، ولا يلزم منه عدم الفائدة ، وإلاّ فالفائدة فيها معلومة لمن تدبّر وتبصّر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احتجّ به بعض الأجلّة </w:t>
      </w:r>
      <w:r>
        <w:rPr>
          <w:rStyle w:val="FootnoteAnchor"/>
          <w:rtl w:val="true"/>
        </w:rPr>
        <w:footnoteReference w:id="1059"/>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ضرورة العقل قاضية بالإباحة في الظاهر عند عدم ما يدلّ على الخلاف ، من غير فرق بين المشتمل على المنفعة وغيره ، لظهور أنّ التكليف بأقسامه الأربعة مشروط بالعلم والبيان عقلا وعادة ، وإذ ليس فليس ، ولا نعني بالإباحة إلاّ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الغضّ عمّا أشرنا إليه سابقا في تحرير محلّ النزاع من انحصار عناوين القوم فيما يشتمل على المنفعة ، ومن أنّ الحكم بالإباحة حكم 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أراد قضاء ضرورة العقل بالإباحة بمعنى عدم الحرج والمؤاخذة فمسلّم ، إلاّ أنّه لا يجديه ، لوقوعه في غير محلّ النزاع ، كما صرّح به العضدي </w:t>
      </w:r>
      <w:r>
        <w:rPr>
          <w:rStyle w:val="FootnoteAnchor"/>
          <w:rtl w:val="true"/>
        </w:rPr>
        <w:footnoteReference w:id="1060"/>
      </w:r>
      <w:r>
        <w:rPr>
          <w:rFonts w:ascii="Amiri" w:hAnsi="Amiri" w:eastAsia="Amiri" w:cs="Amiri"/>
          <w:color w:val="111111"/>
          <w:sz w:val="28"/>
          <w:sz w:val="28"/>
          <w:szCs w:val="28"/>
          <w:rtl w:val="true"/>
          <w:lang w:bidi="ar-SA"/>
        </w:rPr>
        <w:t>حيث حكم بعدم النزاع في الإباحة بهذا المعنى حتى عند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الإباحة بمعنى الإذن والترخيص كما قد يقال باستظهاره من نفي الأحكام الأربعة وإثباته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نسلّم قضاء الضرورة </w:t>
      </w:r>
      <w:r>
        <w:rPr>
          <w:rStyle w:val="FootnoteAnchor"/>
          <w:rtl w:val="true"/>
        </w:rPr>
        <w:footnoteReference w:id="1061"/>
      </w:r>
      <w:r>
        <w:rPr>
          <w:rFonts w:ascii="Amiri" w:hAnsi="Amiri" w:eastAsia="Amiri" w:cs="Amiri"/>
          <w:color w:val="111111"/>
          <w:sz w:val="28"/>
          <w:sz w:val="28"/>
          <w:szCs w:val="28"/>
          <w:rtl w:val="true"/>
          <w:lang w:bidi="ar-SA"/>
        </w:rPr>
        <w:t>بالإباحة بهذا المعنى</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تخيّله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اشتراط التكليف بأقسامه الأربعة بالعلم فهو كذلك ، إلاّ أنّ الإباحة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الأحكام التكليفيّة ويحتاج إلى العلم عقلا وعادة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فانتفاء الأربعة لا يلازم إثبات الإباحة ، لوجود الواسطة وهو </w:t>
      </w:r>
    </w:p>
    <w:p>
      <w:pPr>
        <w:pStyle w:val="BookText"/>
        <w:rPr/>
      </w:pPr>
      <w:r>
        <w:rPr>
          <w:rFonts w:ascii="Amiri" w:hAnsi="Amiri" w:eastAsia="Amiri" w:cs="Amiri"/>
          <w:color w:val="111111"/>
          <w:sz w:val="28"/>
          <w:sz w:val="28"/>
          <w:szCs w:val="28"/>
          <w:rtl w:val="true"/>
          <w:lang w:bidi="ar-SA"/>
        </w:rPr>
        <w:t>عدم الحكم ، فإنّ الأحكام وإن كانت منحصرة في الخمسة ، إلاّ أنّه لا ينهض دليل على ثبوتها في جميع الأشياء بحسب حكم العقل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استند إليه جملة من المتأخّرين </w:t>
      </w:r>
      <w:r>
        <w:rPr>
          <w:rStyle w:val="FootnoteAnchor"/>
          <w:rtl w:val="true"/>
        </w:rPr>
        <w:footnoteReference w:id="1062"/>
      </w:r>
      <w:r>
        <w:rPr>
          <w:rFonts w:ascii="Amiri" w:hAnsi="Amiri" w:eastAsia="Amiri" w:cs="Amiri"/>
          <w:color w:val="111111"/>
          <w:sz w:val="28"/>
          <w:sz w:val="28"/>
          <w:szCs w:val="28"/>
          <w:rtl w:val="true"/>
          <w:lang w:bidi="ar-SA"/>
        </w:rPr>
        <w:t>، وهو استقرار طريقة العقلاء بعدم الاجتناب عنها وحكمهم بلحوق المتحرّز عنها بأصحاب السوداء والجنون ، واستحقاق المقتصر في التنفّس على قدر الحاجة للذمّ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محلّ الكلام على ما مرّ يشمل فيما لو كان المفسدة مشكوكة ؛ لأنّ انتفاء أمارة المفسدة لا ينافي الشك بوجودها </w:t>
      </w:r>
      <w:r>
        <w:rPr>
          <w:rStyle w:val="FootnoteAnchor"/>
          <w:rtl w:val="true"/>
        </w:rPr>
        <w:footnoteReference w:id="10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نسلّم استقرار طريقة العقلاء في محلّ الشكّ بالإباحة لو لم نقل بأنّ سجيّة كلّ عاقل يحكم بالاجتناب عند الشكّ ، لعدم العلم بالإذن عند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إلحاق المتحرّز بأصحاب السوداء والجنون فهو إنّما يثمر في إبداء الاحتمال ، لا العمل بمقتضاه بعد حصول الشكّ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لا دلالة في الدليل المذكور على الإباحة في جميع الصور ، بل العقلاء يقتصرون على الظنّ بالسلامة ولو بتحصيل الظنّ من بعض السوالف </w:t>
      </w:r>
      <w:r>
        <w:rPr>
          <w:rStyle w:val="FootnoteAnchor"/>
          <w:rtl w:val="true"/>
        </w:rPr>
        <w:footnoteReference w:id="1065"/>
      </w:r>
      <w:r>
        <w:rPr>
          <w:rFonts w:ascii="Amiri" w:hAnsi="Amiri" w:eastAsia="Amiri" w:cs="Amiri"/>
          <w:color w:val="111111"/>
          <w:sz w:val="28"/>
          <w:sz w:val="28"/>
          <w:szCs w:val="28"/>
          <w:rtl w:val="true"/>
          <w:lang w:bidi="ar-SA"/>
        </w:rPr>
        <w:t xml:space="preserve">، والامور الغير المعتبرة من التسويلات النفسانيّة كما هو مشهور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 xml:space="preserve">. </w:t>
      </w:r>
      <w:bookmarkStart w:id="305" w:name="pg16264_169719"/>
    </w:p>
    <w:p>
      <w:pPr>
        <w:pStyle w:val="BookText"/>
        <w:rPr/>
      </w:pPr>
      <w:bookmarkEnd w:id="305"/>
      <w:r>
        <w:rPr>
          <w:rFonts w:ascii="Amiri" w:hAnsi="Amiri" w:eastAsia="Amiri" w:cs="Amiri"/>
          <w:color w:val="111111"/>
          <w:sz w:val="28"/>
          <w:sz w:val="28"/>
          <w:szCs w:val="28"/>
          <w:rtl w:val="true"/>
          <w:lang w:bidi="ar-SA"/>
        </w:rPr>
        <w:t xml:space="preserve">وقد يحتجّ للقول بالإباحة بأقيسة مشهورة وأمثلة عرفيّة </w:t>
      </w:r>
      <w:r>
        <w:rPr>
          <w:rStyle w:val="FootnoteAnchor"/>
          <w:rtl w:val="true"/>
        </w:rPr>
        <w:footnoteReference w:id="1067"/>
      </w:r>
      <w:r>
        <w:rPr>
          <w:rFonts w:ascii="Amiri" w:hAnsi="Amiri" w:eastAsia="Amiri" w:cs="Amiri"/>
          <w:color w:val="111111"/>
          <w:sz w:val="28"/>
          <w:sz w:val="28"/>
          <w:szCs w:val="28"/>
          <w:rtl w:val="true"/>
          <w:lang w:bidi="ar-SA"/>
        </w:rPr>
        <w:t>، كالاستظلال بحائط الغير والاستضاءة من نوره والاصطلاء بناره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على ما ينبغي ، للقطع بالفرق من حصول الإذن فيها دون غيرها كما لا يخفى</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4588726_1280447820"/>
      <w:bookmarkStart w:id="307" w:name="_Toc95"/>
      <w:bookmarkEnd w:id="306"/>
      <w:r>
        <w:rPr>
          <w:rtl w:val="true"/>
        </w:rPr>
        <w:t xml:space="preserve">واحتجّ القائل بالحظر بوجهين </w:t>
      </w:r>
      <w:r>
        <w:rPr>
          <w:rtl w:val="true"/>
        </w:rPr>
        <w:t>:</w:t>
      </w:r>
      <w:bookmarkEnd w:id="307"/>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الإشارة إليه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ارتكاب تلك الأفعال تصرّف في ملك الغير بغير إذنه ، فإنّ العبد في مقام العبوديّة لا يملك شيئا حتى نفسه فكيف 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والتصرّف في ملك الغير بغير إذنه قبيح فيحرم التصرّف فيها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قبح التصرّف في ملك الغير مطلقا عقلا </w:t>
      </w:r>
      <w:r>
        <w:rPr>
          <w:rStyle w:val="FootnoteAnchor"/>
          <w:rtl w:val="true"/>
        </w:rPr>
        <w:footnoteReference w:id="1069"/>
      </w:r>
      <w:r>
        <w:rPr>
          <w:rFonts w:ascii="Amiri" w:hAnsi="Amiri" w:eastAsia="Amiri" w:cs="Amiri"/>
          <w:color w:val="111111"/>
          <w:sz w:val="28"/>
          <w:sz w:val="28"/>
          <w:szCs w:val="28"/>
          <w:rtl w:val="true"/>
          <w:lang w:bidi="ar-SA"/>
        </w:rPr>
        <w:t xml:space="preserve">ممنوع ، بل ما يستلزم </w:t>
      </w:r>
      <w:r>
        <w:rPr>
          <w:rStyle w:val="FootnoteAnchor"/>
          <w:rtl w:val="true"/>
        </w:rPr>
        <w:footnoteReference w:id="1070"/>
      </w:r>
      <w:r>
        <w:rPr>
          <w:rFonts w:ascii="Amiri" w:hAnsi="Amiri" w:eastAsia="Amiri" w:cs="Amiri"/>
          <w:color w:val="111111"/>
          <w:sz w:val="28"/>
          <w:sz w:val="28"/>
          <w:szCs w:val="28"/>
          <w:rtl w:val="true"/>
          <w:lang w:bidi="ar-SA"/>
        </w:rPr>
        <w:t>التضرّر للمالك أو في صورة منع المالك وإن لم يستلزم ضررا بالنسبة إلى المالك ، فإنّ التصرّف في ملك الغير لا يستقلّ العقل بإدراك حكمه بعنوان نفسه ، بل من حيث أوله إلى عنوان آخر يستقلّ العقل بإدراك حكمه كالظلم ونحوه ، وعند انتفاء التضرّر أو عدم المنع لا قبح فيه ، لعدم رجوعه إلى عنوان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في الصورتين المذكورتين يرجع إلى الظلم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بعد تسليم تسلّط المالك على ملكه وعدم إذنه في التصرّف ومنعه منه بعد التصرّف فيه بغير إذنه ظلما ، فإنّه وضع الشيء </w:t>
      </w:r>
    </w:p>
    <w:p>
      <w:pPr>
        <w:pStyle w:val="BookText"/>
        <w:rPr/>
      </w:pPr>
      <w:r>
        <w:rPr>
          <w:rFonts w:ascii="Amiri" w:hAnsi="Amiri" w:eastAsia="Amiri" w:cs="Amiri"/>
          <w:color w:val="111111"/>
          <w:sz w:val="28"/>
          <w:sz w:val="28"/>
          <w:szCs w:val="28"/>
          <w:rtl w:val="true"/>
          <w:lang w:bidi="ar-SA"/>
        </w:rPr>
        <w:t>في غير محلّه ، ومن المعلوم تعاليه ، تعالى عن الضرر والمنع اقتراحا كما في غيره من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التضرّر في حقّه تعالى ممتنع غير معقول ، وكذلك المنع الاقتراحي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يحتمل أن يكون بواسطة ضرر متعلّق بنا ، فإنّ أفعاله تعالى معلّلة بالأغراض الراجعة إلينا دفعا للعبث والاستكمال في حقّه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الاحتمال لا يجوز الإقدام على ارتكاب مثل تلك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فلا يستقيم وجها آخر في قبال ثاني الوجهين ، لأوله حقيقة إليه ،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استند إليه الشيخ في العدّة </w:t>
      </w:r>
      <w:r>
        <w:rPr>
          <w:rStyle w:val="FootnoteAnchor"/>
          <w:rtl w:val="true"/>
        </w:rPr>
        <w:footnoteReference w:id="10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في ارتكاب تلك الأفعال إقداما بما لا يؤمن النفس من ضررها ، وهو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ولتحقيق الحال في هذا الاحتجاج محلّ آخر ، إلاّ أنّه لا بدّ من الإشارة إليه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في قبح الإقدام بما يعلم التضرّر كما لا كلام في قبحه فيما لو ظنّ بالضرر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 أنّ الظنّ بالسلامة يكفي في رفع القبح أو لا بدّ من دفع الضرر الموهوم ، وعلى تقدير الكفاية فهل الشكّ في الضرر يجب الاحتراز عنه عقلا أو لا؟</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قبح في العقول في عدم التحرّز عن الضرر الموهوم ، وغاية ما يقال به </w:t>
      </w:r>
      <w:r>
        <w:rPr>
          <w:rStyle w:val="FootnoteAnchor"/>
          <w:rtl w:val="true"/>
        </w:rPr>
        <w:footnoteReference w:id="1072"/>
      </w:r>
      <w:r>
        <w:rPr>
          <w:rFonts w:ascii="Amiri" w:hAnsi="Amiri" w:eastAsia="Amiri" w:cs="Amiri"/>
          <w:color w:val="111111"/>
          <w:sz w:val="28"/>
          <w:sz w:val="28"/>
          <w:szCs w:val="28"/>
          <w:rtl w:val="true"/>
          <w:lang w:bidi="ar-SA"/>
        </w:rPr>
        <w:t>هو الاستحسان العقلي ، ولا يزيد على استحبابه عقلا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أنّه بمعزل عن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 بعضهم </w:t>
      </w:r>
      <w:r>
        <w:rPr>
          <w:rStyle w:val="FootnoteAnchor"/>
          <w:rtl w:val="true"/>
        </w:rPr>
        <w:footnoteReference w:id="10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الموارد التي يستكشف منها حال العقلاء في أمور معادهم ومعاشهم من اكتفائهم بالظنّ في السلامة إنّما هو بواسطة انسداد طرق العلم لهم </w:t>
      </w:r>
      <w:r>
        <w:rPr>
          <w:rStyle w:val="FootnoteAnchor"/>
          <w:rtl w:val="true"/>
        </w:rPr>
        <w:footnoteReference w:id="1074"/>
      </w:r>
      <w:r>
        <w:rPr>
          <w:rFonts w:ascii="Amiri" w:hAnsi="Amiri" w:eastAsia="Amiri" w:cs="Amiri"/>
          <w:color w:val="111111"/>
          <w:sz w:val="28"/>
          <w:sz w:val="28"/>
          <w:szCs w:val="28"/>
          <w:rtl w:val="true"/>
          <w:lang w:bidi="ar-SA"/>
        </w:rPr>
        <w:t>بحيث لو اقتصروا على المنافع المعلومة والمضارّ المعلومة لزم اختلال نظامهم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 ينافي حكمهم بالوجوب فيما لا يعارضه ما هو أقوى منه أو مساو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الضرر المشكوك فلا ينبغي الشك بوجوب التحرّز عنه عقلا ، بل ويظهر ذلك من كلمات المتكلّمين أيضا ، كما يلوح عند حكمهم بوجوب شكر المنعم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الظاهر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كاد أن يكون إجماعا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لزوم الاجتناب عنه ، كما فيما لو شكّ في وجوب السفر مع العلم بعدم ترتّب الضرر على تركه ، وكما لو شكّ في الوضوء بترتّب الضرر عليه ، فإنّهم مطبقون على عدم الاعتناء بهذا الشكّ إلاّ عن جماعة من المتأخّرين ، أوّلهم الفاضل الهندي في شرح </w:t>
      </w:r>
      <w:r>
        <w:rPr>
          <w:rStyle w:val="FootnoteAnchor"/>
          <w:rtl w:val="true"/>
        </w:rPr>
        <w:footnoteReference w:id="1075"/>
      </w:r>
      <w:r>
        <w:rPr>
          <w:rFonts w:ascii="Amiri" w:hAnsi="Amiri" w:eastAsia="Amiri" w:cs="Amiri"/>
          <w:color w:val="111111"/>
          <w:sz w:val="28"/>
          <w:sz w:val="28"/>
          <w:szCs w:val="28"/>
          <w:rtl w:val="true"/>
          <w:lang w:bidi="ar-SA"/>
        </w:rPr>
        <w:t xml:space="preserve">الشرح على ما حكاه الأستاذ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 فالذي يظهر منهم عدم لزوم الاحتراز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أيضا خلاف بعض المتأخّرين </w:t>
      </w:r>
      <w:r>
        <w:rPr>
          <w:rStyle w:val="FootnoteAnchor"/>
          <w:rtl w:val="true"/>
        </w:rPr>
        <w:footnoteReference w:id="1077"/>
      </w:r>
      <w:r>
        <w:rPr>
          <w:rFonts w:ascii="Amiri" w:hAnsi="Amiri" w:eastAsia="Amiri" w:cs="Amiri"/>
          <w:color w:val="111111"/>
          <w:sz w:val="28"/>
          <w:sz w:val="28"/>
          <w:szCs w:val="28"/>
          <w:rtl w:val="true"/>
          <w:lang w:bidi="ar-SA"/>
        </w:rPr>
        <w:t xml:space="preserve">؛ لأنّهم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 به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قالوا به بواسطة زعمهم أنّ موضوع الخوف الصادق مع </w:t>
      </w:r>
      <w:r>
        <w:rPr>
          <w:rStyle w:val="FootnoteAnchor"/>
          <w:rtl w:val="true"/>
        </w:rPr>
        <w:footnoteReference w:id="1078"/>
      </w:r>
      <w:r>
        <w:rPr>
          <w:rFonts w:ascii="Amiri" w:hAnsi="Amiri" w:eastAsia="Amiri" w:cs="Amiri"/>
          <w:color w:val="111111"/>
          <w:sz w:val="28"/>
          <w:sz w:val="28"/>
          <w:szCs w:val="28"/>
          <w:rtl w:val="true"/>
          <w:lang w:bidi="ar-SA"/>
        </w:rPr>
        <w:t xml:space="preserve">الشكّ في الحكم بالإفطار والتيمّم </w:t>
      </w:r>
    </w:p>
    <w:p>
      <w:pPr>
        <w:pStyle w:val="BookText"/>
        <w:rPr/>
      </w:pPr>
      <w:r>
        <w:rPr>
          <w:rFonts w:ascii="Amiri" w:hAnsi="Amiri" w:eastAsia="Amiri" w:cs="Amiri"/>
          <w:color w:val="111111"/>
          <w:sz w:val="28"/>
          <w:sz w:val="28"/>
          <w:szCs w:val="28"/>
          <w:rtl w:val="true"/>
          <w:lang w:bidi="ar-SA"/>
        </w:rPr>
        <w:t>ونحوهما يغاير موضوع الضرر ، وإلاّ فموضوع الضرر لا يقضي بتقييد الإطلاقات في صورة الشكّ كما يقضي به عند العلم أو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فالفاضل لو سلّم انحصار المقيّد في الضرر ، كما 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بيّنّاه في محلّه مستقصى من أنّ الخوف طريق إلى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يقول بوجوب دفع الضرر المشكوك ، ولا يحكم بتقييد ما دلّ على وجوب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الشكّ في الضرر ، والعقل لصرافته يحكم بالوجوب ، فلا بدّ من توجيه وتوفيق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يظهر لي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أفاده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الضرر المنفيّ في الشريعة المقيّد لموضوعات أحكام الشرع عبادة ومعاملة هو الضرر الدنيوي ، كما يظهر من ملاحظة حكمهم بسقوط الصوم والوضوء في موضوع الضرر وعدم لزوم العقد الضرريّ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أن يكون الضرر الأخرويّ مقيّدا لإطلاق ما دلّ على ثبوت الحكم الشرعي ؛ لأنّ المراد بالضرر الأخرويّ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يستفاد من كلمات المتكلّمين وجملة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العقاب ، وهو من توابع الحكم الشرعي ، فلو فرض تقييد موضوعه بهذا الضرر لزم الدور</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والعقل وإن كان مستقلاّ في لزوم دفع الضرر ولو كان دنيويّا إلاّ أنّه بعد ملاحظة انضمامه بحيثيّة تجريديّة لا مطلقا ، ففيما لو عارضه ما هو أقوى منه لا قبح في عدم الاجتناب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والموارد التي لا يجب الاجتناب فيها بأجمعها إنّما هو بواسطة تعارض الضرر بما هو أقوى منه </w:t>
      </w:r>
      <w:r>
        <w:rPr>
          <w:rStyle w:val="FootnoteAnchor"/>
          <w:rtl w:val="true"/>
        </w:rPr>
        <w:footnoteReference w:id="1079"/>
      </w:r>
      <w:r>
        <w:rPr>
          <w:rFonts w:ascii="Amiri" w:hAnsi="Amiri" w:eastAsia="Amiri" w:cs="Amiri"/>
          <w:color w:val="111111"/>
          <w:sz w:val="28"/>
          <w:sz w:val="28"/>
          <w:szCs w:val="28"/>
          <w:rtl w:val="true"/>
          <w:lang w:bidi="ar-SA"/>
        </w:rPr>
        <w:t>ولو كان الكاشف عن التعارض وجود ما يعارضه حكم الشرع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والشارع يحكم بوجوب شيء ولو كان مشتملا على ضرر قطعيّ كما صرّح به جماعة منهم الشهيد في القواعد </w:t>
      </w:r>
      <w:r>
        <w:rPr>
          <w:rStyle w:val="FootnoteAnchor"/>
          <w:rtl w:val="true"/>
        </w:rPr>
        <w:footnoteReference w:id="1080"/>
      </w:r>
      <w:r>
        <w:rPr>
          <w:rFonts w:ascii="Amiri" w:hAnsi="Amiri" w:eastAsia="Amiri" w:cs="Amiri"/>
          <w:color w:val="111111"/>
          <w:sz w:val="28"/>
          <w:sz w:val="28"/>
          <w:szCs w:val="28"/>
          <w:rtl w:val="true"/>
          <w:lang w:bidi="ar-SA"/>
        </w:rPr>
        <w:t xml:space="preserve">في مقام نفي التقيّة </w:t>
      </w:r>
    </w:p>
    <w:p>
      <w:pPr>
        <w:pStyle w:val="BookText"/>
        <w:rPr/>
      </w:pPr>
      <w:r>
        <w:rPr>
          <w:rFonts w:ascii="Amiri" w:hAnsi="Amiri" w:eastAsia="Amiri" w:cs="Amiri"/>
          <w:color w:val="111111"/>
          <w:sz w:val="28"/>
          <w:sz w:val="28"/>
          <w:szCs w:val="28"/>
          <w:rtl w:val="true"/>
          <w:lang w:bidi="ar-SA"/>
        </w:rPr>
        <w:t>عن الدماء وإظهار كلمة الكفر ، فإنّه ربما يكون مباحا ، وقد يكون حراما فيحرم على المكلّف إظهار كلمة الكفر ولو انجرّ إلى قتله يقينا ، لكن فيما لو كان المأمور بإظهار الكفر ممّن يعتدّ بشأنه بحيث لو أظهر كلمة الكفر احتمل وقوع ثلمة في الدين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فبعد ما لاحظنا طريقة الشرع من عدم الاعتبار بالضرر المقطوع ولو في بعض المقامات مع قطع العقل بلزوم الاحتراز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يذهب وهم إلى تناقض بين حكمي الشرع والعقل ، لظهور أنّ حكم العقل إنّما هو في صورة الانفراد وعدم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ولا تنافي أيضا في المقام ، بل بطريق أولي ، فيجوز أن يحكم الشارع بعدم ترتيب </w:t>
      </w:r>
      <w:r>
        <w:rPr>
          <w:rStyle w:val="FootnoteAnchor"/>
          <w:rtl w:val="true"/>
        </w:rPr>
        <w:footnoteReference w:id="1081"/>
      </w:r>
      <w:r>
        <w:rPr>
          <w:rFonts w:ascii="Amiri" w:hAnsi="Amiri" w:eastAsia="Amiri" w:cs="Amiri"/>
          <w:color w:val="111111"/>
          <w:sz w:val="28"/>
          <w:sz w:val="28"/>
          <w:szCs w:val="28"/>
          <w:rtl w:val="true"/>
          <w:lang w:bidi="ar-SA"/>
        </w:rPr>
        <w:t>آثار الضرر المشكوك بأصالة عدم الضرر ونحوها من الأمارات الشرعيّة في مواردها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العقل بلزوم الاجتناب أيضا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ما تقدّم من التطابق أيضا ، لاختلاف الأحكام باختلاف الموضوعات كما لا يخفى ؛ ولذا تراهم يتمسّكون في مقام نفي الحكم المشتمل على الضرر بأدلّة شرعيّة من غير أن يلتفتوا إلى حكم العقل بوجوب الاجتناب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الضرر الدنيوي ولزوم الاجتناب عنه في الأحكام الشرعيّة حكم شرعيّ ، ولا مانع من تخصيص الشارع حكمه باعتبار اختلاف مصالح الحكم بمورد دون آخر</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يعلم وجه لزوم الاجتناب فيما إذا اشتمل أحد الإنائين على السمّ في الشبهة المحصورة ، حيث إنّه لا دليل شرعا على جواز الارتكاب من الاصول العمليّة كما يظهر ذلك في محلّه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 لصرافته يحكم بلزوم الاجتناب من غير ما يقضي بخلافه ولو بواسطة اختلاف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يظهر لزوم </w:t>
      </w:r>
      <w:bookmarkStart w:id="308" w:name="pg16264_169724"/>
    </w:p>
    <w:p>
      <w:pPr>
        <w:pStyle w:val="BookText"/>
        <w:rPr/>
      </w:pPr>
      <w:bookmarkEnd w:id="308"/>
      <w:r>
        <w:rPr>
          <w:rFonts w:ascii="Amiri" w:hAnsi="Amiri" w:eastAsia="Amiri" w:cs="Amiri"/>
          <w:color w:val="111111"/>
          <w:sz w:val="28"/>
          <w:sz w:val="28"/>
          <w:szCs w:val="28"/>
          <w:rtl w:val="true"/>
          <w:lang w:bidi="ar-SA"/>
        </w:rPr>
        <w:t xml:space="preserve">الاجتناب فيما نحن فيه ؛ لأنّ حكم العقل بوجوب دفع الضرر ولو في صورة الشكّ ممّا لا يعارضه شيء ، فأكل الفاكهة وشمّ الورد وإن اشتمل على أمارة المنفعة وخلا عن أمارة المفسدة ، إلاّ أنّه ليس عدم الضرر به في الدنيا مقطوعا به والعقل مستقلّ بوجوب الاجتناب ، وحيث إنّه لا شرع كما هو المأخوذ في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عنوان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تعارض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المراد 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الشرع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ما عرفت من أنّ الكلام في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 يعنون به قبل ملاحظة الشرع ، فلا حاجة إلى بعض التطويلات الواقعة في كلام جملة منهم في المقام</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4588728_1280447820"/>
      <w:bookmarkStart w:id="310" w:name="_Toc96"/>
      <w:bookmarkEnd w:id="309"/>
      <w:r>
        <w:rPr>
          <w:rtl w:val="true"/>
        </w:rPr>
        <w:t>تذنيب</w:t>
      </w:r>
      <w:bookmarkEnd w:id="310"/>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ذكر المحقّق القمّي في آخر المبحث كلاما طويلا </w:t>
      </w:r>
      <w:r>
        <w:rPr>
          <w:rStyle w:val="FootnoteAnchor"/>
          <w:rtl w:val="true"/>
        </w:rPr>
        <w:footnoteReference w:id="1082"/>
      </w:r>
      <w:r>
        <w:rPr>
          <w:rFonts w:ascii="Amiri" w:hAnsi="Amiri" w:eastAsia="Amiri" w:cs="Amiri"/>
          <w:color w:val="111111"/>
          <w:sz w:val="28"/>
          <w:sz w:val="28"/>
          <w:szCs w:val="28"/>
          <w:rtl w:val="true"/>
          <w:lang w:bidi="ar-SA"/>
        </w:rPr>
        <w:t xml:space="preserve">مرجعه إلى أنّ اعتبار أصالة الإباحة على القول بها في أمثال زماننا الذي قد كشف الشارع الحكيم عن حال جملة من الأشياء المشتملة على أمارة المنفعة الخالية عن أمارة المضرّة </w:t>
      </w:r>
      <w:r>
        <w:rPr>
          <w:rStyle w:val="FootnoteAnchor"/>
          <w:rtl w:val="true"/>
        </w:rPr>
        <w:footnoteReference w:id="10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كشرب الفقّاع واستماع الغناء وأمثال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ظنّي فالقول بحجّيّتها موقوف على اعتبار الظنّ واستقلال العقل بحجّيّته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وفرّع عليه الحكم بكونها من المستقلاّت العقليّة ، وعلى ذلك بنى الأمر في الردّ على الفاضل التوني والسيّد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حكم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النزاع في الملازمة قليل الجدوى بل عديمها ، إذ ما من مورد لحكم العقل إلاّ وقد ورد من الشارع فيه آثار كثيرة </w:t>
      </w:r>
    </w:p>
    <w:p>
      <w:pPr>
        <w:pStyle w:val="BookText"/>
        <w:rPr/>
      </w:pPr>
      <w:r>
        <w:rPr>
          <w:rFonts w:ascii="Amiri" w:hAnsi="Amiri" w:eastAsia="Amiri" w:cs="Amiri"/>
          <w:color w:val="111111"/>
          <w:sz w:val="28"/>
          <w:sz w:val="28"/>
          <w:szCs w:val="28"/>
          <w:rtl w:val="true"/>
          <w:lang w:bidi="ar-SA"/>
        </w:rPr>
        <w:t xml:space="preserve">وأخبار وافرة </w:t>
      </w:r>
      <w:r>
        <w:rPr>
          <w:rStyle w:val="FootnoteAnchor"/>
          <w:rtl w:val="true"/>
        </w:rPr>
        <w:footnoteReference w:id="1084"/>
      </w:r>
      <w:r>
        <w:rPr>
          <w:rFonts w:ascii="Amiri" w:hAnsi="Amiri" w:eastAsia="Amiri" w:cs="Amiri"/>
          <w:color w:val="111111"/>
          <w:sz w:val="28"/>
          <w:sz w:val="28"/>
          <w:szCs w:val="28"/>
          <w:rtl w:val="true"/>
          <w:lang w:bidi="ar-SA"/>
        </w:rPr>
        <w:t xml:space="preserve">واستجوده الثاني </w:t>
      </w:r>
      <w:r>
        <w:rPr>
          <w:rStyle w:val="FootnoteAnchor"/>
          <w:rtl w:val="true"/>
        </w:rPr>
        <w:footnoteReference w:id="10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فزعم أنّ أصالة حجّيّة كلّ ظنّ إنّما هي من ثمرات مسألة الملازمة ، إذ بعد إحراز حكم العقل بحجّيّة الظنّ وتطابق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المقصود بالبحث في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فالظنّ حجّة شرعيّة وأيّة ثمرة أعظم منها ، إذ عليها تدور رحى الفقه من الطهارات إلى الديات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بعض من تأخّر عنه </w:t>
      </w:r>
      <w:r>
        <w:rPr>
          <w:rStyle w:val="FootnoteAnchor"/>
          <w:rtl w:val="true"/>
        </w:rPr>
        <w:footnoteReference w:id="1086"/>
      </w:r>
      <w:r>
        <w:rPr>
          <w:rFonts w:ascii="IRNazanin" w:hAnsi="IRNazanin" w:eastAsia="IRNazanin"/>
          <w:color w:val="111111"/>
          <w:sz w:val="28"/>
          <w:sz w:val="28"/>
          <w:szCs w:val="28"/>
          <w:rtl w:val="true"/>
          <w:lang w:bidi="fa-IR"/>
        </w:rPr>
        <w:t>بمنع مقدّمات الانسداد على ما قرّره المورد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اعتراض بارد ومنع فاسد ، إذ لا يناط ترتّب الثمرة على صحّة المذهب كما لا يخفى ، بل إن كان ولا بدّ من الاعتراض فليعترض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السيّد علم الهدى </w:t>
      </w:r>
      <w:r>
        <w:rPr>
          <w:rStyle w:val="FootnoteAnchor"/>
          <w:rtl w:val="true"/>
        </w:rPr>
        <w:footnoteReference w:id="1087"/>
      </w:r>
      <w:r>
        <w:rPr>
          <w:rFonts w:ascii="Amiri" w:hAnsi="Amiri" w:eastAsia="Amiri" w:cs="Amiri"/>
          <w:color w:val="111111"/>
          <w:sz w:val="28"/>
          <w:sz w:val="28"/>
          <w:szCs w:val="28"/>
          <w:rtl w:val="true"/>
          <w:lang w:bidi="ar-SA"/>
        </w:rPr>
        <w:t xml:space="preserve">والعلاّمة </w:t>
      </w:r>
      <w:r>
        <w:rPr>
          <w:rStyle w:val="FootnoteAnchor"/>
          <w:rtl w:val="true"/>
        </w:rPr>
        <w:footnoteReference w:id="1088"/>
      </w:r>
      <w:r>
        <w:rPr>
          <w:rFonts w:ascii="Amiri" w:hAnsi="Amiri" w:eastAsia="Amiri" w:cs="Amiri"/>
          <w:color w:val="111111"/>
          <w:sz w:val="28"/>
          <w:sz w:val="28"/>
          <w:szCs w:val="28"/>
          <w:rtl w:val="true"/>
          <w:lang w:bidi="ar-SA"/>
        </w:rPr>
        <w:t xml:space="preserve">رحمه‌اللّه </w:t>
      </w:r>
      <w:r>
        <w:rPr>
          <w:rStyle w:val="FootnoteAnchor"/>
          <w:rtl w:val="true"/>
        </w:rPr>
        <w:footnoteReference w:id="10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نقلوا الإجماع على حجّيّة الظنّ في مورد الانسداد ، فلا ثمرة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أيضا </w:t>
      </w:r>
      <w:r>
        <w:rPr>
          <w:rStyle w:val="FootnoteAnchor"/>
          <w:rtl w:val="true"/>
        </w:rPr>
        <w:footnoteReference w:id="1090"/>
      </w:r>
      <w:r>
        <w:rPr>
          <w:rFonts w:ascii="Amiri" w:hAnsi="Amiri" w:eastAsia="Amiri" w:cs="Amiri"/>
          <w:color w:val="111111"/>
          <w:sz w:val="28"/>
          <w:sz w:val="28"/>
          <w:szCs w:val="28"/>
          <w:rtl w:val="true"/>
          <w:lang w:bidi="ar-SA"/>
        </w:rPr>
        <w:t>بمعزل عن الصواب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فيه يتوقّف على تمهيد مقدّمة فيها تتميم لما تقدّم أيضا</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وجوب دفع الضرر الدنيوي عقلا ، وقد مرّ فيه الكلام على وجه يليق بالمقام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الضرر الأخروي فلا شكّ في كونه واجب الدفع أيضا ، </w:t>
      </w:r>
    </w:p>
    <w:p>
      <w:pPr>
        <w:pStyle w:val="BookText"/>
        <w:rPr/>
      </w:pPr>
      <w:r>
        <w:rPr>
          <w:rFonts w:ascii="Amiri" w:hAnsi="Amiri" w:eastAsia="Amiri" w:cs="Amiri"/>
          <w:color w:val="111111"/>
          <w:sz w:val="28"/>
          <w:sz w:val="28"/>
          <w:szCs w:val="28"/>
          <w:rtl w:val="true"/>
          <w:lang w:bidi="ar-SA"/>
        </w:rPr>
        <w:t xml:space="preserve">بل العقل حكمه فيه أشدّ والنقل إبلاغه أبلغ ، كما 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ألف ألف ضربة من السيف أحسن من الموت على الفراش </w:t>
      </w:r>
      <w:r>
        <w:rPr>
          <w:rFonts w:eastAsia="Amiri" w:cs="Amiri" w:ascii="Amiri" w:hAnsi="Amiri"/>
          <w:color w:val="111111"/>
          <w:sz w:val="28"/>
          <w:szCs w:val="28"/>
          <w:rtl w:val="true"/>
          <w:lang w:bidi="ar-SA"/>
        </w:rPr>
        <w:t xml:space="preserve">» </w:t>
      </w:r>
      <w:r>
        <w:rPr>
          <w:rStyle w:val="FootnoteAnchor"/>
          <w:rtl w:val="true"/>
        </w:rPr>
        <w:footnoteReference w:id="1091"/>
      </w:r>
      <w:r>
        <w:rPr>
          <w:rFonts w:ascii="Amiri" w:hAnsi="Amiri" w:eastAsia="Amiri" w:cs="Amiri"/>
          <w:color w:val="111111"/>
          <w:sz w:val="28"/>
          <w:sz w:val="28"/>
          <w:szCs w:val="28"/>
          <w:rtl w:val="true"/>
          <w:lang w:bidi="ar-SA"/>
        </w:rPr>
        <w:t xml:space="preserve">في مقام الجهاد ، إلى غير ذلك ممّا لا يحصى </w:t>
      </w:r>
      <w:r>
        <w:rPr>
          <w:rStyle w:val="FootnoteAnchor"/>
          <w:rtl w:val="true"/>
        </w:rPr>
        <w:footnoteReference w:id="1092"/>
      </w:r>
      <w:r>
        <w:rPr>
          <w:rFonts w:ascii="Amiri" w:hAnsi="Amiri" w:eastAsia="Amiri" w:cs="Amiri"/>
          <w:color w:val="111111"/>
          <w:sz w:val="28"/>
          <w:sz w:val="28"/>
          <w:szCs w:val="28"/>
          <w:rtl w:val="true"/>
          <w:lang w:bidi="ar-SA"/>
        </w:rPr>
        <w:t xml:space="preserve">، ولا يصلح لمعارضته شيء مع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الضرر الدنيوي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مع احتمال العقاب لا يعقل معارضته بشيء آخر ، إلاّ أن يرتفع العقاب ، فلا كلام في أنّ العقل يستقلّ بوجوب دفع الضرر سيّما إذا كان أخرويا ، إلاّ أنّ الحكم العقلي في المقام وأمثاله إنّما هو مجرّد إرشاد وإراءة للمصلحة </w:t>
      </w:r>
      <w:r>
        <w:rPr>
          <w:rStyle w:val="FootnoteAnchor"/>
          <w:rtl w:val="true"/>
        </w:rPr>
        <w:footnoteReference w:id="1093"/>
      </w:r>
      <w:r>
        <w:rPr>
          <w:rFonts w:ascii="Amiri" w:hAnsi="Amiri" w:eastAsia="Amiri" w:cs="Amiri"/>
          <w:color w:val="111111"/>
          <w:sz w:val="28"/>
          <w:sz w:val="28"/>
          <w:szCs w:val="28"/>
          <w:rtl w:val="true"/>
          <w:lang w:bidi="ar-SA"/>
        </w:rPr>
        <w:t xml:space="preserve">إذ لا تشريع منه </w:t>
      </w:r>
      <w:r>
        <w:rPr>
          <w:rStyle w:val="FootnoteAnchor"/>
          <w:rtl w:val="true"/>
        </w:rPr>
        <w:footnoteReference w:id="1094"/>
      </w:r>
      <w:r>
        <w:rPr>
          <w:rFonts w:ascii="Amiri" w:hAnsi="Amiri" w:eastAsia="Amiri" w:cs="Amiri"/>
          <w:color w:val="111111"/>
          <w:sz w:val="28"/>
          <w:sz w:val="28"/>
          <w:szCs w:val="28"/>
          <w:rtl w:val="true"/>
          <w:lang w:bidi="ar-SA"/>
        </w:rPr>
        <w:t>وطلب وجوبيّ أو ندبيّ على اختلاف مراتب المصالح</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والحكم الشرعي المطابق لحكم العقل أيضا هو إرشادي ، إذ لا حكم تشريعيّ كما هو توهّمه بعضهم ، وإذ هو فاسد ؛ لأنّ المراد من الإرشاد في الأوامر والنواهي المسوقة لبيان ذلك </w:t>
      </w:r>
      <w:r>
        <w:rPr>
          <w:rStyle w:val="FootnoteAnchor"/>
          <w:rtl w:val="true"/>
        </w:rPr>
        <w:footnoteReference w:id="1095"/>
      </w:r>
      <w:r>
        <w:rPr>
          <w:rFonts w:ascii="Amiri" w:hAnsi="Amiri" w:eastAsia="Amiri" w:cs="Amiri"/>
          <w:color w:val="111111"/>
          <w:sz w:val="28"/>
          <w:sz w:val="28"/>
          <w:szCs w:val="28"/>
          <w:rtl w:val="true"/>
          <w:lang w:bidi="ar-SA"/>
        </w:rPr>
        <w:t xml:space="preserve">ليس إلاّ بيان حقيقة الفعل وآثاره المترتّبة عليه من مدح أو ذم أو نحوهما من غير أن يكون مفيدا لإيجاب أو استحباب أو تحريم </w:t>
      </w:r>
      <w:r>
        <w:rPr>
          <w:rStyle w:val="FootnoteAnchor"/>
          <w:rtl w:val="true"/>
        </w:rPr>
        <w:footnoteReference w:id="1096"/>
      </w:r>
      <w:r>
        <w:rPr>
          <w:rFonts w:ascii="IRNazanin" w:hAnsi="IRNazanin" w:eastAsia="IRNazanin"/>
          <w:color w:val="111111"/>
          <w:sz w:val="28"/>
          <w:sz w:val="28"/>
          <w:szCs w:val="28"/>
          <w:rtl w:val="true"/>
          <w:lang w:bidi="fa-IR"/>
        </w:rPr>
        <w:t xml:space="preserve">،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يترتّب على مخالفة الأوامر الإرشاديّة إلاّ ما يترتّب على نفس الفعل من آثاره ، ولا على إطاعتها إلاّ ما يترتّب عليه في </w:t>
      </w:r>
      <w:r>
        <w:rPr>
          <w:rStyle w:val="FootnoteAnchor"/>
          <w:rtl w:val="true"/>
        </w:rPr>
        <w:footnoteReference w:id="1097"/>
      </w:r>
      <w:r>
        <w:rPr>
          <w:rFonts w:ascii="Amiri" w:hAnsi="Amiri" w:eastAsia="Amiri" w:cs="Amiri"/>
          <w:color w:val="111111"/>
          <w:sz w:val="28"/>
          <w:sz w:val="28"/>
          <w:szCs w:val="28"/>
          <w:rtl w:val="true"/>
          <w:lang w:bidi="ar-SA"/>
        </w:rPr>
        <w:t xml:space="preserve">نفسه من دون أن يترتّب على الإطاعة والعصيان فيهما </w:t>
      </w:r>
      <w:r>
        <w:rPr>
          <w:rStyle w:val="FootnoteAnchor"/>
          <w:rtl w:val="true"/>
        </w:rPr>
        <w:footnoteReference w:id="1098"/>
      </w:r>
      <w:r>
        <w:rPr>
          <w:rFonts w:ascii="Amiri" w:hAnsi="Amiri" w:eastAsia="Amiri" w:cs="Amiri"/>
          <w:color w:val="111111"/>
          <w:sz w:val="28"/>
          <w:sz w:val="28"/>
          <w:szCs w:val="28"/>
          <w:rtl w:val="true"/>
          <w:lang w:bidi="ar-SA"/>
        </w:rPr>
        <w:t xml:space="preserve">ما يترتّب عليهما في الأوامر </w:t>
      </w:r>
      <w:r>
        <w:rPr>
          <w:rStyle w:val="FootnoteAnchor"/>
          <w:rtl w:val="true"/>
        </w:rPr>
        <w:footnoteReference w:id="1099"/>
      </w:r>
      <w:r>
        <w:rPr>
          <w:rFonts w:ascii="Amiri" w:hAnsi="Amiri" w:eastAsia="Amiri" w:cs="Amiri"/>
          <w:color w:val="111111"/>
          <w:sz w:val="28"/>
          <w:sz w:val="28"/>
          <w:szCs w:val="28"/>
          <w:rtl w:val="true"/>
          <w:lang w:bidi="ar-SA"/>
        </w:rPr>
        <w:t xml:space="preserve">التشريعيّة من الفوائد المنوطة بهما ، والعقل في مقام الحكومة لا يزيد حكمه على هذا القدر كما لا يخفى </w:t>
      </w:r>
      <w:r>
        <w:rPr>
          <w:rStyle w:val="FootnoteAnchor"/>
          <w:rtl w:val="true"/>
        </w:rPr>
        <w:footnoteReference w:id="1100"/>
      </w:r>
      <w:r>
        <w:rPr>
          <w:rFonts w:ascii="Amiri" w:hAnsi="Amiri" w:eastAsia="Amiri" w:cs="Amiri"/>
          <w:color w:val="111111"/>
          <w:sz w:val="28"/>
          <w:sz w:val="28"/>
          <w:szCs w:val="28"/>
          <w:rtl w:val="true"/>
          <w:lang w:bidi="ar-SA"/>
        </w:rPr>
        <w:t>إذ ليس له سلطان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الشرع وإن كان له سلطنة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في بعض الأفعال ما يمنع عنه وبعضها ممّا لا يقبله كما في الأوامر الواردة في مقام الإطاعة والعصيان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w:t>
      </w:r>
      <w:r>
        <w:rPr>
          <w:rFonts w:eastAsia="Amiri" w:cs="Amiri" w:ascii="Amiri" w:hAnsi="Amiri"/>
          <w:color w:val="111111"/>
          <w:sz w:val="28"/>
          <w:szCs w:val="28"/>
          <w:rtl w:val="true"/>
          <w:lang w:bidi="ar-SA"/>
        </w:rPr>
        <w:t xml:space="preserve">) </w:t>
      </w:r>
      <w:r>
        <w:rPr>
          <w:rStyle w:val="FootnoteAnchor"/>
          <w:rtl w:val="true"/>
        </w:rPr>
        <w:footnoteReference w:id="1101"/>
      </w:r>
      <w:r>
        <w:rPr>
          <w:rFonts w:ascii="Amiri" w:hAnsi="Amiri" w:eastAsia="Amiri" w:cs="Amiri"/>
          <w:color w:val="111111"/>
          <w:sz w:val="28"/>
          <w:sz w:val="28"/>
          <w:szCs w:val="28"/>
          <w:rtl w:val="true"/>
          <w:lang w:bidi="ar-SA"/>
        </w:rPr>
        <w:t xml:space="preserve">مثلا ، وفي مقام الاتّقاء عن النار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فَاتَّقُوا النَّارَ الَّتِي وَقُودُهَا النَّاسُ وَالْحِجارَةُ </w:t>
      </w:r>
      <w:r>
        <w:rPr>
          <w:rFonts w:eastAsia="Amiri" w:cs="Amiri" w:ascii="Amiri" w:hAnsi="Amiri"/>
          <w:color w:val="111111"/>
          <w:sz w:val="28"/>
          <w:szCs w:val="28"/>
          <w:rtl w:val="true"/>
          <w:lang w:bidi="ar-SA"/>
        </w:rPr>
        <w:t xml:space="preserve">) </w:t>
      </w:r>
      <w:r>
        <w:rPr>
          <w:rStyle w:val="FootnoteAnchor"/>
          <w:rtl w:val="true"/>
        </w:rPr>
        <w:footnoteReference w:id="1102"/>
      </w:r>
      <w:r>
        <w:rPr>
          <w:rFonts w:ascii="Amiri" w:hAnsi="Amiri" w:eastAsia="Amiri" w:cs="Amiri"/>
          <w:color w:val="111111"/>
          <w:sz w:val="28"/>
          <w:sz w:val="28"/>
          <w:szCs w:val="28"/>
          <w:rtl w:val="true"/>
          <w:lang w:bidi="ar-SA"/>
        </w:rPr>
        <w:t xml:space="preserve">وفي مقام طلب القرب </w:t>
      </w:r>
      <w:r>
        <w:rPr>
          <w:rStyle w:val="FootnoteAnchor"/>
          <w:rtl w:val="true"/>
        </w:rPr>
        <w:footnoteReference w:id="1103"/>
      </w:r>
      <w:r>
        <w:rPr>
          <w:rFonts w:ascii="Amiri" w:hAnsi="Amiri" w:eastAsia="Amiri" w:cs="Amiri"/>
          <w:color w:val="111111"/>
          <w:sz w:val="28"/>
          <w:sz w:val="28"/>
          <w:szCs w:val="28"/>
          <w:rtl w:val="true"/>
          <w:lang w:bidi="ar-SA"/>
        </w:rPr>
        <w:t xml:space="preserve">إليه ورفع الدرجة في الجنّة وأمثالها ؛ فإنّ تلك الامور غايات </w:t>
      </w:r>
      <w:r>
        <w:rPr>
          <w:rStyle w:val="FootnoteAnchor"/>
          <w:rtl w:val="true"/>
        </w:rPr>
        <w:footnoteReference w:id="1104"/>
      </w:r>
      <w:r>
        <w:rPr>
          <w:rFonts w:ascii="Amiri" w:hAnsi="Amiri" w:eastAsia="Amiri" w:cs="Amiri"/>
          <w:color w:val="111111"/>
          <w:sz w:val="28"/>
          <w:sz w:val="28"/>
          <w:szCs w:val="28"/>
          <w:rtl w:val="true"/>
          <w:lang w:bidi="ar-SA"/>
        </w:rPr>
        <w:t>في الأوامر الشرعيّة ، فالأمر بها لا يزيد على إفادة حسنها في نفسها من غير أن يحتاج إلى غاية أخرى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فلا يصحّ أن </w:t>
      </w:r>
      <w:r>
        <w:rPr>
          <w:rStyle w:val="FootnoteAnchor"/>
          <w:rtl w:val="true"/>
        </w:rPr>
        <w:footnoteReference w:id="1105"/>
      </w:r>
      <w:r>
        <w:rPr>
          <w:rFonts w:ascii="Amiri" w:hAnsi="Amiri" w:eastAsia="Amiri" w:cs="Amiri"/>
          <w:color w:val="111111"/>
          <w:sz w:val="28"/>
          <w:sz w:val="28"/>
          <w:szCs w:val="28"/>
          <w:rtl w:val="true"/>
          <w:lang w:bidi="ar-SA"/>
        </w:rPr>
        <w:t>يكون الأمر بها في الشريعة أمرا تشريعيّا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أبيت عن ذلك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الأوامر المترتّبة على تلك الامور وما يقاربها تشريعيّة يلزم التسلسل ، وبطلان التالي كالملازمة ضروريّ ، فلا يترتّب على مخالفة النهي عن معصية الرسول إلاّ ما يترتّب على معصية الرسول ، ولا عصيان في تلك المخالفة ؛ لما عرفت من لزوم التسلسل على تقديره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من جميع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 العقل بوجوب شيء إنّما هو مجرّد إرشاد منه ، وحكم الشرع المطابق له قد يكون تشريعيّا كما في كثير من الشرعيّات ، وقد يكون إرشاديّا كما في وجوب دفع الضرر الاخروي المنتهى إلى العقاب وما يماثله ؛ وإذا تمهّدت هذه المقدّمة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مباحث الظنّ اختلاف مشارب القائلين بالانسداد في كيفيّة الاستنتاج منه ، فتارة بالحكومة كما هو مشرب التحقيق ، واخرى بالكشف على ما مرّ تفصيل القول في بيان المراد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لا وجه لتفريع مسألة الظنّ على مسألة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حكم العقل تارة في مقدّماته كقبح التكليف بما لا يطاق ، واخرى في نفس النتيجة وعلى التقديرين لا يتمّ ما ذكره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 فلأنّ قبح التكليف راجع إلى فعل اللّه تعالى وخروج أفعاله تعالى عن مسألة التلازم والتطابق ممّا لا يدانيه ريبة ، فإنّ أفعاله تعالى ليس ممّا يتعلّق به 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الحكم العقلي فيها </w:t>
      </w:r>
      <w:r>
        <w:rPr>
          <w:rStyle w:val="FootnoteAnchor"/>
          <w:rtl w:val="true"/>
        </w:rPr>
        <w:footnoteReference w:id="1106"/>
      </w:r>
      <w:r>
        <w:rPr>
          <w:rFonts w:ascii="Amiri" w:hAnsi="Amiri" w:eastAsia="Amiri" w:cs="Amiri"/>
          <w:color w:val="111111"/>
          <w:sz w:val="28"/>
          <w:sz w:val="28"/>
          <w:szCs w:val="28"/>
          <w:rtl w:val="true"/>
          <w:lang w:bidi="ar-SA"/>
        </w:rPr>
        <w:t>فليس على ما هو المتراءى منه كما تخيّله جهّال الأشاعرة على ما تقرّر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الثاني ، فلأنّ حكم العقل بالعمل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مرجعه إلى الاحتياط في المظنونات ، وهو من فروع الإطاعة والعصيان وقد تقدّم </w:t>
      </w:r>
      <w:r>
        <w:rPr>
          <w:rStyle w:val="FootnoteAnchor"/>
          <w:rtl w:val="true"/>
        </w:rPr>
        <w:footnoteReference w:id="1107"/>
      </w:r>
      <w:r>
        <w:rPr>
          <w:rFonts w:ascii="Amiri" w:hAnsi="Amiri" w:eastAsia="Amiri" w:cs="Amiri"/>
          <w:color w:val="111111"/>
          <w:sz w:val="28"/>
          <w:sz w:val="28"/>
          <w:szCs w:val="28"/>
          <w:rtl w:val="true"/>
          <w:lang w:bidi="ar-SA"/>
        </w:rPr>
        <w:t>في المقدّمة الممهّدة عدم تعلّق حكم شرعيّ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فالظنّ حال الانسداد كالعلم حال الانفتاح ، فكما أنّ العلم لا يقبل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في باب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 الظنّ ، فلا وجه لجريان مسألة التلازم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كون الإطاعة والعصيان ممّا يقبل الحكم الشرعيّ على ما قد يتوهّم ، إلاّ أنّ الأدلّة الشرعيّة الآمرة بالإطاعة والناهية عن العصيان في الكتاب والسنّة فوق حدّ الإحصاء ؛ فلا ثمرة أيضا ، كما لا يخفى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مرجع الاستنتاج على القول بالكشف إلى قياس استثنائيّ مركّب من منفصلة مانعة الخلوّ ، فينتج رفع التالي وضع المقدّم ، 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إمّا الظنّ أو العلم أو البراءة أو الاحتياط ، والتوالي فاسدة للمفاسد المترتّبة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فينتج مرجعية الظنّ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الحكم العقلي البرهاني وإن كان حجّة شرعيّة أيضا ، إلاّ أنّه خارج عن مسألة التلازم والتطابق ، فإنّ الفاضل التوني </w:t>
      </w:r>
      <w:r>
        <w:rPr>
          <w:rStyle w:val="FootnoteAnchor"/>
          <w:rtl w:val="true"/>
        </w:rPr>
        <w:footnoteReference w:id="1108"/>
      </w:r>
      <w:r>
        <w:rPr>
          <w:rFonts w:ascii="Amiri" w:hAnsi="Amiri" w:eastAsia="Amiri" w:cs="Amiri"/>
          <w:color w:val="111111"/>
          <w:sz w:val="28"/>
          <w:sz w:val="28"/>
          <w:szCs w:val="28"/>
          <w:rtl w:val="true"/>
          <w:lang w:bidi="ar-SA"/>
        </w:rPr>
        <w:t>إنّما هو في مقام دفع الثمرة في الأحكام العقليّة التي تثبت من جهة التحسين والتقبيح العقليّين ، دون الاستلزامات العقليّة كوجوب مقدّمة الواجب وحرمة الضدّ وأمثالهما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لا أنّ الكلام في ثمرة الحسن والقبح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فالأحكام العقليّة ولو كانت شرعيّة ممّا لا تعدّ ولا تحصى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للاقتصار على مسألة الظنّ ، فإنّ كثيرا </w:t>
      </w:r>
    </w:p>
    <w:p>
      <w:pPr>
        <w:pStyle w:val="BookText"/>
        <w:rPr/>
      </w:pPr>
      <w:r>
        <w:rPr>
          <w:rFonts w:ascii="Amiri" w:hAnsi="Amiri" w:eastAsia="Amiri" w:cs="Amiri"/>
          <w:color w:val="111111"/>
          <w:sz w:val="28"/>
          <w:sz w:val="28"/>
          <w:szCs w:val="28"/>
          <w:rtl w:val="true"/>
          <w:lang w:bidi="ar-SA"/>
        </w:rPr>
        <w:t xml:space="preserve">ما ثبت الحكم الشرعي بأدلّة عقليّة صرفة كاجتماع النقيضين على تقدير عدمه أو وجوده ، وأمثال ذلك ممّا لا يخفى على المتدرّب في مطاوي كلماتهم ومجاري استدلالاتهم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المطلوب من حجّيّة الظنّ حال الانسداد هو كونه مناطا لجميع الأحكام الشرعيّة من الحكم بفسق المتخلّف عنه والحكم بعصيانه ونحو ذلك كما في الظنون الخاصّة ، فإنّ المتخلّف عن البيّنة </w:t>
      </w:r>
      <w:r>
        <w:rPr>
          <w:rStyle w:val="FootnoteAnchor"/>
          <w:rtl w:val="true"/>
        </w:rPr>
        <w:footnoteReference w:id="1110"/>
      </w:r>
      <w:r>
        <w:rPr>
          <w:rFonts w:ascii="Amiri" w:hAnsi="Amiri" w:eastAsia="Amiri" w:cs="Amiri"/>
          <w:color w:val="111111"/>
          <w:sz w:val="28"/>
          <w:sz w:val="28"/>
          <w:szCs w:val="28"/>
          <w:rtl w:val="true"/>
          <w:lang w:bidi="ar-SA"/>
        </w:rPr>
        <w:t>ولو كان مصادفا للواقع عاص في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فالقائل بالظنّ المطلق لا بدّ له من التزام هذه الأحكام كما هو كذلك أيضا </w:t>
      </w:r>
      <w:r>
        <w:rPr>
          <w:rStyle w:val="FootnoteAnchor"/>
          <w:rtl w:val="true"/>
        </w:rPr>
        <w:footnoteReference w:id="1111"/>
      </w:r>
      <w:r>
        <w:rPr>
          <w:rFonts w:ascii="Amiri" w:hAnsi="Amiri" w:eastAsia="Amiri" w:cs="Amiri"/>
          <w:color w:val="111111"/>
          <w:sz w:val="28"/>
          <w:sz w:val="28"/>
          <w:szCs w:val="28"/>
          <w:rtl w:val="true"/>
          <w:lang w:bidi="ar-SA"/>
        </w:rPr>
        <w:t>فإنّهم ملتزمون بها ، كما لا يخفى على المطّلع بكلماتهم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الناهض بحجّيّة الظنّ لا يفي بذلك ، فإنّ غاية ما يتصوّر استفادته منه هو وجوب العمل بالظنّ بمعنى الاكتفاء بالامتثال الظنّي ، ولا دلالة فيه على حرمة التخلّف عنه ولو كان مصادفا للواقع ، فلا بدّ من إثبات كون الظنّ حجّة شرعيّة على ما هو الشأن في سائر الحجج الشرعيّة ولو بواسطة عنوان التجرّي والانقياد اللاحقين في حالتي المخالفة والموافقة ، إلاّ أنّه مع ذلك لا يتمّ القول بكونها ثمرة للملازمة ، للأدلّة الكثيرة الواردة في مقام التجرّي والانقياد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w:t>
      </w:r>
      <w:r>
        <w:rPr>
          <w:rStyle w:val="FootnoteAnchor"/>
          <w:rtl w:val="true"/>
        </w:rPr>
        <w:footnoteReference w:id="1112"/>
      </w:r>
      <w:r>
        <w:rPr>
          <w:rFonts w:ascii="Amiri" w:hAnsi="Amiri" w:eastAsia="Amiri" w:cs="Amiri"/>
          <w:color w:val="111111"/>
          <w:sz w:val="28"/>
          <w:sz w:val="28"/>
          <w:szCs w:val="28"/>
          <w:rtl w:val="true"/>
          <w:lang w:bidi="ar-SA"/>
        </w:rPr>
        <w:t xml:space="preserve">لو لم نقل بأنّ التجرّي والانقياد أيضا من فروع الإطاعة والعصيان على ما قد توهّمه بعضهم </w:t>
      </w:r>
      <w:r>
        <w:rPr>
          <w:rStyle w:val="FootnoteAnchor"/>
          <w:rtl w:val="true"/>
        </w:rPr>
        <w:footnoteReference w:id="1113"/>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تمّ الكلام في أصالة الإباحة ، والسلام على من اتّبع الهدى </w:t>
      </w:r>
      <w:r>
        <w:rPr>
          <w:rStyle w:val="FootnoteAnchor"/>
          <w:rtl w:val="true"/>
        </w:rPr>
        <w:footnoteReference w:id="11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ما أفاده ـ قدّس اللّه نفسه الزكيّة ـ في مسائل الملازمة وأصالة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يخفى أنّه ـ طاب ثراه ـ قد خرج من قلمه الشريف ما يتعلّق بمسائل القطع والظنّ ، وما يتعلّق بمسائل البراءة والاستصحاب ، وكذا مسائل التعادل والتراجيح على النحو الأوفى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المسائل المذكورة لمّا برز فيها ما أفاده بلا واسطة شيخه وأستاذه بل أستاذ الكلّ الشيخ مرتضى الأنصاري ـ طيّب اللّه رمسه العالي ـ واشتهر في غاية الاشتهار حتّى انحصر في عصرنا بحث المشتغلين في كلّ مجلس فيه أغنانا ذلك عن طبع ما برز منه رحمه‌اللّه بواسطة صاحب المطارح ، فصرفنا الهمّة من بعد ذلك إلى طبع مسألتي تقليد الميّت وتقليد الأعلم ، فإنّهما أنفع للمشتغلين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1" w:name="pg16264_169733"/>
      <w:bookmarkStart w:id="312" w:name="pg16264_169733"/>
      <w:bookmarkEnd w:id="312"/>
    </w:p>
    <w:p>
      <w:pPr>
        <w:pStyle w:val="BookText"/>
        <w:rPr/>
      </w:pPr>
      <w:bookmarkStart w:id="313" w:name="pg16264_169733"/>
      <w:bookmarkEnd w:id="313"/>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314" w:name="__RefHeading___Toc4588730_1280447820"/>
      <w:bookmarkStart w:id="315" w:name="_Toc97"/>
      <w:bookmarkEnd w:id="314"/>
      <w:r>
        <w:rPr>
          <w:rtl w:val="true"/>
        </w:rPr>
        <w:t>الكلام في اشتراط الحياة في المفتي</w:t>
      </w:r>
      <w:bookmarkEnd w:id="315"/>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6" w:name="__RefHeading___Toc4588732_1280447820"/>
      <w:bookmarkStart w:id="317" w:name="_Toc98"/>
      <w:bookmarkEnd w:id="316"/>
      <w:r>
        <w:rPr>
          <w:rtl w:val="true"/>
        </w:rPr>
        <w:t>اشارة</w:t>
      </w:r>
      <w:bookmarkEnd w:id="317"/>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8" w:name="pg16264_169735"/>
      <w:bookmarkStart w:id="319" w:name="pg16264_169735"/>
      <w:bookmarkEnd w:id="319"/>
    </w:p>
    <w:p>
      <w:pPr>
        <w:pStyle w:val="Heading3"/>
        <w:numPr>
          <w:ilvl w:val="2"/>
          <w:numId w:val="1"/>
        </w:numPr>
        <w:rPr/>
      </w:pPr>
      <w:bookmarkStart w:id="320" w:name="pg16264_169735"/>
      <w:bookmarkStart w:id="321" w:name="__RefHeading___Toc4588734_1280447820"/>
      <w:bookmarkStart w:id="322" w:name="_Toc99"/>
      <w:bookmarkEnd w:id="320"/>
      <w:bookmarkEnd w:id="321"/>
      <w:r>
        <w:rPr>
          <w:rtl w:val="true"/>
        </w:rPr>
        <w:t>هداية</w:t>
      </w:r>
      <w:bookmarkEnd w:id="322"/>
    </w:p>
    <w:p>
      <w:pPr>
        <w:pStyle w:val="BookText"/>
        <w:rPr/>
      </w:pPr>
      <w:r>
        <w:rPr>
          <w:rFonts w:ascii="Amiri" w:hAnsi="Amiri" w:eastAsia="Amiri" w:cs="Amiri"/>
          <w:color w:val="111111"/>
          <w:sz w:val="28"/>
          <w:sz w:val="28"/>
          <w:szCs w:val="28"/>
          <w:rtl w:val="true"/>
          <w:lang w:bidi="ar-SA"/>
        </w:rPr>
        <w:t>اختلفت كلمات أرباب النظر في اشتراط الحياة في المفتي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فالمعروف بين أصحابنا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والمنسوب إلى العامّة عدمه ، بل صرّح في المنهاج </w:t>
      </w:r>
      <w:r>
        <w:rPr>
          <w:rStyle w:val="FootnoteAnchor"/>
          <w:rtl w:val="true"/>
        </w:rPr>
        <w:footnoteReference w:id="1115"/>
      </w:r>
      <w:r>
        <w:rPr>
          <w:rFonts w:ascii="Amiri" w:hAnsi="Amiri" w:eastAsia="Amiri" w:cs="Amiri"/>
          <w:color w:val="111111"/>
          <w:sz w:val="28"/>
          <w:sz w:val="28"/>
          <w:szCs w:val="28"/>
          <w:rtl w:val="true"/>
          <w:lang w:bidi="ar-SA"/>
        </w:rPr>
        <w:t xml:space="preserve">بإجماعهم عليه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تقليد الميّت إجماعيّ في عصرنا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خيرة الأخباريّين من أصحابنا ، ومنهم أمينهم الأسترآبادي </w:t>
      </w:r>
      <w:r>
        <w:rPr>
          <w:rStyle w:val="FootnoteAnchor"/>
          <w:rtl w:val="true"/>
        </w:rPr>
        <w:footnoteReference w:id="1116"/>
      </w:r>
      <w:r>
        <w:rPr>
          <w:rFonts w:ascii="Amiri" w:hAnsi="Amiri" w:eastAsia="Amiri" w:cs="Amiri"/>
          <w:color w:val="111111"/>
          <w:sz w:val="28"/>
          <w:sz w:val="28"/>
          <w:szCs w:val="28"/>
          <w:rtl w:val="true"/>
          <w:lang w:bidi="ar-SA"/>
        </w:rPr>
        <w:t xml:space="preserve">والمحدّث الكاشاني في محكيّ السفينة </w:t>
      </w:r>
      <w:r>
        <w:rPr>
          <w:rStyle w:val="FootnoteAnchor"/>
          <w:rtl w:val="true"/>
        </w:rPr>
        <w:footnoteReference w:id="1117"/>
      </w:r>
      <w:r>
        <w:rPr>
          <w:rFonts w:ascii="Amiri" w:hAnsi="Amiri" w:eastAsia="Amiri" w:cs="Amiri"/>
          <w:color w:val="111111"/>
          <w:sz w:val="28"/>
          <w:sz w:val="28"/>
          <w:szCs w:val="28"/>
          <w:rtl w:val="true"/>
          <w:lang w:bidi="ar-SA"/>
        </w:rPr>
        <w:t xml:space="preserve">وفي مفاتيحه ظاهرا </w:t>
      </w:r>
      <w:r>
        <w:rPr>
          <w:rStyle w:val="FootnoteAnchor"/>
          <w:rtl w:val="true"/>
        </w:rPr>
        <w:footnoteReference w:id="1118"/>
      </w:r>
      <w:r>
        <w:rPr>
          <w:rFonts w:ascii="Amiri" w:hAnsi="Amiri" w:eastAsia="Amiri" w:cs="Amiri"/>
          <w:color w:val="111111"/>
          <w:sz w:val="28"/>
          <w:sz w:val="28"/>
          <w:szCs w:val="28"/>
          <w:rtl w:val="true"/>
          <w:lang w:bidi="ar-SA"/>
        </w:rPr>
        <w:t xml:space="preserve">والسيّد الجزائري </w:t>
      </w:r>
      <w:r>
        <w:rPr>
          <w:rStyle w:val="FootnoteAnchor"/>
          <w:rtl w:val="true"/>
        </w:rPr>
        <w:footnoteReference w:id="1119"/>
      </w:r>
      <w:r>
        <w:rPr>
          <w:rFonts w:ascii="Amiri" w:hAnsi="Amiri" w:eastAsia="Amiri" w:cs="Amiri"/>
          <w:color w:val="111111"/>
          <w:sz w:val="28"/>
          <w:sz w:val="28"/>
          <w:szCs w:val="28"/>
          <w:rtl w:val="true"/>
          <w:lang w:bidi="ar-SA"/>
        </w:rPr>
        <w:t xml:space="preserve">، ووافقهم المحقّق القمّي </w:t>
      </w:r>
      <w:r>
        <w:rPr>
          <w:rStyle w:val="FootnoteAnchor"/>
          <w:rtl w:val="true"/>
        </w:rPr>
        <w:footnoteReference w:id="1120"/>
      </w:r>
      <w:r>
        <w:rPr>
          <w:rFonts w:ascii="Amiri" w:hAnsi="Amiri" w:eastAsia="Amiri" w:cs="Amiri"/>
          <w:color w:val="111111"/>
          <w:sz w:val="28"/>
          <w:sz w:val="28"/>
          <w:szCs w:val="28"/>
          <w:rtl w:val="true"/>
          <w:lang w:bidi="ar-SA"/>
        </w:rPr>
        <w:t>من المجتهدين</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 بعضهم الى عدمه </w:t>
      </w:r>
      <w:r>
        <w:rPr>
          <w:rStyle w:val="FootnoteAnchor"/>
          <w:rtl w:val="true"/>
        </w:rPr>
        <w:footnoteReference w:id="1121"/>
      </w:r>
      <w:r>
        <w:rPr>
          <w:rFonts w:ascii="Amiri" w:hAnsi="Amiri" w:eastAsia="Amiri" w:cs="Amiri"/>
          <w:color w:val="111111"/>
          <w:sz w:val="28"/>
          <w:sz w:val="28"/>
          <w:szCs w:val="28"/>
          <w:rtl w:val="true"/>
          <w:lang w:bidi="ar-SA"/>
        </w:rPr>
        <w:t xml:space="preserve">مع عدم المجتهد الحيّ ، نقله فخر المحقّقين </w:t>
      </w:r>
      <w:r>
        <w:rPr>
          <w:rStyle w:val="FootnoteAnchor"/>
          <w:rtl w:val="true"/>
        </w:rPr>
        <w:footnoteReference w:id="1122"/>
      </w:r>
      <w:r>
        <w:rPr>
          <w:rFonts w:ascii="Amiri" w:hAnsi="Amiri" w:eastAsia="Amiri" w:cs="Amiri"/>
          <w:color w:val="111111"/>
          <w:sz w:val="28"/>
          <w:sz w:val="28"/>
          <w:szCs w:val="28"/>
          <w:rtl w:val="true"/>
          <w:lang w:bidi="ar-SA"/>
        </w:rPr>
        <w:t>عن والده واستبعده وحمل كلامه على محلّ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المحكيّ عن </w:t>
      </w:r>
    </w:p>
    <w:p>
      <w:pPr>
        <w:pStyle w:val="BookText"/>
        <w:rPr/>
      </w:pPr>
      <w:r>
        <w:rPr>
          <w:rFonts w:ascii="Amiri" w:hAnsi="Amiri" w:eastAsia="Amiri" w:cs="Amiri"/>
          <w:color w:val="111111"/>
          <w:sz w:val="28"/>
          <w:sz w:val="28"/>
          <w:szCs w:val="28"/>
          <w:rtl w:val="true"/>
          <w:lang w:bidi="ar-SA"/>
        </w:rPr>
        <w:t xml:space="preserve">الأردبيلي </w:t>
      </w:r>
      <w:r>
        <w:rPr>
          <w:rStyle w:val="FootnoteAnchor"/>
          <w:rtl w:val="true"/>
        </w:rPr>
        <w:footnoteReference w:id="1123"/>
      </w:r>
      <w:r>
        <w:rPr>
          <w:rFonts w:ascii="Amiri" w:hAnsi="Amiri" w:eastAsia="Amiri" w:cs="Amiri"/>
          <w:color w:val="111111"/>
          <w:sz w:val="28"/>
          <w:sz w:val="28"/>
          <w:szCs w:val="28"/>
          <w:rtl w:val="true"/>
          <w:lang w:bidi="ar-SA"/>
        </w:rPr>
        <w:t xml:space="preserve">والشيخ سليمان البحراني </w:t>
      </w:r>
      <w:r>
        <w:rPr>
          <w:rStyle w:val="FootnoteAnchor"/>
          <w:rtl w:val="true"/>
        </w:rPr>
        <w:footnoteReference w:id="1124"/>
      </w:r>
      <w:r>
        <w:rPr>
          <w:rFonts w:ascii="Amiri" w:hAnsi="Amiri" w:eastAsia="Amiri" w:cs="Amiri"/>
          <w:color w:val="111111"/>
          <w:sz w:val="28"/>
          <w:sz w:val="28"/>
          <w:szCs w:val="28"/>
          <w:rtl w:val="true"/>
          <w:lang w:bidi="ar-SA"/>
        </w:rPr>
        <w:t xml:space="preserve">والشيخ عليّ بن هلال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ليس تفصيلا في المقام ، فإنّ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الجواز عند التمكّن من استعلام حال الواقعة من الحيّ ، وأمّا عند عدمه فلبيان الحكم فيه محلّ آخر ، كما لو انقرض الاجتهاد ، 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الفاضل التوني </w:t>
      </w:r>
      <w:r>
        <w:rPr>
          <w:rStyle w:val="FootnoteAnchor"/>
          <w:rtl w:val="true"/>
        </w:rPr>
        <w:footnoteReference w:id="1126"/>
      </w:r>
      <w:r>
        <w:rPr>
          <w:rFonts w:ascii="Amiri" w:hAnsi="Amiri" w:eastAsia="Amiri" w:cs="Amiri"/>
          <w:color w:val="111111"/>
          <w:sz w:val="28"/>
          <w:sz w:val="28"/>
          <w:szCs w:val="28"/>
          <w:rtl w:val="true"/>
          <w:lang w:bidi="ar-SA"/>
        </w:rPr>
        <w:t>الى عدم الاشتراط فيما إذا كان المفتي ممّن علم من حاله أنّه لا يفتي إلاّ بمنطوقات الأدلّة كالصدوقين ومن شابههما من القدماء ، فإنّه يجوز الأخذ بفتاويهم حيّا وميّتا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ممّن يعمل بالأفراد الخفيّة للعمومات واللوازم الغير الظاهرة للملزومات فلا يجوز تقليده حيّا وميّتا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أيضا ليس من التفصيل في هذه المسألة وإنّما ذلك يعدّ تفصيلا في أصل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عدّ الفاضل في عداد نظرائه من الأخباريّين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السيّد صدر الدين في محكيّ شرح الوافية </w:t>
      </w:r>
      <w:r>
        <w:rPr>
          <w:rStyle w:val="FootnoteAnchor"/>
          <w:rtl w:val="true"/>
        </w:rPr>
        <w:footnoteReference w:id="1127"/>
      </w:r>
      <w:r>
        <w:rPr>
          <w:rFonts w:ascii="Amiri" w:hAnsi="Amiri" w:eastAsia="Amiri" w:cs="Amiri"/>
          <w:color w:val="111111"/>
          <w:sz w:val="28"/>
          <w:sz w:val="28"/>
          <w:szCs w:val="28"/>
          <w:rtl w:val="true"/>
          <w:lang w:bidi="ar-SA"/>
        </w:rPr>
        <w:t>عن بعض معاصريه التفصيل بين البدوي والاستمراري ، فلم يقل بالاشتراط في الثاني وقال به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والمختار ما هو المعروف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الخوض في المطلب ينبغي رسم مقدّمة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اختلاف الفتوى والرواية في الأحكام واللوازم المترتّبة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الرواية المنقولة لفظا فمغايرتها واختلافها للفتوى أمر لا يكاد </w:t>
      </w:r>
    </w:p>
    <w:p>
      <w:pPr>
        <w:pStyle w:val="BookText"/>
        <w:rPr/>
      </w:pPr>
      <w:r>
        <w:rPr>
          <w:rFonts w:ascii="Amiri" w:hAnsi="Amiri" w:eastAsia="Amiri" w:cs="Amiri"/>
          <w:color w:val="111111"/>
          <w:sz w:val="28"/>
          <w:sz w:val="28"/>
          <w:szCs w:val="28"/>
          <w:rtl w:val="true"/>
          <w:lang w:bidi="ar-SA"/>
        </w:rPr>
        <w:t>يستريب فيه العاقل فضلا عن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المنقولة معنى فهي وإن كانت مفاد اللفظ الصادر عن الإمام عليه‌السلام لكنّه بشرط العلم أو الظنّ المعتبر بمساواة الألفاظ في الأصل والمنقول في الإفادة ، ولا يجوز التعويل في النقل على أمر قد اعتقده اجتهادا ، والملحوظ فيه إنّما هو بيان المراد من 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الفتوى فهي عبارة عن الإخبار بأحكام اللّه بحسب الاعتقاد ، ومنشأ الاعتقاد إنّما يكون الخبر تارة وغيره تارة أخرى ، فيجوز الفتوى عند توقّفها على إعمال الظنون الاجتهاديّة في الأحاديث الواصلة إلى المجتهد والأخذ بمجامعها وحمل بعضها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الاختلافات التي يطّلع بها الخبير المتتبّع بين الفتوى والنقل للرواية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منع من الفتوى بعض من لم يمنع من الرواية معنى ، بل لعلّ النقل بالمعنى ممّا لم يقل بالمنع منه أحد من أصحابنا ، فإنّ المخالف في هذه المسألة أبو بكر الرازي وأتباعه </w:t>
      </w:r>
      <w:r>
        <w:rPr>
          <w:rStyle w:val="FootnoteAnchor"/>
          <w:rtl w:val="true"/>
        </w:rPr>
        <w:footnoteReference w:id="1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الفتوى ، فإنّ الأخباريّة بأجمعهم على المنع من الإفتاء ، فإنّه فرع الاجتهاد وهم ليسوا من أصحاب الاجتهاد كما هو المعروف من طريقهم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وكلمات جملة منهم ممّن اطلعنا عليها صريحة فيما ذكرنا ، فما يجوز عندهم من الفتوى عبارة عن نقل الحديث بالمعنى ، وما ليس كذلك فلا يجوّزونه ويلحقونه بالقول بالقياس والاستحسان ، ويعتقدون أنّ أرباب الفتاوى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الذي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خرجوا بذلك عمّا هو المأخوذ عن الأئمّة الأطهار ، وزعموا أنّهم في ذلك تبعوا العامّة في العمل بالرأي والاجتهاد المنهيّ عنه والاستحسان</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المقام محلّ إبطال ذلك الزعم ، وإنّما المقصود أنّهم لمّا أرادوا الفرق بين الفتوى والنقل اعتقدوا فساد الأوّل زعما منهم أنّها داخلة في المنهيّ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والكلام في المقام إنّما هو في جواز التقليد بعد الموت في هذه الفتاوى التي لا يقول الأخباري بها حال الحياة أيضا ممّا هي موقوفة على إعمال الاعتقادات في تشخيص مداليل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كلام لنا في الأخبار المنقولة بالمعنى على وجه لا يختلف الأصل والمنقول إلاّ في العبارة كما في الترجمة بالفارسيّة من مراعاة العموم والخصوص والإطلاق والتقييد ، فإنّه لا يجوز نقل المطلق بالمقيّد وإن ظنّ الناقل أنّ المراد منه المقيّد ، فإنّ ذلك الظنّ منه اجتهاد لا يكون حجّة إلاّ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يظهر أنّ خلاف الأخباريّين كما نقلناه ليس واردا في هذا المقام ، على ما عرفت من كلام التوني أيضا</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الجزائري </w:t>
      </w:r>
      <w:r>
        <w:rPr>
          <w:rStyle w:val="FootnoteAnchor"/>
          <w:rtl w:val="true"/>
        </w:rPr>
        <w:footnoteReference w:id="1129"/>
      </w:r>
      <w:r>
        <w:rPr>
          <w:rFonts w:ascii="Amiri" w:hAnsi="Amiri" w:eastAsia="Amiri" w:cs="Amiri"/>
          <w:color w:val="111111"/>
          <w:sz w:val="28"/>
          <w:sz w:val="28"/>
          <w:szCs w:val="28"/>
          <w:rtl w:val="true"/>
          <w:lang w:bidi="ar-SA"/>
        </w:rPr>
        <w:t xml:space="preserve">في مقام الاستدلال على ما ذهب إليه من عدم الاشتراط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كتب الفقه شرح لكتب الحديث ومن فوائدها تقريب معاني الأخبار إلى أفهام الناس ؛ لأنّ فيها العامّ والخاصّ والمجمل والمبيّن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كلّ أحد يقدر على بيان هذه الامور من مفادها ، فالمجتهدون بذلوا جهدهم في بيان ما يحتاج إلى البيان وترتيبه على أحسن النظام والاختلاف بينهم مستند إلى اختلاف الأخبار أو فهم معانيها من الألفاظ المحتملة ، حتى لو نقلت تلك الأخبار لكانت موجبة للاختلاف ، كما ترى الاختلاف الوارد بين المحدّثين ، مع أنّ عملهم مقصور على الأخبار المنقولة ، وبالجملة فلا فرق بين التصنيف في الفقه والتأليف في الحديث ،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ويظهر منه أنّ تجويزهم لذلك ليس إلاّ من جهة أنّ الفتوى عندهم هي الرواية المنقولة بالمعنى على وجه لو اعتقد اختلافهما ما كان يقول بذلك ، كما هو ظاهر من مساق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أنّ المجتهدين قد خالف طريقتهم طريقة الأخباريّين في العمل بالظنون الاجتهاديّة التي هي منتهية إلى القطع ، والأخباريّون لا يعتقدون العمل بالظنون وإن كان عملهم على خلاف معتقدهم ، فيتخيّلون أنّ الفتوى عبارة عن الرواية المنقولة ، فحسبوا جواز الاعتماد عليها بعد الموت وقبله كالرواية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المجتهدين ، فإنّهم يعتقدون الاختلاف بين الرواية والفتوى بما عرفت ، فلا يرون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وجه لاستدلال بعضهم بطريقة السلف ، فإنّهم كانوا يعملون بفتاوى عليّ بن بابويه عند إعواز النصوص ، فإنّ تلك الفتاوى ليست بمنزلة الفتاوى المعمولة عندنا ، فإنّ أمثالها من فتاوى أصحاب الأئمة إنّما هي في الأغلب مضامين الروايات كما يرى الأخباريّون في مطلق الفتاوى ، فهي أخبار منقولة بالمعنى وهي حجّة للمجتهد والمقلّد ، ومن اطّلع على حال السلف وكيفيّة الاستفتاء والإفتاء يقطع بما ذكرنا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ويكفيك شاهدا في المقام ما قاله العمري بعد ما سئل عنه عن كتب الشلمغاني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فيها ما قاله العسكري عليه‌السلام في كتب بني فضّال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خذوا ما رووا وذروا ما رأوا </w:t>
      </w:r>
      <w:r>
        <w:rPr>
          <w:rFonts w:eastAsia="Amiri" w:cs="Amiri" w:ascii="Amiri" w:hAnsi="Amiri"/>
          <w:color w:val="111111"/>
          <w:sz w:val="28"/>
          <w:szCs w:val="28"/>
          <w:rtl w:val="true"/>
          <w:lang w:bidi="ar-SA"/>
        </w:rPr>
        <w:t xml:space="preserve">» </w:t>
      </w:r>
      <w:r>
        <w:rPr>
          <w:rStyle w:val="FootnoteAnchor"/>
          <w:rtl w:val="true"/>
        </w:rPr>
        <w:footnoteReference w:id="1130"/>
      </w:r>
      <w:r>
        <w:rPr>
          <w:rFonts w:ascii="Amiri" w:hAnsi="Amiri" w:eastAsia="Amiri" w:cs="Amiri"/>
          <w:color w:val="111111"/>
          <w:sz w:val="28"/>
          <w:sz w:val="28"/>
          <w:szCs w:val="28"/>
          <w:rtl w:val="true"/>
          <w:lang w:bidi="ar-SA"/>
        </w:rPr>
        <w:t>فإنّه أفتى بنصّ الرواية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وليس ذلك راجعا إلى تفصيل التوني </w:t>
      </w:r>
      <w:r>
        <w:rPr>
          <w:rStyle w:val="FootnoteAnchor"/>
          <w:rtl w:val="true"/>
        </w:rPr>
        <w:footnoteReference w:id="1131"/>
      </w:r>
      <w:r>
        <w:rPr>
          <w:rFonts w:ascii="Amiri" w:hAnsi="Amiri" w:eastAsia="Amiri" w:cs="Amiri"/>
          <w:color w:val="111111"/>
          <w:sz w:val="28"/>
          <w:sz w:val="28"/>
          <w:szCs w:val="28"/>
          <w:rtl w:val="true"/>
          <w:lang w:bidi="ar-SA"/>
        </w:rPr>
        <w:t>، فإنّه يعتقد ذلك في الفتاوى الموجودة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خطأ وإنّما ذلك مختصّ في زمان الأئمة وما يقرب منه ، حيث إنّه لم يكن الفقه والاستنباط بهذه الصعوبة ، كما لا يخفى على المطّلع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قد عرفت ما ذكرنا في المقدّمة ، فالذي يدلّ على المختار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حرمة العمل بالظنّ بل بمطلق ما وراء العلم التي دلّت الأدلّة الأربعة بتمامها عليها ، خرج عنها فتوى الحيّ إجماعا ووفاقا منّا ومن القائلين بعدم الانسداد ، بقي الموارد المشكوكة تحت الأصل ومنها فتوى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مخرج عن هذا الأصل سوى ما تخيله المجوّز ، وستعرف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الرجوع إلى الحيّ وفاقيّ ، فإنّ القائل بوجوب تقليد الأعلم إذا قال بجواز تقليد الميّت لا يحكم بالمساواة بل المقدّم هو الأعلم ولو كان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التخيير عند التساوي يلازم التخيير عند الأعلميّة ، لعدم القائل بالتفصيل ؛ مع أنّ القائل بوجوب تقليد الأعلم لا يقول بجواز تقليد الميّت غالبا ، لاتّحاد المناط</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وجه لمنع الفاضل التوني عن عموم الأدلّة الدالّة عليه واختصاصها للاصول </w:t>
      </w:r>
      <w:r>
        <w:rPr>
          <w:rStyle w:val="FootnoteAnchor"/>
          <w:rtl w:val="true"/>
        </w:rPr>
        <w:footnoteReference w:id="1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وعمومها ممّا لا ينبغي إنكاره ؛ مع أنّ منع العموم يوجب خللا في أمره وأمر نظرائه من الأخباريّة في موارد كثيرة ،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فقد قرّرنا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الحجّية متن كانت مشكوكة يجب القول بعدمها ، والمقام منه ، فإنّ قول الميّت مع قول الحيّ مشكوك الحجّيّة والشكّ فيهما كاف في الحكم بعدم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تعرف فساد ما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الجواز فإنّ ذلك في مقام الشكّ في الحجّيّة ممّا 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الإجماع المحقّق من الطائفة المحقّة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الاطّلاع عليه واستعلامه من كلمات أصحابنا الإماميّة في المسألة ، فإنّ نقل الاتّفاق والإجماع فوق حدّ الاستفاضة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المحقّق الثاني في شرح الألفيّة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الأخذ عن الميّت مع وجود المجتهد الحيّ بلا خلاف بين علماء الإمامية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الأصحاب في كتبهم المختصرة والمطوّلة وفي غيرها باشتراط حياة المجتهد في جواز العمل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يتحقّق إلى الآن خلاف في ذلك ممّن يعتدّ بقوله من أصحابنا وإن كان للعامّة في ذلك خلاف مشهور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محكيّ الرسالة المعمولة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بعد التتبّع الصادق لما وصل إلينا من كلامهم ما علمنا من أصحابنا ممّن يعتبر قوله ويعتمد على فتواه مخالفا في ذلك ، فعلى مدّعي الجواز بيان القائل به على وجه لا يلزم منه خرق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قائل بجواز تقليد الميّت من أصحابنا السابقين وعلمائنا </w:t>
      </w:r>
    </w:p>
    <w:p>
      <w:pPr>
        <w:pStyle w:val="BookText"/>
        <w:rPr/>
      </w:pPr>
      <w:r>
        <w:rPr>
          <w:rFonts w:ascii="Amiri" w:hAnsi="Amiri" w:eastAsia="Amiri" w:cs="Amiri"/>
          <w:color w:val="111111"/>
          <w:sz w:val="28"/>
          <w:sz w:val="28"/>
          <w:szCs w:val="28"/>
          <w:rtl w:val="true"/>
          <w:lang w:bidi="ar-SA"/>
        </w:rPr>
        <w:t xml:space="preserve">الصالحين ، فإنّهم ذكروا في كتبهم الأصوليّة والفقهيّة قاطعين بما ذكرنا </w:t>
      </w:r>
      <w:r>
        <w:rPr>
          <w:rStyle w:val="FootnoteAnchor"/>
          <w:rtl w:val="true"/>
        </w:rPr>
        <w:footnoteReference w:id="1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وادّعى في محكيّ كتاب آداب العلم والتعلّم الإجماع على ذلك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المعالم العمل بفتاوى الموتى مخالف لما يظهر من اتّفاق علمائنا على المنع من الرجوع إلى فتوى الميّت مع وجود المجتهد الحيّ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شارع النجاة للمحقّق الداماد نفي الخلاف صريحا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الظاهر من العلاّمة في النهاية </w:t>
      </w:r>
      <w:r>
        <w:rPr>
          <w:rStyle w:val="FootnoteAnchor"/>
          <w:rtl w:val="true"/>
        </w:rPr>
        <w:footnoteReference w:id="1139"/>
      </w:r>
      <w:r>
        <w:rPr>
          <w:rFonts w:ascii="Amiri" w:hAnsi="Amiri" w:eastAsia="Amiri" w:cs="Amiri"/>
          <w:color w:val="111111"/>
          <w:sz w:val="28"/>
          <w:sz w:val="28"/>
          <w:szCs w:val="28"/>
          <w:rtl w:val="true"/>
          <w:lang w:bidi="ar-SA"/>
        </w:rPr>
        <w:t xml:space="preserve">، حيث لم يذكر الخلاف بعد الفتوى ، مع أنّ 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ذكر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أبي جمهور الأحسائي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 جواز العمل بقول المجتهد من بقائه ، فلو مات بطل العمل بقوله ووجب الرجوع إلى غيره ، إذ الميّت لا قول له ؛ وعلى هذا انعقد إجماع الإماميّة وبه نطقت مصنّفاتهم الأصولية ، لا أعلم فيه مخالفا منهم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المقدّس الأردبيلي نسبته إلى الأكثر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يدلّ على وجود الخلاف بعد ما علمت من ذهابه إلى التفصيل الذي قد قلنا بأنّه ليس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فالنسبة إلى الأكثر بواسطة خلاف العلاّمة على </w:t>
      </w:r>
    </w:p>
    <w:p>
      <w:pPr>
        <w:pStyle w:val="BookText"/>
        <w:rPr/>
      </w:pPr>
      <w:r>
        <w:rPr>
          <w:rFonts w:ascii="Amiri" w:hAnsi="Amiri" w:eastAsia="Amiri" w:cs="Amiri"/>
          <w:color w:val="111111"/>
          <w:sz w:val="28"/>
          <w:sz w:val="28"/>
          <w:szCs w:val="28"/>
          <w:rtl w:val="true"/>
          <w:lang w:bidi="ar-SA"/>
        </w:rPr>
        <w:t xml:space="preserve">ما حكاه الفخر </w:t>
      </w:r>
      <w:r>
        <w:rPr>
          <w:rStyle w:val="FootnoteAnchor"/>
          <w:rtl w:val="true"/>
        </w:rPr>
        <w:footnoteReference w:id="1142"/>
      </w:r>
      <w:r>
        <w:rPr>
          <w:rFonts w:ascii="Amiri" w:hAnsi="Amiri" w:eastAsia="Amiri" w:cs="Amiri"/>
          <w:color w:val="111111"/>
          <w:sz w:val="28"/>
          <w:sz w:val="28"/>
          <w:szCs w:val="28"/>
          <w:rtl w:val="true"/>
          <w:lang w:bidi="ar-SA"/>
        </w:rPr>
        <w:t xml:space="preserve">والشيخ الجليل عليّ بن هلال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الوحيد البهبهاني في فوائده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الفقهاء أجمعوا على أنّ الفقيه لو مات لا يكون قوله حجّة </w:t>
      </w:r>
      <w:r>
        <w:rPr>
          <w:rStyle w:val="FootnoteAnchor"/>
          <w:rtl w:val="true"/>
        </w:rPr>
        <w:footnoteReference w:id="1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جعل ذلك من المعلوم من مذهب الشيعة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 أفاضل متأخّري المتأخّرين بعد اختياره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المحقّق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الإنصاف يقضي بعدم غرابة هذه الدعوى منه بعد ما سمعت كلام الأساطين المتتبّعين الماهرين في البعد </w:t>
      </w:r>
      <w:r>
        <w:rPr>
          <w:rStyle w:val="FootnoteAnchor"/>
          <w:rtl w:val="true"/>
        </w:rPr>
        <w:footnoteReference w:id="1147"/>
      </w:r>
      <w:r>
        <w:rPr>
          <w:rFonts w:ascii="Amiri" w:hAnsi="Amiri" w:eastAsia="Amiri" w:cs="Amiri"/>
          <w:color w:val="111111"/>
          <w:sz w:val="28"/>
          <w:sz w:val="28"/>
          <w:szCs w:val="28"/>
          <w:rtl w:val="true"/>
          <w:lang w:bidi="ar-SA"/>
        </w:rPr>
        <w:t>والتحصيل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الشهيد في الذكرى </w:t>
      </w:r>
      <w:r>
        <w:rPr>
          <w:rStyle w:val="FootnoteAnchor"/>
          <w:rtl w:val="true"/>
        </w:rPr>
        <w:footnoteReference w:id="1148"/>
      </w:r>
      <w:r>
        <w:rPr>
          <w:rFonts w:ascii="Amiri" w:hAnsi="Amiri" w:eastAsia="Amiri" w:cs="Amiri"/>
          <w:color w:val="111111"/>
          <w:sz w:val="28"/>
          <w:sz w:val="28"/>
          <w:szCs w:val="28"/>
          <w:rtl w:val="true"/>
          <w:lang w:bidi="ar-SA"/>
        </w:rPr>
        <w:t xml:space="preserve">من خلاف البعض ، فهو كما يراه الشهيد الثاني 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 العامّة والخاصّة </w:t>
      </w:r>
      <w:r>
        <w:rPr>
          <w:rStyle w:val="FootnoteAnchor"/>
          <w:rtl w:val="true"/>
        </w:rPr>
        <w:footnoteReference w:id="1149"/>
      </w:r>
      <w:r>
        <w:rPr>
          <w:rFonts w:ascii="Amiri" w:hAnsi="Amiri" w:eastAsia="Amiri" w:cs="Amiri"/>
          <w:color w:val="111111"/>
          <w:sz w:val="28"/>
          <w:sz w:val="28"/>
          <w:szCs w:val="28"/>
          <w:rtl w:val="true"/>
          <w:lang w:bidi="ar-SA"/>
        </w:rPr>
        <w:t>، وبعض الأعمّ أعمّ من بعض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الشهيد الثاني فقد نسب القول </w:t>
      </w:r>
      <w:r>
        <w:rPr>
          <w:rStyle w:val="FootnoteAnchor"/>
          <w:rtl w:val="true"/>
        </w:rPr>
        <w:footnoteReference w:id="1150"/>
      </w:r>
      <w:r>
        <w:rPr>
          <w:rFonts w:ascii="Amiri" w:hAnsi="Amiri" w:eastAsia="Amiri" w:cs="Amiri"/>
          <w:color w:val="111111"/>
          <w:sz w:val="28"/>
          <w:sz w:val="28"/>
          <w:szCs w:val="28"/>
          <w:rtl w:val="true"/>
          <w:lang w:bidi="ar-SA"/>
        </w:rPr>
        <w:t>إلى الأكثر ، مع ما عرفت من ادّعائه 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وبذلك يندفع ما قد يستكشف من العلاّمة الخلاف في التهذيب </w:t>
      </w:r>
      <w:r>
        <w:rPr>
          <w:rStyle w:val="FootnoteAnchor"/>
          <w:rtl w:val="true"/>
        </w:rPr>
        <w:footnoteReference w:id="1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عبّر أنّ الأقرب كذا ، فإنّ أمثال هذه العبارة لا تنافي الإجماع ، ألا ترى عبارة العلاّمة في متابعة النبيّ صلى‌اللّه‌عليه‌وآله للشرع السابق ، فإنّه يقول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أنّه لم يكن متعبّدا بشرع </w:t>
      </w:r>
      <w:r>
        <w:rPr>
          <w:rStyle w:val="FootnoteAnchor"/>
          <w:rtl w:val="true"/>
        </w:rPr>
        <w:footnoteReference w:id="1152"/>
      </w:r>
      <w:r>
        <w:rPr>
          <w:rFonts w:ascii="Amiri" w:hAnsi="Amiri" w:eastAsia="Amiri" w:cs="Amiri"/>
          <w:color w:val="111111"/>
          <w:sz w:val="28"/>
          <w:sz w:val="28"/>
          <w:szCs w:val="28"/>
          <w:rtl w:val="true"/>
          <w:lang w:bidi="ar-SA"/>
        </w:rPr>
        <w:t>مع ظهور قيام الضرورة عندنا على عدم المتابعة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مخالفة الأخباريّين فقد عرفت أن ذلك بواسطة تخيّلهم أنّ الجائز من الفتوى لا يفارق النقل بالمعنى ، كما عرفت من كلام السيّد الجزائري </w:t>
      </w:r>
      <w:r>
        <w:rPr>
          <w:rStyle w:val="FootnoteAnchor"/>
          <w:rtl w:val="true"/>
        </w:rPr>
        <w:footnoteReference w:id="1153"/>
      </w:r>
      <w:r>
        <w:rPr>
          <w:rFonts w:ascii="Amiri" w:hAnsi="Amiri" w:eastAsia="Amiri" w:cs="Amiri"/>
          <w:color w:val="111111"/>
          <w:sz w:val="28"/>
          <w:sz w:val="28"/>
          <w:szCs w:val="28"/>
          <w:rtl w:val="true"/>
          <w:lang w:bidi="ar-SA"/>
        </w:rPr>
        <w:t>، حيث إنّه صريح فيما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خلاف العامّة أيضا لا ينبغي أن يعدّ خلافا ، لاستقرار طريقتهم على بطلان الاجتهاد الخارج من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دعوى الإجماع على عدم الجواز من أصحابنا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على طريقة الحدس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كون المسألة رباعيّة الأقوال لا ينافي الإجماع بعد ما عرفت من رجوع التفصيل إلى المنع كما في تفصيل العلاّمة </w:t>
      </w:r>
      <w:r>
        <w:rPr>
          <w:rStyle w:val="FootnoteAnchor"/>
          <w:rtl w:val="true"/>
        </w:rPr>
        <w:footnoteReference w:id="1154"/>
      </w:r>
      <w:r>
        <w:rPr>
          <w:rFonts w:ascii="Amiri" w:hAnsi="Amiri" w:eastAsia="Amiri" w:cs="Amiri"/>
          <w:color w:val="111111"/>
          <w:sz w:val="28"/>
          <w:sz w:val="28"/>
          <w:szCs w:val="28"/>
          <w:rtl w:val="true"/>
          <w:lang w:bidi="ar-SA"/>
        </w:rPr>
        <w:t xml:space="preserve">وإلى الجواز كما في تفصيل التوني </w:t>
      </w:r>
      <w:r>
        <w:rPr>
          <w:rStyle w:val="FootnoteAnchor"/>
          <w:rtl w:val="true"/>
        </w:rPr>
        <w:footnoteReference w:id="1155"/>
      </w:r>
      <w:r>
        <w:rPr>
          <w:rFonts w:ascii="Amiri" w:hAnsi="Amiri" w:eastAsia="Amiri" w:cs="Amiri"/>
          <w:color w:val="111111"/>
          <w:sz w:val="28"/>
          <w:sz w:val="28"/>
          <w:szCs w:val="28"/>
          <w:rtl w:val="true"/>
          <w:lang w:bidi="ar-SA"/>
        </w:rPr>
        <w:t>وكون القول الآخر للعامّة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يظهر من بعض عوام الأخباريّة تقليدا لبعض الآخر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أين الإجماع في مثل المسألة؟ ممّا لا يصغى إليه ، لا سيّما بعد اعتراف بعض الأعاظم </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بأنّه بعد الفحص الأكيد لم يطّلع على الخلاف بين الأصحاب المجتهدين في الأوائل والأواسط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عدم حصول القطع بالحكم على وجه يقطع في الموارد الإجماعيّة فيكفي في المسألة هذه الإجماعات المنقولة مع الشهرة المحقّقة قطعا ، فإنّ المسألة يكفي فيها ما يكفي في المسائل الفرعيّة ، لكونها ملحقا بها ، لاشتراكها معها فيما هو الخاصّة للمسائل الفرعيّة ، وهو أنّ المقلّد يعمل بها بعد أخذها من المفتي من دون حاجة إلى مقدّمة أخرى ، فهو ينتفع من المسألة لو كانت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كونها من المسائل الأصوليّة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المحقّق القمّي </w:t>
      </w:r>
      <w:r>
        <w:rPr>
          <w:rStyle w:val="FootnoteAnchor"/>
          <w:rtl w:val="true"/>
        </w:rPr>
        <w:footnoteReference w:id="1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نسلّم أنّ الظنّ لا يكفي في الأصول بعد دلالة الدليل على اعتباره فيما إذا كان من الظنون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الظنون المطلقة فقد حقّقنا في محلّه أنّها غير مختصّة بالفروع ، فإنّ قضيّة الانسداد هو لزوم تحصيل الظنّ بفراغ الذمّة الحاصل بالعمل بالظنّ في نفس الحكم الشرعي أو في المسألة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سلّمنا عدم كفاية الظنّ في الأصول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الإجماعات يستكشف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لا ينبغي الارتياب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عند المجمعين دليلا معتبرا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يكفي في المقام ، إذ لا يلزم أن يكون الدليل معلوما على وجه التفصيل ، بل يكفي وجوده ولو إجمالا</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والعجم من القائلين بالظنون المطلقة كيف ساغ لهم ترك التعويل على مثل هذه الإجماعات في هذه المسألة مع أنّهم يكتفون في الفروع بما هو أدنى 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احتجّ به ثاني المحقّقين في حاشية الشرائع </w:t>
      </w:r>
      <w:r>
        <w:rPr>
          <w:rStyle w:val="FootnoteAnchor"/>
          <w:rtl w:val="true"/>
        </w:rPr>
        <w:footnoteReference w:id="1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للعلاّمة </w:t>
      </w:r>
      <w:r>
        <w:rPr>
          <w:rStyle w:val="FootnoteAnchor"/>
          <w:rtl w:val="true"/>
        </w:rPr>
        <w:footnoteReference w:id="1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المفتي إذا مات سقط قوله بموته بحيث لا يعتدّ به ، وما هذا شأنه لا يجوز الاستناد إليه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فللإجماع على أنّ خلاف الفقيه الواحد لسائر أهل عصره يمنع انعقاد الإجماع ؛ اعتدادا بقوله واعتبارا بخلافه ، فإذا مات وانحصر أهل العصر في المخالفين له انعقد الإجماع وصار قوله غير منظور إليه شرعا ولا معتدّا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الثانية فظاهرة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على نفسه اعتراضا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انعقد الإجماع بموت الفقيه المخالف ، لأنّ حجّيّة الإجماع إنّما هي بدخول المعصوم في أهل العصر من أهل الحلّ والعقد ، وبموت الفقيه المخالف في الفرض يتبيّن أنّه غير الإمام ، فتعيّن دخول الإمام في الباقين ، ومن ثمّ انعقد الإجماع بموته ، ولا يلزم من ذلك أن لا يبقى للميّت قول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على هذا يلزم من موت الفقيه المخالف انكشاف خطأ قوله ، فلا يجوز العمل حينئذ من هذا الوجه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هذه الحجّة ممّا يعوّل عليها</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فلاختصاصها بما إذا كان قول الميّت مخالفا لأقوال معاصريه في حال حياته ، فإنّ انكشاف خطأ قوله بعد موته إنّما يكون فيما إذا كان جميع أهل عصره مخالفا له حتّى ينعقد الإجماع بعد موته على خلافه فيكشف عن خطأ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إذا كان أهل عصره مختلفين في الفتوى فلا دليل على خطأ قوله ، إذ المفروض أنّ الموت لم يثبت كونه مبطلا لقوله ، وإنّما اتّفق كشف الموت عن بطلان قوله في الفرض السابق باعتبار تحقّق الإجماع وانعقاده على خلاف فتوى الميّت ، فيختصّ بصورة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وذلك ممّا لا كلام فيه ، حتّى أنّ الحيّ لو فرض كشف خطائه في فتواه ، فلا يجوز تقليده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سبيل إلى التمسّك بالإجماع المركّب في إتمام الدليل ، فإنّه لا مسرح له فيما إذا كان الحكم مستفادا من علّة معلوم الانتفاء في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تقليد الميّت تظهر الثمرة فيه فيما إذا لم يكن فتواه مطابقا لأحد من الأحياء ، إذ على تقدير المطابقة فلا تظهر الثمرة إلاّ على القول بلزوم تعيين المفتي في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لا دليل على التعيين عند مطابقة العمل للواقع ، فيقرّر الدليل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الأخذ بقول الموتى إذا كان موافقا لأقوال الأحياء ولو واحدا منهم فلا كلام فيه ، إذ ليس ذلك اعتمادا على الميّت ، لعدم دليل على التعيين ، وإذا لم يكن موافقا فهو خلاف الإجماع ، إمّا بسيطا كما إذا كان الكلّ على خلافه مع اتّفاقهم ، أو مركّبا </w:t>
      </w:r>
      <w:r>
        <w:rPr>
          <w:rStyle w:val="FootnoteAnchor"/>
          <w:rtl w:val="true"/>
        </w:rPr>
        <w:footnoteReference w:id="1161"/>
      </w:r>
      <w:r>
        <w:rPr>
          <w:rFonts w:ascii="Amiri" w:hAnsi="Amiri" w:eastAsia="Amiri" w:cs="Amiri"/>
          <w:color w:val="111111"/>
          <w:sz w:val="28"/>
          <w:sz w:val="28"/>
          <w:szCs w:val="28"/>
          <w:rtl w:val="true"/>
          <w:lang w:bidi="ar-SA"/>
        </w:rPr>
        <w:t>كما إذا كان أقوالهم مع اختلافها مخالفة له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ذكره مبنيّ على طريقة خاصّة في الإجماع يظهر ممّا ذكره فخر المحقّقين في بعض الفروع وغيره ، ولعلّها قريبة من طريقة اللطف في الإجماع ، ولذلك يمنع عن تحقّق الإجماع خلاف الواحد وينعقد بعد ارتفاع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الطريقة ممّا لا دليل يقضي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المحرّر في محلّه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المختار في الإجماع هو الوجه الذي لا ينافي فيه خلاف البعض ولا يحصل بالاجتماع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الاحتجاج إنّما هو في قبال العامّة وهم يعتبرون في الإجماع الاجتماع ولا ينعقد مع مخالفة البعض ، ويدلّ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المستدلّ يعتقد عدم الخلاف بين أصحابنا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صرّح في الجواب عن الاعتراض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الكلام إنّما هو في الإجماع على طريقة الإماميّة ، فراجعه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واعترض في الوافية على الحجّة المذكورة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منتقض بمعروف النسب ، مع أنّهم اعتبروا شهادة الميّت في الجرح والتعديل ، وهو يستلزم الاعتداد بقوله في عدد الكبائر </w:t>
      </w:r>
      <w:r>
        <w:rPr>
          <w:rStyle w:val="FootnoteAnchor"/>
          <w:rtl w:val="true"/>
        </w:rPr>
        <w:footnoteReference w:id="116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مراد المستدلّ إبطال قول الميّت بموته بواسطة إمكان انعقاد الإجماع على خلافه بعد موته ، بخلاف قبل الموت ، فإنّه لا يمكن انعقاد الإجماع على خلافه اعتدادا بقوله كما هو صريح الاستدلال قبل 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مراده إبطال قول الميّت بواسطة كونه على خلاف الإجماع ، كما هو ظاهر الجواب عن 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لا وجه للنقض بمعلوم النسب</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مفروض المستدلّ أنّ خلاف الواحد مضرّ في حصول الإجماع ولو كان معلوم النسب ، فلا يمكن انعقاد الإجماع على خلافه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اللازم من الدليل المذكور عدم الاعتداد بقول معلوم النسب أيضا ، لإمكان انعقاد الإجماع على خلافه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مناط الفساد إنّما هو ظهور بطلان القول ، فإن فرض وجود المناط في قول معلوم النسب فهو أيضا باطل ولا ينافي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المناط موجودا فلا وجه للنقض ، لعدم الاشتراك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أورده من حديث الجرح والتعديل وقبول شهادته بعد الموت ، فان أراد المعارضة بنفس قبول الشهادة مع قطع النظر عن إعمال فتواه في الشهادة ، فعلى التقريب الثاني فهو ممّا لا يرتبط بالمقام ، وعلى الأوّل فالفرق بين الشهادة والفتوى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في الشهادة موجود بعد الموت مثل الرواية ، بخلاف الفتوى ، فإنّ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أنّ قبول شهادته يوجب الاعتماد على قوله في عدد الكبائر وفيما هو مناط التعديل من الملكة وحسن الظاهر إلى غير ذلك من الامور الاجتهاديّة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التعويل على شهادته في الجرح والتعديل ليس اعتمادا على مذهبه في عدد الكبائر ، بل إنّما هو بواسطة أنّ الألفاظ الواردة في مقام الشهادة تحمل على الواقع من غير ملاحظة مذهب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 علم أنّ الجرح إنّما هو بواسطة شيء مبنيّ على مذهبه فعند المخالفة لمذهب المجتهد لا نسلّم وجوب الأخذ بشهادته في الجرح والتعديل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بعض الأجلّة اعترض على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النقض بمعلوم النسب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عدم الاعتداد بقوله في تحقّق الإجماع لا يلازم عدم الاعتداد به في مقام التقليد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مساس له بكلام المستدلّ على الثاني ، وعلى الأوّل فيمكن ادّعاء الأولويّة أو عدم القول بالفصل ،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الحجّة في حقّ المجتهد والمقلّد أمر واحد ، فإنّه نائب عنه في فهم النتائج المستفادة من الأدلّة التي هي موارد التقليد والبناء على القواعد والفحص عن المعارضات والترجيح بينها ، ومن المعلوم أنّ المعتبر في حقّ المقلّد ليس قوله وفتواه ، بل إنّما هو سبيل في الوصول إلى ما هو المعتبر في حقّه وهو فهمه وظنّه ، والإدراكات المتعلّقة بالقوى المتعلّقة بالبدن لا تبقى بعد خراب البدن ، فيرتفع ما هو الحجّة بعد الموت ، فلا وجه للاعتماد على قول الميّت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اتّحاد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فظاهرة ، فإنّ مجرّد القول ولو عند انتفاء الظنّ وزواله بواسطة زوال الملكة لهرم أو نحوه لا يكون مناطا لعمل المقلّد ، بل لا بدّ من مقارنته للظنّ الفعلي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اطّلع على ظنّ المجتهد بدون توسّط القول كان ذلك حجّة له ومناطا لعمله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عدم الالتفات إليه بواسطة عروض غفلة وذهول حاصل حال الإغماء والنوم ونحوه ، لوجود الظنّ في تلك الحالة في الخزانة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فاستدلّ الوحيد البهبهاني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الظنّ هي الصورة الحاصلة في الذهن ، ولا يبقى تلك الصورة حال النزع لشدّتها وكثرة الاضطراب الواقع فيها ، بل ولا تبقى حال النسيان والغفلة أيضا ، فما ظنّك بما بعد الموت حيث صار الذهن جمادا لا حسّ فيه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الاستدلال مبنيّ على أن يكون الذهن جزءا من البدن ويكون الصورة العلميّة محفوظة فيه على وجه لو حاول النفس إدراك تلك الصورة والالتفات إليها كان الذهن وسيلة في نيلها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معلوم لا وجدانا ولا </w:t>
      </w:r>
    </w:p>
    <w:p>
      <w:pPr>
        <w:pStyle w:val="BookText"/>
        <w:rPr/>
      </w:pPr>
      <w:r>
        <w:rPr>
          <w:rFonts w:ascii="Amiri" w:hAnsi="Amiri" w:eastAsia="Amiri" w:cs="Amiri"/>
          <w:color w:val="111111"/>
          <w:sz w:val="28"/>
          <w:sz w:val="28"/>
          <w:szCs w:val="28"/>
          <w:rtl w:val="true"/>
          <w:lang w:bidi="ar-SA"/>
        </w:rPr>
        <w:t xml:space="preserve">برهانا ، بل المعقول عندنا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الذهن قوّة من قوى النفس الناطقة بها يدرك المعلومات ، وليس من أجزاء البدن ، فخراب البدن وانقطاع الروح منه لا يلازم ارتفاع الصور العلميّة ؛ ولا نضايق من القول بأنّ تعلّق النفس بالبدن العنصري له دخل في حصول الإدراكات والملكات في هذه النشأة ، إلاّ أنّ ذلك لا يوجب القول بزوال تلك الإدراكات عند انخلاع النفس وخروجها من البدن ، إذ يحتمل أن يكون ذلك معدّا وانتفاء المعدّ لا يوجب انتفاء المعلول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به على وجه الإطلاق يوجب القول بما لا أظنّ أن يلتزم به أحد ، وهو زوال الصور العلميّة الثابتة للنفس في هذه النشأة ، مع أنّ المقصود الأصليّ من الإيجاد ربما يكون تحلية النفس بالصور العلمية من المعارف والاعتقادات الحقّة ، فإنّها كمال لقوّتيها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النظريّة والعمليّة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 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الثانية ، فلأنّ تحصيل الملكات الفاضلة وتجريد النفس عن الصفات الرذيلة موقوف على الصور العلميّة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فتلك الملكات أيضا في عرض الصور العلميّة ، فإنّها أيضا من الأعراض الحالّة في الحيوان الناطق في الظاهر ، فانقطاع الروح كما يقضي بارتفاع الأولى يقضي بارتفاع الثانية أيضا ، مع أنّ ذلك ظاهر الفساد</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بالقول بالفرق بين الظنون الحاصلة من النظر والعلوم التي يقتضيها الفطريّة الإلهيّة التي فطره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ترى لا يساعده دليل ولا يوافقه اعتبار ، فإنّ النفوس الإنسانيّة في بدو الفطرة قبل حدوث العلقة بينها وبين أبدانها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غير واحد من أرباب المعقول والمنقول </w:t>
      </w:r>
      <w:r>
        <w:rPr>
          <w:rStyle w:val="FootnoteAnchor"/>
          <w:rtl w:val="true"/>
        </w:rPr>
        <w:footnoteReference w:id="1166"/>
      </w:r>
      <w:r>
        <w:rPr>
          <w:rFonts w:ascii="IRNazanin" w:hAnsi="IRNazanin" w:eastAsia="IRNazanin"/>
          <w:color w:val="111111"/>
          <w:sz w:val="28"/>
          <w:sz w:val="28"/>
          <w:szCs w:val="28"/>
          <w:rtl w:val="true"/>
          <w:lang w:bidi="fa-IR"/>
        </w:rPr>
        <w:t xml:space="preserve">ونطقت به الآثار </w:t>
      </w:r>
    </w:p>
    <w:p>
      <w:pPr>
        <w:pStyle w:val="BookText"/>
        <w:rPr/>
      </w:pPr>
      <w:r>
        <w:rPr>
          <w:rFonts w:ascii="Amiri" w:hAnsi="Amiri" w:eastAsia="Amiri" w:cs="Amiri"/>
          <w:color w:val="111111"/>
          <w:sz w:val="28"/>
          <w:sz w:val="28"/>
          <w:szCs w:val="28"/>
          <w:rtl w:val="true"/>
          <w:lang w:bidi="ar-SA"/>
        </w:rPr>
        <w:t xml:space="preserve">المعصوميّة </w:t>
      </w:r>
      <w:r>
        <w:rPr>
          <w:rStyle w:val="FootnoteAnchor"/>
          <w:rtl w:val="true"/>
        </w:rPr>
        <w:footnoteReference w:id="1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خالية عن جميع الصور العلميّة ، ضروريّة كانت أو نظريّة علميّة أو ظنيّة ، ثمّ بواسطة قواها الظاهرة والباطنة يتحلّى بالعلوم الأوّليّة المستتبعة للعلوم النظريّة إلى أن يصل إلى حدّ يكون في ذلك الحدّ عقلا بالفعل ، فكلّ العلوم التي افيض عليها من المبدأ الفيّاض إنّما هي حادثة بعد تعلّق النفوس بالأبدان في هذه النشأة ؛ ولهذا كانت مزرعة للنشأة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فنحن لا نسلّم أنّ محالّ هذه الأعراض هي الأجسام الحيوانيّة بل يحتمل احتمالا قويّا أن يكون النفس محلاّ لها ، والمفروض بقاء النفس بعد خراب البدن ، فلا يلزم بقاء العرض مع ارتفاع الموضوع وهو الحيوان الناطق ، فعلى المستدلّ إقامة 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ما ذكرنا أن يكون للآلات الجسمانيّة مدخل في حصولها على وجه الإعداد ، غاية الأمر عدم حصولها بعد الموت ، وأين ذلك من زوال الحاصل؟ فلا أقلّ من الشكّ في بقاء تلك الصور ، والأصل قاض ببقائها</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يظهر من بعضهم دعوى زوال الظنّ بعد الموت لا بواسطة أنّ الموت يوجب خراب البدن ، بل بواسطة كشف حجاب النفس عن الواقع واطّلاعها على اللوح المحفوظ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الظاهر من المحقّق الداماد رحمه‌اللّه في توجيه كلام جدّه المحقّق الثاني حيث أراد السيّد دفع الاستصحاب القاضي بالبقاء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لمّا جاز أن يكون مخالفا للواقع والموت الجسماني الذي حقيقته انقطاع النفس عن البدن ورجوعها إلى عالم الملكوت الذي هو ميقات حقيقة الحقّ وانكشاف بطلان الباطل ، فيمكن أن يتحقّق به انكشاف خطأ ظنّه الذي كان </w:t>
      </w:r>
    </w:p>
    <w:p>
      <w:pPr>
        <w:pStyle w:val="BookText"/>
        <w:rPr/>
      </w:pPr>
      <w:r>
        <w:rPr>
          <w:rFonts w:ascii="Amiri" w:hAnsi="Amiri" w:eastAsia="Amiri" w:cs="Amiri"/>
          <w:color w:val="111111"/>
          <w:sz w:val="28"/>
          <w:sz w:val="28"/>
          <w:szCs w:val="28"/>
          <w:rtl w:val="true"/>
          <w:lang w:bidi="ar-SA"/>
        </w:rPr>
        <w:t xml:space="preserve">حاصلا في الحكم في هذه النشأة ، فلا يبقى اعتقاده القائم بنفسه الذي وجب اتّباعه ، فاستصحاب بقاء الظنّ الحاصل له في الحياة بنحو حصوله فيها غير معقول ، إذ من شرائط الاستصحاب بقاء الموضوع على حاله ، فقياس حال الموت بحال الحياة غلط ناش عن عدم البصيرة </w:t>
      </w:r>
      <w:r>
        <w:rPr>
          <w:rStyle w:val="FootnoteAnchor"/>
          <w:rtl w:val="true"/>
        </w:rPr>
        <w:footnoteReference w:id="116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وظاهره تسليم أنّ الظنّ يمكن بقاؤه بعد الموت وإنّما يناقش في جريان الاستصحاب بواسطة احتمال انقلابه إلى خلافه لاحتمال مخالفته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لا يجدي في العلوم المطابقة للواقع والمعارف الحقّة ،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ذكره إلى آخره لا ينهض بدفع الاستصحاب ، فإنّ مجرّد إمكان انقلاب الظنّ بخلافه لا يكون موجبا لعدم جريان الاستصحاب ، بل هو محقّق لجريانه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الموت يوجب زوال الظنّ قطعا إمّا بواسطة كونه مخالفا للواقع وإمّا بواسطة انقلابه علما مطابقا للظنّ فلا يجري الاستصحاب مبنيّ على عدم جريان الاستصحاب في الأمور المختلفة شدّة وضعفا كالسواد المردّد بين انقلابه بياضا أو اشتداده ، والظاهر مساعدة العرف على جريان الاستصحاب في مثل المقام وإن كان الوجه عدم جريانه بملاحظة الدقّة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مع ذلك لا وجه للاستصحاب في المقام ، فإنّ جواز التقليد ربما يقال مترتّب على الظنون الحاصلة للمجتهد في حال الحياة ولم يدلّ دليل على جواز الرجوع إلى ظنّ المجتهد ولو كان باقيا بعد الموت</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جريان الاستصحاب في الظنّ باعتبار مطلق الاعتقاد الحاصل في ضمن العلم أو الظنّ إنّما يثمر في جواز التقليد بعد الموت فيما لو كان جواز التقليد ثابتا لمطلق الاعتقاد ، وليس كذلك ، بل المعلوم إنّما هو ثبوته للظنّ </w:t>
      </w:r>
    </w:p>
    <w:p>
      <w:pPr>
        <w:pStyle w:val="BookText"/>
        <w:rPr/>
      </w:pPr>
      <w:r>
        <w:rPr>
          <w:rFonts w:ascii="Amiri" w:hAnsi="Amiri" w:eastAsia="Amiri" w:cs="Amiri"/>
          <w:color w:val="111111"/>
          <w:sz w:val="28"/>
          <w:sz w:val="28"/>
          <w:szCs w:val="28"/>
          <w:rtl w:val="true"/>
          <w:lang w:bidi="ar-SA"/>
        </w:rPr>
        <w:t>الحاصل حال الحياة بشرط بقائها ، فإنّ الوجه في المنع هو عدم العلم بالجواز فيما عدا الظنّ الحاصل في زمان الحياة ، بل ولو فرض بقاء الظنّ بعينه بعد الموت ما كنّا نقول بجواز اتّباعه كما عرفت في تقرير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ربما يستدلّ أيضا على ارتفاع الظنّ بعد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الإدراك إنّما هو من مقتضيات الصفراء ، وبعد الموت ترتفع جميع الأخلاط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على تقدير تسليمه لا يقضي بارتفاع الإدراك الحاصل وإنّما يقضي بعدم حصوله بعد ارتفاع ما يقضي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يدّعى بداهة عدم بقاء الظنّ وزواله بعد الموت كما هو الظاهر من الوحيد البهبهاني رحمه‌اللّه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المشاهد المحسوس صيرورة العالم عاميا بعد اندراس علومه وانطماس ملكته بواسطة الهرم والكبر الموجبين لضعف القوى الحيوانيّة سواء كانت من القوى الإدراكيّة أو غيرها ، فكلّما يتزايد الهرم فيه يزداد الضعف في قواه إلى أن يصل إلى حدّ لا يقدر على الكسب ، ثم يزداد إلى أن يصل إلى حدّ لا يقدر على حفظ مدركاته في السابق ، وكلّ ذلك بواسطة اختلال يقع في البدن ، ويرشد إلى 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وَمِنْكُمْ مَنْ يُرَدُّ إِلى أَرْذَلِ الْعُمُرِ لِكَيْ لا يَعْلَمَ بَعْدَ عِلْمٍ شَيْئاً </w:t>
      </w:r>
      <w:r>
        <w:rPr>
          <w:rFonts w:eastAsia="Amiri" w:cs="Amiri" w:ascii="Amiri" w:hAnsi="Amiri"/>
          <w:color w:val="111111"/>
          <w:sz w:val="28"/>
          <w:szCs w:val="28"/>
          <w:rtl w:val="true"/>
          <w:lang w:bidi="ar-SA"/>
        </w:rPr>
        <w:t xml:space="preserve">) </w:t>
      </w:r>
      <w:r>
        <w:rPr>
          <w:rStyle w:val="FootnoteAnchor"/>
          <w:rtl w:val="true"/>
        </w:rPr>
        <w:footnoteReference w:id="1170"/>
      </w:r>
      <w:r>
        <w:rPr>
          <w:rFonts w:ascii="Amiri" w:hAnsi="Amiri" w:eastAsia="Amiri" w:cs="Amiri"/>
          <w:color w:val="111111"/>
          <w:sz w:val="28"/>
          <w:sz w:val="28"/>
          <w:szCs w:val="28"/>
          <w:rtl w:val="true"/>
          <w:lang w:bidi="ar-SA"/>
        </w:rPr>
        <w:t>فلو لا أنّ القوى الجسمانيّة التي ترتفع بعد الموت قطعا لها مدخل في الصور العلميّة حدوثا وبقاء لا معنى لزوال تلك الصورة بعد حدوث الضعف في تلك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وتوضح ذلك ملاحظة حال من اختلّ دماغه بواسطة حدوث حادثة في هامّته كالضرب الشديد مثلا ، فإنّه يختلّ إدراكه ومدركاته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 فمدخليّة الأمور الجسمانيّة في حدوث الإدراك وبقائه على الوجه المذكور ظاهر ، إلاّ أنّه مع ذلك لا نجد من أنفسنا الحكم بارتفاع الصور العلميّة بعد الموت بعد ما عرفت من الأمارات المقتضية للبقاء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استدلّ المحقّق الثاني بما يقرب من الوجه المذكور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دلائل الفقه لمّا كانت ظنّية لم تكن حجّيتها إلاّ باعتبار الظنّ الحاصل معها ، وهذا الظنّ يمتنع بقاؤه بعد الموت ، فيبقى الحكم خاليا عن السند فيخرج عن كونه معتبرا شرعا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الأمارات الظنّية بنفسها لا تستلزم النتائج ، وإلاّ لكانت أدلّة ، فلا يجوز التعويل عليها ما لم يقترن معها ظنّ الفقيه على وجه الاستدامة الحكميّة كما في حال النوم والغفلة ؛ ولهذا لا يجوز العمل بها لمن لم يبلغ درجة الفقاهة ولا له بعد زوال ظنّه وتبدّله إلى نقيضه ، فالمعتبر حقيقة هو ظن الفقيه الحاصل من الأمارة ، ويمنع بقاء الظنّ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في الوافية </w:t>
      </w:r>
      <w:r>
        <w:rPr>
          <w:rStyle w:val="FootnoteAnchor"/>
          <w:rtl w:val="true"/>
        </w:rPr>
        <w:footnoteReference w:id="1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تسلّم زوال الاعتقادات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خلوّ الحكم عن السند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هذا إلاّ عين المتنازع فيه؟ 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للمجتهد العلم أو الظنّ بالحكم من دليل أو أمارة اقترن به علمه أو ظنّه فلم لا يجوز العمل بذلك الحكم؟</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استدامة مقارنة الظنّ للحكم ، لم لا يكتفى باقترانه له في الجملة في حال الحياة؟ فدعوى لزوم المقارنة الدائميّة في مرتبة نفس المدّعى أو عينه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القدر المعلوم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قلنا في تقرير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الظنّ على الوجه الّذي أفاده المحقّق الثاني فإنّه على تقدير البقاء أيضا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مناطا للعمل ، لكونه مشكوكا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التقرير لا وجه للمنع المذكور ، فإنّ من يقول بخلافه لا بدّ له من إقامة الدليل ، فإنّه موافق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الكلام في إتمام هذا الدليل مع قطع النظر عن الأصل على وجه لو كان الأصل بخلاف ذلك يكون كافيا في قطع الأصل ، فاعتراض الفاضل التوني في محلّه كما هو قضيّة 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استند إليه المحقّق المذكور ، وهو أنّه لو جاز العمل بفتوى الفقيه بعد موته لامتنع في زماننا الإجماع على وجوب تقليد الأعلم والأورع من المجتهدين ، والوقوف لأهل هذا العصر عليهما بالنسبة إلى الأعصر السابقة كاد أن يكون ممتنعا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معرفة الأعلم في السابقين ليس بأشكل من معرفته في الموجودين ، بل لعلّه أسهل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ذلك لا دليل على ثبوته فيكون ساقطا ، لامتناع التكليف بما لا يطاق ، وعلى تقدير السقوط لا يدلّ على عدم جواز تقليد الميّت</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تقليد الأعلم مع جواز تقليد الميّت يوجب عدم جواز تقليد الأحياء في الغالب ، إذ قلّ ما يتّفق أن يعلم بالأعلميّة في الأحياء حتى بالنسبة إلى الأموات ، فالإجماع على وجوب تقليد الأعلم في الأحياء دليل على أنّ الأموات لا عبرة بأقوالهم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الشهيد </w:t>
      </w:r>
      <w:r>
        <w:rPr>
          <w:rStyle w:val="FootnoteAnchor"/>
          <w:rtl w:val="true"/>
        </w:rPr>
        <w:footnoteReference w:id="1174"/>
      </w:r>
      <w:r>
        <w:rPr>
          <w:rFonts w:ascii="Amiri" w:hAnsi="Amiri" w:eastAsia="Amiri" w:cs="Amiri"/>
          <w:color w:val="111111"/>
          <w:sz w:val="28"/>
          <w:sz w:val="28"/>
          <w:szCs w:val="28"/>
          <w:rtl w:val="true"/>
          <w:lang w:bidi="ar-SA"/>
        </w:rPr>
        <w:t xml:space="preserve">في رسالته المعمولة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جواز تقليد الميّت يلزم من ذلك التزام شنيع ، وهو أنّه يتعيّن الرجوع حينئذ إلى الأعلم من الأحياء والأموات عملا بما قرّرناه من القاعدة ، فلو فرض مجتهد حيّ يعلم قصور رتبته عن بعض من سلف من الفقهاء الأموات ولكن ليس في العصر سواه أو فيه غيره ولكنّه أعلم الأحياء ، يلزم على هذا عدم جواز الرجوع إليه والأخذ بقوله ، لوجوب تقليد الأعلم والفرض أنّ بعض الأموات أعلم منه وأنّ قولهم معتبر ، وهذا خلاف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الفرض منفيّ بالإجماع على خلافه ، فبقي الكلام فيما لا إجماع عليه ، فإنّ مثل ذلك كاف في تخصيص العامّ والتمسّك بما عدا المخرج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باطل محال لزم من جواز تقليد الميّت من حيث اتّفق أو على وجه مخصوص ، وكلّ حكم لزم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محال ، فيكون جواز تقليد الميّت على ذلك الوجه محالا ، وبه يتمّ المطلوب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لمانع أن يمنع لزوم ذلك من تقليد الميّت ، فلعلّه ناش من لزوم تقليد الأعلم ، إلاّ أنّه خلاف الإنصاف ؛ لأنّ وجوب تقليد الأعلم عندهم مفروغ عنه ، فالإجماع المحكيّ على وجوب تقليد الأعلم لا بدّ من تخصيصه بالأحياء على وجه يظهر منه عدم الاعتداد بتقليد الأموات ، فيكون هذا الإجماع مثل الاجماعات المنقولة على عدم جواز تقليد الميّت ، إلاّ أنهما مختلفان بالصراحة والظهور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تمسّك به المحقّق المذكور أيضا </w:t>
      </w:r>
      <w:r>
        <w:rPr>
          <w:rStyle w:val="FootnoteAnchor"/>
          <w:rtl w:val="true"/>
        </w:rPr>
        <w:footnoteReference w:id="1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المجتهد إذا تغيّر اجتهاده وجب العمل بالآخر ولا يعلم الأخير في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اريد أنّه لا يمكن العلم بالتقديم والتأخير في الميّت على وجه الإطلاق فهو غير سديد ، ضرورة إمكان العلم بذلك في كثير من الموارد ، كما أنّه إذا علم تأخير تأليف الكتاب الموجود فيه الفتوى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اريد أنّه قد لا يمكن ذلك فهو لا ينهض مانعا من التقليد ، فإنّ الحيّ قد لا يمكن العلم بذلك في فتواه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الحلّ فيهما واحد ، وهو عند عدم إمكان العلم أو ما يقوم مقامه بالتعيين إمّا أن يكون متمكّنا من الرجوع إلى فتوى لا معارض لها من ذلك المفتي فلا بدّ من الرجوع إليه ، وإلاّ كان مخيّرا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الجواب عمّا أورده الشهيد الثاني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كثيرا من الفتاوى المنقولة من الكتب غير مستند إلى أحد من المجتهدين فلعلّ المفتي بها ليس مجتهدا </w:t>
      </w:r>
      <w:r>
        <w:rPr>
          <w:rStyle w:val="FootnoteAnchor"/>
          <w:rtl w:val="true"/>
        </w:rPr>
        <w:footnoteReference w:id="1177"/>
      </w:r>
      <w:r>
        <w:rPr>
          <w:rFonts w:ascii="Amiri" w:hAnsi="Amiri" w:eastAsia="Amiri" w:cs="Amiri"/>
          <w:color w:val="111111"/>
          <w:sz w:val="28"/>
          <w:sz w:val="28"/>
          <w:szCs w:val="28"/>
          <w:rtl w:val="true"/>
          <w:lang w:bidi="ar-SA"/>
        </w:rPr>
        <w:t>؛ فإنّ انحصار المانع في أمثال هذه الموانع دليل على الجواز على تقدير تسليم وجودها ؛ مع أنّ الظاهر أنّ أحدا من أرباب الكتب المتداولة لا ينسبون القول إلى من ليس مجتهدا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تعيين المفتي من الشروط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ذلك كما يبيّن في محلّه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إنّهم قد ذكروا وجوها أخر كلّها مزيّفة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في المقام هو الوجهان المقدّمان ، وهو الهادي إلى سبيل الرشاد</w:t>
      </w:r>
      <w:r>
        <w:rPr>
          <w:rFonts w:eastAsia="Amiri" w:cs="Amiri" w:ascii="Amiri" w:hAnsi="Amiri"/>
          <w:color w:val="111111"/>
          <w:sz w:val="28"/>
          <w:szCs w:val="28"/>
          <w:rtl w:val="true"/>
          <w:lang w:bidi="ar-SA"/>
        </w:rPr>
        <w:t xml:space="preserve">. </w:t>
      </w:r>
      <w:bookmarkStart w:id="323" w:name="pg16264_169759"/>
    </w:p>
    <w:p>
      <w:pPr>
        <w:pStyle w:val="Heading3"/>
        <w:numPr>
          <w:ilvl w:val="2"/>
          <w:numId w:val="1"/>
        </w:numPr>
        <w:rPr/>
      </w:pPr>
      <w:bookmarkStart w:id="324" w:name="__RefHeading___Toc4588736_1280447820"/>
      <w:bookmarkStart w:id="325" w:name="_Toc100"/>
      <w:bookmarkEnd w:id="323"/>
      <w:bookmarkEnd w:id="324"/>
      <w:r>
        <w:rPr>
          <w:rtl w:val="true"/>
        </w:rPr>
        <w:t>هداية</w:t>
      </w:r>
      <w:bookmarkEnd w:id="325"/>
    </w:p>
    <w:p>
      <w:pPr>
        <w:pStyle w:val="Heading4"/>
        <w:numPr>
          <w:ilvl w:val="3"/>
          <w:numId w:val="1"/>
        </w:numPr>
        <w:rPr/>
      </w:pPr>
      <w:bookmarkStart w:id="326" w:name="__RefHeading___Toc4588738_1280447820"/>
      <w:bookmarkStart w:id="327" w:name="_Toc101"/>
      <w:bookmarkEnd w:id="326"/>
      <w:r>
        <w:rPr>
          <w:rtl w:val="true"/>
        </w:rPr>
        <w:t xml:space="preserve">في ذكر احتجاج المجوّزين </w:t>
      </w:r>
      <w:r>
        <w:rPr>
          <w:rtl w:val="true"/>
        </w:rPr>
        <w:t>:</w:t>
      </w:r>
      <w:bookmarkEnd w:id="327"/>
    </w:p>
    <w:p>
      <w:pPr>
        <w:pStyle w:val="BookText"/>
        <w:rPr/>
      </w:pPr>
      <w:r>
        <w:rPr>
          <w:rFonts w:ascii="Amiri" w:hAnsi="Amiri" w:eastAsia="Amiri" w:cs="Amiri"/>
          <w:color w:val="111111"/>
          <w:sz w:val="28"/>
          <w:sz w:val="28"/>
          <w:szCs w:val="28"/>
          <w:rtl w:val="true"/>
          <w:lang w:bidi="ar-SA"/>
        </w:rPr>
        <w:t xml:space="preserve">وهي كثيرة لا تحصى ، أقواها أمور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والكتاب والسنّة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فتقريره من وجوه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عوّل عليه المحقّق القمّي رحمه‌اللّه </w:t>
      </w:r>
      <w:r>
        <w:rPr>
          <w:rStyle w:val="FootnoteAnchor"/>
          <w:rtl w:val="true"/>
        </w:rPr>
        <w:footnoteReference w:id="1178"/>
      </w:r>
      <w:r>
        <w:rPr>
          <w:rFonts w:ascii="Amiri" w:hAnsi="Amiri" w:eastAsia="Amiri" w:cs="Amiri"/>
          <w:color w:val="111111"/>
          <w:sz w:val="28"/>
          <w:sz w:val="28"/>
          <w:szCs w:val="28"/>
          <w:rtl w:val="true"/>
          <w:lang w:bidi="ar-SA"/>
        </w:rPr>
        <w:t xml:space="preserve">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رجوع العامي إلى المجتهد ليس تعبّدا كما يومئ إليه تعليلهم في وجوب الأخذ بالأعلم بأنّ الظنّ في طرفه أقوى ، مضافا إلى أنّه لا دليل على 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السيرة والإجماع فلا جدوى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الأولى ، فلأنّ السلف المعاصرين للإمام كان باب العلم في حقّهم مفتوحا وعملهم إنّما هو بعلمهم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الإجماع فهو موهون بذهاب فقهاء حلب على وجوب الاجتهاد عينا </w:t>
      </w:r>
      <w:r>
        <w:rPr>
          <w:rStyle w:val="FootnoteAnchor"/>
          <w:rtl w:val="true"/>
        </w:rPr>
        <w:footnoteReference w:id="1179"/>
      </w:r>
      <w:r>
        <w:rPr>
          <w:rFonts w:ascii="Amiri" w:hAnsi="Amiri" w:eastAsia="Amiri" w:cs="Amiri"/>
          <w:color w:val="111111"/>
          <w:sz w:val="28"/>
          <w:sz w:val="28"/>
          <w:szCs w:val="28"/>
          <w:rtl w:val="true"/>
          <w:lang w:bidi="ar-SA"/>
        </w:rPr>
        <w:t xml:space="preserve">وإنكار جملة من أصحابنا الأخباريّين للتقليد </w:t>
      </w:r>
      <w:r>
        <w:rPr>
          <w:rStyle w:val="FootnoteAnchor"/>
          <w:rtl w:val="true"/>
        </w:rPr>
        <w:footnoteReference w:id="1180"/>
      </w:r>
      <w:r>
        <w:rPr>
          <w:rFonts w:ascii="Amiri" w:hAnsi="Amiri" w:eastAsia="Amiri" w:cs="Amiri"/>
          <w:color w:val="111111"/>
          <w:sz w:val="28"/>
          <w:sz w:val="28"/>
          <w:szCs w:val="28"/>
          <w:rtl w:val="true"/>
          <w:lang w:bidi="ar-SA"/>
        </w:rPr>
        <w:t xml:space="preserve">ممّا لا يقبل الإنكار ، فأين الإجماع؟ بل التقليد اعتباره في حقّ العامي إنّما هو بواسطة الظنّ الثابت اعتباره بعد الانسداد على وجه العموم والكلّية بالبرهان العقلي ، ولا فرق بين الظنّ الحاصل من قول الحيّ وغيره ، كما هو قضيّة ضرورة العقل ، فمناط </w:t>
      </w:r>
    </w:p>
    <w:p>
      <w:pPr>
        <w:pStyle w:val="BookText"/>
        <w:rPr/>
      </w:pPr>
      <w:r>
        <w:rPr>
          <w:rFonts w:ascii="Amiri" w:hAnsi="Amiri" w:eastAsia="Amiri" w:cs="Amiri"/>
          <w:color w:val="111111"/>
          <w:sz w:val="28"/>
          <w:sz w:val="28"/>
          <w:szCs w:val="28"/>
          <w:rtl w:val="true"/>
          <w:lang w:bidi="ar-SA"/>
        </w:rPr>
        <w:t>العمل بقول الحيّ موجود في قول الميّت ، بل ربما يكون الظنّ الحاصل من قول الميّت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 فلا فرق بين المجتهد والمقلّد في جواز العمل بالظن ، فإنّ المسوّغ للمجتهد هو موجود بعينه في حقّ المقلّد ، فلو دار أمره في الفروع بين حيّ وميّت وحصل له الرجحان في أنّ متابعة ذلك الميّت أقرب إلى حكم اللّه يجب اتّباعه ، بل وكيف يجوز للعالم الذي لا يجوّز ذلك منعه عنه إذا لم يحصل من قوله الظنّ بعدم الجواز؟ وعلى تقدير حصوله فلا يوجب ارتفاع الظنّ في المسألة الفرعيّة ، فيدور الأمر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وجه للقول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الإجماع المنقول والشهرة المحقّقة كلّ منهما أمارة ظنّية على عدم جواز الاعتماد على الميّت في الفروع ، إذ بعد تسليم إمكان انعقاد الإجماع في مثل هذه المسألة التي لم تكن متداولة في زمان المعصوم وإفادة المنقول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لا ترجيح لهذا الظنّ بالنسبة إلى الظنّ الحاصل في المسألة الفرعيّة لو لم نقل بأنّ الظنّ بالواقع أقوى ؛ لأنّ المقصود هو الوصول إلى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وجوه من النظر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منع السيرة استنادا إلى انفتاح باب العلم في حقّ الموجودين في زمان الأئمّة عليهم‌السلام ممّا لا يصغى إليه ، فإنّه إن أراد من الانفتاح إمكان الوصول لهم إلى الأحكام الواقعية علما فهو ممّا لا سبيل إلى إثباته بل المنصف يقطع بخلافه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ما هو الأعمّ من العلم ومن الأمارة المعلومة الاعتبار فهو حقّ ، لكنّه ينهدم معه بنيان الكلام ، إذ ليست تلك الأمارة إلاّ قول العالم للجاهل وفتواه في غير مورد الرواية المنقولة لفظا ومعنى</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منع الإجماع بخلاف الحلبيّين والأخباريّين فليس في محلّه ، لانقطاع الأوّل ، وقد عرفت أنّ إنكار الأخباريّ إنّما هو بواسطة حسبانه أنّ الفتوى أمر </w:t>
      </w:r>
    </w:p>
    <w:p>
      <w:pPr>
        <w:pStyle w:val="BookText"/>
        <w:rPr/>
      </w:pPr>
      <w:r>
        <w:rPr>
          <w:rFonts w:ascii="Amiri" w:hAnsi="Amiri" w:eastAsia="Amiri" w:cs="Amiri"/>
          <w:color w:val="111111"/>
          <w:sz w:val="28"/>
          <w:sz w:val="28"/>
          <w:szCs w:val="28"/>
          <w:rtl w:val="true"/>
          <w:lang w:bidi="ar-SA"/>
        </w:rPr>
        <w:t>مغاير لما هو جائز عنده ، ولذلك لو لم يكن الفتوى مبنيّة على الأنظار الدقيقة التي ما جعل اللّه لهم في ذلك حظّا ونصيبا لا نراهم مانعين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فجواز تقليد العاميّ في الجملة معلوم بالضرورة للعاميّ وغيره ، وليس علم العاميّ بوجوب الصلاة في الجملة أوضح من علمه بوجوب التقليد مع اتّحاد طريقهما في حصول العلم من مسيس الحاجة وتوفّر الدواعي عليه واستقرار طريقة السلف المعاصرين للأئمة عليهم‌السلام والخلف التابعين لهم إلى يومنا هذا ، وذلك ظاهر جدّا لمن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أصل مشروعيّة التقليد وعلم المقلّد بوجوبه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خصوصيّات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هل يجب تقليد الحيّ أو الميّت أو الأخباريّ أو الاصوليّ إلى غير ذلك من الامور المختلف فيها ، فإمّا أن يكون ذلك العاميّ مرجّحا لأحدهما بواسطة اجتهاده في هذه المسألة على وجه اطمأنّ بأنّه هو الواقع في حقّه فلا كلام ، وإلاّ فإن لم يلتفت إلى ما هو القدر المتيقّن وتردّد بين الخصوصيّتين فحكمه التخيير عنده لو لم يسأل عن حاله في حال التردّد عن المجتهد مع عدم التفاته إلى وجوب السؤال ، وإن سأل فالمجتهد يفتيه بما هو الواقع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التفت إلى ما هو القدر المتيقّن</w:t>
      </w:r>
    </w:p>
    <w:p>
      <w:pPr>
        <w:pStyle w:val="BookText"/>
        <w:rPr/>
      </w:pPr>
      <w:r>
        <w:rPr>
          <w:rFonts w:ascii="Amiri" w:hAnsi="Amiri" w:eastAsia="Amiri" w:cs="Amiri"/>
          <w:color w:val="111111"/>
          <w:sz w:val="28"/>
          <w:sz w:val="28"/>
          <w:szCs w:val="28"/>
          <w:rtl w:val="true"/>
          <w:lang w:bidi="ar-SA"/>
        </w:rPr>
        <w:t>فعقله من باب الاحتياط يهديه ويرشده إلى الأخذ بالقدر المتيقّن</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فعقد المسألة إنّما هو لبيان تكليف المقلّد لو التفت إلى جهله في هذه المسألة مع عدم طريق ظاهريّ له فيها وسأل عن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فالمقلّد لا مناص له من الرجوع إلى الحيّ فيما لو علم الاختلاف بين العلماء وتردّد بين الخصوصيّتين مع التفاته بالقدر المتيقّن ووجوب السؤال كما هو الحال في 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ذلك فيما لو رجع إلى المفتي الواجد للمشكوك فيه وأفتاه بكفاية الفاقد للشرط ، </w:t>
      </w:r>
    </w:p>
    <w:p>
      <w:pPr>
        <w:pStyle w:val="BookText"/>
        <w:rPr/>
      </w:pPr>
      <w:r>
        <w:rPr>
          <w:rFonts w:ascii="IRNazanin" w:hAnsi="IRNazanin" w:eastAsia="IRNazanin"/>
          <w:color w:val="111111"/>
          <w:sz w:val="28"/>
          <w:sz w:val="28"/>
          <w:szCs w:val="28"/>
          <w:rtl w:val="true"/>
          <w:lang w:bidi="fa-IR"/>
        </w:rPr>
        <w:t xml:space="preserve">فإنّه بعد ما صار </w:t>
      </w:r>
      <w:r>
        <w:rPr>
          <w:rStyle w:val="FootnoteAnchor"/>
          <w:rtl w:val="true"/>
        </w:rPr>
        <w:footnoteReference w:id="1181"/>
      </w:r>
      <w:r>
        <w:rPr>
          <w:rFonts w:ascii="Amiri" w:hAnsi="Amiri" w:eastAsia="Amiri" w:cs="Amiri"/>
          <w:color w:val="111111"/>
          <w:sz w:val="28"/>
          <w:sz w:val="28"/>
          <w:szCs w:val="28"/>
          <w:rtl w:val="true"/>
          <w:lang w:bidi="ar-SA"/>
        </w:rPr>
        <w:t>عالما بواقع المسألة ، بل هداية العقل له إلى الواجد إنّما هو طريق ظاهري علاجا للشكّ في نفس الواقعة دفعا لما يلزم عليه الدور فيما لو رجع إلى الفاقد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القول بمساواة المجتهد والمقلّد في أمثال زماننا الذي يتوقّف الاستنباط على مقدّمات لا ينال إليها إلاّ الأوحديّ من الناس يكاد يلحق بإنكار الضروريّات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كانا متساويين لزم على المقلّد تحصيل الظنّ بعدم المعارض ، كالمجتهد ، فإنّ مناط العمل بالظنّ فيهما هو الدليل العقلي ، وهو لا يقتضي حجّيّة الظنّ مطلقا ولو كان قبل الفحص ، فإن قلت بوجوب الفحص فيهما يلزم منه تفسيق عامّة المقلّدين ، وإن قلت بعدمه فيهما فهو مخالف لما اعترف به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قلت بالفرق بينهما بواسطة الإجماع على العدم في المقلّد والوجوب في غيره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اتّفاقهم على العدم بواسطة اعتقادهم أنّ العاميّ لا يقاس حاله بحال المجتهد لانفتاح باب العلم الشرعيّ في حقّه وهو الفتوى</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بأن التقليد من باب الدليل العقلي في غاية الركاكة ، لأنّ هذا الدليل العقليّ وإن لم نقل بلزوم الاطّلاع على تفاصيل مقدّماته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أورده بعض الأفاضل </w:t>
      </w:r>
      <w:r>
        <w:rPr>
          <w:rStyle w:val="FootnoteAnchor"/>
          <w:rtl w:val="true"/>
        </w:rPr>
        <w:footnoteReference w:id="1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بأنّ مقدّماته ثابتة في الواقع ، فلا ينافي اعتقاد بعض العلماء خلافها ، فإنّ ذلك غير ضائر فيما هو الواقع كما أورده المورد المذكور ممّا ليس مستندا للعاميّ في عمله ورجوعه إلى المفتي ، فإنّ الداعي إلى ذلك ليس إلاّ ما هو المفطور في جميع الناس من رجوع الجاهل إلى العالم ، وذلك </w:t>
      </w:r>
    </w:p>
    <w:p>
      <w:pPr>
        <w:pStyle w:val="BookText"/>
        <w:rPr/>
      </w:pPr>
      <w:r>
        <w:rPr>
          <w:rFonts w:ascii="Amiri" w:hAnsi="Amiri" w:eastAsia="Amiri" w:cs="Amiri"/>
          <w:color w:val="111111"/>
          <w:sz w:val="28"/>
          <w:sz w:val="28"/>
          <w:szCs w:val="28"/>
          <w:rtl w:val="true"/>
          <w:lang w:bidi="ar-SA"/>
        </w:rPr>
        <w:t>وإن كان بواسطة تحصيل المعرفة بالحكم ، إلاّ أنّ الأغلب عدم حصولها منه ، بل ولا يحصل الظنّ أيضا كما هو ظاهر لمن راجع وجدانه ، ومع ذلك فهو المقرّر من الأئمة عليهم‌السلام والمطابق لما عليه العمل من الأمّة قديما وحديثا ، فصار بذلك طريقا للجاهل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المسوّغ للمجتهد في ردعه العاميّ عن العمل بالظنّ الحاصل من قول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بأنّ الظنّ هو الطريق في حقّ المقلّد يلزم منه إمّا تخريب أساس الشريعة ، أو فرض العاميّ مجتهدا ؛ لأنّ ذلك الدليل العقليّ لا يختصّ بالتقليد ، بل يعمّ سائر الأمارات الظنّية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بأنّ الإجماع إنّما قام على عدم جواز العمل بغير التقليد من الأمارات الظنّية مع أنّ المناط هو الظنّ بعد أنّه تناقض في حكمي العقل والشرع على وجه لا مصحّح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 في وجه استثناء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سبيل إلى إثباته ، فإنّ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المنع من غير التقليد إنّما هو بواسطة أنّ التقليد طريق خاصّ في حقّه ، وأمّا على تقدير الظنّ فلا نسلّم انعقاد الإجماع على عدم جواز العمل بما يستفاد للعاميّ من الأخبار على وجه ظنّي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يوجب بناء فقه جديد ،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ردعه عن مثل هذه الظنون</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للعالم ردعه مع عدم حصول الظنّ من قوله وكون الحكم مظنونا في حقّه؟ سلّمنا الإجماع على عدم جواز العمل بتلك الأمارات حتّى على تقدير كون التقليد ظنّيا لكنّه لا ينفع ؛ لأنّه ليس بديهيّا يعرفه العاميّ ، والاطّلاع على الإجماع ممّا يمنعه المستدلّ كما يظهر منه ، وإخبار المجتهد له ربما لا يوجب الظنّ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الظنّ الحاصل من الإجماع المنقول والشهرة المحقّقة بين العلماء الماهرين المطّلعين على الأسرار الإلهيّة أقوى من الظنّ الحاصل من قول الميّت في المسألة الفرعيّة ، بل لا يكاد يقاس أحدهما بالآخر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بالواقع يقدّم على الظن بالحكم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فرغنا عن إبطال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كالقول بلزوم الأخذ بالظنّ في 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 ، فإنّ نظر العقل في دليل الانسداد الذي هو العمدة في الأدلّة هو الحكم بلزوم تفريغ الذمّة ، ولا فرق في ذلك بين الواقع وبين أبداله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أقربيّة هذا الظنّ في نظر المقلّد أوّل الكلام ، وعلى تقديره فلا دليل على لزوم الأخذ بهذه الأقربيّة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أقربيّة هذه الظنون في نظر المجتهد هو المعيار ، فإنّ نظر المقلّد قد عرفت عدم انضباطه وعدم اعتباره ، ولا يمكن إلقاء عنانه في عنقه لئلاّ يتّبع كل ناعق وناهق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لزوم الأخذ بهذه الأقربيّة ، فلأنّ دليل الانسداد لا يمكن أن يكون مفاده حجّيّة كلّ واحد من هذين الظنّين اللذين يقتضي اعتبار أحدهما عدم اعتبار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فإمّا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 واحد من هذين الظنّين خارج عن الدليل وهذا بعد كونه محالا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الدليل العقلي غير قابل للتخصيص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مثبت للمطلوب ، وهو عدم اعتبار قول الميّت إذا صار مظنونا</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الأولى استعماله للظنّ في المسألة الأصولية لكونه بمنزلة المزيل للظنّ في المسألة الفرعيّة ، وهو أيضا مثبت للمطلوب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وإمّا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اللازم هو الأخذ بالأقرب إلى الواقع وهو المدّعى ، وأمّا التخيير بين الظنّين عند الأقربيّة فممّا لا وجه له ، إذا العقل يحكم بالأخذ بأقوى الظنّين بالبديهة عند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في المسألة الأصوليّة بعيد التحقّق ، فلا يحصل الظنّ من منقوله ، سيّما إذا لم يكن المسألة معنونة في زمان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إمكان تحقّق الإجماع في الأحكام الشرعيّة أصوليّة كانت أو فروعيّة ، فإنّ كثيرا من المسائل الأصوليّة إجماعيّة ، مع أنّك قد عرفت أنّ المسألة فرعيّة لوجود المناط فيها وهو انتفاع المقلّد منها فيما لو كانت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تداول المسألة في زمان الأئمّة فستعرف أنّ كثيرا من المجوّزين إنّما استندوا في إثبات مقصودهم إلى السيرة المستمرّة في زمان الأئمة ، ونحن عند الإيراد على هذه الحجّة نبرهن على أنّ هذه المسألة ممّا كانت متداولة في زمن الأئمة عليهم‌السلام</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تقرير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السيّد الجزائري في محكيّ منبع الحياة </w:t>
      </w:r>
      <w:r>
        <w:rPr>
          <w:rStyle w:val="FootnoteAnchor"/>
          <w:rtl w:val="true"/>
        </w:rPr>
        <w:footnoteReference w:id="1184"/>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قضيّة المنع صحّة إحدى صلاتي المقلّد وبطلان الأخرى إذا مات المجتهد بين الصلاتين ، ولازم هذا أن يكون شريكا للشارع في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ينطبق على أصولنا ؛ لأنّ علماءنا يحكون كلام الشارع ويعملون به ، فلا تفاوت في اتّباع أقوالهم بين حياتهم وموتهم ، وإنّما يناسب هذا لو كان صادرا من رأيه كما كان الكوفي كذلك ، حيث قال في مسجد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عليه‌السلام كذا ، وأنا أقول 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والجواب عنه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بحال الحياة فيما لو عرض للمجتهد الفسق أو الجنون أو الكفر أو تغيير الرأي إلى غير ذلك من أسباب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 بأنّ هذا الكلام مبنيّ على أن يكون الفتوى هي الرواية المنقولة بالمعنى ، وقد قرّرنا الفرق بينهما ، ولذلك لا يجوز التقليد فيما طرأ الفسق بعد الفتوى مع جواز الأخذ بروايته حال العدالة كالأخذ بها حال الإفاقة فيما لو جنّ ، فالمجتهد تارة يكون أهلا لأن يطاع وتارة لا يكون ، وليس ذلك شراكة للشارع ، فإنّ هذه أحكام مأخوذة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من لا يبالي بالطعن على العلماء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ينبغي أن يقال في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هؤلاء لانطمست آثار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والتعريض عليهم بما عرفت في ذيل كلام لا يبعد في حقّه دعوى اشتراكه للشارع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أنّ الإمام عليه‌السلام يرضى بمقايسة حال مثل الشهيدين والمحقّقين وغيرهما من العلماء العاملين والفضلاء الكاملين بحال الكوفي ، حاشاهم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حاشاهم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وتقريره من وجوه ، فإنّه تارة يراد انسحاب الحكم المستفتى فيه ، وأخرى يراد انسحاب حكم المستفتي ، وثالثة يراد انسحاب حكم المفتي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الأخير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المجتهد الفلاني كان ممّن يجوز الأخذ بفتواه والعمل مطابقا لأقواله وقد شكّ بعد الموت أنّه هل يجوز اتّباع أقواله أو لا فيستصحب كما أنّه يستصحب ذلك عند تغيّر حالاته من المرض والصحّة والشباب والشيب ونحوها</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للمقلّد الفلاني كان الأخذ بفتوى المجتهد الفلاني حال الحياة وبعد الموت نشك فيه ، فنستصحب الجواز المعلوم في السابق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الأوّل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الواقعة كان حكمها الوجوب بفتوى المجتهد الفلاني ونشكّ في ذلك فنستصحب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وجوه تقريراته ، فإنّه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المكتوب في الرسالة الفلانيّة كان جائز العمل ، فنستصحب جواز العمل به بعد الموت</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هذه الوجوه في الاستصحاب يحتاج إلى تمهيد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قرّرنا في مباحث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جريانه موقوف على بقاء الموضوع على وجه اليقين ، إذ بدون العلم ببقاء الموضوع ليس من النقض من الموارد المنهيّ عنها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عدم ترتيب 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لا يعلم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من النقض في أحكامه بوجه ، فالقضيّة المعلومة في مورد الاستصحاب لا بدّ وأن تكون متّحدة مع القضيّة المعكوسة موضوعا ومحمولا حتّى يمكن انسحاب أحكام الموضوع من المحمول ونحوه في الزمان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بالموضوع مسندا إليه وموضوعا لتلك القضيّة ، بل المراد كلّ ما يمكن أن يجعل مبتدأ في العبارة ، إذ المناط من عدم صدق النقض عند عدم العلم بوجود ذلك مشترك في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هو الداعي لأمين الأخباريّة حيث أنكر حجّية الاستصحاب في الأحكام الشرعيّة </w:t>
      </w:r>
      <w:r>
        <w:rPr>
          <w:rStyle w:val="FootnoteAnchor"/>
          <w:rtl w:val="true"/>
        </w:rPr>
        <w:footnoteReference w:id="1185"/>
      </w:r>
      <w:r>
        <w:rPr>
          <w:rFonts w:ascii="Amiri" w:hAnsi="Amiri" w:eastAsia="Amiri" w:cs="Amiri"/>
          <w:color w:val="111111"/>
          <w:sz w:val="28"/>
          <w:sz w:val="28"/>
          <w:szCs w:val="28"/>
          <w:rtl w:val="true"/>
          <w:lang w:bidi="ar-SA"/>
        </w:rPr>
        <w:t>فالتمسّك بالاستصحاب من بعض الأخباريّين من دون ملاحظة وجود المناط فيه إنّما هو خيانة منه للأمين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وإن قلنا بعدم استقامة ما ذكره على وجه الكلّية لجريانه على الوجه المذكور في الأحكام فيما إذا كان الشكّ في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أوضحنا سبيل ذلك في مباحث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إحراز ما ذكرنا من المناط من اتّحاد القضيّتين ممّا لا مناص عنه في صدق الأخبار الدالّة على 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 فكما أنّ العلم باختلاف الموضوع يضرّ في جريان الاستصحاب ، كذا عدم العلم بوجوده أيضا يضرّ في جريانه ، إذ كما أنّ نفي الوجوب عن غير الصلاة مثلا ليس نقضا لوجوب الصلاة ، فكذلك نفي الوجوب عمّا لا يعلم أنّه صلاة أيضا ليس نقضا ، ولعلّه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قد عرفت هذه المقدّمة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الوجوه متقاربة جدّا ، كما لا يخفى على من أمعن النظر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وجريان هذه الاستصحابات موقوفة على العلم ببقاء الموضوع ، ونحن لو لم ندّع العلم بارتفاع الموضوع في هذه الاستصحابات نظرا إلى أنّ المناط هو الظنّ وهو مرتفع بعد الموت ، فلا أقلّ إمّا من الشكّ في بقائه أو ارتفاعه على تقدير تسليم كون الموضوع هو الظنّ ، وإمّا من الشكّ في تعيين الموضوع ، وعلى التقديرين لا مسرح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الظنّ هو الموضوع حتّى يمكن القول بعدم العلم ببقائه بعد الموت مع أنّه غير مسلّم أيضا ، بل الموضوع هو القول الذي لا يعقل فيه القول بالارتفاع والبقاء ، ضرورة أنّه من الأمور الغير القارّة التي وجودها عبارة عن حدوثها ولا بقاء لها ، وكذلك لا وجه للنزاع في بقاء الرواية والعبارة ، فإنّها في وجه غير معقول البقاء ، وفي وجه غير معقول الارتفاع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عند القائلين بالفتوى والتقليد والاجتهاد أنّ المدار في الفتوى هو الظنّ ، ولذلك لو زالت الملكة أو تغيّر اجتهاده وإن لم يكن هناك قول لا يجوز التعويل على القول السابق</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الأحكام الاجتهاديّة إنّما هي أحكام 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 به جميع أرباب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والظنّ في الأحكام الظاهريّة إنّما يكون موضوعا لما يترتّب على المظنون والبقاء ، فإنّه هو المقصود بحجّية الظنّ في الأمور الشرعيّة </w:t>
      </w:r>
    </w:p>
    <w:p>
      <w:pPr>
        <w:pStyle w:val="BookText"/>
        <w:rPr/>
      </w:pPr>
      <w:r>
        <w:rPr>
          <w:rFonts w:ascii="Amiri" w:hAnsi="Amiri" w:eastAsia="Amiri" w:cs="Amiri"/>
          <w:color w:val="111111"/>
          <w:sz w:val="28"/>
          <w:sz w:val="28"/>
          <w:szCs w:val="28"/>
          <w:rtl w:val="true"/>
          <w:lang w:bidi="ar-SA"/>
        </w:rPr>
        <w:t>والأحكام الفرعيّة ، فإنّه يكون وسطا في القياسيات التي يطلب فيها ترتيب آثار متعلّقات تلك الظنون التي قد كانت طرقا إليها في حدود أنفسها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شرب الخمر المظنون حرمته بواسطة أمارة ظنّية معتبرة إنّما يستفاد الحكم فيه في مقام العمل والظاهر بواسطة الظنّ ، 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شرب الخمر ممّا يظنّ حرمته بواسطة أمارة كذائيّة وكلّ ما يظنّ حرمته فيجب ترتيب آثار الحرمة الواقعيّة الّتي كان الظن طريقا إليه على ذلك المظنون ، فينتج وجوب ترتيب الآثار على هذه الحرمة المظنونة ، من لزوم الاجتناب عنها وغيرها من الأحكام ، وذلك ظاهر في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يتمّ كون القول موضوعا في المقام فيما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الفتوى هي عبارة عن نقل الحديث على وجه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زعمه الأخباريّ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الواقع كما لا يخفى على المطّلع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حديث بقاء الظنّ بعد الموت وارتفاعه فالإنصاف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مسرح للعقل فيه ؛ لتعارض الأمارات من الطرفين ، إلاّ أنّ المقصود في المقام غير منوط به أيضا ، إذ على القول بالبقاء أيضا لا يعلم سريان الحكم فيما إذا كان مستندا إلى الظنّ بعد الموت ، إذ القول به موقوف على أن يكون الظنّ موضوعا على وجه الإطلاق سواء كان بعد الموت أو قبله ، وذلك أيضا غير معلوم ؛ لأنّ دليل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منحصر في الإجماع والضرورة والسيرة ، ولا ينفع شيء منها في تشخيص الموضوع</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الإطلاقات الدالّة على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ادّعاها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فيها على التقليد أوّلا ، وعلى تقديره فلا يستفاد منها أنّ الموضوع هو الظنّ على وجه الإطلاق ، بل الظاهر من جملة من الأدلّة الخاصّة بل العامّة الآمرة بالرجوع إلى أهل العلم اعتبار الحياة ، كما ستعرف تفصيل القول في ذلك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منع الاستصحاب في المقام بواسطة الإشكال في أمر الموضوع إنّما لا يلائم كلماتهم في جملة من الموارد ، فإنّهم يحكمون باستصحاب جواز نظر الزوج أو الزوجة لأحدهما بعد الموت ، مع أنّ الموضوع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الناطق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موجودا بعد الموت قطعا ، فإنّه جماد 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ويحكمون باستصحاب الملكيّة فيما لو انقلب الخمر المقلوب من الخلّ خلاّ في المرتبة الثانية ، مع أنّ الخلّيّة في الثانية ليست الخلّيّة الأولى ؛ لامتناع إعادة 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فيما لو فرض حياة المملوك بعد موته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الملكيّة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القائمة </w:t>
      </w:r>
      <w:r>
        <w:rPr>
          <w:rFonts w:eastAsia="Amiri" w:cs="Amiri" w:ascii="Amiri" w:hAnsi="Amiri"/>
          <w:color w:val="111111"/>
          <w:sz w:val="28"/>
          <w:szCs w:val="28"/>
          <w:rtl w:val="true"/>
          <w:lang w:bidi="ar-SA"/>
        </w:rPr>
        <w:t>]</w:t>
      </w:r>
      <w:r>
        <w:rPr>
          <w:rStyle w:val="FootnoteAnchor"/>
          <w:rtl w:val="true"/>
        </w:rPr>
        <w:footnoteReference w:id="1186"/>
      </w:r>
      <w:r>
        <w:rPr>
          <w:rFonts w:ascii="Amiri" w:hAnsi="Amiri" w:eastAsia="Amiri" w:cs="Amiri"/>
          <w:color w:val="111111"/>
          <w:sz w:val="28"/>
          <w:sz w:val="28"/>
          <w:szCs w:val="28"/>
          <w:rtl w:val="true"/>
          <w:lang w:bidi="ar-SA"/>
        </w:rPr>
        <w:t>بالرقبة الأولى مع ظهور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يحكمون باستصحاب الكرّية بعد القطع باختلاف الموضوع ، فإنّ المشار إليه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الماء كان كرّا في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يغاير الماء في السابق ، فلا منع في جريان الاستصحاب في المقام ، كأن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ذلك الرجل كان قبل موته جائز التقليد وبعد الموت يستصحب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الاختلاف الحاصل في المقام أشدّ من الاختلاف في الموارد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الغضّ عن جريان الاستصحاب في الموارد المذكورة ، أنّ ذلك يتمّ بناء على المسامحة العرفيّة في أمر الموضوع ، ولا نضايق نحن من جريان الاستصحاب في المقام على هذا التقدير ، إلاّ أنّ الكلام في ثبوت ذلك التقدير ، فإنّ الإنصاف أنّ التسرّي إلى جميع موارد التسامح في العرف ممّا لا يجترى عليه ، سيّما في الموارد التي لا يساعدها المشهور أو أمارة أخرى من الأمارات</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 فالاعتماد على الاستصحاب إنّما يشكل فيما إذا لم يكن القضيّة المعلومة متّحدة مع المشكوكة بحسب الدقّة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إنّما يتمّ فيما إذا لم يجر الاستصحاب في أصل الموضوع ولا مانع منه ، وبعد الاستصحاب الموضوعي لا مجال للشكّ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أريد من استصحاب الموضوع وجريانه تصحيح الاستصحاب الحكمي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عن بعض الأجلّة في 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كلام فاسد مختلّ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استصحاب الموضوع لا يجدي في ترتيب الأحكام الغير الشرعيّة ، وجريان الاستصحاب الحكمي ليس من الأحكام الشرعيّة المترتّبة على الموضوع حتّى يصحّ الاستصحاب على تقدير استصحاب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الاستصحاب الموضوعي بعد جريانه لا حاجة إلى إجراء الاستصحاب الحكمي ، فإنّه بمنزلة المزيل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معنى لاستصحاب الموضوع إلاّ ترتيب الأحكام التي منها الحكم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من استصحاب الموضوع ترتّب الحكم وهو جواز التقليد لا استصحابه ، فهو إنّما يجدي فيما إذا لم يكن من الأصول المثبتة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بصدده منه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موضوع وجوب التقليد أو جوازه من دون أن يقصد ارتباطه بفتوى الميّت لا يجدي في الاعتماد على فتوى الميّت ، ومع إرادة إثبات الارتباط بوجه من الوجوه إلى الفتوى فهو من الأصول المثبتة ، فإنّ استصحاب الموضوع المطلق لا يتعيّن في شيء خاصّ إلاّ بعد إعمال مقدّمة عقليّة أو عاديّة ، وذلك نظير استصحاب وجود الكرّ المطلق في الحوض لإثبات كرّية الماء المخصوص ، فإنّه لا يجدي في ذلك إلاّ بعد العلم بأنّ ذلك المطلق غير متحقّق إلاّ في الفرد الموجود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 الأحكام الثابتة للموضوع المطلق في الشريعة لا بدّ من حملها وترتيبها على الموضوع المستصحب ، وأمّا أحكام الموضوع الخاصّ فلا يترتّب على استصحاب الموضوع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جواز العمل وترتيب الأحكام السابقة إنّما هو من أحكام مطلق الموضوع ، إذ لا يراد في المقام إثبات أنّ القول هو الموضوع أو الشخص هو الموضوع أو غير ذلك ، ضرورة أنّ الاستصحاب لا يقضي بذلك ، بل المراد الأخذ بالأحكام السابقة حال الحياة المتفرّعة على موضوعها الواقعي وإن لم يكن معلوما لنا بالخصوص إلاّ أنّه معلوم على وجه الإجمال حال الحياة ، وبعد الموت نشكّ في وجود ما يترتّب عليه الأحكام فيستصحب ذلك المعلوم الإجمالي ويترتّب عليه أحكامه ، نظير استصحاب وجود الكرّ المطلق فيما إذا كان ممّا يترتّب عليه حكم ، كما لو نذر أن يعطي فقيرا درهما لو كان الكرّ مثلا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إلاّ أنّه يمكن القول بأنّ الموضوع هو الظنّ ، لعدم ترتيب هذه الأحكام على غيره في الشريعة عند انتفائه ، وهو غير معلوم الوجود ، وعلى تقدير الوجود فلا عبرة به أيضا ، لاحتمال مدخليّة الحياة فيه ، وأصالة عدم مدخليّة الحياة في الموضوع لا يجدي ؛ لأنّ ذلك لا يشخّص أنّ الموضوع هو الظنّ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جريان الاستصحاب موقوف على عدم العلم ببقاء الموضوع واحتمال ارتفاعه في الواقع ، وأصالة عدم المدخليّة لو كان مفاده في الشرع وجود الموضوع كان مجديا ولكنّه لا يترتّب على عدم المدخليّة وجود الموضوع إلاّ بواسطة مقدّمة عقليّة ، فتأمّل في المقام ، فإنّ الأمر بمكان من الغموض والخفاء</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تمام الكلام في الوجوه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أيضا بعض الوجوه الأخر ، إلاّ أنّ الإنصاف إن التعرّض لها يوجب التعطيل فيما هو الأهمّ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 يدلّ منه على مطلوبهم على ما زعموا 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نَفَرَ مِنْ كُلِّ فِرْقَةٍ مِنْهُمْ طائِفَةٌ لِيَتَفَقَّهُوا فِي الدِّينِ وَلِيُنْذِرُوا قَوْمَهُمْ إِذا رَجَعُوا إِلَيْهِمْ لَعَلَّهُمْ يَحْذَرُونَ </w:t>
      </w:r>
      <w:r>
        <w:rPr>
          <w:rFonts w:eastAsia="Amiri" w:cs="Amiri" w:ascii="Amiri" w:hAnsi="Amiri"/>
          <w:color w:val="111111"/>
          <w:sz w:val="28"/>
          <w:szCs w:val="28"/>
          <w:rtl w:val="true"/>
          <w:lang w:bidi="ar-SA"/>
        </w:rPr>
        <w:t xml:space="preserve">)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تدلّ على وجوب الحذر بعد الإنذار الواجب ، إمّا لأنّ الحذر لا يعقل جوازه بعد وجود المقتضي وعند عدمه لا يحسن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لأنّ وجوب الإنذار المفروض في الآية مقدّمة للحذر يدلّ على وجوبه ؛ لأنّ وجوب المقدّمة دليل على وجوب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لأنّ عدم وجوب الحذر على تقدير وجوب الإنذار يوجب اللغو ، نظير ما تمسّك في المسالك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يَحِلُّ لَهُنَّ أَنْ يَكْتُمْنَ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اتّباع قولهنّ </w:t>
      </w:r>
      <w:r>
        <w:rPr>
          <w:rStyle w:val="FootnoteAnchor"/>
          <w:rtl w:val="true"/>
        </w:rPr>
        <w:footnoteReference w:id="1188"/>
      </w:r>
      <w:r>
        <w:rPr>
          <w:rFonts w:ascii="Amiri" w:hAnsi="Amiri" w:eastAsia="Amiri" w:cs="Amiri"/>
          <w:color w:val="111111"/>
          <w:sz w:val="28"/>
          <w:sz w:val="28"/>
          <w:szCs w:val="28"/>
          <w:rtl w:val="true"/>
          <w:lang w:bidi="ar-SA"/>
        </w:rPr>
        <w:t>، والإنذار عبارة عن الإبلاغ مع التخويف ، وهو كما يصدق في الرواية ، فكذلك يصدق في الفتوى</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الظاهر أنّ دلالتها على وجوب قبول الفتوى أظهر من دلالتها على قبول الرواية ؛ لأنّ الحكاية بدون التخويف لا يسمّى إنذارا ومع التخويف لا دليل على اعتباره ؛ لأنّ التخويف موقوف على اجتهاد المنذر في الحكاية ، ولا دليل على لزوم متابعة الراوي إذا لم يكن فهمه في حق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المفتي ، فإنّ اعتقاده حجّة في حقّ المستفتي ، فلو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في 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يترتّب عليه المؤاخذة الإلهيّة فقد حصل التخويف ووجب التخوّف والحذر ، إمّا لوجود المقتضي ، وإمّا لوجوب الإنذار ، وإمّا للزوم اللغو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ويتمّ فيما لا يحصل معه التخوّف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لعدم التخويف أو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القول بالفصل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 فالآية ظاهرة في وجوب التفقّه ووجوب الإنذار ، وهما يستتبعان وجوب الحذر والقبول على أحد الوجوه الشامل بإطلاقه للرواية والفتوى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والإنذار كما يصدق في فتوى الحيّ ، فكذلك يصدق في فتوى الميّت بواسطة التخوّف الحاصل من مراجعة ما جعله علامة للتخويف كالرجوع إلى كتابه ، فإنّه يصدق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زمان حياته وحصل للمقلّد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بعد مماته ، فيجب اتّباعه ، فالآية بإطلاقها تدلّ على وجوب اتّباع فتوى الميّت لصدق الإنذار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أبيت عن ذلك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أنّ المجتهد قد أنذر في حال حياته ولم يتبعه المقلّد عصيانا ثمّ بدا له بعد موته اتّباعه ، فهل ترى عدم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مثله؟ وليس ذلك من التقليد الاستمراري بل هو تقليد بدويّ ، إذ المفروض عدم الأخذ بالفتوى في حال الحياة وعدم العمل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ظاهرة في النفر إلى الجهاد كما تشهد به الآيات التي قبلها وبعدها ، فلا يدلّ على وجوب التفقّه والإنذار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يترتّب على النفر التفقّه من ملاحظة آثار رحمة اللّه على أوليائه وظهورهم على أعدائه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على وجوب ما يترتّب على الفعل إذا لم يؤخذ الفعل الواجب مقدّمة له بل كان الترتّب اتّفاقيا ، كما هو ظاهر</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سوق الآية في آيات الجهاد لا ينافي ظهورها في وجوب التفقّه والإنذار الموقوف عليه الاستدلال ، مع ورود الأخبار الدالّة على إرادة وجوب التفقه من الآية </w:t>
      </w:r>
      <w:r>
        <w:rPr>
          <w:rStyle w:val="FootnoteAnchor"/>
          <w:rtl w:val="true"/>
        </w:rPr>
        <w:footnoteReference w:id="1189"/>
      </w:r>
      <w:r>
        <w:rPr>
          <w:rFonts w:ascii="Amiri" w:hAnsi="Amiri" w:eastAsia="Amiri" w:cs="Amiri"/>
          <w:color w:val="111111"/>
          <w:sz w:val="28"/>
          <w:sz w:val="28"/>
          <w:szCs w:val="28"/>
          <w:rtl w:val="true"/>
          <w:lang w:bidi="ar-SA"/>
        </w:rPr>
        <w:t xml:space="preserve">كما يستفاد من استدلال الإمام عليه‌السلام به ، كرواية الفضل </w:t>
      </w:r>
    </w:p>
    <w:p>
      <w:pPr>
        <w:pStyle w:val="BookText"/>
        <w:rPr/>
      </w:pPr>
      <w:r>
        <w:rPr>
          <w:rFonts w:ascii="Amiri" w:hAnsi="Amiri" w:eastAsia="Amiri" w:cs="Amiri"/>
          <w:color w:val="111111"/>
          <w:sz w:val="28"/>
          <w:sz w:val="28"/>
          <w:szCs w:val="28"/>
          <w:rtl w:val="true"/>
          <w:lang w:bidi="ar-SA"/>
        </w:rPr>
        <w:t xml:space="preserve">عن الرضا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أمروا بالحجّ لعلّة الوفادة إلى اللّه وطلب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أخبار الأئمّة إلى كلّ صقع وناحية ، كما 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لا نَفَرَ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اختصاص الأخبار بالذكر لا يدلّ على اختصاص الآية بالرواية دون الفتوى ، فلا ينافي ما هو مناط الاستدلال من دعوى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والاستدلال بالآية في بعض الروايات على وجوب تحصيل معرفة الإمام بعد موت الإمام السابق </w:t>
      </w:r>
      <w:r>
        <w:rPr>
          <w:rStyle w:val="FootnoteAnchor"/>
          <w:rtl w:val="true"/>
        </w:rPr>
        <w:footnoteReference w:id="1191"/>
      </w:r>
      <w:r>
        <w:rPr>
          <w:rFonts w:ascii="Amiri" w:hAnsi="Amiri" w:eastAsia="Amiri" w:cs="Amiri"/>
          <w:color w:val="111111"/>
          <w:sz w:val="28"/>
          <w:sz w:val="28"/>
          <w:szCs w:val="28"/>
          <w:rtl w:val="true"/>
          <w:lang w:bidi="ar-SA"/>
        </w:rPr>
        <w:t>، لا يدلّ على اختصاصه بمثله حتّى لا يشمل ما نحن فيه ، وهو ظاهر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الانتصار للمستدلّ بالآية ، ومع ذلك فلا دلالة فيها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المقام بعد تمهيد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اعتبار التقليد يحتمل أن يكون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 من حيث إنّه طريق إلى الواقع وإنّ قول العالم هو المرجع للجاهل ، فإنّه يكون طريقا لما هو المطلوب في الأمور الغير المعلومة ، مثل رجوع الجاهل بصناعة إلى أهل تلك الصناعة في استعلام ما يتعلّق به غرضه منها</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معتبرا من حيث إنّه حكم ظاهريّ تعبّد به المولى وإن لم يحصل منه العلم ، ولا ينافي ذلك كون الحكمة في جعله طريقا هو كونه طريقا ظنّيا في العرف والعادة ، فيكون من الظنون النوعيّة أي الأمارات التي لا تدور مدار حصول الظنّ الفعلي منها وإن كان الوجه في جعله إفادته ذلك في الأغلب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ريب أنّ هذين الوجهين مختلفان ، فالكلام المسوق لبيان أحدهما يغاير سوق الآخر ، فإنّ الأوّل غير محتاج إلى جعل وحكم سوى الإخبار عمّا هو ثابت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الثاني ، فإنّه لا بدّ فيه من إنشاء حكم ظاهريّ في موارد تلك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غير خفيّ على الفطن</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أريد من التمسّك بالآية إثبات الوجه الأوّل فهو حسن ، فإنّ في الآية دلالة على تقرير ما عليه العقلاء في استكشاف مطالبهم من الأمارات المفيدة لها ، إذ لا يستفاد من الآية إلاّ مطلوبية الحذر عقيب الإنذار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وجوب البناء على الإنذار فهو مبنيّ على ما هو المناط فيه عندهم من حصول المنذر فيه أو ما هو يقوم مقامه عندهم كالظنّ المتاخم للعلم على وجه لا يعتنى باحتمال خلافه في وجه ؛ ولذا صحّ ذلك فيما يطلب فيه العلم ، فلا تكون الآية مخصّصة لما يدلّ على حرمة العمل بما وراء العلم ؛ ولذلك استشهد الإمام عليه‌السلام بالآية على وجوب النفر ليحصل معرفة الإمام ، كما في رواية عبد الأعلى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قول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وليس له إمام مات ميتة جاهليّة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إماما هلك ورجل بخراسان لا يعلم من وصيّه لم يسعه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يسعه ، إنّ الإمام إذا مات رفعت حجّة وصيّه على من هو معه في البلد وحقّ النفر على من ليس بحضرته ، إنّ 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لا نَفَرَ مِنْ كُلِّ فِرْقَةٍ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Style w:val="FootnoteAnchor"/>
          <w:rtl w:val="true"/>
        </w:rPr>
        <w:footnoteReference w:id="1192"/>
      </w:r>
      <w:r>
        <w:rPr>
          <w:rFonts w:ascii="Amiri" w:hAnsi="Amiri" w:eastAsia="Amiri" w:cs="Amiri"/>
          <w:color w:val="111111"/>
          <w:sz w:val="28"/>
          <w:sz w:val="28"/>
          <w:szCs w:val="28"/>
          <w:rtl w:val="true"/>
          <w:lang w:bidi="ar-SA"/>
        </w:rPr>
        <w:t xml:space="preserve">فإنّ 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إمامة الإمام إنّما يطلب فيها العلم ولا يكفي فيها متابعة الغير من غير حصول العلم ، فلا دلالة في الآية إلاّ على لزوم التفقّه والإنذار من حيث إنّ الإنذار يوجب الحذر عند حصول العلم أو ما يقوم مقامه في العادة ، وهو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التقليد المطلوب إثبات جوازه للحيّ والميّت لا </w:t>
      </w:r>
    </w:p>
    <w:p>
      <w:pPr>
        <w:pStyle w:val="BookText"/>
        <w:rPr/>
      </w:pPr>
      <w:r>
        <w:rPr>
          <w:rFonts w:ascii="Amiri" w:hAnsi="Amiri" w:eastAsia="Amiri" w:cs="Amiri"/>
          <w:color w:val="111111"/>
          <w:sz w:val="28"/>
          <w:sz w:val="28"/>
          <w:szCs w:val="28"/>
          <w:rtl w:val="true"/>
          <w:lang w:bidi="ar-SA"/>
        </w:rPr>
        <w:t>يراد منه ذلك الطريق العلمي أو ما يقوم مقامه ؛ وذلك ظاهر لمن أنصف من نفسه وراجع موارد التقليد وكلمات العلماء ، حيث إنّهم مطبقون على أنّ التقليد طريق خاصّ للمقلّد ونحن أيضا نتكلّم في مثل هذا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إثبات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المفيد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فالإنصاف عدم نهوض الآية على ذلك ، فإنّ المنساق منها هو المنساق من جميع الأدلّة الدالّة على لزوم إبلاغ الأحكام لاهتداء الناس إلى الواقع ، وليس مفاد الآية إلاّ مثل مفاد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 زيدا بقيام عمرو لعلّه يقبل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يستفاد من هذا الكلام إنشاء حكم في الظاهر لوجوب العمل بخبره وإن لم يوجب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ذلك ملاحظة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 فإنّ ذلك ليس من الأمور الاختياريّة ، بل هو أمر قهريّ ، لكنّه بعد حصوله فالعقل يحكم بوجوب دفعه وعلاجه في الموارد التي يحكم بوجوبه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فالظاهر منها وجوب الإنذار الّذي يترتّب عليه الحذر الموجب لتحصيل العلم بالتكليف أو رفعه كما هو قضيّة حقيقة الحذر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دلالة الآية على التقليد التعبّدي ، لكن لا يدلّ على تقليد الميّت ؛ لأنّ الظاهر على ذلك التقدير جواز الأخذ بإنذار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يبدو في بعض الأنظار من الإطلاق فلعلّه مبنيّ على قاعدة اشتراك التكليف وليس المقام منه ، إذ ليس الشكّ في العموم والخصوص ، بل الشكّ في الحكم الشرعيّ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صدق الإنذار فيما إذا كان المنذر أوجد السبب ونصب العلامة فهو على خلاف الظاهر ، فإنّ السبب ليس إنذارا حقيقة</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فيما لو عصى المكلّف بعد إنذاره في زمن الحياة ، فإن أخذه العاصي للعمل ثم لم يعمل به عصيانا فعلى القول بأنّ التقليد هو الأخذ يكون من التقليد </w:t>
      </w:r>
    </w:p>
    <w:p>
      <w:pPr>
        <w:pStyle w:val="BookText"/>
        <w:rPr/>
      </w:pPr>
      <w:r>
        <w:rPr>
          <w:rFonts w:ascii="Amiri" w:hAnsi="Amiri" w:eastAsia="Amiri" w:cs="Amiri"/>
          <w:color w:val="111111"/>
          <w:sz w:val="28"/>
          <w:sz w:val="28"/>
          <w:szCs w:val="28"/>
          <w:rtl w:val="true"/>
          <w:lang w:bidi="ar-SA"/>
        </w:rPr>
        <w:t>الاستمراري ، وعلى القول بأنّه العمل فلم يتحقّق تقليد سواء أخذه أو لم يأخذه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نسلّم وجوب الحذر بعد الموت في الصورة المفروضة ، فإنّ الظاهر من الآية ترتّب الحذر على الإنذار فيما يصحّ انتزاع 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المنذر ، ولا يصحّ ذلك بعد الموت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الإطلاق أيضا ، لكن الإنصاف أنّ الإجماعات المنقولة في صدر المسألة يكفي في تخصيص الآية وتقييدها بصورة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ذكرنا من تسليم الإطلاق إنّما هو مبنيّ على أن يكون وجه الاستدلال بالآية هو ما أفاده في المعالم </w:t>
      </w:r>
      <w:r>
        <w:rPr>
          <w:rStyle w:val="FootnoteAnchor"/>
          <w:rtl w:val="true"/>
        </w:rPr>
        <w:footnoteReference w:id="1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بعد انسلاخ كلمة الترجّي عن معناها تكون ظاهرة في محبوبيّة مدخولها للمتكلّم ؛ لأنّ ذلك يمكن أن يكون علاقة في المقام ، وإذا تحقّق حسن الحذر وجب ؛ لأنّ مع وجود المقتضي يجب ومع عدمه لا يحسن ؛ لأنّ العقاب إمّا معلوم الوجود فيجب الحذر ، أو معلوم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يعقل الشكّ في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يحسن 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حسن الاحتياط ؛ لأنّه مع الأمن كما لا يخفى ، إذ بدونه فالاحتياط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أن يكون وجه الاستفادة هو الملازمة العرفيّة بين وجوب الإنذار وحرمة الردّ ووجوب القبول فظاهر انتفاء الإطلاق ، وستعرف توضيحه في الآيات الآتية</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 xml:space="preserve">) </w:t>
      </w:r>
      <w:r>
        <w:rPr>
          <w:rStyle w:val="FootnoteAnchor"/>
          <w:rtl w:val="true"/>
        </w:rPr>
        <w:footnoteReference w:id="1194"/>
      </w:r>
      <w:r>
        <w:rPr>
          <w:rFonts w:ascii="Amiri" w:hAnsi="Amiri" w:eastAsia="Amiri" w:cs="Amiri"/>
          <w:color w:val="111111"/>
          <w:sz w:val="28"/>
          <w:sz w:val="28"/>
          <w:szCs w:val="28"/>
          <w:rtl w:val="true"/>
          <w:lang w:bidi="ar-SA"/>
        </w:rPr>
        <w:t xml:space="preserve">لأنّه لو فرض السؤال ومات المسئول بعد الجواب يلزم القبول لئلاّ يلغو وجوب السؤال ، </w:t>
      </w:r>
    </w:p>
    <w:p>
      <w:pPr>
        <w:pStyle w:val="BookText"/>
        <w:rPr/>
      </w:pPr>
      <w:r>
        <w:rPr>
          <w:rFonts w:ascii="Amiri" w:hAnsi="Amiri" w:eastAsia="Amiri" w:cs="Amiri"/>
          <w:color w:val="111111"/>
          <w:sz w:val="28"/>
          <w:sz w:val="28"/>
          <w:szCs w:val="28"/>
          <w:rtl w:val="true"/>
          <w:lang w:bidi="ar-SA"/>
        </w:rPr>
        <w:t xml:space="preserve">كما عرفت في استدلال الشهيد بحرمة كتمان ما في الأرحام على وجوب قبول قولهنّ </w:t>
      </w:r>
      <w:r>
        <w:rPr>
          <w:rStyle w:val="FootnoteAnchor"/>
          <w:rtl w:val="true"/>
        </w:rPr>
        <w:footnoteReference w:id="1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دلالة في الآية على التقليد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الظاهر من سياق الآية هو إرادة علماء اليهود ، كما رواه علماء التفسير </w:t>
      </w:r>
      <w:r>
        <w:rPr>
          <w:rStyle w:val="FootnoteAnchor"/>
          <w:rtl w:val="true"/>
        </w:rPr>
        <w:footnoteReference w:id="1196"/>
      </w:r>
      <w:r>
        <w:rPr>
          <w:rFonts w:ascii="Amiri" w:hAnsi="Amiri" w:eastAsia="Amiri" w:cs="Amiri"/>
          <w:color w:val="111111"/>
          <w:sz w:val="28"/>
          <w:sz w:val="28"/>
          <w:szCs w:val="28"/>
          <w:rtl w:val="true"/>
          <w:lang w:bidi="ar-SA"/>
        </w:rPr>
        <w:t xml:space="preserve">، فإنّ الآية واردة في مقام معرفة النبيّ صلى‌اللّه‌عليه‌وآله ، ومن الظاهر أنّ ذلك لا يكفي فيه غير العلم ، ففي الآية إراءة طريق إلى ما يوجب العلم ، وهو الظاهر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أنّ الوجه في وجوب السؤال هو تحصيل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أغمضنا عن ذلك ولم نأخذ بما هو اللائح من سياقها ، فهناك أخبار عديدة مشتملة على الصحيح وغيرها يدلّ على أنّ أهل الذكر هم الأئمّة عليهم‌السلام على وجه الحصر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بعد فرض الدلالة لا إطلاق فيها على وجه يشمل الميّت ، إذ من الظاهر ظهورها في الحيّ ، إذ لا يعقل السؤال من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وجوب القبول فالمفروض أنّه مدلول التزامي لوجوب السؤال ، ولا يعقل الإطلاق والتقييد في المداليل الالتزامية ، إذ الموجب هو لزوم اللغويّة لولاه ويكفي في دفعه القبول حال الحياة في الأغلب</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الكتمان وهو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يَكْتُمُونَ ما أَنْزَلْنا مِنَ الْبَيِّناتِ وَالْهُدى مِنْ بَعْدِ ما بَيَّنَّاهُ لِلنَّاسِ فِي الْكِتابِ أُولئِكَ يَلْعَنُهُمُ اللّهُ </w:t>
      </w:r>
    </w:p>
    <w:p>
      <w:pPr>
        <w:pStyle w:val="BookText"/>
        <w:rPr/>
      </w:pPr>
      <w:r>
        <w:rPr>
          <w:rFonts w:ascii="Amiri" w:hAnsi="Amiri" w:eastAsia="Amiri" w:cs="Amiri"/>
          <w:color w:val="111111"/>
          <w:sz w:val="28"/>
          <w:sz w:val="28"/>
          <w:szCs w:val="28"/>
          <w:rtl w:val="true"/>
          <w:lang w:bidi="ar-SA"/>
        </w:rPr>
        <w:t xml:space="preserve">وَيَلْعَنُهُمُ اللاَّعِنُونَ </w:t>
      </w:r>
      <w:r>
        <w:rPr>
          <w:rFonts w:eastAsia="Amiri" w:cs="Amiri" w:ascii="Amiri" w:hAnsi="Amiri"/>
          <w:color w:val="111111"/>
          <w:sz w:val="28"/>
          <w:szCs w:val="28"/>
          <w:rtl w:val="true"/>
          <w:lang w:bidi="ar-SA"/>
        </w:rPr>
        <w:t xml:space="preserve">) </w:t>
      </w:r>
      <w:r>
        <w:rPr>
          <w:rStyle w:val="FootnoteAnchor"/>
          <w:rtl w:val="true"/>
        </w:rPr>
        <w:footnoteReference w:id="1198"/>
      </w:r>
      <w:r>
        <w:rPr>
          <w:rFonts w:ascii="Amiri" w:hAnsi="Amiri" w:eastAsia="Amiri" w:cs="Amiri"/>
          <w:color w:val="111111"/>
          <w:sz w:val="28"/>
          <w:sz w:val="28"/>
          <w:szCs w:val="28"/>
          <w:rtl w:val="true"/>
          <w:lang w:bidi="ar-SA"/>
        </w:rPr>
        <w:t>دلّت الآية على وجوب الإظهار وحرمة الكتمان ، وهو يلازم وجوب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المورد ممّا لا يمكن تخصيصه في العمومات ، ومورد الآية كتمان اليهود لعلامات النبيّ صلى‌اللّه‌عليه‌وآله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بدّ فيه من العلم ، فلا دلالة فيها على التقليد التعبّدي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لكنّه لا إطلاق بالنسبة إلى الميّت ، لعدم ما يوجبه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النبأ </w:t>
      </w:r>
      <w:r>
        <w:rPr>
          <w:rStyle w:val="FootnoteAnchor"/>
          <w:rtl w:val="true"/>
        </w:rPr>
        <w:footnoteReference w:id="1199"/>
      </w:r>
      <w:r>
        <w:rPr>
          <w:rFonts w:ascii="Amiri" w:hAnsi="Amiri" w:eastAsia="Amiri" w:cs="Amiri"/>
          <w:color w:val="111111"/>
          <w:sz w:val="28"/>
          <w:sz w:val="28"/>
          <w:szCs w:val="28"/>
          <w:rtl w:val="true"/>
          <w:lang w:bidi="ar-SA"/>
        </w:rPr>
        <w:t>، ويدلّ على دلالتها على التقليد استدلال العلماء بها على عدالة المفتي ، فلولا دلالتها لم يكن له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النبأ هو الإخبار عن الواقع ، لا الإخبار عن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وجه الاستدلال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حيث إنّ الإخبار عن الرأي ربما يكون كذبا ، فالعدالة معتبرة فيه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يمكن الاستيناس بها على المدّعى صنفان </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الخاصّة الواردة في مقامات خاصّة ، مثل ما دلّ على الأمر بالرجوع إلى زرارة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حديثا فعليك بهذا الجالس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إلى زرارة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عليه‌السلام حينما سأل ابن أبي يعفور عمّن يرجع إليه إذا احتاج أو سئل عن 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يمنعك عن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مسلم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للعقرقوفي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 بالأسدي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بصير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لعليّ بن مسيّب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 بزكريّا بن آدم المأمون على الدين والدنيا </w:t>
      </w:r>
      <w:r>
        <w:rPr>
          <w:rFonts w:eastAsia="Amiri" w:cs="Amiri" w:ascii="Amiri" w:hAnsi="Amiri"/>
          <w:color w:val="111111"/>
          <w:sz w:val="28"/>
          <w:szCs w:val="28"/>
          <w:rtl w:val="true"/>
          <w:lang w:bidi="ar-SA"/>
        </w:rPr>
        <w:t xml:space="preserve">»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لمّا قال له عبد العزيز بن المهدي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أحتاج ولست في كلّ وقت ألقاك أفيونس بن عبد الرحمن ثقة آخذ عنه معالم ديني؟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دلالة واضحة على أنّ قبول قول الثقة مفروغ عنه وإنّما السائل سأل عن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عن أحمد بن إسحاق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عليه‌السلام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أعامل أو عمّن آخذ وقول من أقبل؟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العمري ثقة ، فما أدّى إليك عنّي فعنّي يؤدّي ، وما قال لك عنّي فعنّي يقول ، فاسمع له وأطع فإنّه الثقة المأمون </w:t>
      </w:r>
      <w:r>
        <w:rPr>
          <w:rFonts w:eastAsia="Amiri" w:cs="Amiri" w:ascii="Amiri" w:hAnsi="Amiri"/>
          <w:color w:val="111111"/>
          <w:sz w:val="28"/>
          <w:szCs w:val="28"/>
          <w:rtl w:val="true"/>
          <w:lang w:bidi="ar-SA"/>
        </w:rPr>
        <w:t xml:space="preserve">»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الصادق عليه‌السلام لأبان بن تغلب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اجلس في مسجد المدينة وأفت الناس ، فإنّي أحبّ أن يرى في شيعتي مثلك </w:t>
      </w:r>
      <w:r>
        <w:rPr>
          <w:rFonts w:eastAsia="Amiri" w:cs="Amiri" w:ascii="Amiri" w:hAnsi="Amiri"/>
          <w:color w:val="111111"/>
          <w:sz w:val="28"/>
          <w:szCs w:val="28"/>
          <w:rtl w:val="true"/>
          <w:lang w:bidi="ar-SA"/>
        </w:rPr>
        <w:t xml:space="preserve">»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ائت أبان بن تغلب ، فإنّه قد سمع منّي حديثا كثيرا </w:t>
      </w:r>
      <w:r>
        <w:rPr>
          <w:rFonts w:eastAsia="Amiri" w:cs="Amiri" w:ascii="Amiri" w:hAnsi="Amiri"/>
          <w:color w:val="111111"/>
          <w:sz w:val="28"/>
          <w:szCs w:val="28"/>
          <w:rtl w:val="true"/>
          <w:lang w:bidi="ar-SA"/>
        </w:rPr>
        <w:t xml:space="preserve">»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الدلالة في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بعضها مختصّة بالفتوى وبعضها شاملة للرواية أيضا ، فيكون هذه الروايات أدلّة على التقليد وبإطلاقها تدلّ على جواز تقليد الميّت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قضية الإنصاف عدم دلالة جملة من هذه الأخبار على قبول قول المفتي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الدلالة فلا دلالة فيها على قبول قول الميّت وفتواه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أترى أنّ الأمر بالرجوع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حيّا يدلّ على أنّ الميّت ممّا يمكن الرجوع إليه؟ وعلى تقدير الدلالة فلا دلالة فيها على ما هو المطلوب في زماننا ، فإنّ جواز الرجوع إلى الأموات فيما إذا كانوا مثل هؤلاء الأجلاّء الذين يكون فتاويهم بمنزلة رواياتهم ، كما يستفاد من قول الشيخ أبي القاسم العمري في كتب الشلمغاني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فيها ما قاله العسكري عليه‌السلام في كتب بني فضّال </w:t>
      </w:r>
      <w:r>
        <w:rPr>
          <w:rFonts w:eastAsia="Amiri" w:cs="Amiri" w:ascii="Amiri" w:hAnsi="Amiri"/>
          <w:color w:val="111111"/>
          <w:sz w:val="28"/>
          <w:szCs w:val="28"/>
          <w:rtl w:val="true"/>
          <w:lang w:bidi="ar-SA"/>
        </w:rPr>
        <w:t xml:space="preserve">» </w:t>
      </w:r>
      <w:r>
        <w:rPr>
          <w:rStyle w:val="FootnoteAnchor"/>
          <w:rtl w:val="true"/>
        </w:rPr>
        <w:footnoteReference w:id="1208"/>
      </w:r>
      <w:r>
        <w:rPr>
          <w:rFonts w:ascii="Amiri" w:hAnsi="Amiri" w:eastAsia="Amiri" w:cs="Amiri"/>
          <w:color w:val="111111"/>
          <w:sz w:val="28"/>
          <w:sz w:val="28"/>
          <w:szCs w:val="28"/>
          <w:rtl w:val="true"/>
          <w:lang w:bidi="ar-SA"/>
        </w:rPr>
        <w:t>فإنّه ينادي بأنّ فتاويهم إنّما هي متون الروايات ، فلا عبرة بقياس حال غيرهم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الأخبار العامّة ، وهي كثيرة</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وجوب قبول الحكم عند الترافع ، مثل رواية عمر بن حنظلة الواردة في الترجيحات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انظروا إلى من كان منكم قد روى حديثنا ونظر في حلالنا وحرامنا وعرف أحكامنا فارضوا به حاكما ، فإذا حكم بحكمنا فلم يقبل منه فإنّه بحكم اللّه استخفّ </w:t>
      </w:r>
      <w:r>
        <w:rPr>
          <w:rFonts w:eastAsia="Amiri" w:cs="Amiri" w:ascii="Amiri" w:hAnsi="Amiri"/>
          <w:color w:val="111111"/>
          <w:sz w:val="28"/>
          <w:szCs w:val="28"/>
          <w:rtl w:val="true"/>
          <w:lang w:bidi="ar-SA"/>
        </w:rPr>
        <w:t xml:space="preserve">» </w:t>
      </w:r>
      <w:r>
        <w:rPr>
          <w:rStyle w:val="FootnoteAnchor"/>
          <w:rtl w:val="true"/>
        </w:rPr>
        <w:footnoteReference w:id="120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مشهورة أبي خديجة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رجل يعرف شيئا من قضايانا فاجعلوه بينكم حكما </w:t>
      </w:r>
      <w:r>
        <w:rPr>
          <w:rFonts w:eastAsia="Amiri" w:cs="Amiri" w:ascii="Amiri" w:hAnsi="Amiri"/>
          <w:color w:val="111111"/>
          <w:sz w:val="28"/>
          <w:szCs w:val="28"/>
          <w:rtl w:val="true"/>
          <w:lang w:bidi="ar-SA"/>
        </w:rPr>
        <w:t xml:space="preserve">» </w:t>
      </w:r>
      <w:r>
        <w:rPr>
          <w:rStyle w:val="FootnoteAnchor"/>
          <w:rtl w:val="true"/>
        </w:rPr>
        <w:footnoteReference w:id="1210"/>
      </w:r>
      <w:r>
        <w:rPr>
          <w:rFonts w:ascii="Amiri" w:hAnsi="Amiri" w:eastAsia="Amiri" w:cs="Amiri"/>
          <w:color w:val="111111"/>
          <w:sz w:val="28"/>
          <w:sz w:val="28"/>
          <w:szCs w:val="28"/>
          <w:rtl w:val="true"/>
          <w:lang w:bidi="ar-SA"/>
        </w:rPr>
        <w:t xml:space="preserve">ودلالتهما على التقليد إمّا من 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1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لعدم القول بالفصل ، وإمّا بواسطة أنّ رفع الخصومة المترتّب </w:t>
      </w:r>
      <w:r>
        <w:rPr>
          <w:rStyle w:val="FootnoteAnchor"/>
          <w:rtl w:val="true"/>
        </w:rPr>
        <w:footnoteReference w:id="1212"/>
      </w:r>
      <w:r>
        <w:rPr>
          <w:rFonts w:ascii="Amiri" w:hAnsi="Amiri" w:eastAsia="Amiri" w:cs="Amiri"/>
          <w:color w:val="111111"/>
          <w:sz w:val="28"/>
          <w:sz w:val="28"/>
          <w:szCs w:val="28"/>
          <w:rtl w:val="true"/>
          <w:lang w:bidi="ar-SA"/>
        </w:rPr>
        <w:t>على القضاء فيكون موقوفا على قبول فتواه ويتمّ بالإجماع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وجوب الرجوع إليهم الشامل للرواية والفتوى بإطلاقه مثل قوله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رواه المشايخ الثلاثة في الغيبة وإكمال الدين والاحتجاج في التوقيع الشريف لاسحاق بن يعقوب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الحوادث الواقعة فارجعوا فيها إلى رواة أحاديثنا ، فإنّهم حجّتي عليكم وأنا حجّة اللّه </w:t>
      </w:r>
      <w:r>
        <w:rPr>
          <w:rFonts w:eastAsia="Amiri" w:cs="Amiri" w:ascii="Amiri" w:hAnsi="Amiri"/>
          <w:color w:val="111111"/>
          <w:sz w:val="28"/>
          <w:szCs w:val="28"/>
          <w:rtl w:val="true"/>
          <w:lang w:bidi="ar-SA"/>
        </w:rPr>
        <w:t xml:space="preserve">»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عليه‌السلام أمر بالرجوع إلى رواة الأحاديث وهو بإطلاقه شامل للرواية والفتوى ، وعلى التنزّل فقوله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فإنهم حجّتي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ذلك ؛ لأنّ الحجّة يقبل قوله وفتواه أيضا ، وهو دليل على اعتبار قوله بعد موته أيضا فإنّ الحجّة قوله معتبر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حجّة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يفيد أنّ حجّية من جعله حجّة إنّما هو من قبيل حجّية نفسه عليه‌السلام الموجب لاعتبار قولهم بعد موتهم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صريح في جواز التقليد ، كرواية الاحتجاج عن تفسير الإمام عليه‌السلام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أُمِّيُّونَ لا يَعْلَمُونَ الْكِتابَ </w:t>
      </w:r>
      <w:r>
        <w:rPr>
          <w:rFonts w:eastAsia="Amiri" w:cs="Amiri" w:ascii="Amiri" w:hAnsi="Amiri"/>
          <w:color w:val="111111"/>
          <w:sz w:val="28"/>
          <w:szCs w:val="28"/>
          <w:rtl w:val="true"/>
          <w:lang w:bidi="ar-SA"/>
        </w:rPr>
        <w:t xml:space="preserve">) </w:t>
      </w:r>
      <w:r>
        <w:rPr>
          <w:rStyle w:val="FootnoteAnchor"/>
          <w:rtl w:val="true"/>
        </w:rPr>
        <w:footnoteReference w:id="1214"/>
      </w:r>
      <w:r>
        <w:rPr>
          <w:rFonts w:ascii="Amiri" w:hAnsi="Amiri" w:eastAsia="Amiri" w:cs="Amiri"/>
          <w:color w:val="111111"/>
          <w:sz w:val="28"/>
          <w:sz w:val="28"/>
          <w:szCs w:val="28"/>
          <w:rtl w:val="true"/>
          <w:lang w:bidi="ar-SA"/>
        </w:rPr>
        <w:t xml:space="preserve">والرواية طويلة لا بأس بإيرادها ، وهو 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رجل للصادق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هؤلاء القوم من اليهود والنصارى لا يعرفون الكتاب إلاّ بما يسمعون من علمائهم لا سبيل لهم إلى غيره ، فكيف ذمّهم بتقليدهم والقبول من علمائهم ، وهل عوام اليهود إلاّ كعوامنا يقلّدون علماءهم ، فإنّ لم يجز لأولئك القبول من علمائهم لم يجز لهؤلاء القبول من علمائهم</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عوامنا وعلمائنا وبين عوام اليهود وعلمائهم فرق من جهة وتسوية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حيث استووا ، فإنّ اللّه تعالى ذمّ عوامنا بتقليدهم علماءهم كما ذمّ عوامهم بتقليدهم علماءهم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حيث افترقوا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بيّن لي يا بن رسول اللّه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عوام اليهود قد عرفوا علماءهم بالكذب الصريح وبأكل الحرام والرشا وتغيير الأحكام من وجهها بالشفاعات والتعصّب الشديد الذي يفارقون إليه أديانهم ، وأنّهم إذا تعصّبوا أزالوا حقوق من تعصّبوا عليه وأعطوا ما لا يستحقّه من تعصّبوا له من أموال غيرهم وظلموهم وعرفوهم يتعارفون </w:t>
      </w:r>
      <w:r>
        <w:rPr>
          <w:rStyle w:val="FootnoteAnchor"/>
          <w:rtl w:val="true"/>
        </w:rPr>
        <w:footnoteReference w:id="1215"/>
      </w:r>
      <w:r>
        <w:rPr>
          <w:rFonts w:ascii="Amiri" w:hAnsi="Amiri" w:eastAsia="Amiri" w:cs="Amiri"/>
          <w:color w:val="111111"/>
          <w:sz w:val="28"/>
          <w:sz w:val="28"/>
          <w:szCs w:val="28"/>
          <w:rtl w:val="true"/>
          <w:lang w:bidi="ar-SA"/>
        </w:rPr>
        <w:t>المحرّمات واضطرّوا بمعارف قلوبهم إلى أنّ من فعل ما يفعلونه فهو فاسق لا يجوز أن يصدّق على اللّه ولا على الوسائط بينهم وبين اللّه ، فلذلك ذمّهم لمّا قلّدوا من عرفوا ومن علموا أنّه لا يجوز قبول خبره ولا تصديقه ولا العمل فيما يؤدّيه إليهم عمّن لم يشاهدوه ، ووجب عليهم النظر بأنفسهم في أمر رسول اللّه صلى‌اللّه‌عليه‌وآله إذ كانت دلائله أوضح من أن تخفى وأشهر من أن لا تظهر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عوام أمّتنا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عرفوا من فقهائهم الفسق الظاهر والعصبيّة الشديدة والتكالب على حلال الدنيا وحرامها وإهلاك من يتعصّبون عليه وإن كان لإصلاح أمره مستحقّا ، وبالترفرف والإحسان على من تعصّبوا له وإن كان للإذلال والإهانة مستحقّا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قلّد من عوامنا مثل هؤلاء الفقهاء فهم مثل اليهود الذين ذمّهم اللّه بالتقليد لفسقة فقهائهم ، فأمّا من كان من الفقهاء صائنا لنفسه حافظا لدينه مخالفا على هواه مطيعا لأمر مولاه فللعوام أن يقلّدوه ، وذلك لا يكون إلاّ بعض فقهاء الشيعة لا جميعهم ، فأمّا من ركب من القبائح والفواحش مراكب فسقة فقهاء العامّة فلا تقبلوا منها عنّا شيئا ولا كرامة ، وإنّما كثر التخليط فيما يتحمّل عنّا أهل البيت لذلك ؛ لأنّ الفسقة يتحمّلون عنّا فيحرّفونه بأسره بجهلهم ويضعون الأشياء على غير وجهها لقلّة معرفتهم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Style w:val="FootnoteAnchor"/>
          <w:rtl w:val="true"/>
        </w:rPr>
        <w:footnoteReference w:id="1216"/>
      </w:r>
      <w:r>
        <w:rPr>
          <w:rFonts w:ascii="Amiri" w:hAnsi="Amiri" w:eastAsia="Amiri" w:cs="Amiri"/>
          <w:color w:val="111111"/>
          <w:sz w:val="28"/>
          <w:sz w:val="28"/>
          <w:szCs w:val="28"/>
          <w:rtl w:val="true"/>
          <w:lang w:bidi="ar-SA"/>
        </w:rPr>
        <w:t xml:space="preserve">يتعمّدون الكذب علينا ليجرّوا من عرض الدنيا ما هو يذرهم </w:t>
      </w:r>
      <w:r>
        <w:rPr>
          <w:rStyle w:val="FootnoteAnchor"/>
          <w:rtl w:val="true"/>
        </w:rPr>
        <w:footnoteReference w:id="1217"/>
      </w:r>
      <w:r>
        <w:rPr>
          <w:rFonts w:ascii="Amiri" w:hAnsi="Amiri" w:eastAsia="Amiri" w:cs="Amiri"/>
          <w:color w:val="111111"/>
          <w:sz w:val="28"/>
          <w:sz w:val="28"/>
          <w:szCs w:val="28"/>
          <w:rtl w:val="true"/>
          <w:lang w:bidi="ar-SA"/>
        </w:rPr>
        <w:t>في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قوم نصّاب لا يقدرون على القدح فينا يتعلّمون بعض علومنا الصحيحة فيتوجّهون عند شيعتنا وينتقصون بنا عند أعدائنا ثم يضعون أضعافه </w:t>
      </w:r>
      <w:r>
        <w:rPr>
          <w:rStyle w:val="FootnoteAnchor"/>
          <w:rtl w:val="true"/>
        </w:rPr>
        <w:footnoteReference w:id="1218"/>
      </w:r>
      <w:r>
        <w:rPr>
          <w:rFonts w:ascii="Amiri" w:hAnsi="Amiri" w:eastAsia="Amiri" w:cs="Amiri"/>
          <w:color w:val="111111"/>
          <w:sz w:val="28"/>
          <w:sz w:val="28"/>
          <w:szCs w:val="28"/>
          <w:rtl w:val="true"/>
          <w:lang w:bidi="ar-SA"/>
        </w:rPr>
        <w:t xml:space="preserve">من الأكاذيب علينا التي نحن براء منها فيتقبّله </w:t>
      </w:r>
      <w:r>
        <w:rPr>
          <w:rStyle w:val="FootnoteAnchor"/>
          <w:rtl w:val="true"/>
        </w:rPr>
        <w:footnoteReference w:id="1219"/>
      </w:r>
      <w:r>
        <w:rPr>
          <w:rFonts w:ascii="Amiri" w:hAnsi="Amiri" w:eastAsia="Amiri" w:cs="Amiri"/>
          <w:color w:val="111111"/>
          <w:sz w:val="28"/>
          <w:sz w:val="28"/>
          <w:szCs w:val="28"/>
          <w:rtl w:val="true"/>
          <w:lang w:bidi="ar-SA"/>
        </w:rPr>
        <w:t xml:space="preserve">المستسلمون من شيعتنا على أنّه من علومنا فضلّوا وأضلّوا ، أولئك أضرّ على ضعفاء شيعتنا من جيش يزيد لعنه اللّه على الحسين بن عليّ عليهما‌السلام </w:t>
      </w:r>
      <w:r>
        <w:rPr>
          <w:rStyle w:val="FootnoteAnchor"/>
          <w:rtl w:val="true"/>
        </w:rPr>
        <w:footnoteReference w:id="1220"/>
      </w:r>
      <w:r>
        <w:rPr>
          <w:rFonts w:ascii="Amiri" w:hAnsi="Amiri" w:eastAsia="Amiri" w:cs="Amiri"/>
          <w:color w:val="111111"/>
          <w:sz w:val="28"/>
          <w:sz w:val="28"/>
          <w:szCs w:val="28"/>
          <w:rtl w:val="true"/>
          <w:lang w:bidi="ar-SA"/>
        </w:rPr>
        <w:t>، انتهى الحديث الشريف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وجه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عليه‌السلام حكم بجواز تقليد من كان متّصفا بالصفات المذكورة من الصيانة لنفسه والحفظ لدينه ومخالفة الهوى وإطاعة المولى ، وحيث إنّه عليه‌السلام كان في مقام بيان الصفات التي يدور عليها جواز التقليد ولم يذكر الحياة فيها دلّ ذلك على عدم اعتبار الحياة في المفتي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تقرير الإمام عليه‌السلام للسائل أيضا دلالة على جواز التقليد ، إذ لو لم يكن جائزا كان الوجه في الجواب عدم التزام أصل التقليد من غير حاجة إلى بيان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هذا الحديث ما عن المحاسن في محكيّ البحار 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وبقول العلماء فاتبعوا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يستظهر منه جواز الرجوع إلى فتوى الميّت بخصوصه مثل ما سبق </w:t>
      </w:r>
      <w:r>
        <w:rPr>
          <w:rStyle w:val="FootnoteAnchor"/>
          <w:rtl w:val="true"/>
        </w:rPr>
        <w:footnoteReference w:id="1222"/>
      </w:r>
      <w:r>
        <w:rPr>
          <w:rFonts w:ascii="Amiri" w:hAnsi="Amiri" w:eastAsia="Amiri" w:cs="Amiri"/>
          <w:color w:val="111111"/>
          <w:sz w:val="28"/>
          <w:sz w:val="28"/>
          <w:szCs w:val="28"/>
          <w:rtl w:val="true"/>
          <w:lang w:bidi="ar-SA"/>
        </w:rPr>
        <w:t xml:space="preserve">من قول العسكري عليه‌السلام في كتب بني فضّال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خذوا ما رووا وذروا ما رأوا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 بعدم اتّباع ما رأوا لو كان بعد موتهم يشير إلى جواز الأخذ بما يراه غيرهم بعد موتهم ، وإلاّ لم يكن وجه لاختصاصهم بالحكم</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ما ورد في كتاب يونس بن عبد الرحمن المسمى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بعد أن نظر فيه وتصفّحه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ديني ودين آبائي </w:t>
      </w:r>
      <w:r>
        <w:rPr>
          <w:rFonts w:eastAsia="Amiri" w:cs="Amiri" w:ascii="Amiri" w:hAnsi="Amiri"/>
          <w:color w:val="111111"/>
          <w:sz w:val="28"/>
          <w:szCs w:val="28"/>
          <w:rtl w:val="true"/>
          <w:lang w:bidi="ar-SA"/>
        </w:rPr>
        <w:t xml:space="preserve">» </w:t>
      </w:r>
      <w:r>
        <w:rPr>
          <w:rStyle w:val="FootnoteAnchor"/>
          <w:rtl w:val="true"/>
        </w:rPr>
        <w:footnoteReference w:id="1223"/>
      </w:r>
      <w:r>
        <w:rPr>
          <w:rFonts w:ascii="Amiri" w:hAnsi="Amiri" w:eastAsia="Amiri" w:cs="Amiri"/>
          <w:color w:val="111111"/>
          <w:sz w:val="28"/>
          <w:sz w:val="28"/>
          <w:szCs w:val="28"/>
          <w:rtl w:val="true"/>
          <w:lang w:bidi="ar-SA"/>
        </w:rPr>
        <w:t xml:space="preserve">وقول أبي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رحم اللّه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يونس</w:t>
      </w:r>
      <w:r>
        <w:rPr>
          <w:rFonts w:eastAsia="Amiri" w:cs="Amiri" w:ascii="Amiri" w:hAnsi="Amiri"/>
          <w:color w:val="111111"/>
          <w:sz w:val="28"/>
          <w:szCs w:val="28"/>
          <w:rtl w:val="true"/>
          <w:lang w:bidi="ar-SA"/>
        </w:rPr>
        <w:t xml:space="preserve">! »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الروايات التي تدلّ على عدم تغيّر أحكام اللّه تعالى بمرور الدهور وبمضيّ الأعوام والشهور ، كقوله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حلال محمّد صلى‌اللّه‌عليه‌وآله حلال إلى يوم القيامة وحرامه حرام إلى يوم القيامة </w:t>
      </w:r>
      <w:r>
        <w:rPr>
          <w:rFonts w:eastAsia="Amiri" w:cs="Amiri" w:ascii="Amiri" w:hAnsi="Amiri"/>
          <w:color w:val="111111"/>
          <w:sz w:val="28"/>
          <w:szCs w:val="28"/>
          <w:rtl w:val="true"/>
          <w:lang w:bidi="ar-SA"/>
        </w:rPr>
        <w:t xml:space="preserve">» </w:t>
      </w:r>
      <w:r>
        <w:rPr>
          <w:rStyle w:val="FootnoteAnchor"/>
          <w:rtl w:val="true"/>
        </w:rPr>
        <w:footnoteReference w:id="1225"/>
      </w:r>
      <w:r>
        <w:rPr>
          <w:rFonts w:ascii="Amiri" w:hAnsi="Amiri" w:eastAsia="Amiri" w:cs="Amiri"/>
          <w:color w:val="111111"/>
          <w:sz w:val="28"/>
          <w:sz w:val="28"/>
          <w:szCs w:val="28"/>
          <w:rtl w:val="true"/>
          <w:lang w:bidi="ar-SA"/>
        </w:rPr>
        <w:t>فإنّ موت المجتهد لو كان مؤثّرا في عدم جواز الأخذ بفتواه كان ذلك موجبا لتحريم ما أحلّ اللّه وتحليل ما حرّم اللّه ، وهل هذا إلاّ مضحكة للنسوان وملعبة للصبيان؟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أنّ العلماء ورثة الأنبياء </w:t>
      </w:r>
      <w:r>
        <w:rPr>
          <w:rStyle w:val="FootnoteAnchor"/>
          <w:rtl w:val="true"/>
        </w:rPr>
        <w:footnoteReference w:id="1226"/>
      </w:r>
      <w:r>
        <w:rPr>
          <w:rFonts w:ascii="IRNazanin" w:hAnsi="IRNazanin" w:eastAsia="IRNazanin"/>
          <w:color w:val="111111"/>
          <w:sz w:val="28"/>
          <w:sz w:val="28"/>
          <w:szCs w:val="28"/>
          <w:rtl w:val="true"/>
          <w:lang w:bidi="fa-IR"/>
        </w:rPr>
        <w:t xml:space="preserve">، وأنّ مدادهم أفضل من دماء الشهداء </w:t>
      </w:r>
      <w:r>
        <w:rPr>
          <w:rStyle w:val="FootnoteAnchor"/>
          <w:rtl w:val="true"/>
        </w:rPr>
        <w:footnoteReference w:id="1227"/>
      </w:r>
      <w:r>
        <w:rPr>
          <w:rFonts w:ascii="Amiri" w:hAnsi="Amiri" w:eastAsia="Amiri" w:cs="Amiri"/>
          <w:color w:val="111111"/>
          <w:sz w:val="28"/>
          <w:sz w:val="28"/>
          <w:szCs w:val="28"/>
          <w:rtl w:val="true"/>
          <w:lang w:bidi="ar-SA"/>
        </w:rPr>
        <w:t xml:space="preserve">، وأنّ العلماء أفضل من انبياء بني اسرائيل </w:t>
      </w:r>
      <w:r>
        <w:rPr>
          <w:rStyle w:val="FootnoteAnchor"/>
          <w:rtl w:val="true"/>
        </w:rPr>
        <w:footnoteReference w:id="1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 فإنّ عموم المنزلة في الأخير وترجيح المداد على الدماء وكونهم ورثة الأنبياء ينافي سقوط قولهم عن درجة الاعتبار بعد مماتهم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الأخبار الدالّة على ترحيم العلماء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 اللّه خلفائي </w:t>
      </w:r>
      <w:r>
        <w:rPr>
          <w:rFonts w:eastAsia="Amiri" w:cs="Amiri" w:ascii="Amiri" w:hAnsi="Amiri"/>
          <w:color w:val="111111"/>
          <w:sz w:val="28"/>
          <w:szCs w:val="28"/>
          <w:rtl w:val="true"/>
          <w:lang w:bidi="ar-SA"/>
        </w:rPr>
        <w:t xml:space="preserve">»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جملة من الأخبار التي تدلّ على التسوية بين الحيّ والميّت في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بعد ما أحطت بما تقدّم في وجه التقريب في هذه الأخبار تقدر على القول بأنّ المناط في هذه الروايات إنّما هو القول الّذي لا ينبغي التشكيك في بقائه ؛ لأنّ ذلك شكّ في أصل وجوده كما في غيره من الأمور الغير القارّة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وبعد ذلك فلا فرق قطعا في حالتي الموت والحياة كالرواية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 الشكّ فلا إشكال في جريان الاستصحاب ؛ لأنّ الموضوع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مرتفع قطعا وإنّما الشكّ في ارتفاع الحكم عن ذلك الموضوع ، فيستصحب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فالرجوع إلى هذه الإطلاقات على تقدير عدم إجدائه في الحكم الواقعي فهو يجدي في الحكم الظاهري وجريان الاستصحاب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عن أخبار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بعد تسليم دلالتها على اعتبار الفتوى لا دلالة فيها على جواز الأخذ بقول الميّت ؛ لأنّ ذلك إمّا أن يكون مستفادا من الأولويّة أو بعدم القول بالفصل أو بواسطة التوقّف وعلى التقادير لا إطلاق فيها ، فإنّها كالأدلّة اللبيّة والقدر المتيقّن منها هو في صورة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التوقيع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اختصاص الرواية بالرواية كما عساه يظهر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رواة أحاديثنا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أخذ عنوان الراوي لعلّه يومئ إليه ، والرواية لا بدّ من العمل بها بعد الموت وقبله ؛ مضافا إلى أنّ الظاهر من التعليل هو الاختصاص بالأحياء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والتشبّه لا يجدي ، ضرورة عدم المساواة في جميع الأحكام العقليّة بل الشرعيّة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وقبول قول الإمام بعد الموت بواسطة العلم بصدقه لدليل العصمة ، وليس من الأحكام الشرعيّة ، كما هو ظاهر</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قول الإمام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الحوادث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كلاما ابتدائيّا في المقام ، بل الظاهر أنّ هذه الفقرة إنّما كانت مذكورة في السؤال ، فحاول الإمام عليه‌السلام جواب جميع الفقرات على وجه التفصيل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الحوادث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عموم هذه الفقرة وخصوصها موقوف على العموم </w:t>
      </w:r>
    </w:p>
    <w:p>
      <w:pPr>
        <w:pStyle w:val="BookText"/>
        <w:rPr/>
      </w:pPr>
      <w:r>
        <w:rPr>
          <w:rFonts w:ascii="Amiri" w:hAnsi="Amiri" w:eastAsia="Amiri" w:cs="Amiri"/>
          <w:color w:val="111111"/>
          <w:sz w:val="28"/>
          <w:sz w:val="28"/>
          <w:szCs w:val="28"/>
          <w:rtl w:val="true"/>
          <w:lang w:bidi="ar-SA"/>
        </w:rPr>
        <w:t xml:space="preserve">والخصوص في كلام السائل ، فلو فرضنا أنّ قائلا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عندي من مال زيد كذا وكذا ، وهل يجب ردّه إلى وارثه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في 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أموال زيد فادفعها إلى وارثه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للأخذ بعموم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المستفادة من إضافة الجمع ، لاتّحاد المراد منها في السؤال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لاستكشاف مراد السؤال من عموم الجواب وخصوصه ، فلعلّ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الحوادث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السؤال عبارة عن قضايا مخصوصة لا ينبغي الحكم بتسرية حكمها إلى غيرها ، فيكون الرواية حينئذ من المجملات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حال السائل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الأجلّة ، كجلالة الواسطة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ابو القاسم بن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الأبواب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السؤال عمّا هو الظاهر منها ، فإنّ ذلك ليس أمرا يخفى على مثل السائل والواسطة حتى يحتاج إلى إرسال التوقيع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يمكن الاستيناس لذلك ببعض فقرات السؤال الواردة في التوقيع كقوله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وجه الانتفاع في غيبتي فكالانتفاع بالشمس إذا غيّبتها السحاب عن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ما سألت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أرشدك اللّه وثبّتك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المنكرين لي من أهل بيتنا وبني عمّنا ، فاعلم أنّه ليس بين اللّه وعزّ وجلّ وبين أحد من قرابة ، ومن أنكرني فليس منّي وسبيله سبيل ابن نوح </w:t>
      </w:r>
      <w:r>
        <w:rPr>
          <w:rFonts w:eastAsia="Amiri" w:cs="Amiri" w:ascii="Amiri" w:hAnsi="Amiri"/>
          <w:color w:val="111111"/>
          <w:sz w:val="28"/>
          <w:szCs w:val="28"/>
          <w:rtl w:val="true"/>
          <w:lang w:bidi="ar-SA"/>
        </w:rPr>
        <w:t xml:space="preserve">» </w:t>
      </w:r>
      <w:r>
        <w:rPr>
          <w:rStyle w:val="FootnoteAnchor"/>
          <w:rtl w:val="true"/>
        </w:rPr>
        <w:footnoteReference w:id="1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فلا تطمئنّ النفس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مطّلعا على أحكام عباداته ومعاملاته حتى احتاج ذلك إلى المكاتبة إلى الحجّة مع شيوع التقليد والفتوى في ذلك الزمان ؛ وذلك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عن رواية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فبأنّه لا ريب في شمول الرواية لأصول الدين ، فإنّ مورد السؤال إنّما هو فيه لو لم نقل باختصاصها بذلك ، كما هو الظاهر منها على ما هو قضيّة الإنصاف ، فلا يجوز حمل التقليد على ما لا يجوز في الأصول لاستلزامه تخصيص المورد ، وهو قبيح في الغاية ، بل لا بدّ من حملها على ما يوجب الاعتقاد ، وهو عند التحقيق ليس تقليدا بل هو 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مقدّماته حاصلة بواسطة حسن الظنّ بالعالم الذي أفاد متابعته ذلك الاعتقاد ، ولا يتفاوت في مثل ذلك الموت والحياة ، والكلام إنّما هو في التقليد التعبّدي ، وليس بين التقليدين قدر جامع يصحّ استعمال اللفظ فيه على وجه لا يلزم استعمال اللفظ في أكثر من معنى ، فلا وجه لما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يحمل اللفظ على العموم ، وعلى تقديره فليس فيه إطلاق بالنسبة إلى حال الموت ، إذ التفصيل بين الموردين لا بدّ أن يعلم من دليل خارج من هذا الكلام ، كقيام الإجماع على كفاية التقليد التعبّدي في الفروع ؛ ومع ذلك لا وجه للإطلاق ،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خلاف الظاهر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من الاصطلاحات المتأخّرة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 الأخبار الدالّة على جواز فتوى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الرواية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يراد منه الفتوى ، بل يحتمل إرادة ما رواه من مذاهب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ذلك كما لعلّه الظاهر ، لكنّه لا يدلّ على جواز الأخذ بفتاويهم بعد موتهم ، إذ لم يدلّ دليل على انقطاعهم في ذلك الزمان</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عن الأخيرتين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دلالتهما على المطلوب أوضح ، إذ ترحيم يونس لا دلالة فيه على ما نحن فيه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 علم أنّ المكتوب في الكتاب إنّما كان من فتوى يونس وكان المقصود من عرضه على الإمام استعلام جواز العمل به كان ذلك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ديني ودين آبائي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ممّا لا دلالة فيه على المدّعى كما هو غير خفيّ</w:t>
      </w:r>
      <w:r>
        <w:rPr>
          <w:rFonts w:eastAsia="Amiri" w:cs="Amiri" w:ascii="Amiri" w:hAnsi="Amiri"/>
          <w:color w:val="111111"/>
          <w:sz w:val="28"/>
          <w:szCs w:val="28"/>
          <w:rtl w:val="true"/>
          <w:lang w:bidi="ar-SA"/>
        </w:rPr>
        <w:t xml:space="preserve">. </w:t>
      </w:r>
      <w:bookmarkStart w:id="328" w:name="pg16264_169791"/>
    </w:p>
    <w:p>
      <w:pPr>
        <w:pStyle w:val="BookText"/>
        <w:rPr/>
      </w:pPr>
      <w:bookmarkEnd w:id="328"/>
      <w:r>
        <w:rPr>
          <w:rFonts w:ascii="Amiri" w:hAnsi="Amiri" w:eastAsia="Amiri" w:cs="Amiri"/>
          <w:color w:val="111111"/>
          <w:sz w:val="28"/>
          <w:sz w:val="28"/>
          <w:szCs w:val="28"/>
          <w:rtl w:val="true"/>
          <w:lang w:bidi="ar-SA"/>
        </w:rPr>
        <w:t xml:space="preserve">وأمّا عن الروايات الدالّة على عدم تغيّر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الأولى الإعراض عن مثل هذه الاستدلالات الواهية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التمسّك بأمثال هذه الروايات إنّما يتمّ إذا كان الشكّ في رفع الحكم الشرعي في موضوع ثبت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الشكّ في ثبوت الحكم الشرعي في موضوع فالتمسّك بها يكون مضحكة للنسوان وملعبة للصبيان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 وإلاّ فاللازم أن يكون جميع الأمور المغيّرة لأوصاف الموضوعات التي بها تبدل حكمها محلّلا للحرام وبالعكس ، وذلك ظاهر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أخبار المنزلة والتفضيل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 منها أنّها واردة في مقام بيان الفضيلة وذكر علوّ درجاتهم ورفع مراتبهم ولا دخل لها بحجّية أقوالهم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التنزيل يوجب الأخذ بأقوالهم بعد الموت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أمثال هذه الاستدلالات توجب الوهن في الاعتماد على التمسّك بها ، فالأولى الإعراض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 معلوميّة المناط من هذه الأخبار ، فقد عرفت فسادها ، إذ لم يدلّ شيء منها على أصل التقليد ، فكيف يمكن تنقيح المناط منها؟ كدعوى تشخيص موضوع الحكم لترتيب الأحكام الظاهريّة ، فإنّ الظاهر أنّ ذلك ممّا لا يمكن الوصول إليه ، فإنّ دونه خرط القتاد</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4588740_1280447820"/>
      <w:bookmarkStart w:id="330" w:name="_Toc102"/>
      <w:bookmarkEnd w:id="329"/>
      <w:r>
        <w:rPr>
          <w:rtl w:val="true"/>
        </w:rPr>
        <w:t xml:space="preserve">وأمّا الإجماع </w:t>
      </w:r>
      <w:r>
        <w:rPr>
          <w:rtl w:val="true"/>
        </w:rPr>
        <w:t>:</w:t>
      </w:r>
      <w:bookmarkEnd w:id="330"/>
    </w:p>
    <w:p>
      <w:pPr>
        <w:pStyle w:val="BookText"/>
        <w:rPr/>
      </w:pPr>
      <w:r>
        <w:rPr>
          <w:rFonts w:ascii="Amiri" w:hAnsi="Amiri" w:eastAsia="Amiri" w:cs="Amiri"/>
          <w:color w:val="111111"/>
          <w:sz w:val="28"/>
          <w:sz w:val="28"/>
          <w:szCs w:val="28"/>
          <w:rtl w:val="true"/>
          <w:lang w:bidi="ar-SA"/>
        </w:rPr>
        <w:t>فالمنقول منه لم نقف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المحقّق فيمكن استعلامه من أمور </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الاعتداد بأقوال العلماء في الإجماع ولو كان بعد موتهم ، وذلك دليل على عدم سقوطها عن درجة الاعتبار عند العلماء ، وذلك أمر معلوم لمن راجع الكتب الفقهيّة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 العلماء على ضبط أقوالهم ومصنّفاتهم ، كما يظهر ذلك من تدوين الكتب وتسطير الأساطير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أنّ ذلك طريقة السلف والخلف حتى أنّ في بعض الأخبار حثّ على ذلك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متابعة بعضهم في المطالب للآخر في الاستدلال والفتوى ، وهو أمر معلوم ، كما يظهر 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وتبعه في ذلك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بعضهم </w:t>
      </w:r>
      <w:r>
        <w:rPr>
          <w:rStyle w:val="FootnoteAnchor"/>
          <w:rtl w:val="true"/>
        </w:rPr>
        <w:footnoteReference w:id="1232"/>
      </w:r>
      <w:r>
        <w:rPr>
          <w:rFonts w:ascii="Amiri" w:hAnsi="Amiri" w:eastAsia="Amiri" w:cs="Amiri"/>
          <w:color w:val="111111"/>
          <w:sz w:val="28"/>
          <w:sz w:val="28"/>
          <w:szCs w:val="28"/>
          <w:rtl w:val="true"/>
          <w:lang w:bidi="ar-SA"/>
        </w:rPr>
        <w:t>أنّ جماعة ممّن تأخّر عن الشيخ كانوا يقلّدونه إلى أن بدا للحلّي الاعتراض على الشيخ في مطالبه ، ففتح باب الاجتهاد بعد ذلك</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المحمدين الثلاث انتزعوا هذه الجوامع العظام من الأصول الأربعمائة وغيرها من الكتب ، ولم يستوفوا ما جاء في كلّ مسألة ولا ذكروه على نحو ما جاء ، بل كانوا إذا أرادوا الاستدلال على مسألة عمدوا إلى بعض ما جاء فيها وبعض ما يعارضه ممّا كان أخصر طريقا ، فذكروه وتركوا ما عدا ذلك قائما على أصوله وإن كان صحيح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تتبّع ما بقي من الأصول كالمحاسن عرف صحّة ذلك ، فإنّا وجدناه إذا عنون بابا من الأبواب وذكر فيه مثلا نحوا من عشرين خبرا وكان أكثرها من الصحاح عمد الكليني والشيخ إليها وانتزعوا بعضها وتركوا الباقي مع صحّتها محافظة على الاختصار ، ولو نقلوها برمّتها ، ربما فهموا منها غير ما عقلوه ، وربما عمدوا على الخبر الطويل يشمل على مسائل شتّى من أبواب متفرّقة فقطّعوه ووضعوا كلّ قطعة في الأبواب التي يناسبها ، وربما أرسلوا ما هو مسند اختصارا كما يقع كثيرا ، ومن هنا جاء الإضمار والقطع والإرسال وأنواع الاختلال ، فكان ما صنعوه من أقوى أنواع الاجتهاد ، ومع ذلك فعلماؤنا </w:t>
      </w:r>
    </w:p>
    <w:p>
      <w:pPr>
        <w:pStyle w:val="BookText"/>
        <w:rPr/>
      </w:pPr>
      <w:r>
        <w:rPr>
          <w:rFonts w:ascii="Amiri" w:hAnsi="Amiri" w:eastAsia="Amiri" w:cs="Amiri"/>
          <w:color w:val="111111"/>
          <w:sz w:val="28"/>
          <w:sz w:val="28"/>
          <w:szCs w:val="28"/>
          <w:rtl w:val="true"/>
          <w:lang w:bidi="ar-SA"/>
        </w:rPr>
        <w:t>قبلوا رواياتهم وعملوا بها واعتمدوا عليها وسكتوا عن الفحص عن الأصول القديمة والكتب السالفة ، وذلك من أعظم أنواع تقليد الأموات ، ولم نقف على أحد من أرباب العلم أنكر عليهم ، وذلك إجماع منهم على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المتأخّرين من أصحابنا على الاعتماد بالجرح والتعديل من علماء الرجال من دون فحص عن السبب ، وكم من أمر يكون سببا للوثاقة أو الجرح ولا يكون عند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فانظر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اشتهر عندهم بالضعف ونقل السيّد الجليل ابن طاوس عن المفيد توثيقه </w:t>
      </w:r>
      <w:r>
        <w:rPr>
          <w:rStyle w:val="FootnoteAnchor"/>
          <w:rtl w:val="true"/>
        </w:rPr>
        <w:footnoteReference w:id="1233"/>
      </w:r>
      <w:r>
        <w:rPr>
          <w:rFonts w:ascii="Amiri" w:hAnsi="Amiri" w:eastAsia="Amiri" w:cs="Amiri"/>
          <w:color w:val="111111"/>
          <w:sz w:val="28"/>
          <w:sz w:val="28"/>
          <w:szCs w:val="28"/>
          <w:rtl w:val="true"/>
          <w:lang w:bidi="ar-SA"/>
        </w:rPr>
        <w:t>؛ لأنّ السادة الأطهار عليهم‌السلام خصّوه بغرائب الأسرار التي لم يطلعوا عليها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يوثّق حتى وصلت النوبة إلى الشهيد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تحقّقت توثيقه من محلّ آخر </w:t>
      </w:r>
      <w:r>
        <w:rPr>
          <w:rFonts w:eastAsia="Amiri" w:cs="Amiri" w:ascii="Amiri" w:hAnsi="Amiri"/>
          <w:color w:val="111111"/>
          <w:sz w:val="28"/>
          <w:szCs w:val="28"/>
          <w:rtl w:val="true"/>
          <w:lang w:bidi="ar-SA"/>
        </w:rPr>
        <w:t xml:space="preserve">» </w:t>
      </w:r>
      <w:r>
        <w:rPr>
          <w:rStyle w:val="FootnoteAnchor"/>
          <w:rtl w:val="true"/>
        </w:rPr>
        <w:footnoteReference w:id="1234"/>
      </w:r>
      <w:r>
        <w:rPr>
          <w:rFonts w:ascii="Amiri" w:hAnsi="Amiri" w:eastAsia="Amiri" w:cs="Amiri"/>
          <w:color w:val="111111"/>
          <w:sz w:val="28"/>
          <w:sz w:val="28"/>
          <w:szCs w:val="28"/>
          <w:rtl w:val="true"/>
          <w:lang w:bidi="ar-SA"/>
        </w:rPr>
        <w:t xml:space="preserve">وبعد التفتيش علم أنّ الشهيد رحمه‌اللّه إنّما استفاد توثيقه من رواية ضعيفة قاصرة السند حيث سأله رجل أنّ عمر بن حنظلة قد أتانا ، 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إذن لا يكذب علينا </w:t>
      </w:r>
      <w:r>
        <w:rPr>
          <w:rFonts w:eastAsia="Amiri" w:cs="Amiri" w:ascii="Amiri" w:hAnsi="Amiri"/>
          <w:color w:val="111111"/>
          <w:sz w:val="28"/>
          <w:szCs w:val="28"/>
          <w:rtl w:val="true"/>
          <w:lang w:bidi="ar-SA"/>
        </w:rPr>
        <w:t xml:space="preserve">» </w:t>
      </w:r>
      <w:r>
        <w:rPr>
          <w:rStyle w:val="FootnoteAnchor"/>
          <w:rtl w:val="true"/>
        </w:rPr>
        <w:footnoteReference w:id="1235"/>
      </w:r>
      <w:r>
        <w:rPr>
          <w:rFonts w:ascii="Amiri" w:hAnsi="Amiri" w:eastAsia="Amiri" w:cs="Amiri"/>
          <w:color w:val="111111"/>
          <w:sz w:val="28"/>
          <w:sz w:val="28"/>
          <w:szCs w:val="28"/>
          <w:rtl w:val="true"/>
          <w:lang w:bidi="ar-SA"/>
        </w:rPr>
        <w:t>وذلك دليل على أنّ تقليد الأموات من شعار المجتهدين أيضا فكيف بالمقلّدين؟ إلى غير ذلك ممّا يفيد إطباقهم على الأخذ بأقوال الأموات</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دعوى الإجماع على هذه المسألة التي قد نقل غير واحد من الأساطين المهرة عدم </w:t>
      </w:r>
      <w:r>
        <w:rPr>
          <w:rStyle w:val="FootnoteAnchor"/>
          <w:rtl w:val="true"/>
        </w:rPr>
        <w:footnoteReference w:id="1236"/>
      </w:r>
      <w:r>
        <w:rPr>
          <w:rFonts w:ascii="Amiri" w:hAnsi="Amiri" w:eastAsia="Amiri" w:cs="Amiri"/>
          <w:color w:val="111111"/>
          <w:sz w:val="28"/>
          <w:sz w:val="28"/>
          <w:szCs w:val="28"/>
          <w:rtl w:val="true"/>
          <w:lang w:bidi="ar-SA"/>
        </w:rPr>
        <w:t>الخلاف فيها ليس إلاّ اجتراء على اللّه وافتراء على أمنائه فعهدتها على مدّعيها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الأمور التي يقفها </w:t>
      </w:r>
      <w:r>
        <w:rPr>
          <w:rStyle w:val="FootnoteAnchor"/>
          <w:rtl w:val="true"/>
        </w:rPr>
        <w:footnoteReference w:id="1237"/>
      </w:r>
      <w:r>
        <w:rPr>
          <w:rFonts w:ascii="Amiri" w:hAnsi="Amiri" w:eastAsia="Amiri" w:cs="Amiri"/>
          <w:color w:val="111111"/>
          <w:sz w:val="28"/>
          <w:sz w:val="28"/>
          <w:szCs w:val="28"/>
          <w:rtl w:val="true"/>
          <w:lang w:bidi="ar-SA"/>
        </w:rPr>
        <w:t xml:space="preserve">المدّعي فهي ممّا لا يزيح علّته ولا ينفع في غلّة </w:t>
      </w:r>
      <w:r>
        <w:rPr>
          <w:rStyle w:val="FootnoteAnchor"/>
          <w:rtl w:val="true"/>
        </w:rPr>
        <w:footnoteReference w:id="1238"/>
      </w:r>
      <w:r>
        <w:rPr>
          <w:rFonts w:ascii="Amiri" w:hAnsi="Amiri" w:eastAsia="Amiri" w:cs="Amiri"/>
          <w:color w:val="111111"/>
          <w:sz w:val="28"/>
          <w:sz w:val="28"/>
          <w:szCs w:val="28"/>
          <w:rtl w:val="true"/>
          <w:lang w:bidi="ar-SA"/>
        </w:rPr>
        <w:t>وإنّما هي كسراب بقيعة يحسبه الظمآن ماء ، فإذا قربت منها تراها موقدة لنار الغلّة ومزيدة للداء والعلّة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الإجماع على طريقة الحدس غير متوقّف على الاجتماع ، وعلى طريقة اللطف والبرهان فهو موقوف على الاجتماع ، إمّا في عصر واحد ، فلا حاجة أيضا إلى الاتّفاق في جميع الأعصار ، وإمّا في جميع الأعصار ، فلا بدّ من عدم الخلاف في جميعها لصدق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إنّما هو لأجل تحصيل الاتّفاق ولا ربط له بشيء من التقليد ، وذلك ظاهر لمن له عين البصارة فضلا من البصيرة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فائدة تدوين الكتب لا تنحصر في التقليد بل منها يعرف مواقع الإجماع وكيفيّات الاستنباطات وأطوار الاستدلالات وأنواع الاستخراجات من الأدلّة وإشارات الأخبار والالتفات إلى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من لم يذق حلاوة التحقيق وما شمّ من رائحة التدقيق يعتقد أنّ مثل هؤلاء الأجلّة الذين لهم القدح المعلّى من قداح الفضل كان بعضهم يقلّد بعضا ، وإنّما هو قياس غير جائز ؛ ولنعم ما قيل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كار پاكان را قياس از خود مگير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صرّحوا في كتبهم الأصوليّة والفروعيّة بعدم جواز التقليد على ما عرفت فيما تقدم</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الموافقة في الرأي والدليل ليس تقليدا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وتبعه في ذلك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دلالة فيه على التقليد كما لا يظنّ ذلك ذو مسكة ، بل المراد أنّه وافقه في ذلك ولفظة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بواسطة تقدّم زمانيّ بينهما ، </w:t>
      </w:r>
    </w:p>
    <w:p>
      <w:pPr>
        <w:pStyle w:val="BookText"/>
        <w:rPr/>
      </w:pPr>
      <w:r>
        <w:rPr>
          <w:rFonts w:ascii="Amiri" w:hAnsi="Amiri" w:eastAsia="Amiri" w:cs="Amiri"/>
          <w:color w:val="111111"/>
          <w:sz w:val="28"/>
          <w:sz w:val="28"/>
          <w:szCs w:val="28"/>
          <w:rtl w:val="true"/>
          <w:lang w:bidi="ar-SA"/>
        </w:rPr>
        <w:t>وأين ذلك من التقليد؟ ومن هذا القبيل حال اتّباع الشيخ والسيّد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حكاية معجبة مضحكة ، كيف زعموا في حقّ الفحول؟</w:t>
      </w:r>
    </w:p>
    <w:p>
      <w:pPr>
        <w:pStyle w:val="BookText"/>
        <w:rPr/>
      </w:pPr>
      <w:r>
        <w:rPr>
          <w:rFonts w:ascii="Amiri" w:hAnsi="Amiri" w:eastAsia="Amiri" w:cs="Amiri"/>
          <w:color w:val="111111"/>
          <w:sz w:val="28"/>
          <w:sz w:val="28"/>
          <w:szCs w:val="28"/>
          <w:rtl w:val="true"/>
          <w:lang w:bidi="ar-SA"/>
        </w:rPr>
        <w:t xml:space="preserve">وأمّا الرابع 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الاعتماد على الروايات المنقولة أو الجرح والتعديل ليس تقليدا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الاعتماد على النقل فيما لا يظهر لنا خلافه من العدل والثقة لا ارتباط له بالتقليد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احتمال الإرسال والقطع والإضمار وغيرها ممّا لا يعقل مدخليّته فيما نحن بصدده ، كما ذكره المستدلّ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أشرنا في الاعتراض على الفاضل التوني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حاول نقض دليل 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الاعتماد على الجرح والتعديل إمّا أن يكون وجه التوهّم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اعتماد على اعتقاد المعدّل والجارح </w:t>
      </w:r>
      <w:r>
        <w:rPr>
          <w:rStyle w:val="FootnoteAnchor"/>
          <w:rtl w:val="true"/>
        </w:rPr>
        <w:footnoteReference w:id="1239"/>
      </w:r>
      <w:r>
        <w:rPr>
          <w:rFonts w:ascii="Amiri" w:hAnsi="Amiri" w:eastAsia="Amiri" w:cs="Amiri"/>
          <w:color w:val="111111"/>
          <w:sz w:val="28"/>
          <w:sz w:val="28"/>
          <w:szCs w:val="28"/>
          <w:rtl w:val="true"/>
          <w:lang w:bidi="ar-SA"/>
        </w:rPr>
        <w:t>فيما يصير سببا لهما عنده ، فلو اعتقد أحد خمريّة مائع وشرب بقصد أنّه الخمر يحكم بفسقه بحسب اعتقاده أو اعتقد حرمة الماء فشربه فإنّه يحكم بفسقه ، وذلك اعتماد على اعتقاده بعد موته ، وهو يوجب تقليد الأموات بل ولو كانوا فسّاقا ، وهل هذا إلاّ عار وشنار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يكون وجه التوهّم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اعتماد على الشهادة بعد موته ، مع أنّ الموت لو كان مسقطا لقوله لم يكن وجه لاعتبار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يكون وجه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العدالة والفسق موقوفتان على مسائل اجتهاديّة كعدد الكبائر أو معناها ومعنى العدالة ، وكلّ ذلك من الأمور المختلف فيها ، وذلك معلوم قطعا ، فتارة يكون واحد عند بعضهم فاسقا بواسطة ارتكابه ما هو كبيرة عنده دون غيره ، وتارة يكون عدلا بواسطة اعتقاده أنّ العدالة عبارة عن حسن الظاهر ،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فالاعتماد على </w:t>
      </w:r>
    </w:p>
    <w:p>
      <w:pPr>
        <w:pStyle w:val="BookText"/>
        <w:rPr/>
      </w:pPr>
      <w:r>
        <w:rPr>
          <w:rFonts w:ascii="Amiri" w:hAnsi="Amiri" w:eastAsia="Amiri" w:cs="Amiri"/>
          <w:color w:val="111111"/>
          <w:sz w:val="28"/>
          <w:sz w:val="28"/>
          <w:szCs w:val="28"/>
          <w:rtl w:val="true"/>
          <w:lang w:bidi="ar-SA"/>
        </w:rPr>
        <w:t>الجرح والتعديل من هؤلاء المختلفين في المسألة يوجب تقليدهم فيما اعتقدوا ، بل ويوجب ذلك مع عدم علمهم بفتواهم وأنت خبير بأنّ شيئا من ذلك ممّا لا يقبل التفوّه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مداره ليس على الواقع وإنّما هو منوط باعتقاده ، وما يحكم به من الأمور المترتّبة على ذلك ليس مربوطا بالتقليد كما لا يكاد يخفى على أوائل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المناط في الشهادة هو القول الموجود بعد الموت أيضا ، إذ حدوثه يكفي عن بقائه في الأزمنة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مبنيّ على حمل العبارة الواقعة من المعدّل والجارح على الواقع ، أو على معتقده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يعتمد عليه من هذه الجهة ، وعلى الثاني فالموافق له في الاعتقاد ربما يوافقه والمخالف له لا يوافقه ، ولعل إطباقهم على عدم الفحص عن حال المعدّل ورأيه إنّما هو دليل على حمل العبارة الواقعة في مقام التعديل والجرح على الواقع ، فلا وجه لحسبان أمثال ذلك دليلا على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ذلك يوجب التعويل على قول الفاسق على الأوّل كما أشرنا إليه ، والاعتماد على ما ليس معلوما على الثاني ، وهل هذا إلاّ بهت؟</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استفادة التوثيق من الأمور الاجتهاديّة فلا نسلّم أنّهم يعوّلون عليه من دون مراجعة إلى ما هو السبب في ذلك بعد علمهم بأنّ التوثيق إنّما نشأ من الاجتهاد ، كما يظهر من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جماعة من الأصحاب </w:t>
      </w:r>
      <w:r>
        <w:rPr>
          <w:rStyle w:val="FootnoteAnchor"/>
          <w:rtl w:val="true"/>
        </w:rPr>
        <w:footnoteReference w:id="1240"/>
      </w:r>
      <w:r>
        <w:rPr>
          <w:rFonts w:ascii="Amiri" w:hAnsi="Amiri" w:eastAsia="Amiri" w:cs="Amiri"/>
          <w:color w:val="111111"/>
          <w:sz w:val="28"/>
          <w:sz w:val="28"/>
          <w:szCs w:val="28"/>
          <w:rtl w:val="true"/>
          <w:lang w:bidi="ar-SA"/>
        </w:rPr>
        <w:t>أنكروا على الشهيد في توثيقه المستفاد من الخبر ، ونحن أيضا قد اعتمدنا على ما ذهب إليه الشهيد ، لاعتقاد الدلالة في الرواية</w:t>
      </w:r>
      <w:r>
        <w:rPr>
          <w:rFonts w:eastAsia="Amiri" w:cs="Amiri" w:ascii="Amiri" w:hAnsi="Amiri"/>
          <w:color w:val="111111"/>
          <w:sz w:val="28"/>
          <w:szCs w:val="28"/>
          <w:rtl w:val="true"/>
          <w:lang w:bidi="ar-SA"/>
        </w:rPr>
        <w:t xml:space="preserve">.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بقي الكلام فيما ذكره الشريف الجزائري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منبع الحياة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كتب الفقه شرح لكتب الحديث ، كما ذكرناه في صدر الباب </w:t>
      </w:r>
      <w:r>
        <w:rPr>
          <w:rStyle w:val="FootnoteAnchor"/>
          <w:rtl w:val="true"/>
        </w:rPr>
        <w:footnoteReference w:id="1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أجاد المولى البهبهاني في فوائده فيما أورد عليه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ما تقول لو لم يكن كتب الفقه موجودة أو كانت موجودة لكن لم يوجد من يفهم كتبهم ، إذ فهم كتبهم على وجه الصحّة والإصابة لا يتحقّق للفضلاء فضلا عن العوامّ ؛ على أنّ الذي يفهمها لا يكاده أن يعثر على خلافاتهم ، مثل أنّ الماء القليل ينجس بالملاقاة وأنّ الكرّ ما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إلى آخر كتبهم ، إذ لا يكاد يتحقّق مسألة وفاقيّة لا تكون من ضروري الدين أو ضروريّ المذهب ، والضروريّ لا تقليد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تكون من غير الضروريّ لكن تنفع المقلّد من حيث عدم ارتباطها في مقام العمل بالمسائل الخلافيّة ، إذ جلّها لا يتمّ العمل إلاّ بضميمة الخلافيّات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الأخباريّين يمنعون عن العمل بفتاوى المجتهدين مطلقا والمجتهدون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ما يقولون في الوقائع الخاصّة والحوادث الجزئيّة التي ليست مذكورة في كتب الفقهاء بخصوصها؟ وغالب ما يحتاج الناس إليه من هذا القبيل ولا يستنبط من الكتب ، أو يستنبط لكن لا يقدر على استنباطه كلّ أحد ، بل ربما لا يقدر على استنباطه سوى المجتهد ، سيّما إذا تعلّق الواقعة بالوقائع المشكلة مثل القصر والإتمام والرضاع ، وغير ذلك من المعضلات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العدالة مثلا يحتاج إليها في غالب الأحوال في المعاملات والعبادات والإيقاعات ، فلو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موجودا أو لم يكن ممّن يعرف العدالة بأنّها هي الملكة أو عدم ظهور الفسق وأنّها هل تتحقّق باجتناب </w:t>
      </w:r>
    </w:p>
    <w:p>
      <w:pPr>
        <w:pStyle w:val="BookText"/>
        <w:rPr/>
      </w:pPr>
      <w:r>
        <w:rPr>
          <w:rFonts w:ascii="Amiri" w:hAnsi="Amiri" w:eastAsia="Amiri" w:cs="Amiri"/>
          <w:color w:val="111111"/>
          <w:sz w:val="28"/>
          <w:sz w:val="28"/>
          <w:szCs w:val="28"/>
          <w:rtl w:val="true"/>
          <w:lang w:bidi="ar-SA"/>
        </w:rPr>
        <w:t>الكبائر أو الصغائر أيضا وأنّ من الكبائر الإصرار بالصغائر وأنّ الاصرار بما ذا يتحقّق؟ وأنّه هل يعتبر فيه اجتناب المنافيات للمروّة أم لا؟ وعلى تقديره فأيّ شيء هي؟ وأنّه لا بدّ من المعاشرة الباطنيّة أو تكفي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 لو لم يكن العادل أو من يعرف العدالة أو العادل ما ذا يصنعون؟ وهذه هي الشبهة المذكورة في لسان العامّة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حسبنا الروايات والاجتهادات </w:t>
      </w:r>
      <w:r>
        <w:rPr>
          <w:rFonts w:eastAsia="Amiri" w:cs="Amiri" w:ascii="Amiri" w:hAnsi="Amiri"/>
          <w:color w:val="111111"/>
          <w:sz w:val="28"/>
          <w:szCs w:val="28"/>
          <w:rtl w:val="true"/>
          <w:lang w:bidi="ar-SA"/>
        </w:rPr>
        <w:t xml:space="preserve">»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وأطال رحمه‌اللّه في النقض والإبرام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أفاده وإن لم يكن خاليا عن النظر كما لا يخفى على من أمعن فيها </w:t>
      </w:r>
      <w:r>
        <w:rPr>
          <w:rStyle w:val="FootnoteAnchor"/>
          <w:rtl w:val="true"/>
        </w:rPr>
        <w:footnoteReference w:id="1243"/>
      </w:r>
      <w:r>
        <w:rPr>
          <w:rFonts w:ascii="Amiri" w:hAnsi="Amiri" w:eastAsia="Amiri" w:cs="Amiri"/>
          <w:color w:val="111111"/>
          <w:sz w:val="28"/>
          <w:sz w:val="28"/>
          <w:szCs w:val="28"/>
          <w:rtl w:val="true"/>
          <w:lang w:bidi="ar-SA"/>
        </w:rPr>
        <w:t>، إلاّ أنّ فيه الجواب أيضا ، فتدبّر</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يستدلّ على الجواز بالعسر والحرج ، وستعرف الكلام فيه</w:t>
      </w:r>
      <w:r>
        <w:rPr>
          <w:rFonts w:eastAsia="Amiri" w:cs="Amiri" w:ascii="Amiri" w:hAnsi="Amiri"/>
          <w:color w:val="111111"/>
          <w:sz w:val="28"/>
          <w:szCs w:val="28"/>
          <w:rtl w:val="true"/>
          <w:lang w:bidi="ar-SA"/>
        </w:rPr>
        <w:t xml:space="preserve">. </w:t>
      </w:r>
      <w:bookmarkStart w:id="331" w:name="pg16264_169799"/>
    </w:p>
    <w:p>
      <w:pPr>
        <w:pStyle w:val="Heading3"/>
        <w:numPr>
          <w:ilvl w:val="2"/>
          <w:numId w:val="1"/>
        </w:numPr>
        <w:rPr/>
      </w:pPr>
      <w:bookmarkStart w:id="332" w:name="__RefHeading___Toc4588742_1280447820"/>
      <w:bookmarkStart w:id="333" w:name="_Toc103"/>
      <w:bookmarkEnd w:id="331"/>
      <w:bookmarkEnd w:id="332"/>
      <w:r>
        <w:rPr>
          <w:rtl w:val="true"/>
        </w:rPr>
        <w:t>هداية</w:t>
      </w:r>
      <w:bookmarkEnd w:id="333"/>
    </w:p>
    <w:p>
      <w:pPr>
        <w:pStyle w:val="BookText"/>
        <w:rPr/>
      </w:pPr>
      <w:r>
        <w:rPr>
          <w:rFonts w:ascii="Amiri" w:hAnsi="Amiri" w:eastAsia="Amiri" w:cs="Amiri"/>
          <w:color w:val="111111"/>
          <w:sz w:val="28"/>
          <w:sz w:val="28"/>
          <w:szCs w:val="28"/>
          <w:rtl w:val="true"/>
          <w:lang w:bidi="ar-SA"/>
        </w:rPr>
        <w:t>قد عرفت نسبة التفصيل إلى الفاضل التوني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بنقل كلامه ليتّضح مرامه ، قال بعد المنع عن عموم النهي عن التقليد واختصاصه بالأصول ، والمنع من انعقاد الإجماع في جواز التقليد </w:t>
      </w:r>
      <w:r>
        <w:rPr>
          <w:rStyle w:val="FootnoteAnchor"/>
          <w:rtl w:val="true"/>
        </w:rPr>
        <w:footnoteReference w:id="1244"/>
      </w:r>
      <w:r>
        <w:rPr>
          <w:rFonts w:ascii="Amiri" w:hAnsi="Amiri" w:eastAsia="Amiri" w:cs="Amiri"/>
          <w:color w:val="111111"/>
          <w:sz w:val="28"/>
          <w:sz w:val="28"/>
          <w:szCs w:val="28"/>
          <w:rtl w:val="true"/>
          <w:lang w:bidi="ar-SA"/>
        </w:rPr>
        <w:t xml:space="preserve">بزعم أنّها مسألة غير معهودة من أيّام الأئمة عليهم‌السلام ، والتمسّك بإطلاق الأخبار الخاصّة ، واندفاع العسر والحرج الموجبين للتقليد بمتابعة الميّت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يختلج في الخاطر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علم من حاله أنّه لا يفتي إلاّ بمنطوقات الأدلّة ومدلولاتها الصريحة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كابني بابويه وغيرهما من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تقليده حيّا كان أو ميّتا ، ولا يتفاوت حياته وموته في فتاويه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لا يعلم من حاله ذلك كمن يعمل باللوازم الغير البيّنة والأفراد والجزئيّات الغير البيّنة الاندراج فيشكل تقليده حيّا كان أو ميّتا ، فإنّ من تتبّع وظهر عليه كثرة اختلاف الفقهاء في الأحكام يعلم أنّ قليل الغلط في هذه الأحكام قليل ، مع أنّ شرط صحّة التقليد ندرة الغلط</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مقدّمات هذه الأحكام لمّا لم يوجد فيها نصّ صريح كثيرا ما يشتبه فيها الظنّ بالقطعيّ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يشتبه الحال فيتوهّم جواز الاعتماد على مطلق الظنّ فيها فيكثر فيها الاختلاف ، ولهذا قلّما يوجد في مقدّمات هذا القسم مقدّمة غير قابلة للمنع ، بل مقدّمة لم يذهب أحد إلى منعها وبطلانها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الاختلاف الواقع في القسم الأوّل ، فإنّه يرجع إلى اختلاف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يبطل جواز اعتماد المجتهد في هذا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ذلك ؛ لأنّه إذا حصل له الجزم باللزوم والفرديّة يحصل له الجزم بالحكم الشرعيّ ومخالفة الحكم المقطوع به غير معقول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هذا ، فالأولى والأحوط للمقلّد المتمكّن من فهم العبارات أن لا يعتمد على فتوى القسم الثاني من الفقهاء إلاّ بعد العرض على الأحاديث ، بل لو عكس أيضا كان أحوط </w:t>
      </w:r>
      <w:r>
        <w:rPr>
          <w:rStyle w:val="FootnoteAnchor"/>
          <w:rtl w:val="true"/>
        </w:rPr>
        <w:footnoteReference w:id="124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منع عموم النهي عن التقليد واتّباع غير العلم فهو ممّا لا ينبغي الإصغاء إليه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الأمور الضرورية وقد دلّ على حرمته 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فيكفي من الكتاب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آللهُ أَذِنَ لَكُمْ أَمْ عَلَى اللّهِ تَفْتَرُونَ </w:t>
      </w:r>
      <w:r>
        <w:rPr>
          <w:rFonts w:eastAsia="Amiri" w:cs="Amiri" w:ascii="Amiri" w:hAnsi="Amiri"/>
          <w:color w:val="111111"/>
          <w:sz w:val="28"/>
          <w:szCs w:val="28"/>
          <w:rtl w:val="true"/>
          <w:lang w:bidi="ar-SA"/>
        </w:rPr>
        <w:t xml:space="preserve">) </w:t>
      </w:r>
      <w:r>
        <w:rPr>
          <w:rStyle w:val="FootnoteAnchor"/>
          <w:rtl w:val="true"/>
        </w:rPr>
        <w:footnoteReference w:id="1246"/>
      </w:r>
      <w:r>
        <w:rPr>
          <w:rFonts w:ascii="Amiri" w:hAnsi="Amiri" w:eastAsia="Amiri" w:cs="Amiri"/>
          <w:color w:val="111111"/>
          <w:sz w:val="28"/>
          <w:sz w:val="28"/>
          <w:szCs w:val="28"/>
          <w:rtl w:val="true"/>
          <w:lang w:bidi="ar-SA"/>
        </w:rPr>
        <w:t>ولا سبيل لتوهّم الاختصاص فيه حيث إنّ الإنكار على مجرّد عدم الإذن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السنّة رواية القضاة أربعة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الإجماع ما حكاه الوحيد البهبهاني من ضرورة صبيان الإماميّة ونسائهم على عدم الجواز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العقل ، فلا ريب أنّ في ذلك تقوّلا على اللّه العليم ، وهو ظلم في </w:t>
      </w:r>
    </w:p>
    <w:p>
      <w:pPr>
        <w:pStyle w:val="BookText"/>
        <w:rPr/>
      </w:pPr>
      <w:r>
        <w:rPr>
          <w:rFonts w:ascii="Amiri" w:hAnsi="Amiri" w:eastAsia="Amiri" w:cs="Amiri"/>
          <w:color w:val="111111"/>
          <w:sz w:val="28"/>
          <w:sz w:val="28"/>
          <w:szCs w:val="28"/>
          <w:rtl w:val="true"/>
          <w:lang w:bidi="ar-SA"/>
        </w:rPr>
        <w:t xml:space="preserve">حقّه تعالى المحرّم عقلا ؛ مضافا 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تَقَوَّلَ عَلَيْنا بَعْضَ الْأَقاوِيلِ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لَأَخَذْنا مِنْهُ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الْوَتِينَ </w:t>
      </w:r>
      <w:r>
        <w:rPr>
          <w:rFonts w:eastAsia="Amiri" w:cs="Amiri" w:ascii="Amiri" w:hAnsi="Amiri"/>
          <w:color w:val="111111"/>
          <w:sz w:val="28"/>
          <w:szCs w:val="28"/>
          <w:rtl w:val="true"/>
          <w:lang w:bidi="ar-SA"/>
        </w:rPr>
        <w:t xml:space="preserve">) </w:t>
      </w:r>
      <w:r>
        <w:rPr>
          <w:rStyle w:val="FootnoteAnchor"/>
          <w:rtl w:val="true"/>
        </w:rPr>
        <w:footnoteReference w:id="1249"/>
      </w:r>
      <w:r>
        <w:rPr>
          <w:rFonts w:ascii="Amiri" w:hAnsi="Amiri" w:eastAsia="Amiri" w:cs="Amiri"/>
          <w:color w:val="111111"/>
          <w:sz w:val="28"/>
          <w:sz w:val="28"/>
          <w:szCs w:val="28"/>
          <w:rtl w:val="true"/>
          <w:lang w:bidi="ar-SA"/>
        </w:rPr>
        <w:t>ومرّ ذلك مفصّلا على وجه لا مزيد عليه في مباحث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دعوى اختصاص تلك النواهي يوجب هدم أساس الأخباريّين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يعتمدون على هذه العمومات عند إثبات كلّ مجهول ولو كان بينهما بعد المشرقين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على من تدبّر كلماتهم في مطاويها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وأفسد من ذلك ما قاله المحقّق القمي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الاستدلال بعمومات حرمة العمل بالظنّ استدلال بالظنّ ، فمعنى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حرمة العمل بالظنّ إلاّ ظنّ المجتهد وإلاّ تقليد المجتهد الحيّ معناه أنّا نظنّ حرمة العمل بالظنّ ، فإذا حصل الظنّ للمقلّد بأنّ ما قاله الميّت هو حكم اللّه فكيف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أظنّ أنّه ليس حكم اللّه </w:t>
      </w:r>
      <w:r>
        <w:rPr>
          <w:rStyle w:val="FootnoteAnchor"/>
          <w:rtl w:val="true"/>
        </w:rPr>
        <w:footnoteReference w:id="1250"/>
      </w:r>
      <w:r>
        <w:rPr>
          <w:rFonts w:ascii="IRNazanin" w:hAnsi="IRNazanin" w:eastAsia="IRNazanin"/>
          <w:color w:val="111111"/>
          <w:sz w:val="28"/>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بعد الغضّ عمّا زعمه من أنّ ظواهر الكتاب غير معلوم جواز العمل بها إلاّ من حيث اندراجها تحت 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قد فرغنا عن إبطاله في مباحث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ذلك الأصل لا ينحصر في الكتاب في آية منها ، بل وذلك يستفاد من الكتاب علما بواسطة تعاضد الظواهر ، بل الأخبار في ذلك متواترة حتى أنّ بعض المتأخّرين </w:t>
      </w:r>
      <w:r>
        <w:rPr>
          <w:rStyle w:val="FootnoteAnchor"/>
          <w:rtl w:val="true"/>
        </w:rPr>
        <w:footnoteReference w:id="1251"/>
      </w:r>
      <w:r>
        <w:rPr>
          <w:rFonts w:ascii="Amiri" w:hAnsi="Amiri" w:eastAsia="Amiri" w:cs="Amiri"/>
          <w:color w:val="111111"/>
          <w:sz w:val="28"/>
          <w:sz w:val="28"/>
          <w:szCs w:val="28"/>
          <w:rtl w:val="true"/>
          <w:lang w:bidi="ar-SA"/>
        </w:rPr>
        <w:t>قد تصدّى بجمعها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خمسمائة رواية </w:t>
      </w:r>
      <w:r>
        <w:rPr>
          <w:rStyle w:val="FootnoteAnchor"/>
          <w:rtl w:val="true"/>
        </w:rPr>
        <w:footnoteReference w:id="1252"/>
      </w:r>
      <w:r>
        <w:rPr>
          <w:rFonts w:ascii="Amiri" w:hAnsi="Amiri" w:eastAsia="Amiri" w:cs="Amiri"/>
          <w:color w:val="111111"/>
          <w:sz w:val="28"/>
          <w:sz w:val="28"/>
          <w:szCs w:val="28"/>
          <w:rtl w:val="true"/>
          <w:lang w:bidi="ar-SA"/>
        </w:rPr>
        <w:t>، والضرورة الدينيّة أيضا قد ادّعوها كالضرورة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كلامه يناقض </w:t>
      </w:r>
    </w:p>
    <w:p>
      <w:pPr>
        <w:pStyle w:val="BookText"/>
        <w:rPr/>
      </w:pPr>
      <w:r>
        <w:rPr>
          <w:rFonts w:ascii="Amiri" w:hAnsi="Amiri" w:eastAsia="Amiri" w:cs="Amiri"/>
          <w:color w:val="111111"/>
          <w:sz w:val="28"/>
          <w:sz w:val="28"/>
          <w:szCs w:val="28"/>
          <w:rtl w:val="true"/>
          <w:lang w:bidi="ar-SA"/>
        </w:rPr>
        <w:t xml:space="preserve">ما أفاده في بعض إفاداته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منافاة بين حصول الظنّ مع الظنّ بعدم جواز العمل به ، فلا منافاة بين حصول الظنّ من قول الميّت مع الظنّ بعدم جواز العمل بهذا الظنّ </w:t>
      </w:r>
      <w:r>
        <w:rPr>
          <w:rStyle w:val="FootnoteAnchor"/>
          <w:rtl w:val="true"/>
        </w:rPr>
        <w:footnoteReference w:id="1253"/>
      </w:r>
      <w:r>
        <w:rPr>
          <w:rFonts w:ascii="Amiri" w:hAnsi="Amiri" w:eastAsia="Amiri" w:cs="Amiri"/>
          <w:color w:val="111111"/>
          <w:sz w:val="28"/>
          <w:sz w:val="28"/>
          <w:szCs w:val="28"/>
          <w:rtl w:val="true"/>
          <w:lang w:bidi="ar-SA"/>
        </w:rPr>
        <w:t>كما عرفت فيما أفاده في الجواب عن الإجماع المنقول على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المنع من انعقاد الإجماع على جواز التقليد فهو ممّا لا يسمع منه بعد ما ترى من إطباق الخلف والسلف على ذلك على وجه لا يستراب فيه المنصف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تداولها بين أصحاب الأئمّة عليهم‌السلام فهو أفسد من سابقه ، لما اعترف به من إطلاق الأمر بالرجوع إلى أصحاب الأئمّة عليهم‌السلام وإن كان دعوى الإطلاق فيها بعيدا عن الإنصاف ، لظهورها في الحياة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Style w:val="FootnoteAnchor"/>
          <w:rtl w:val="true"/>
        </w:rPr>
        <w:footnoteReference w:id="125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تخصيص الحي وإخراج الميّت يحتاج إلى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على تقدير الإطلاق وليس في الأدلّة الخاصّة والعامّة بأسرها دلالة على التقليد التعبّدي فكيف بإطلاقها للميّت؟</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أفاده من التفصيل ، فهو ذهاب إلى ما ذهب إليه الظاهريّون ورجوع عمّا أسّسه العلماء الإلهيّون وهدم لبنيان الاجتهاد والفتوى ، كما نبّهنا عليه في أوّل المسألة ؛ مضافا إلى أنّ الحكم بقلّة الغلط في القسم الأوّل وكثرته في القسم الثاني غلط خارج عن حدّ الإنصاف ، فهل ترى أنّ مثل المفيد والشيخ وغيرهما من أصحاب القسم الثاني أكثر خطأ عن غيرهم من أصحاب القسم الأوّل على ما 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بذلك إنّما هو رجم بالغيب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اشتباه الظنّي بالقطعيّ وتوهّم الاعتماد على مطلق الظنّ وغير ذلك ، فهو ممّا ليس بضائر فيما نحن بصدده بعد ثبوت مشروعيّة التقليد بالضرورة ؛ مع أنّ باب الاشتباه غير منسدّ على القسم الأوّل ، فإنّ المستدلّ يعدّ نفسه منهم مع ما ترى في كلماته من الاشتباه ما لا يوجد في كلام غيره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فالأولى والأحوط </w:t>
      </w:r>
      <w:r>
        <w:rPr>
          <w:rFonts w:eastAsia="IRNazanin" w:cs="IRNazanin"/>
          <w:color w:val="111111"/>
          <w:sz w:val="28"/>
          <w:szCs w:val="28"/>
          <w:rtl w:val="true"/>
          <w:lang w:bidi="fa-IR"/>
        </w:rPr>
        <w:t xml:space="preserve">» </w:t>
      </w:r>
      <w:r>
        <w:rPr>
          <w:rStyle w:val="FootnoteAnchor"/>
          <w:rtl w:val="true"/>
        </w:rPr>
        <w:footnoteReference w:id="1255"/>
      </w:r>
      <w:r>
        <w:rPr>
          <w:rFonts w:ascii="Amiri" w:hAnsi="Amiri" w:eastAsia="Amiri" w:cs="Amiri"/>
          <w:color w:val="111111"/>
          <w:sz w:val="28"/>
          <w:sz w:val="28"/>
          <w:szCs w:val="28"/>
          <w:rtl w:val="true"/>
          <w:lang w:bidi="ar-SA"/>
        </w:rPr>
        <w:t>فهو يشعر بجواز تقليد غير القسم الأوّل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له بعد زعمه كثرة الخطأ في القسم الثاني ، فإنّ النادر عند العقل كالمعدوم ؛ مضافا إلى أنّ المتمكّن من فهم الخطابات كيف يعتمد على عرضه حتّى يأخذ بالموافق ويرفض المخالف؟ مع جواز أن يكون الخبر الموافق مقرونا في الواقع بمعارض أقوى أو مقيّد أو مخصّص ؛ مضافا إلى أنّه يجوز عنده أن يكون الموافق قد رفضه الأصحاب المطّلعون على دقائق أسرار الشريعة الذين وصل إليهم الأحكام الشرعيّة بواسطة العدول والثقات يدا بيد ، فإنّ علومهم مأخوذة من أفواه هؤلاء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ذلك المعروض عليه مخالفا لما عليه الإماميّة ، إذ ليس ذلك أمرا عزيزا في أخبارنا كما هو ظاهر ، فلا خير في موافقته ، كما أنّه لا ضير في مخالفته ، إذ مع عدم سدّ هذه الاحتمالات لا يجوز الاعتماد ، ومع السدّ لا حاجة إلى ملاحظة الخبر ، إذ لا وجه للسدّ إلاّ بالقول برجوعه إلى المجتهد من دون ملاحظة دليل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ملاحظة العامّي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الغير القادر على استنباط المسائل من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وجودها كعدمها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قول بوجوب الاجتهاد علينا ، إذ بدونه لا ينفع ما ذكره ، ثم إنّه إذا لم نجد موافقا أو مخالفا فما ذا نصنع؟</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الرجوع إلى المفتي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دلّ على جواز رجوعه؟</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التقليد من الإجماع والضرورة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آت عند الوجود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يرجع إلى المفتي بل هو يعمل بما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خروج عن طاعة اللّه ورجوع إلى طاعة الطاغوت وقد أمروا أن يكفروا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عكس كان أحوط </w:t>
      </w:r>
      <w:r>
        <w:rPr>
          <w:rFonts w:eastAsia="Amiri" w:cs="Amiri" w:ascii="Amiri" w:hAnsi="Amiri"/>
          <w:color w:val="111111"/>
          <w:sz w:val="28"/>
          <w:szCs w:val="28"/>
          <w:rtl w:val="true"/>
          <w:lang w:bidi="ar-SA"/>
        </w:rPr>
        <w:t xml:space="preserve">» </w:t>
      </w:r>
      <w:r>
        <w:rPr>
          <w:rStyle w:val="FootnoteAnchor"/>
          <w:rtl w:val="true"/>
        </w:rPr>
        <w:footnoteReference w:id="1256"/>
      </w:r>
      <w:r>
        <w:rPr>
          <w:rFonts w:ascii="Amiri" w:hAnsi="Amiri" w:eastAsia="Amiri" w:cs="Amiri"/>
          <w:color w:val="111111"/>
          <w:sz w:val="28"/>
          <w:sz w:val="28"/>
          <w:szCs w:val="28"/>
          <w:rtl w:val="true"/>
          <w:lang w:bidi="ar-SA"/>
        </w:rPr>
        <w:t>، فإن أراد منه تقديم الملاحظة وتأخيرها في الأخبار فهو ممّا لا يؤثّر فيما حكم به من الاحتياط ، وهو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 به أن يرجع إلى الأخبار أوّلا فما وجده صريحا أخذ به وما أشكل عليه رجع إلى فتاوى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زعمه الشريف الجزائري </w:t>
      </w:r>
      <w:r>
        <w:rPr>
          <w:rStyle w:val="FootnoteAnchor"/>
          <w:rtl w:val="true"/>
        </w:rPr>
        <w:footnoteReference w:id="1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كتب الفقه شرح لكتب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يجدي فيما لو فرض المقلّد صاحب الاقتدار على الاستنباط في تلك الأخبار الصريحة ، وإلاّ فالإشكال أيضا باق بحاله</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فيما ذكره </w:t>
      </w:r>
      <w:r>
        <w:rPr>
          <w:rStyle w:val="FootnoteAnchor"/>
          <w:rtl w:val="true"/>
        </w:rPr>
        <w:footnoteReference w:id="1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العسر كما يندفع بالرجوع إلى الأحياء كذلك يندفع بالرجوع إلى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ناظر إلى ما أفاده في المعالم </w:t>
      </w:r>
      <w:r>
        <w:rPr>
          <w:rStyle w:val="FootnoteAnchor"/>
          <w:rtl w:val="true"/>
        </w:rPr>
        <w:footnoteReference w:id="1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التقليد إنّما ساغ للإجماع المنقول والعسر والحرج بتكليف الخلق بالاجتهاد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لا يصلح دليلا في موضع النزاع ، لصراحة الأوّل في الاختصاص بتقليد الأحياء ، والعسر والحرج يندفعان بتقليد الأحياء</w:t>
      </w:r>
      <w:r>
        <w:rPr>
          <w:rFonts w:eastAsia="Amiri" w:cs="Amiri" w:ascii="Amiri" w:hAnsi="Amiri"/>
          <w:color w:val="111111"/>
          <w:sz w:val="28"/>
          <w:szCs w:val="28"/>
          <w:rtl w:val="true"/>
          <w:lang w:bidi="ar-SA"/>
        </w:rPr>
        <w:t xml:space="preserve">.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ومحصّل مراده الاستناد إلى الأصل في الاستدلال على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تجويز الرجوع إلى الميّت لا بدّ له من دليل ، إذ بدونه يكون قولا بغير علم ولا دليل عليه ، إذ الإجماع مختصّ بالأحياء ، والعسر والحرج يكفي في دفعهما الرجوع إلى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أدري كيف يقابل ذلك باندفاع العسر بالرجوع إلى الأموات؟ وهل هذا إلاّ خروجها عن قانون التوجيه؟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4" w:name="pg16264_169807"/>
      <w:bookmarkStart w:id="335" w:name="pg16264_169807"/>
      <w:bookmarkEnd w:id="335"/>
    </w:p>
    <w:p>
      <w:pPr>
        <w:pStyle w:val="Heading3"/>
        <w:numPr>
          <w:ilvl w:val="2"/>
          <w:numId w:val="1"/>
        </w:numPr>
        <w:rPr/>
      </w:pPr>
      <w:bookmarkStart w:id="336" w:name="pg16264_169807"/>
      <w:bookmarkStart w:id="337" w:name="__RefHeading___Toc4588744_1280447820"/>
      <w:bookmarkStart w:id="338" w:name="_Toc104"/>
      <w:bookmarkEnd w:id="336"/>
      <w:bookmarkEnd w:id="337"/>
      <w:r>
        <w:rPr>
          <w:rtl w:val="true"/>
        </w:rPr>
        <w:t>هداية</w:t>
      </w:r>
      <w:bookmarkEnd w:id="338"/>
    </w:p>
    <w:p>
      <w:pPr>
        <w:pStyle w:val="BookText"/>
        <w:rPr/>
      </w:pPr>
      <w:r>
        <w:rPr>
          <w:rFonts w:ascii="Amiri" w:hAnsi="Amiri" w:eastAsia="Amiri" w:cs="Amiri"/>
          <w:color w:val="111111"/>
          <w:sz w:val="28"/>
          <w:sz w:val="28"/>
          <w:szCs w:val="28"/>
          <w:rtl w:val="true"/>
          <w:lang w:bidi="ar-SA"/>
        </w:rPr>
        <w:t xml:space="preserve">حكي عن ركن الدين محمّد بن عليّ الجرجاني </w:t>
      </w:r>
      <w:r>
        <w:rPr>
          <w:rStyle w:val="FootnoteAnchor"/>
          <w:rtl w:val="true"/>
        </w:rPr>
        <w:footnoteReference w:id="1260"/>
      </w:r>
      <w:r>
        <w:rPr>
          <w:rFonts w:ascii="Amiri" w:hAnsi="Amiri" w:eastAsia="Amiri" w:cs="Amiri"/>
          <w:color w:val="111111"/>
          <w:sz w:val="28"/>
          <w:sz w:val="28"/>
          <w:szCs w:val="28"/>
          <w:rtl w:val="true"/>
          <w:lang w:bidi="ar-SA"/>
        </w:rPr>
        <w:t xml:space="preserve">أنّه قال في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الأشبه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المستفتي إن وجد المجتهد الحيّ لم يجز له الاستفتاء من الحاكي سواء كان عن حيّ أو ميّت ؛ لأنّه مكلّف بالأخذ بأقوى الظنّين ، فيتعيّن عليه كالمجتهد ، فإنّه يجب عليه الأخذ بأقوى الدليلين ، فإن لم يجده فلا يخلو إمّا أن يجد من يحكي عن الحيّ أو لا ، فإن وجده تعيّن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يجد فإما أن يجد من يحكي عن الميّت أو لا ، فإنّ وجده وجب الأخذ من كتب المجتهدين الماضين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التفصيل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الأخذ بالمشافه مع الإمكان وعدم الاعتداد بنقل الواسطة أو الرجوع إلى الرسالة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يظهر لنا وجه ذلك ، فإنّ عموم وجوب الأخذ بالشهادة ممّا لا ينكر لو أغمضنا عن أصالة حجّية قول العادل مطلقا ، أو في خصوص المقام بواسطة جري السيرة المستمرّة الكاشفة عن رضى المعصوم على ذلك ، فغاية الأمر اعتبار التعدّد أيضا كما في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الاعتداد إلاّ بالمشافه فلا وجه له</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Style w:val="FootnoteAnchor"/>
          <w:rtl w:val="true"/>
        </w:rPr>
        <w:footnoteReference w:id="1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الرجوع إلى الميّت على تقدير عدم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مانع منه ، </w:t>
      </w:r>
    </w:p>
    <w:p>
      <w:pPr>
        <w:pStyle w:val="BookText"/>
        <w:rPr/>
      </w:pPr>
      <w:r>
        <w:rPr>
          <w:rFonts w:ascii="Amiri" w:hAnsi="Amiri" w:eastAsia="Amiri" w:cs="Amiri"/>
          <w:color w:val="111111"/>
          <w:sz w:val="28"/>
          <w:sz w:val="28"/>
          <w:szCs w:val="28"/>
          <w:rtl w:val="true"/>
          <w:lang w:bidi="ar-SA"/>
        </w:rPr>
        <w:t xml:space="preserve">نظير ما نبّهنا عليه في بعض مباحث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الواجب هو الرجوع إلى الوهميّات فيما لو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انسداد باب الظنون المطلقة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 ذلك 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المناط هو الظنّ ، فإنّه يختلف موضوعات المكلّفين باختلاف الأوقات والأحوال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ذلك ليس تفصيلا في الحقيقة ، إذ كلام المانعين إنّما هو في مقام وجود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ذلك أثر في كلامهم ، كما هو ظاهر</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تعرف فساد الاستدلال على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ربما لا يوجد مجتهد حيّ أو الاقتصار على الأحياء ربما يوجب العسر والحرج ، لانتشار المكلّفين في البلاد النائية مع انحصار المجتهد في واحد لا يصل أيدي الأغلب أو الغالب أو البعض إليه ، فإنّ هذه الفروض لو سلّم وقوعها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ما هو المتنازع فيه مع إمكان خلوّ العصر عنه مجتهد حيّ على وجه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ما نحن بصدده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وجه لما قد يوجد في كلام المحقّق القمي رحمه‌اللّه </w:t>
      </w:r>
      <w:r>
        <w:rPr>
          <w:rStyle w:val="FootnoteAnchor"/>
          <w:rtl w:val="true"/>
        </w:rPr>
        <w:footnoteReference w:id="1262"/>
      </w:r>
      <w:r>
        <w:rPr>
          <w:rFonts w:ascii="Amiri" w:hAnsi="Amiri" w:eastAsia="Amiri" w:cs="Amiri"/>
          <w:color w:val="111111"/>
          <w:sz w:val="28"/>
          <w:sz w:val="28"/>
          <w:szCs w:val="28"/>
          <w:rtl w:val="true"/>
          <w:lang w:bidi="ar-SA"/>
        </w:rPr>
        <w:t>بأنّ الدليل لا يفيد تمام المطلوب ، فتدبّر</w:t>
      </w:r>
      <w:r>
        <w:rPr>
          <w:rFonts w:eastAsia="Amiri" w:cs="Amiri" w:ascii="Amiri" w:hAnsi="Amiri"/>
          <w:color w:val="111111"/>
          <w:sz w:val="28"/>
          <w:szCs w:val="28"/>
          <w:rtl w:val="true"/>
          <w:lang w:bidi="ar-SA"/>
        </w:rPr>
        <w:t xml:space="preserve">. </w:t>
      </w:r>
      <w:bookmarkStart w:id="339" w:name="pg16264_169809"/>
    </w:p>
    <w:p>
      <w:pPr>
        <w:pStyle w:val="Heading3"/>
        <w:numPr>
          <w:ilvl w:val="2"/>
          <w:numId w:val="1"/>
        </w:numPr>
        <w:rPr/>
      </w:pPr>
      <w:bookmarkStart w:id="340" w:name="__RefHeading___Toc4588746_1280447820"/>
      <w:bookmarkStart w:id="341" w:name="_Toc105"/>
      <w:bookmarkEnd w:id="339"/>
      <w:bookmarkEnd w:id="340"/>
      <w:r>
        <w:rPr>
          <w:rtl w:val="true"/>
        </w:rPr>
        <w:t>هداية</w:t>
      </w:r>
      <w:bookmarkEnd w:id="341"/>
    </w:p>
    <w:p>
      <w:pPr>
        <w:pStyle w:val="BookText"/>
        <w:rPr/>
      </w:pPr>
      <w:r>
        <w:rPr>
          <w:rFonts w:ascii="Amiri" w:hAnsi="Amiri" w:eastAsia="Amiri" w:cs="Amiri"/>
          <w:color w:val="111111"/>
          <w:sz w:val="28"/>
          <w:sz w:val="28"/>
          <w:szCs w:val="28"/>
          <w:rtl w:val="true"/>
          <w:lang w:bidi="ar-SA"/>
        </w:rPr>
        <w:t>في بيان التفصيل بين الاستدامة والابتداء في قبال قول المشهور بالمنع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الصدر في شرح الوافية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نقل قول الشيخ سليمان والشيخ عليّ بن هلال وركن الدين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 بعض المتأخّرين إلى عدم بطلان التقليد بموت المجتهد الذي قلّده في حياته وعدم جواز تقليد الميّت ابتداء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قريب </w:t>
      </w:r>
      <w:r>
        <w:rPr>
          <w:rStyle w:val="FootnoteAnchor"/>
          <w:rtl w:val="true"/>
        </w:rPr>
        <w:footnoteReference w:id="126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صريح في أنّ ظاهر المشهور هو المنع مطلقا ، وإلاّ لا وجه لعدّ القول بالاستدامة تفصيلا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ومراجعة الأدلّة التي قدّمناها قاضية بذلك أيضا ، ألا ترى أنّ قول السيّد الجزائري رحمه‌اللّه </w:t>
      </w:r>
      <w:r>
        <w:rPr>
          <w:rStyle w:val="FootnoteAnchor"/>
          <w:rtl w:val="true"/>
        </w:rPr>
        <w:footnoteReference w:id="1264"/>
      </w:r>
      <w:r>
        <w:rPr>
          <w:rFonts w:ascii="Amiri" w:hAnsi="Amiri" w:eastAsia="Amiri" w:cs="Amiri"/>
          <w:color w:val="111111"/>
          <w:sz w:val="28"/>
          <w:sz w:val="28"/>
          <w:szCs w:val="28"/>
          <w:rtl w:val="true"/>
          <w:lang w:bidi="ar-SA"/>
        </w:rPr>
        <w:t xml:space="preserve">في ما زعمه من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بصحّة صلاة من مات مجتهده بعد ما صلّى الظهر وبطلان صلاة عصره يوجب الشراكة مع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الردّ على الاستدامة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جواب القوم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كالسيّد الكاظمي رحمه‌اللّه </w:t>
      </w:r>
      <w:r>
        <w:rPr>
          <w:rStyle w:val="FootnoteAnchor"/>
          <w:rtl w:val="true"/>
        </w:rPr>
        <w:footnoteReference w:id="1265"/>
      </w:r>
      <w:r>
        <w:rPr>
          <w:rFonts w:ascii="Amiri" w:hAnsi="Amiri" w:eastAsia="Amiri" w:cs="Amiri"/>
          <w:color w:val="111111"/>
          <w:sz w:val="28"/>
          <w:sz w:val="28"/>
          <w:szCs w:val="28"/>
          <w:rtl w:val="true"/>
          <w:lang w:bidi="ar-SA"/>
        </w:rPr>
        <w:t>بالنقض بطريان الفسق وأمثاله مثل ما إذا تغيّر الرأي في أثناء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البقاء على التقليد خارجا عن حريم النزاع كان الوجه في الإيراد على الدليل المذكور أنّ ذلك خروج عن محلّ النزاع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ومثل ذلك في الدلالة على أنّ التفصيل بين الاستدامة والبقاء إنّما هو من أقوال المسألة التي نحن بصددها ما ذكره المحقّق الكاظمي رحمه‌اللّه في الجواب عن استدلال المجوّزين من العامّة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موت الشاهد لا يبطل شهادته وكذا فتواه ، حيث قال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الشاهد إذا شهد عند القاضي ثم مات قبل الحكم فيحكم بعد ذلك بمقتضى تلك الشهادة ، فليس ذلك من القاضي اعتدادا بقول الميّت وشهادته ، بل بما أصاب من العلم المحرّر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وأقرب من ذلك وأسلم منه هو أنّ الكلام في تقليد الميّت واقتفاء أثره واتّباعه فيما ظنّه واستنبطه ، لا في اعتبار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الأوّل قد يعارض بتقليد الميّت فيما تناوله منذ حيّا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من الصراحة بمكان لا يقبل الإنكار ؛ وكذا أكثر الأدلّة التي أقامها المانعون ممّا بيّنا على بقاء الظنّ يعمّ البدوي والاستمراري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المشهور الذاهبين إلى عدم جواز تقليد الميّت إنّما كلامهم يختصّ بالابتداء ولا يتوجّه نظرهم إلى 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وهم ناش عن قلّة التدبّر في كلمات المانعين والمجوّزين ، كما عرفت</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وأغرب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يذكر في ذلك أقوال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بوجوب البقاء </w:t>
      </w:r>
      <w:r>
        <w:rPr>
          <w:rStyle w:val="FootnoteAnchor"/>
          <w:rtl w:val="true"/>
        </w:rPr>
        <w:footnoteReference w:id="1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بحرمته ووجوب العدول </w:t>
      </w:r>
      <w:r>
        <w:rPr>
          <w:rStyle w:val="FootnoteAnchor"/>
          <w:rtl w:val="true"/>
        </w:rPr>
        <w:footnoteReference w:id="1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بالتخيير بين البقاء والعدول </w:t>
      </w:r>
      <w:r>
        <w:rPr>
          <w:rStyle w:val="FootnoteAnchor"/>
          <w:rtl w:val="true"/>
        </w:rPr>
        <w:footnoteReference w:id="1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بوجوب العدول لو كان الحيّ أعلم وإلاّ فالبقاء لازم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والحقّ أنّه منحصر في هذه المسألة في 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باشتراط الحياة في الاستدامة ، وقول بعدم الاشتراط ، فإذا قلنا بالاشتراط فلا وجه لمسألة العدول لبطلان التقليد بواسطة انتفاء شرط آخر مثل تبدل الرأي أو عروض الفسق أو 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قلنا بعدمه فيكون من موارد العدول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والأقوال في مسألة العدول لا ينبغي عدّها في أقوال هذه المسألة ، كما أنّ القول بوجوب تقليد الأعلم لا ينبغي عدّه في أقوال هذه المسألة ؛ مع أنّ ذلك إنّما يتمّ فيما إذا صار الحيّ أعلم بعد الموت ، إذ لو كان قبله لم يجز تقليده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نظير التفصيل المنقول عن العلاّمة الجرجاني ، حيث أخذ فيه القول بوجوب الأخذ مشافهة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 فالمختار أيضا هو مختار المشهور ، إلاّ أنّ الأصل في المقام يخالف الأصل في التقليد البدوي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قضيّة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المنع مطلقا ، لكونه قدرا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المقام كذلك إلاّ على القول بجواز العدول ، فإنّ الرجوع إلى الحيّ لا غائلة فيه على التقادير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قيل بعدم جواز العدول ، فإنّه يدور الأمر بين الغير الجائز والبقاء الغير الجائز ، فيكون قضيّة الأصل هو التخيير بين الاحتمالين عند عدم المرجّح لأحدهما ، وعلى تقديره فالأخذ بما فيه الترجيح</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سبيل إلى القول بلزوم الأخذ بالبقاء على تقدير حرمة العدول ، فإنّ حرمة العدول في الصورة المفروضة ليست معلومة بل محتملة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سبيل إلى القول بلزوم العدول ؛ لأنّ جواز العدول وعدمه إنّما يتكلّم فيه ويبحث عنه فيما لو فرضنا صحّة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فيما لو احتمل فساد التقليد أصلا لا وجه لاحتمال حرمة العدول ، فيكون قضيّة الأصل أيضا هو المنع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احتمال حرمة العدول موجود بعد ، فلا يكون تقليد الحيّ معلوم الصحّة ، </w:t>
      </w:r>
    </w:p>
    <w:p>
      <w:pPr>
        <w:pStyle w:val="BookText"/>
        <w:rPr/>
      </w:pPr>
      <w:r>
        <w:rPr>
          <w:rFonts w:ascii="Amiri" w:hAnsi="Amiri" w:eastAsia="Amiri" w:cs="Amiri"/>
          <w:color w:val="111111"/>
          <w:sz w:val="28"/>
          <w:sz w:val="28"/>
          <w:szCs w:val="28"/>
          <w:rtl w:val="true"/>
          <w:lang w:bidi="ar-SA"/>
        </w:rPr>
        <w:t>فإنّ احتمال فساد أصل التقليد لا ينافي احتمال صحّة الملازم لاحتمال حرمة العدول الموجب للتخيير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ذهب جماعة </w:t>
      </w:r>
      <w:r>
        <w:rPr>
          <w:rStyle w:val="FootnoteAnchor"/>
          <w:rtl w:val="true"/>
        </w:rPr>
        <w:footnoteReference w:id="1270"/>
      </w:r>
      <w:r>
        <w:rPr>
          <w:rFonts w:ascii="Amiri" w:hAnsi="Amiri" w:eastAsia="Amiri" w:cs="Amiri"/>
          <w:color w:val="111111"/>
          <w:sz w:val="28"/>
          <w:sz w:val="28"/>
          <w:szCs w:val="28"/>
          <w:rtl w:val="true"/>
          <w:lang w:bidi="ar-SA"/>
        </w:rPr>
        <w:t>من المعاصرين ومن قاربهم في العصر إلى التفصيل المذكور ، بل ربما يدّعي بعضهم كونه من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واستدلّوا على المنع في البدويّ بما عرفت من الأدلّة السابقة وعلى الجواز في الاستمراريّ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وتقريره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الأحكام الثابتة في ذمّة المقلّد ، كحرمة العصير العنبي مثلا بواسطة التقليد قبل موت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الأحكام المتعلّقة بوجوب القصر عند ذهاب أربعة فراسخ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ومرجعه إلى استصحاب الملازمة الفعليّة ، فيكون من الاستصحاب التنجيزي كما حرّر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صحّة التقليد ، كما إذا شكّ في صحّة البيع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حرمة العدول على القول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قدّمناه في استدلال المجوّزين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قد بيّنا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شرائط جريان الاستصحاب العلم ببقاء الموضوع وهو غير حاصل ، إمّا للعلم بارتفاعه على القول بارتفاع الظنّ أو عدم العلم ببقائه</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والعمدة في الاستدلال بهذه الاستصحابات الغفلة عمّا يدور عليه رحى الاجتهاد والميل عن طريق المجتهدين بسلوك سبيل وعر سلكه الظاهريّون الأخباريّون من أصحابنا ، وإن كان هؤلاء لا يرضون أيضا بالتمسّك بالاستصحاب ، كما لا يخفى على المتأمّل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وبيانه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مناط الأحكام الظاهريّة عندنا معاشر المجتهدين هو الظنّ ، والقدر المعلوم من استتباعه الأحكام الظاهريّة هو ظنّ الحيّ سواء قلنا ببقاء الظنّ بعد الموت أو قلنا بارتفاعه ، وبعد ارتفاع الوصف لا يصحّ جريان الاستصحاب الحكمي ، والموضوعي أيضا غير مفيد كما حرّر في محلّه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إطلاقات الأدلّة كتابا وسنّة ، فإنّ شمولها لوجوب الأخذ بقول المفتي فيما لو أخذه أوّلا ممّا لا ينبغي إنكاره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فبمنع دلالتها على أصل التقليد ، كما مرّ الوجه في ذلك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دلالتها على التقليد فيمنع 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فيما عدا آية النفر من الآيات الكتابية فلأنّ دلالتها من باب الملازمة العرفيّة ، ولا إطلاق في المداليل الالتزاميّة</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فيها </w:t>
      </w:r>
      <w:r>
        <w:rPr>
          <w:rStyle w:val="FootnoteAnchor"/>
          <w:rtl w:val="true"/>
        </w:rPr>
        <w:footnoteReference w:id="1271"/>
      </w:r>
      <w:r>
        <w:rPr>
          <w:rFonts w:ascii="Amiri" w:hAnsi="Amiri" w:eastAsia="Amiri" w:cs="Amiri"/>
          <w:color w:val="111111"/>
          <w:sz w:val="28"/>
          <w:sz w:val="28"/>
          <w:szCs w:val="28"/>
          <w:rtl w:val="true"/>
          <w:lang w:bidi="ar-SA"/>
        </w:rPr>
        <w:t xml:space="preserve">ففي وجه تلحق بغيرها ، وفي وجه آخر فلو سلّم نهوضها على جواز التعويل على قول الأموات بعد موتهم فلا بدّ من تخصيصها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كغيرها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الدلالة بمعاقد الإجماعات التي قد عرفت فيما تقدّم زيادتها عن حدّ الاستفاضة ، مع كفاية ذلك بعد موافقته </w:t>
      </w:r>
      <w:r>
        <w:rPr>
          <w:rStyle w:val="FootnoteAnchor"/>
          <w:rtl w:val="true"/>
        </w:rPr>
        <w:footnoteReference w:id="1272"/>
      </w:r>
      <w:r>
        <w:rPr>
          <w:rFonts w:ascii="Amiri" w:hAnsi="Amiri" w:eastAsia="Amiri" w:cs="Amiri"/>
          <w:color w:val="111111"/>
          <w:sz w:val="28"/>
          <w:sz w:val="28"/>
          <w:szCs w:val="28"/>
          <w:rtl w:val="true"/>
          <w:lang w:bidi="ar-SA"/>
        </w:rPr>
        <w:t>للمتتبّع في كلمات الأصحاب ، مع عدم ظهور المخالف في المسألة ؛ لأنّها ملحقة بالفرعيّات ، ولم نقف من هؤلاء المجوّزين الاجتراء على مخالفته في الفروع الفقهيّة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الإجماعات المتقدّمة مختصّة بالتقليد البدوي وليس إطلاقها في بيان حال التقليد الاستمراري ؛ لأنّها وقعت في قبال العامّة القائلين بالجواز ابتداء ؛ مضافا إلى أنّ التقليد هو البدويّ منه ، فلا ينصرف إطلاق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الاستمراري ، 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شمولها إلاّ مجازا ؛ لأنّ البقاء على التقليد ليس تقليدا بالمعنى المصدريّ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كون هذه الإطلاقات في غير مقام بيان الاستمرار إنّما يظهر خلافه بملاحظة كلمات القائلين بعدم الجواز ، حيث إنّهم لا يظهر منهم جواز الاستمرار ولو واحدا ، ولو كان كذلك لكان ذلك شايعا في كلامهم ، وقد عرفت أنّ حدوثه إنّما هو من بعض المتأخّرين ، كما نصّ عليه السيّد الصدر </w:t>
      </w:r>
      <w:r>
        <w:rPr>
          <w:rStyle w:val="FootnoteAnchor"/>
          <w:rtl w:val="true"/>
        </w:rPr>
        <w:footnoteReference w:id="1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بأنّ هذه الاطلاقات ليست في مقام بيان الاستمرار إنّما هو قول بلا 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دعوى عدم الشمول وضعا أو انصرافا ، فلا وجه لها ، وبيان ذلك يتوقّف على الإحاطة بمعاقد الإجماعات سواء كان الإجماع مصرّحا به في كلماتهم أو لا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ادّعي على عدم جواز التقليد ، ولا ريب في استواء صدق التقليد على الابتداء والاستدامة سواء فسّر بالعمل كما هو الظاهر ، فإنّه هو المعقول منه بعد عدم إرادة ما هو المراد منه في غير المقام من الاعتقاد ، الغير الثابت ، لعدم حصوله في الأغلب</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يستلزم ذلك بطلان العمل الأوّل أو الدور ، نظرا إلى توقّف صحّة العمل على التقليد ، فالعمل الأوّل إمّا أن يكون صحّته بنفسه فهو دور ، وإمّا أن لا يكون </w:t>
      </w:r>
    </w:p>
    <w:p>
      <w:pPr>
        <w:pStyle w:val="BookText"/>
        <w:rPr/>
      </w:pPr>
      <w:r>
        <w:rPr>
          <w:rFonts w:ascii="Amiri" w:hAnsi="Amiri" w:eastAsia="Amiri" w:cs="Amiri"/>
          <w:color w:val="111111"/>
          <w:sz w:val="28"/>
          <w:sz w:val="28"/>
          <w:szCs w:val="28"/>
          <w:rtl w:val="true"/>
          <w:lang w:bidi="ar-SA"/>
        </w:rPr>
        <w:t>صحيحا فهو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ذلك هو ما أشرنا في محلّه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التقليد من كيفيّات العمل وأنحائه ، وإنّما يصحّ انتزاعه من العمل فيما إذا كان العمل مطابقا لفتوى المجتهد من دون حاجة إلى سبق العمل ، فالمفروض يكون صحيحا بواسطة صحّة انتزاع التقليد من العمل الأوّل بعد وجود ما هو المعيار والمناط في الصدق المذكور ، فلا محذور ، إذ لم يفسّر به بل فسّر بالأخذ ، كما يراه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يصدق على من يبقى على التقليد أنّه عامل بقوله ولو كان بعد موته ، فلو نهى المولى عبده عن العمل بقول زيد لا نرى فرقا بين العمل بقوله ابتداء في الحياة والممات وبين استدامة العمل بقوله حيّا وميّتا ، وذلك أمر مجزوم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فدعوى عدم الشمول وضعا أو انصرافا غير مسموعة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الأخذ بقول الغير يصدق مع الاستمرار أيضا ، فإنّ استمرار الأخذ ليس خارجا عن حقيقة الأخذ ، بل هو أخذ ، كما أنّ استمرار الجلوس جلوس ، واستمرار القيام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الأفعال القابلة للامتداد في الوجود لا وجه للقول بأنّ الآن الثاني من وجوده ليس من حقيقة ذلك الفعل مع عدم ما يقضي بذلك عقلا ولا نقلا ، كما يشهد بذلك استقراء المصادر التي هي حقايق الأفعال</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القول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الأفعال الآنيّة التي لا تقبل الامتداد ، فيكفي في بطلانه مراجعة الوجدان ومقايسة الأفعال الممتدّة معه ، فلا يصغى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لم نعثر على اشتمال معاقد الإجماعات على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ما ذكره الشهيد في الرسالة </w:t>
      </w:r>
      <w:r>
        <w:rPr>
          <w:rStyle w:val="FootnoteAnchor"/>
          <w:rtl w:val="true"/>
        </w:rPr>
        <w:footnoteReference w:id="1274"/>
      </w:r>
      <w:r>
        <w:rPr>
          <w:rFonts w:ascii="IRNazanin" w:hAnsi="IRNazanin" w:eastAsia="IRNazanin"/>
          <w:color w:val="111111"/>
          <w:sz w:val="28"/>
          <w:sz w:val="28"/>
          <w:szCs w:val="28"/>
          <w:rtl w:val="true"/>
          <w:lang w:bidi="fa-IR"/>
        </w:rPr>
        <w:t>، على ما تقدّم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أنّ الميّت لا قول له كما عن الأحسائي </w:t>
      </w:r>
      <w:r>
        <w:rPr>
          <w:rStyle w:val="FootnoteAnchor"/>
          <w:rtl w:val="true"/>
        </w:rPr>
        <w:footnoteReference w:id="1275"/>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جواز العمل بقول المجتهد من بقائه ، فلو مات بطل العمل بقوله ، فوجب الرجوع إلى غيره ، إذ الميّت لا قول له ، وعلى هذا انعقد إجماع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 على نفي القول على عدم جواز التعويل بقوله ابتداء واستدامة ظاهرة لا تقبل الإنكار ، فإنّ الظاهر من نفي القول بعد العلم بثبوته قطعا هو نفي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الاستدامة والابتداء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بطلان القول ، كما عن الشهيد في الرسالة </w:t>
      </w:r>
      <w:r>
        <w:rPr>
          <w:rStyle w:val="FootnoteAnchor"/>
          <w:rtl w:val="true"/>
        </w:rPr>
        <w:footnoteReference w:id="1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 صريحة في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في المسالك </w:t>
      </w:r>
      <w:r>
        <w:rPr>
          <w:rStyle w:val="FootnoteAnchor"/>
          <w:rtl w:val="true"/>
        </w:rPr>
        <w:footnoteReference w:id="1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صرّح الأصحاب في كتبهم المختصرة والمطوّلة باشتراط حياة المجتهد في جواز العمل بقوله ، ولم يتحقّق إلى الآن في ذلك خلاف ممّن يعتدّ بقوله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نظير ما في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العمل بفتاوى الموتى مخالف لما يظهر من اتّفاق أصحابنا على المنع من الرجوع إلى فتوى الميّت مع وجود الحيّ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والإنصاف أنّ أمثال هذه المناقشات إنّما تنشأ من ضيق المجال في الاستدلال ، فإنّ شمول هذه العبارات للمطلوب على منار لا ينكره إلاّ العسوف ، بل لو كان ولا بدّ من المناقشة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دليل على اعتبار هذه الإجماعات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في المقام إنّما هو في قبال من ذهب إلى عدم الجواز في الابتداء نظرا إلى هذه الإجماعات ، فإنّ لم يسلّم البرهان على اعتبارها فلا بدّ من تسرية المنع إلى هناك ، وإلاّ فالواجب الأخذ بإطلاق معقد الاجماع في المقام أيضا بعد وضوح فساد المنع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ويوضح ذلك ما ذكرنا في صدر الهداية من شمول الأدلّة وكلماتهم للاستمراريّ والبدويّ فراجعها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استقرار السيرة على البقاء على تقليد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ذلك بملاحظة أحوال أصحاب الأئمّة عليهم‌السلام ، فإنّ من المعلوم عدم التزامهم مع وفور قدسهم بالرجوع عمّا أخذوه تقليدا عمّن له الإفتاء بعد عروض موت المفتي ، ولو كان ذلك لكان بواسطة عموم البلوى منقولا معلوما ، ومثله يعطي العلم برضاء الإمام عليه‌السلام وتقريره الشيعة على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ذلك المنع من استقرار السيرة في وجه وعدم جدواها فيما نحن فيه في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في زمن أصحاب الأئمّة عليهم‌السلام بين أصناف ، فإنّهم بين العامل بما يسمعه شفاها عن المعصوم ، وبين العامل بالأخبار المنقولة عنهم مثل الفتاوى المنقولة عن المجتهدين ، وبين العامل بفتاوى المجتهدين في تلك الأزمنة ،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وأضرابهما ممّن له أهليّة الاجتهاد والإفتاء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القسمين الأوّلين ليس عملهم من التقليد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هو الغالب في الموجودين في تلك الأزمنة وإن كان بلدهم بعيدا عن بلاد الأئمّة عليهم‌السلام كما يظهر من ملاحظة أحوالهم ومقايستها بأحوال المقلّدين النائين عن بلد المجتهد في الفتاوى المنقولة إليهم</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المقلّدون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قلّة هذا القسم بالنسبة إليهم ، بل وفي نفسه أيضا ؛ لتيسّر الاجتهاد في تلك الأزمنة وعدم احتياجه إلى </w:t>
      </w:r>
    </w:p>
    <w:p>
      <w:pPr>
        <w:pStyle w:val="BookText"/>
        <w:rPr/>
      </w:pPr>
      <w:r>
        <w:rPr>
          <w:rFonts w:ascii="Amiri" w:hAnsi="Amiri" w:eastAsia="Amiri" w:cs="Amiri"/>
          <w:color w:val="111111"/>
          <w:sz w:val="28"/>
          <w:sz w:val="28"/>
          <w:szCs w:val="28"/>
          <w:rtl w:val="true"/>
          <w:lang w:bidi="ar-SA"/>
        </w:rPr>
        <w:t>ما يحتاج إليه في أمثال زماننا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أريد استقرار سيرة القسمين الأوّلين على عدم الرجوع فمسلّم ذلك ولكن لا يرتبط بالمقام ، إذ لا إشكال في أنّ موت الإمام لا يوجب بطلان قوله كموت الراوي مثل موت الناقل لفتوى المجتهد في زماننا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استقرار سيرة القسم الثالث فلا نسلّم ذلك ، فإنّ الإنصاف أنّ دون إثبات استقرار سيرة المقلّدين بالمعنى المصطلح عليه على البقاء خرط القتاد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ولا يبعد دعوى السيرة على خلافه كما يشاهد في أمثال زماننا ، فإنّ بعد موت المرجع نرى اضطراب المتشرّعين من أهل تقليد ،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فلا يقاس حال الموجودين في هذه الأزمنة وما يضاهيها من زمن الغيبة بحال أصحاب الأئمة عليهم‌السلام لما عرفت من افتراقهم الفرق الثلاث ، بخلافهم فإنّ الغالب فيهم التقليد ،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يصحّ مقايسة حالهم بحالهم في الفتوى المنقولة إليهم مع عدم سماعهم من المجتهد بواسطة الثقات والعدول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بالرجوع عن الفتاوى المقلّد فيها يشمل على عسر أكيد وحرج شديد ، وهما منفيّان في الشريعة السمحة السهلة</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لزوم العسر والحرج في تعليم المسائل التي أفتى فيها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عسر فيه ، إذ لو كان كذلك لكان ساقطا عن البالغ في أوّل بلوغه ، على أنّ المخالفة ليست في جميع المسائل بل ولا في الغالب ، فإنّها قليلة جدّا ، وذلك يحصل بمطابقة الرسالة في أيّام معدودة ونحوها ممّا لا يعدّ عسرا إلاّ ممّن جبلت طبيعته على الاعتذار في انتهاضه على الأحكام الشرعيّة والقيام بوظائف الشريعة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أريد لزوم العسر في انتقاض الآثار المترتّبة على الأعمال الواقعة بمقتضى التقليد الأوّل عند المخالفة ، فذلك لو سلّم لزوم العسر فيه ، فنلتزم بعدم النقض في الآثار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الأعمال اللاحقة ، فلا بدّ من أن يكون على مقتضى التقليد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 الميّت كان يقول بطهارة الغسالة والمقلّد أيضا إنّما بنى على طهارتها في جملة من الأعوام والسنين ، ثمّ بعد ذلك رجع إلى تقليد الحيّ القائل بنجاستها ، فإنّه يقع في العسر فيما لو أراد إعمال هذه الفتوى بالنسبة إلى ما بنى على طهارته بمقتضى الفتوى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عسر في لزوم الاجتناب عن الغسالة بعد ذلك ، وأين ذلك من لزوم البناء على التقليد السابق على وجه الإطلاق؟ وقد فرغنا عن إبطال هذه الكلمات فيما قدّمنا في مسألة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القول بوجوب البقاء أردأ من القول بجواز البقاء ، فإنّ الوجه في عدم جواز العدول إمّا الإجماع ، وإمّا قاعده الاحتياط فإنّه هو القدر المعلوم ، وإمّا استصحاب وجوب الأخذ بالعمل السابق ، أو استصحاب وجوب نفس العمل ، أو غيره من تقادير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الأخير ، فقد عرفت ما فيه من وجوه 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 فقد عرفت أيضا أنّ الاحتياط لا يقضي بالأخذ بقول الميّت ، فإنّ المسألة من موارد التخيير بناء على حرمة العدول ، وقضيّة الاحتياط هو الرجوع على تقدير جوازه</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ينقدح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الإطلاقات المتقدّمة على تقدير صلوحها وشمولها للأخذ بقول الميّت على وجه الاستدامة لا يصلح دليلا في المقام ؛ لأنّ المفروض </w:t>
      </w:r>
    </w:p>
    <w:p>
      <w:pPr>
        <w:pStyle w:val="BookText"/>
        <w:rPr/>
      </w:pPr>
      <w:r>
        <w:rPr>
          <w:rFonts w:ascii="Amiri" w:hAnsi="Amiri" w:eastAsia="Amiri" w:cs="Amiri"/>
          <w:color w:val="111111"/>
          <w:sz w:val="28"/>
          <w:sz w:val="28"/>
          <w:szCs w:val="28"/>
          <w:rtl w:val="true"/>
          <w:lang w:bidi="ar-SA"/>
        </w:rPr>
        <w:t xml:space="preserve">شمول تلك الأدلّة لقول الحيّ أيضا ، فقضيّة المعارضة هو الرجوع إلى وجوه التراجيح المعمولة بين المتعارضين وهي مع الرجوع </w:t>
      </w:r>
      <w:r>
        <w:rPr>
          <w:rStyle w:val="FootnoteAnchor"/>
          <w:rtl w:val="true"/>
        </w:rPr>
        <w:footnoteReference w:id="1279"/>
      </w:r>
      <w:r>
        <w:rPr>
          <w:rFonts w:ascii="Amiri" w:hAnsi="Amiri" w:eastAsia="Amiri" w:cs="Amiri"/>
          <w:color w:val="111111"/>
          <w:sz w:val="28"/>
          <w:sz w:val="28"/>
          <w:szCs w:val="28"/>
          <w:rtl w:val="true"/>
          <w:lang w:bidi="ar-SA"/>
        </w:rPr>
        <w:t>لما عرفت من ذهاب المشهور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ففي مقام التعارض لا وجه للأخذ بالإطلاق ، فإنّ صورة المعارضة غير مشمولة للإطلاق ، كما ستعرف تفصيل ذلك بعيد المقام</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الإجماع فعدم تحقّقه في المقام ظاهر</w:t>
      </w:r>
      <w:r>
        <w:rPr>
          <w:rFonts w:eastAsia="Amiri" w:cs="Amiri" w:ascii="Amiri" w:hAnsi="Amiri"/>
          <w:color w:val="111111"/>
          <w:sz w:val="28"/>
          <w:szCs w:val="28"/>
          <w:rtl w:val="true"/>
          <w:lang w:bidi="ar-SA"/>
        </w:rPr>
        <w:t xml:space="preserve">. </w:t>
      </w:r>
      <w:bookmarkStart w:id="342" w:name="pg16264_169821"/>
    </w:p>
    <w:p>
      <w:pPr>
        <w:pStyle w:val="Heading3"/>
        <w:numPr>
          <w:ilvl w:val="2"/>
          <w:numId w:val="1"/>
        </w:numPr>
        <w:rPr/>
      </w:pPr>
      <w:bookmarkStart w:id="343" w:name="__RefHeading___Toc4588748_1280447820"/>
      <w:bookmarkStart w:id="344" w:name="_Toc106"/>
      <w:bookmarkEnd w:id="342"/>
      <w:bookmarkEnd w:id="343"/>
      <w:r>
        <w:rPr>
          <w:rtl w:val="true"/>
        </w:rPr>
        <w:t>هداية</w:t>
      </w:r>
      <w:bookmarkEnd w:id="344"/>
    </w:p>
    <w:p>
      <w:pPr>
        <w:pStyle w:val="Heading4"/>
        <w:numPr>
          <w:ilvl w:val="3"/>
          <w:numId w:val="1"/>
        </w:numPr>
        <w:rPr/>
      </w:pPr>
      <w:bookmarkStart w:id="345" w:name="__RefHeading___Toc4588750_1280447820"/>
      <w:bookmarkStart w:id="346" w:name="_Toc107"/>
      <w:bookmarkEnd w:id="345"/>
      <w:r>
        <w:rPr>
          <w:rtl w:val="true"/>
        </w:rPr>
        <w:t>اشارة</w:t>
      </w:r>
      <w:bookmarkEnd w:id="346"/>
    </w:p>
    <w:p>
      <w:pPr>
        <w:pStyle w:val="BookText"/>
        <w:rPr/>
      </w:pPr>
      <w:r>
        <w:rPr>
          <w:rFonts w:ascii="Amiri" w:hAnsi="Amiri" w:eastAsia="Amiri" w:cs="Amiri"/>
          <w:color w:val="111111"/>
          <w:sz w:val="28"/>
          <w:sz w:val="28"/>
          <w:szCs w:val="28"/>
          <w:rtl w:val="true"/>
          <w:lang w:bidi="ar-SA"/>
        </w:rPr>
        <w:t xml:space="preserve">إذا مات المجتهد ولم يكن في الأحياء من يجوز التعويل على قوله بواسطة عدم تدبّره في العلوم الشرعيّة أو بواسطة فقدان شرط من شروطه ، فهل الحجّة قول الميّت؟ أو لا حجّة فيه أصلا؟ وجهان بل قولان ، ذهب إلى الثاني المحقّق الثاني وتبعه في الرياض على ما نقل </w:t>
      </w:r>
      <w:r>
        <w:rPr>
          <w:rStyle w:val="FootnoteAnchor"/>
          <w:rtl w:val="true"/>
        </w:rPr>
        <w:footnoteReference w:id="1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في صدر الباب نسبة الأوّل إلى جماعة منهم المقدّس الأردبيلي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ابتناء الخلاف في ذلك على أنّ الحياة من الشروط المطلقة التي لو فرض انتفاؤها يسقط معه وجوب المشروط ، أو من الشروط عند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لا يجوز أصلا ، بل ينقلب التكليف إلى 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أن يكون مقتضى الدليل في الفرض المذكور هو الرجوع إلى فتاوى الموتى ، فإنّ ذلك بواسطة اندراجه تحت عنوان آخر كما هو ظاهر في الغاية</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الثاني فلا وجه لسقوط المشروط ، فإنّ الاشتراط إنّما هو في حال الإمكان وعند التعذّر فالشرط باق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لا بدّ من ملاحظة التراجيح لو دار الأمر بينه وبين فقد سائر الشرائط كالإيمان والعدالة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الترجيح مع الأخذ بقول الميّت ، لوجود القائل ابتداء ، بخلاف قول الكافر والفاسق ونحوهما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والأقرب هو الأوّل ، لإطلاق معاقد الإجماعات التي هي العمدة في دليل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فيجب إنكار حجّية قول الميّت من هذه الجهة والمصير إلى الأمارات المفيدة للظنّ بعد العجز عن الاحتياط أو فرض الإجماع على 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وأقرب الأمارات هي الشهرة لو أمكن تحصيلها كما إذا كان المقلّد من أهل تحصيلها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ذلك بالمنقولة منها بواسطة شهادة العدلين أو العدل لو لم يمكن العدلان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الأخذ بأوثق الأموات كالمحقّق والشهيد وأضرابهما من أساطين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الأخذ بمطلق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الأخذ بمطلق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 جريان الدليل العقلي القاضي بالعمل بشيء يحتمله موضوع المكلّف على حسب اختلاف مراتب تكليفه ، كما نبّهنا على ذلك فيما تقدّم إجمالا ، وقد سبق تحقيقه في مباحث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فرض انسداد باب العلم يوجب الرجوع إلى ما هو مفيد الظنّ بالنسبة إلى المقلّد ، ولعلّه يوافق الشهرة ، فلا وجه للترتيب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المقلّد بعد اندراجه تحت موضوع الانسداد ، فإمّا أن يستقلّ عقله بالعمل بالظنّ أو لا يستقلّ ، فعلى الأوّل فلا حاجة إلى المسألة عمّا هو العالم ، فإنّه يعمل على حسب ما يستقلّ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فلا بدّ من الرجوع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والترتيب المذكور إنّما يفيده بعد الرجوع ، والغير إنّما يلزم عليه الرجوع إلى الأمور المذكورة لكونها الأقرب 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الفرض ، إذ المفروض عدم استحقاق الإفتاء للغير ، فتأمّل</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في محكيّ مجمع الفائدة للقول الثاني بلزوم الحرج والضيق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المنفيّان عقلا ونقلا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والاستصحاب وبتحقّق الحكم وحصوله من الدليل ولم </w:t>
      </w:r>
      <w:bookmarkStart w:id="347" w:name="pg16264_169823"/>
    </w:p>
    <w:p>
      <w:pPr>
        <w:pStyle w:val="BookText"/>
        <w:rPr/>
      </w:pPr>
      <w:bookmarkEnd w:id="347"/>
      <w:r>
        <w:rPr>
          <w:rFonts w:ascii="Amiri" w:hAnsi="Amiri" w:eastAsia="Amiri" w:cs="Amiri"/>
          <w:color w:val="111111"/>
          <w:sz w:val="28"/>
          <w:sz w:val="28"/>
          <w:szCs w:val="28"/>
          <w:rtl w:val="true"/>
          <w:lang w:bidi="ar-SA"/>
        </w:rPr>
        <w:t xml:space="preserve">يتغيّر بموت المستدلّ ، وقال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الخلاف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الذكرى </w:t>
      </w:r>
      <w:r>
        <w:rPr>
          <w:rStyle w:val="FootnoteAnchor"/>
          <w:rtl w:val="true"/>
        </w:rPr>
        <w:footnoteReference w:id="1281"/>
      </w:r>
      <w:r>
        <w:rPr>
          <w:rFonts w:ascii="Amiri" w:hAnsi="Amiri" w:eastAsia="Amiri" w:cs="Amiri"/>
          <w:color w:val="111111"/>
          <w:sz w:val="28"/>
          <w:sz w:val="28"/>
          <w:szCs w:val="28"/>
          <w:rtl w:val="true"/>
          <w:lang w:bidi="ar-SA"/>
        </w:rPr>
        <w:t xml:space="preserve">والجعفريّة </w:t>
      </w:r>
      <w:r>
        <w:rPr>
          <w:rStyle w:val="FootnoteAnchor"/>
          <w:rtl w:val="true"/>
        </w:rPr>
        <w:footnoteReference w:id="1282"/>
      </w:r>
      <w:r>
        <w:rPr>
          <w:rFonts w:ascii="Amiri" w:hAnsi="Amiri" w:eastAsia="Amiri" w:cs="Amiri"/>
          <w:color w:val="111111"/>
          <w:sz w:val="28"/>
          <w:sz w:val="28"/>
          <w:szCs w:val="28"/>
          <w:rtl w:val="true"/>
          <w:lang w:bidi="ar-SA"/>
        </w:rPr>
        <w:t xml:space="preserve">وكتب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بمعلوم كون المخالف مخالفا لبعد ذلك عن الذكرى المخصوص ببيان مسائل الأصحاب وعدم اختصاص دليل الطرفين بالمخالف ، ولكن مع ذلك لا تحصل الراحة به </w:t>
      </w:r>
      <w:r>
        <w:rPr>
          <w:rStyle w:val="FootnoteAnchor"/>
          <w:rtl w:val="true"/>
        </w:rPr>
        <w:footnoteReference w:id="1283"/>
      </w:r>
      <w:r>
        <w:rPr>
          <w:rFonts w:ascii="Amiri" w:hAnsi="Amiri" w:eastAsia="Amiri" w:cs="Amiri"/>
          <w:color w:val="111111"/>
          <w:sz w:val="28"/>
          <w:sz w:val="28"/>
          <w:szCs w:val="28"/>
          <w:rtl w:val="true"/>
          <w:lang w:bidi="ar-SA"/>
        </w:rPr>
        <w:t>، انتهى ما أفاده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أفاد لا تحصل به الراحة ، بل الظاهر أنّ الاستدلال المذكور لا يسمن ولا يغني ، ويظهر الوجه فيه ممّا ذكرنا في الهدايات على وجه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إجمالا فلزوم الأوّلين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لا مجرى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 لو تمّ لدلّ على الجواز حال وجود الحيّ ؛ مضافا إلى ما عرفت من ابتنائه على مقدّمات لا يساعدها دليل ، كما هو ظاهر</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4588752_1280447820"/>
      <w:bookmarkStart w:id="349" w:name="_Toc108"/>
      <w:bookmarkEnd w:id="348"/>
      <w:r>
        <w:rPr>
          <w:rtl w:val="true"/>
        </w:rPr>
        <w:t xml:space="preserve">تنبيهان </w:t>
      </w:r>
      <w:r>
        <w:rPr>
          <w:rtl w:val="true"/>
        </w:rPr>
        <w:t>:</w:t>
      </w:r>
      <w:bookmarkEnd w:id="349"/>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الثاني في محكيّ تعليقاته على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عرض للفقيه العدل الفسق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جنون أو طعن في السنّ كثيرا بحيث اختلّ فهمه امتنع تقليده ، لوجود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قد قلّده مقلّد قبل ذلك بطل حكم تقليده ؛ لأنّ العمل بقوله في مستقبل الزمان يقتضي الاستناد إليه حينئذ ، وقد خرج عن الأهليّة لذلك ، فكان تقليده باطلا بالنسبة إلى مستقبل الزمان </w:t>
      </w:r>
      <w:r>
        <w:rPr>
          <w:rStyle w:val="FootnoteAnchor"/>
          <w:rtl w:val="true"/>
        </w:rPr>
        <w:footnoteReference w:id="128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أفاده في غاية الجودة ، لإطلاق ما دلّ على اشتراطها في 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جميع ما يعتبر في الابتداء ، كالإسلام والإيمان والعلم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زوال أحدها يوجب زوال التقليد وبطلانه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الظاهر ممّن أطلق القول في الشروط المذكورة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الأخبار الدالّة على اعتبار الإيمان والعدالة ، كرواية الاحتجاج على ما تقدّم الكلام في دلالتها </w:t>
      </w:r>
      <w:r>
        <w:rPr>
          <w:rStyle w:val="FootnoteAnchor"/>
          <w:rtl w:val="true"/>
        </w:rPr>
        <w:footnoteReference w:id="1285"/>
      </w:r>
      <w:r>
        <w:rPr>
          <w:rFonts w:ascii="Amiri" w:hAnsi="Amiri" w:eastAsia="Amiri" w:cs="Amiri"/>
          <w:color w:val="111111"/>
          <w:sz w:val="28"/>
          <w:sz w:val="28"/>
          <w:szCs w:val="28"/>
          <w:rtl w:val="true"/>
          <w:lang w:bidi="ar-SA"/>
        </w:rPr>
        <w:t xml:space="preserve">كالرضويّ </w:t>
      </w:r>
      <w:r>
        <w:rPr>
          <w:rStyle w:val="FootnoteAnchor"/>
          <w:rtl w:val="true"/>
        </w:rPr>
        <w:footnoteReference w:id="1286"/>
      </w:r>
      <w:r>
        <w:rPr>
          <w:rFonts w:ascii="Amiri" w:hAnsi="Amiri" w:eastAsia="Amiri" w:cs="Amiri"/>
          <w:color w:val="111111"/>
          <w:sz w:val="28"/>
          <w:sz w:val="28"/>
          <w:szCs w:val="28"/>
          <w:rtl w:val="true"/>
          <w:lang w:bidi="ar-SA"/>
        </w:rPr>
        <w:t>الصريح في النهي عن غير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قول الشيخ أبي القاسم في جواب من سأل عن كتب الشلمغاني حيث نقل عن العسكريّ عليه‌السلام أيضا ذلك القول </w:t>
      </w:r>
      <w:r>
        <w:rPr>
          <w:rStyle w:val="FootnoteAnchor"/>
          <w:rtl w:val="true"/>
        </w:rPr>
        <w:footnoteReference w:id="1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النهي عن الأخذ بما رأوا من غير استفصال بين الابتداء والاستمرار دليل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طعن في سند الرواية ،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وثاقته كونه من خدّام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ودلالتها أيضا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عبرة باحتمال إرادة النهي عما رأوا من الاعتقاد الفاسد ، فإنّ ذلك خلاف الظاهر ، فإنّه لا يتوهّم وجوب الأخذ بذلك ، فلا يكون موردا للسؤال ، بل الظاهر هو الآراء المنبعثة عن اجتهادهم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يدلّ على جواز التقليد بالنسبة إلى الموتى ، لعدم العلم بموت جميع بني فضّال أو خصوص الشلمغاني حين السؤال ، فتأمّل في المقام</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قلّد الشخص في مسألة البقاء والعدول مجتهدا فعمل على مقتضاه ، ثم مات مجتهده ، فإن قلّد مجتهدا آخر يوافق قوله قول الأوّل بقاء وعدولا فلا إشكال ؛ وكذا إذا كان مقتضى التقليد الأوّل البقاء والثاني الرجوع ، فإنّ هذه الواقعة كإحدى الوقائع التي لا بدّ فيها من التقليد ولا بدّ من الرجوع عن </w:t>
      </w:r>
    </w:p>
    <w:p>
      <w:pPr>
        <w:pStyle w:val="BookText"/>
        <w:rPr/>
      </w:pPr>
      <w:r>
        <w:rPr>
          <w:rFonts w:ascii="Amiri" w:hAnsi="Amiri" w:eastAsia="Amiri" w:cs="Amiri"/>
          <w:color w:val="111111"/>
          <w:sz w:val="28"/>
          <w:sz w:val="28"/>
          <w:szCs w:val="28"/>
          <w:rtl w:val="true"/>
          <w:lang w:bidi="ar-SA"/>
        </w:rPr>
        <w:t>التقليد الأوّل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ويتفرّع على رجوعها الرجوع عن سائر الوقائع المقلّد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الرجوع عنه في غيرها كان ذلك رجوعا عنها التزاما ، إذ لا محلّ لها بعد الرجوع عن غيرها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الإشكال فيما إذا كان مقتضى الأوّل الرجوع ومقتضى الثاني البقاء ، فإنّه يرجع إلى التناقض في مقتضاهما ، فإنّ البقاء في هذه الواقعة يوجب الرجوع ولو عن هذه الواقعة</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يسهّل الخطب عدم الأخذ بعموم الفتوى الثانية بالنسبة إلى مسألة البقاء والعدول ، للزوم تخصيص الأكثر لولاه ، ولأدائه إلى وجوب العدول مع أنّ المفتي لا يقول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فالتعبير المذكور يكون في غاية الركاكة ، وبذلك نبّهنا في بعض مباحث الظنّ ، فراجعه</w:t>
      </w:r>
      <w:r>
        <w:rPr>
          <w:rFonts w:eastAsia="Amiri" w:cs="Amiri" w:ascii="Amiri" w:hAnsi="Amiri"/>
          <w:color w:val="111111"/>
          <w:sz w:val="28"/>
          <w:szCs w:val="28"/>
          <w:rtl w:val="true"/>
          <w:lang w:bidi="ar-SA"/>
        </w:rPr>
        <w:t xml:space="preserve">.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0" w:name="pg16264_169827"/>
      <w:bookmarkStart w:id="351" w:name="pg16264_169827"/>
      <w:bookmarkEnd w:id="351"/>
    </w:p>
    <w:p>
      <w:pPr>
        <w:pStyle w:val="BookText"/>
        <w:rPr/>
      </w:pPr>
      <w:bookmarkStart w:id="352" w:name="pg16264_169827"/>
      <w:bookmarkEnd w:id="352"/>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353" w:name="__RefHeading___Toc4588754_1280447820"/>
      <w:bookmarkStart w:id="354" w:name="_Toc109"/>
      <w:bookmarkEnd w:id="353"/>
      <w:r>
        <w:rPr>
          <w:rtl w:val="true"/>
        </w:rPr>
        <w:t>الكلام في اشتراط الأعلمية في المفتي</w:t>
      </w:r>
      <w:bookmarkEnd w:id="354"/>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5" w:name="__RefHeading___Toc4588756_1280447820"/>
      <w:bookmarkStart w:id="356" w:name="_Toc110"/>
      <w:bookmarkEnd w:id="355"/>
      <w:r>
        <w:rPr>
          <w:rtl w:val="true"/>
        </w:rPr>
        <w:t>اشارة</w:t>
      </w:r>
      <w:bookmarkEnd w:id="356"/>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هداية</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اختلف الأحياء في العلم والفضيلة ، فمع علم المقلّد بالاختلاف على وجه التفصيل هل يجب الأخذ والعمل بفتوى الفاضل أو يجوز العمل بفتوى المفضول أيضا؟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بين أصحابنا وجماعة من العامّة هو الأوّل ، كما هو خيرة المعارج </w:t>
      </w:r>
      <w:r>
        <w:rPr>
          <w:rStyle w:val="FootnoteAnchor"/>
          <w:rtl w:val="true"/>
        </w:rPr>
        <w:footnoteReference w:id="1288"/>
      </w:r>
      <w:r>
        <w:rPr>
          <w:rFonts w:ascii="IRNazanin" w:hAnsi="IRNazanin" w:eastAsia="IRNazanin"/>
          <w:color w:val="111111"/>
          <w:sz w:val="28"/>
          <w:sz w:val="28"/>
          <w:szCs w:val="28"/>
          <w:rtl w:val="true"/>
          <w:lang w:bidi="fa-IR"/>
        </w:rPr>
        <w:t xml:space="preserve">والإرشاد </w:t>
      </w:r>
      <w:r>
        <w:rPr>
          <w:rStyle w:val="FootnoteAnchor"/>
          <w:rtl w:val="true"/>
        </w:rPr>
        <w:footnoteReference w:id="1289"/>
      </w:r>
      <w:r>
        <w:rPr>
          <w:rFonts w:ascii="Amiri" w:hAnsi="Amiri" w:eastAsia="Amiri" w:cs="Amiri"/>
          <w:color w:val="111111"/>
          <w:sz w:val="28"/>
          <w:sz w:val="28"/>
          <w:szCs w:val="28"/>
          <w:rtl w:val="true"/>
          <w:lang w:bidi="ar-SA"/>
        </w:rPr>
        <w:t xml:space="preserve">ونهاية الأصول </w:t>
      </w:r>
      <w:r>
        <w:rPr>
          <w:rStyle w:val="FootnoteAnchor"/>
          <w:rtl w:val="true"/>
        </w:rPr>
        <w:footnoteReference w:id="1290"/>
      </w:r>
      <w:r>
        <w:rPr>
          <w:rFonts w:ascii="Amiri" w:hAnsi="Amiri" w:eastAsia="Amiri" w:cs="Amiri"/>
          <w:color w:val="111111"/>
          <w:sz w:val="28"/>
          <w:sz w:val="28"/>
          <w:szCs w:val="28"/>
          <w:rtl w:val="true"/>
          <w:lang w:bidi="ar-SA"/>
        </w:rPr>
        <w:t xml:space="preserve">والتهذيب </w:t>
      </w:r>
      <w:r>
        <w:rPr>
          <w:rStyle w:val="FootnoteAnchor"/>
          <w:rtl w:val="true"/>
        </w:rPr>
        <w:footnoteReference w:id="1291"/>
      </w:r>
      <w:r>
        <w:rPr>
          <w:rFonts w:ascii="Amiri" w:hAnsi="Amiri" w:eastAsia="Amiri" w:cs="Amiri"/>
          <w:color w:val="111111"/>
          <w:sz w:val="28"/>
          <w:sz w:val="28"/>
          <w:szCs w:val="28"/>
          <w:rtl w:val="true"/>
          <w:lang w:bidi="ar-SA"/>
        </w:rPr>
        <w:t xml:space="preserve">والمنية </w:t>
      </w:r>
      <w:r>
        <w:rPr>
          <w:rStyle w:val="FootnoteAnchor"/>
          <w:rtl w:val="true"/>
        </w:rPr>
        <w:footnoteReference w:id="1292"/>
      </w:r>
      <w:r>
        <w:rPr>
          <w:rFonts w:ascii="IRNazanin" w:hAnsi="IRNazanin" w:eastAsia="IRNazanin"/>
          <w:color w:val="111111"/>
          <w:sz w:val="28"/>
          <w:sz w:val="28"/>
          <w:szCs w:val="28"/>
          <w:rtl w:val="true"/>
          <w:lang w:bidi="fa-IR"/>
        </w:rPr>
        <w:t xml:space="preserve">والدروس </w:t>
      </w:r>
      <w:r>
        <w:rPr>
          <w:rStyle w:val="FootnoteAnchor"/>
          <w:rtl w:val="true"/>
        </w:rPr>
        <w:footnoteReference w:id="1293"/>
      </w:r>
      <w:r>
        <w:rPr>
          <w:rFonts w:ascii="IRNazanin" w:hAnsi="IRNazanin" w:eastAsia="IRNazanin"/>
          <w:color w:val="111111"/>
          <w:sz w:val="28"/>
          <w:sz w:val="28"/>
          <w:szCs w:val="28"/>
          <w:rtl w:val="true"/>
          <w:lang w:bidi="fa-IR"/>
        </w:rPr>
        <w:t xml:space="preserve">والقواعد </w:t>
      </w:r>
      <w:r>
        <w:rPr>
          <w:rStyle w:val="FootnoteAnchor"/>
          <w:rtl w:val="true"/>
        </w:rPr>
        <w:footnoteReference w:id="1294"/>
      </w:r>
      <w:r>
        <w:rPr>
          <w:rFonts w:ascii="Amiri" w:hAnsi="Amiri" w:eastAsia="Amiri" w:cs="Amiri"/>
          <w:color w:val="111111"/>
          <w:sz w:val="28"/>
          <w:sz w:val="28"/>
          <w:szCs w:val="28"/>
          <w:rtl w:val="true"/>
          <w:lang w:bidi="ar-SA"/>
        </w:rPr>
        <w:t xml:space="preserve">والذكرى </w:t>
      </w:r>
      <w:r>
        <w:rPr>
          <w:rStyle w:val="FootnoteAnchor"/>
          <w:rtl w:val="true"/>
        </w:rPr>
        <w:footnoteReference w:id="1295"/>
      </w:r>
      <w:r>
        <w:rPr>
          <w:rFonts w:ascii="Amiri" w:hAnsi="Amiri" w:eastAsia="Amiri" w:cs="Amiri"/>
          <w:color w:val="111111"/>
          <w:sz w:val="28"/>
          <w:sz w:val="28"/>
          <w:szCs w:val="28"/>
          <w:rtl w:val="true"/>
          <w:lang w:bidi="ar-SA"/>
        </w:rPr>
        <w:t xml:space="preserve">والجعفريّة </w:t>
      </w:r>
      <w:r>
        <w:rPr>
          <w:rStyle w:val="FootnoteAnchor"/>
          <w:rtl w:val="true"/>
        </w:rPr>
        <w:footnoteReference w:id="1296"/>
      </w:r>
      <w:r>
        <w:rPr>
          <w:rFonts w:ascii="IRNazanin" w:hAnsi="IRNazanin" w:eastAsia="IRNazanin"/>
          <w:color w:val="111111"/>
          <w:sz w:val="28"/>
          <w:sz w:val="28"/>
          <w:szCs w:val="28"/>
          <w:rtl w:val="true"/>
          <w:lang w:bidi="fa-IR"/>
        </w:rPr>
        <w:t xml:space="preserve">وجامع المقاصد </w:t>
      </w:r>
      <w:r>
        <w:rPr>
          <w:rStyle w:val="FootnoteAnchor"/>
          <w:rtl w:val="true"/>
        </w:rPr>
        <w:footnoteReference w:id="1297"/>
      </w:r>
      <w:r>
        <w:rPr>
          <w:rFonts w:ascii="Amiri" w:hAnsi="Amiri" w:eastAsia="Amiri" w:cs="Amiri"/>
          <w:color w:val="111111"/>
          <w:sz w:val="28"/>
          <w:sz w:val="28"/>
          <w:szCs w:val="28"/>
          <w:rtl w:val="true"/>
          <w:lang w:bidi="ar-SA"/>
        </w:rPr>
        <w:t xml:space="preserve">وتمهيد القواعد </w:t>
      </w:r>
      <w:r>
        <w:rPr>
          <w:rStyle w:val="FootnoteAnchor"/>
          <w:rtl w:val="true"/>
        </w:rPr>
        <w:footnoteReference w:id="1298"/>
      </w:r>
      <w:r>
        <w:rPr>
          <w:rFonts w:ascii="IRNazanin" w:hAnsi="IRNazanin" w:eastAsia="IRNazanin"/>
          <w:color w:val="111111"/>
          <w:sz w:val="28"/>
          <w:sz w:val="28"/>
          <w:szCs w:val="28"/>
          <w:rtl w:val="true"/>
          <w:lang w:bidi="fa-IR"/>
        </w:rPr>
        <w:t xml:space="preserve">والمعالم </w:t>
      </w:r>
      <w:r>
        <w:rPr>
          <w:rStyle w:val="FootnoteAnchor"/>
          <w:rtl w:val="true"/>
        </w:rPr>
        <w:footnoteReference w:id="1299"/>
      </w:r>
      <w:r>
        <w:rPr>
          <w:rFonts w:ascii="Amiri" w:hAnsi="Amiri" w:eastAsia="Amiri" w:cs="Amiri"/>
          <w:color w:val="111111"/>
          <w:sz w:val="28"/>
          <w:sz w:val="28"/>
          <w:szCs w:val="28"/>
          <w:rtl w:val="true"/>
          <w:lang w:bidi="ar-SA"/>
        </w:rPr>
        <w:t xml:space="preserve">والزبدة </w:t>
      </w:r>
      <w:r>
        <w:rPr>
          <w:rStyle w:val="FootnoteAnchor"/>
          <w:rtl w:val="true"/>
        </w:rPr>
        <w:footnoteReference w:id="1300"/>
      </w:r>
      <w:r>
        <w:rPr>
          <w:rFonts w:ascii="Amiri" w:hAnsi="Amiri" w:eastAsia="Amiri" w:cs="Amiri"/>
          <w:color w:val="111111"/>
          <w:sz w:val="28"/>
          <w:sz w:val="28"/>
          <w:szCs w:val="28"/>
          <w:rtl w:val="true"/>
          <w:lang w:bidi="ar-SA"/>
        </w:rPr>
        <w:t xml:space="preserve">وحاشية المعالم </w:t>
      </w:r>
      <w:r>
        <w:rPr>
          <w:rStyle w:val="FootnoteAnchor"/>
          <w:rtl w:val="true"/>
        </w:rPr>
        <w:footnoteReference w:id="1301"/>
      </w:r>
      <w:r>
        <w:rPr>
          <w:rFonts w:ascii="Amiri" w:hAnsi="Amiri" w:eastAsia="Amiri" w:cs="Amiri"/>
          <w:color w:val="111111"/>
          <w:sz w:val="28"/>
          <w:sz w:val="28"/>
          <w:szCs w:val="28"/>
          <w:rtl w:val="true"/>
          <w:lang w:bidi="ar-SA"/>
        </w:rPr>
        <w:t xml:space="preserve">للفاضل الصالح ، وإليه </w:t>
      </w:r>
    </w:p>
    <w:p>
      <w:pPr>
        <w:pStyle w:val="BookText"/>
        <w:rPr/>
      </w:pPr>
      <w:r>
        <w:rPr>
          <w:rFonts w:ascii="Amiri" w:hAnsi="Amiri" w:eastAsia="Amiri" w:cs="Amiri"/>
          <w:color w:val="111111"/>
          <w:sz w:val="28"/>
          <w:sz w:val="28"/>
          <w:szCs w:val="28"/>
          <w:rtl w:val="true"/>
          <w:lang w:bidi="ar-SA"/>
        </w:rPr>
        <w:t xml:space="preserve">ذهب في الرياض </w:t>
      </w:r>
      <w:r>
        <w:rPr>
          <w:rStyle w:val="FootnoteAnchor"/>
          <w:rtl w:val="true"/>
        </w:rPr>
        <w:footnoteReference w:id="1302"/>
      </w:r>
      <w:r>
        <w:rPr>
          <w:rFonts w:ascii="Amiri" w:hAnsi="Amiri" w:eastAsia="Amiri" w:cs="Amiri"/>
          <w:color w:val="111111"/>
          <w:sz w:val="28"/>
          <w:sz w:val="28"/>
          <w:szCs w:val="28"/>
          <w:rtl w:val="true"/>
          <w:lang w:bidi="ar-SA"/>
        </w:rPr>
        <w:t xml:space="preserve">، بل هو قول من وصل إلينا كلامه من الأصوليّين كما عن النهاية </w:t>
      </w:r>
      <w:r>
        <w:rPr>
          <w:rStyle w:val="FootnoteAnchor"/>
          <w:rtl w:val="true"/>
        </w:rPr>
        <w:footnoteReference w:id="1303"/>
      </w:r>
      <w:r>
        <w:rPr>
          <w:rFonts w:ascii="Amiri" w:hAnsi="Amiri" w:eastAsia="Amiri" w:cs="Amiri"/>
          <w:color w:val="111111"/>
          <w:sz w:val="28"/>
          <w:sz w:val="28"/>
          <w:szCs w:val="28"/>
          <w:rtl w:val="true"/>
          <w:lang w:bidi="ar-SA"/>
        </w:rPr>
        <w:t xml:space="preserve">، وفي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الأصحاب الذين وصل إلينا كلامهم </w:t>
      </w:r>
      <w:r>
        <w:rPr>
          <w:rStyle w:val="FootnoteAnchor"/>
          <w:rtl w:val="true"/>
        </w:rPr>
        <w:footnoteReference w:id="1304"/>
      </w:r>
      <w:r>
        <w:rPr>
          <w:rFonts w:ascii="Amiri" w:hAnsi="Amiri" w:eastAsia="Amiri" w:cs="Amiri"/>
          <w:color w:val="111111"/>
          <w:sz w:val="28"/>
          <w:sz w:val="28"/>
          <w:szCs w:val="28"/>
          <w:rtl w:val="true"/>
          <w:lang w:bidi="ar-SA"/>
        </w:rPr>
        <w:t xml:space="preserve">، وصرّح بدعوى الإجماع المحقّق الثاني </w:t>
      </w:r>
      <w:r>
        <w:rPr>
          <w:rStyle w:val="FootnoteAnchor"/>
          <w:rtl w:val="true"/>
        </w:rPr>
        <w:footnoteReference w:id="1305"/>
      </w:r>
      <w:r>
        <w:rPr>
          <w:rFonts w:ascii="Amiri" w:hAnsi="Amiri" w:eastAsia="Amiri" w:cs="Amiri"/>
          <w:color w:val="111111"/>
          <w:sz w:val="28"/>
          <w:sz w:val="28"/>
          <w:szCs w:val="28"/>
          <w:rtl w:val="true"/>
          <w:lang w:bidi="ar-SA"/>
        </w:rPr>
        <w:t xml:space="preserve">، ويظهر من السيّد في الذريعة </w:t>
      </w:r>
      <w:r>
        <w:rPr>
          <w:rStyle w:val="FootnoteAnchor"/>
          <w:rtl w:val="true"/>
        </w:rPr>
        <w:footnoteReference w:id="1306"/>
      </w:r>
      <w:r>
        <w:rPr>
          <w:rFonts w:ascii="Amiri" w:hAnsi="Amiri" w:eastAsia="Amiri" w:cs="Amiri"/>
          <w:color w:val="111111"/>
          <w:sz w:val="28"/>
          <w:sz w:val="28"/>
          <w:szCs w:val="28"/>
          <w:rtl w:val="true"/>
          <w:lang w:bidi="ar-SA"/>
        </w:rPr>
        <w:t>كونه من مسلّمات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 لجماعة </w:t>
      </w:r>
      <w:r>
        <w:rPr>
          <w:rStyle w:val="FootnoteAnchor"/>
          <w:rtl w:val="true"/>
        </w:rPr>
        <w:footnoteReference w:id="1307"/>
      </w:r>
      <w:r>
        <w:rPr>
          <w:rFonts w:ascii="Amiri" w:hAnsi="Amiri" w:eastAsia="Amiri" w:cs="Amiri"/>
          <w:color w:val="111111"/>
          <w:sz w:val="28"/>
          <w:sz w:val="28"/>
          <w:szCs w:val="28"/>
          <w:rtl w:val="true"/>
          <w:lang w:bidi="ar-SA"/>
        </w:rPr>
        <w:t xml:space="preserve">ممّن تأخّر عن الشهيد الثاني قول بالتخيير بين الفاضل والمفضول تبعا للحاجبي </w:t>
      </w:r>
      <w:r>
        <w:rPr>
          <w:rStyle w:val="FootnoteAnchor"/>
          <w:rtl w:val="true"/>
        </w:rPr>
        <w:footnoteReference w:id="1308"/>
      </w:r>
      <w:r>
        <w:rPr>
          <w:rFonts w:ascii="Amiri" w:hAnsi="Amiri" w:eastAsia="Amiri" w:cs="Amiri"/>
          <w:color w:val="111111"/>
          <w:sz w:val="28"/>
          <w:sz w:val="28"/>
          <w:szCs w:val="28"/>
          <w:rtl w:val="true"/>
          <w:lang w:bidi="ar-SA"/>
        </w:rPr>
        <w:t xml:space="preserve">والعضدي </w:t>
      </w:r>
      <w:r>
        <w:rPr>
          <w:rStyle w:val="FootnoteAnchor"/>
          <w:rtl w:val="true"/>
        </w:rPr>
        <w:footnoteReference w:id="1309"/>
      </w:r>
      <w:r>
        <w:rPr>
          <w:rFonts w:ascii="Amiri" w:hAnsi="Amiri" w:eastAsia="Amiri" w:cs="Amiri"/>
          <w:color w:val="111111"/>
          <w:sz w:val="28"/>
          <w:sz w:val="28"/>
          <w:szCs w:val="28"/>
          <w:rtl w:val="true"/>
          <w:lang w:bidi="ar-SA"/>
        </w:rPr>
        <w:t xml:space="preserve">والقاضي </w:t>
      </w:r>
      <w:r>
        <w:rPr>
          <w:rStyle w:val="FootnoteAnchor"/>
          <w:rtl w:val="true"/>
        </w:rPr>
        <w:footnoteReference w:id="1310"/>
      </w:r>
      <w:r>
        <w:rPr>
          <w:rFonts w:ascii="Amiri" w:hAnsi="Amiri" w:eastAsia="Amiri" w:cs="Amiri"/>
          <w:color w:val="111111"/>
          <w:sz w:val="28"/>
          <w:sz w:val="28"/>
          <w:szCs w:val="28"/>
          <w:rtl w:val="true"/>
          <w:lang w:bidi="ar-SA"/>
        </w:rPr>
        <w:t xml:space="preserve">وجماعة من الأصوليّين والفقهاء فيما حكي عنهم </w:t>
      </w:r>
      <w:r>
        <w:rPr>
          <w:rStyle w:val="FootnoteAnchor"/>
          <w:rtl w:val="true"/>
        </w:rPr>
        <w:footnoteReference w:id="1311"/>
      </w:r>
      <w:r>
        <w:rPr>
          <w:rFonts w:ascii="Amiri" w:hAnsi="Amiri" w:eastAsia="Amiri" w:cs="Amiri"/>
          <w:color w:val="111111"/>
          <w:sz w:val="28"/>
          <w:sz w:val="28"/>
          <w:szCs w:val="28"/>
          <w:rtl w:val="true"/>
          <w:lang w:bidi="ar-SA"/>
        </w:rPr>
        <w:t xml:space="preserve">وصار إليه جملة من متأخّري أصحابنا </w:t>
      </w:r>
      <w:r>
        <w:rPr>
          <w:rStyle w:val="FootnoteAnchor"/>
          <w:rtl w:val="true"/>
        </w:rPr>
        <w:footnoteReference w:id="1312"/>
      </w:r>
      <w:r>
        <w:rPr>
          <w:rFonts w:ascii="Amiri" w:hAnsi="Amiri" w:eastAsia="Amiri" w:cs="Amiri"/>
          <w:color w:val="111111"/>
          <w:sz w:val="28"/>
          <w:sz w:val="28"/>
          <w:szCs w:val="28"/>
          <w:rtl w:val="true"/>
          <w:lang w:bidi="ar-SA"/>
        </w:rPr>
        <w:t>حتى صار في هذا الزمان قولا معتدّا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ما هو المعروف بين أصحابنا وقبل الخوض ينبغي رسم أمرين </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يعقل الخلاف في وجوب رجوع العامي الغير البالغ رتبة الاجتهاد في هذه الواقعة إلى الأعلم والأفضل ، بل لا بدّ أن يكون الخلاف في مقتضى الأدلّة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المقلّد إمّا أن يكون ملتفتا إلى الخلاف في </w:t>
      </w:r>
    </w:p>
    <w:p>
      <w:pPr>
        <w:pStyle w:val="BookText"/>
        <w:rPr/>
      </w:pPr>
      <w:r>
        <w:rPr>
          <w:rFonts w:ascii="Amiri" w:hAnsi="Amiri" w:eastAsia="Amiri" w:cs="Amiri"/>
          <w:color w:val="111111"/>
          <w:sz w:val="28"/>
          <w:sz w:val="28"/>
          <w:szCs w:val="28"/>
          <w:rtl w:val="true"/>
          <w:lang w:bidi="ar-SA"/>
        </w:rPr>
        <w:t>هذه الواقعة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فلا كلام فيه في المقام ، وإنّما يبنى الكلام فيه على مسألة عمل الجاهل على الخلاف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فإمّا أن يستقلّ عقله بالتساوي فلا كلام أيضا ، إذ لا يعقل تكليفه بخلاف علمه ، وإمّا أن يكون متردّدا كغيرها من الوقائع المشكوك فيها ، فإذا حاول استعلام حال هذه الواقعة بالتقليد فلا يعقل لرجوعه إلى غير الأعلم على وجه التقليد وجه ؛ لأنّ استعلام حال هذه الواقعة من غير الأعلم لعلّه غير مفيد ، إذ لم يثبت جوازه بعد ، فإن كان ذلك منه على سبيل عدم المبالاة بأحكام الشريعة فالعياذ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الاعتماد في الاستعلام المذكور هو قول غير الأعلم فهو دور ، فالمقلّد إذا كان ملتفتا لا بدّ له من الرجوع إلى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المجتهد إنّما يجوز له الإفتاء بما ظنّه من الأدلّة الشرعيّة جوازا أو منعا ، فالكلام في المقام إنّما هو فيما يظهر من الأدلّة الشرعيّة للناظر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فالمجتهد لو بنى على الجواز يفتي به لو راجعه المقلّد ، كما أنّه يفتي بعدمه فيما لو بنى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تأسيس الأصل في المسألة فنقول </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الظاهر من كلّ من تعرّض المسألة ووصل كلامه إلينا أنّ الأصل مع المانعين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شك أنّ العمل بقول الغير ومطابقة العمل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المعبّر عندهم بالتقليد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بما وراء العلم ، سواء كان اعتباره بواسطة حصول الظنّ كما يراه البعض ، أو بواسطة التعبّد كما هو الظاهر على ما ستعرف الكلام فيه إجمالا ، وذلك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المستفاد من الأدلّة القطعيّة كتابا وسنّة وإجماعا وعقلا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مرّ تفصيل القول فيه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حرمة العمل بغير العلم ، خرج منه متابعة الفاضل بالاتّفاق من المجوّزين والمانعين ، فإنّه هو المجمع عليه ، فيبقى متابعة المفضول في عموم حرمة العمل بما وراء العلم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ولم نقف </w:t>
      </w:r>
      <w:r>
        <w:rPr>
          <w:rStyle w:val="FootnoteAnchor"/>
          <w:rtl w:val="true"/>
        </w:rPr>
        <w:footnoteReference w:id="1313"/>
      </w:r>
      <w:r>
        <w:rPr>
          <w:rFonts w:ascii="Amiri" w:hAnsi="Amiri" w:eastAsia="Amiri" w:cs="Amiri"/>
          <w:color w:val="111111"/>
          <w:sz w:val="28"/>
          <w:sz w:val="28"/>
          <w:szCs w:val="28"/>
          <w:rtl w:val="true"/>
          <w:lang w:bidi="ar-SA"/>
        </w:rPr>
        <w:t xml:space="preserve">من لا يذعن بهذا الأصل سوى المحقّق القمي رحمه‌اللّه حيث إنّه أفاد في بعض إفاداته بأنّه لا أصل لهذا الأصل واشتغال الذمّة لم يثبت إلاّ بالقدر المشترك المتحقّق في ضمن الأدون أيضا ، والأصل عدم لزوم الزيادة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الكلام منه رحمه‌اللّه ليس في محلّه ، ولذلك ترى المجوّزين مطبقين على أنّ ذلك إنّما هو بواسطة الدليل الوارد على هذا الأصل من استصحاب أو إطلاق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بذلك منع قيام الدليل على حرمة العمل بالظنّ فلا بدّ له من الرجوع إلى الكتاب والسنّة وكلمات العلماء ، فإنّ ذلك هو الحاكم بين مدّعي وجود الدليل وبين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أنّ انسداد باب العلم إنّما اقتضى جواز العمل بالظنّ ، فذلك يوجب الإغناء عن البحث في المسألة ، لدوران الأمر مدار الظنّ فربّما يحصل من الأعلم وربما يحصل من غيره ؛ مع أنّ المعلوم ممّا سبق عدم استقامة الكلام المذكور بواسطة عدم جريان مقدّمات الانسداد في حقّ المقلّد ، لقيام الضرورة الدينيّة على وجوب رجوع العامي إلى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وعلمه بذلك ليس بأخفى من علمه بوجوب متابعة أحكام الشريعة ولو على الإجمال</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مرجع الأصل المذكور إلى ملاحظة الاحتياط في هذه المسألة التي هي بمنزلة المسائل الأصوليّة من حيث ترتّب المسائل الفرعيّة عليها ، وقد يعارض ذلك بالاحتياط في المسألة الفرعيّة كما إذا كان فتوى الأدون موافقا للاحتياط ، والاحتياط في المسألة الفرعيّة مقدّم على الاحتياط فيما هو بمنزلة المدرك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بعد إعمال الاحتياط في المبنى لا يبقى الشكّ في المسألة الفرعيّة شرعا ، مثل استصحاب المزيل حيث يحكم بتقديمه على المزال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يدّعى أنّ الأصل هو الجواز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حرمة العمل بما وراء العلم قد انقطع بما دلّ على مشروعيّة التقليد في الجملة ، ولا ريب أنّه إذا كان المجتهدان متساويان في العلم كان كلّ منهما حجّة وكان المكلّف مخيّرا بينهما ، ويستصحب التخيير الثابت عند حدوث الشكّ في زواله بواسطة حصول الترقّي لأحدهما ، فيتمّ في الباقي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وجه لما يتوهّم من القلب لفرض من هو واجب التقليد عينا ثم تساوى مع غيره ، فإنّه يستصحب وجوبه التعييني ثمّ يتمّ في الباقي بعدم القول بالفصل ، فإنّ استصحاب المثبت مقدّم على النافي ، كما قيل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مناط التخيير قبل التفاضل هو حكم العقل به بواسطة جريان مقدّماته وبعد حصول التفاضل يرتفع ما هو مناط الحكم بالتخيير قطعا ، ولا يجري في أمثال هذه الموارد الاستصحاب ، لارتفاع مناط الحكم قطعا</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مناط حكم العقل بالتخيير هو اجتماع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عدم إمكان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وثانيها عدم إمكان الطرح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وثالثها عدم الأخذ بأحدهما على وجه التعيين لانتفاء المعيّن واستحالة الترجيح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فرض وجود أمر يحتمل أن يكون مرجّحا يرتفع الأمر الثالث فلا وجه للحكم بالتخيير لا حقيقة ولا استصحابا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فظاهر ، وأمّا الثاني فلمّا قرّرنا في محلّه من عدم جريان </w:t>
      </w:r>
    </w:p>
    <w:p>
      <w:pPr>
        <w:pStyle w:val="BookText"/>
        <w:rPr/>
      </w:pPr>
      <w:r>
        <w:rPr>
          <w:rFonts w:ascii="Amiri" w:hAnsi="Amiri" w:eastAsia="Amiri" w:cs="Amiri"/>
          <w:color w:val="111111"/>
          <w:sz w:val="28"/>
          <w:sz w:val="28"/>
          <w:szCs w:val="28"/>
          <w:rtl w:val="true"/>
          <w:lang w:bidi="ar-SA"/>
        </w:rPr>
        <w:t>الاستصحاب في الأحكام العقليّة ، لاختلاف الموضوع ، إذ على تقدير عدم الاختلاف في موضوع الحكم العقلي لا يعقل الشكّ فيه ؛ لأنّ العقل لا يحكم إلاّ بعد الإحاطة بحدود الموضوع وأطرافه وذلك أمر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Style w:val="FootnoteAnchor"/>
          <w:rtl w:val="true"/>
        </w:rPr>
        <w:footnoteReference w:id="1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دائر في المقام بين كون المكلّف به الرجوع إلى مطلق الفقيه حتى يكون المكلّف مخيّرا بينهما ، وبين أنّ يكون هو الرجوع إلى الأعلم ، ولا شكّ أنّ الثاني فيه كلفة ليست في الأوّل ، فمع عدم ما يلزمه من الدليل لا يجب الالتزام ؛ لأنّ الناس في سعة ما لا يعلمون </w:t>
      </w:r>
      <w:r>
        <w:rPr>
          <w:rStyle w:val="FootnoteAnchor"/>
          <w:rtl w:val="true"/>
        </w:rPr>
        <w:footnoteReference w:id="1317"/>
      </w:r>
      <w:r>
        <w:rPr>
          <w:rFonts w:ascii="Amiri" w:hAnsi="Amiri" w:eastAsia="Amiri" w:cs="Amiri"/>
          <w:color w:val="111111"/>
          <w:sz w:val="28"/>
          <w:sz w:val="28"/>
          <w:szCs w:val="28"/>
          <w:rtl w:val="true"/>
          <w:lang w:bidi="ar-SA"/>
        </w:rPr>
        <w:t>؛ وذلك كالشكّ في أنّ المطلوب هو مطلق الرقبة أو الرقبة المؤمنة مع انتفاء الإطلاق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المقام ممّا دار الأمر فيه بين الإطلاق والتقييد على وجه يجري فيه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في التعيين والتخيير يتصوّر في مقامات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دوران الأمر بين الإطلاق والتقييد ، ومرجعه إلى الأمر بالكلّي المردّد بين أفراده المخيّر فيها بحسب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التخيير بحسب حكم الشرع كالتخيير بين الخصال</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التخيير عقليّا بواسطة المزاحمة ، والفرق بينه وبين الأوّل ظاهر فإنّ الأمر لم يعلم تعلّقه بغير الكلّي في الأوّل ، بخلاف الثالث فإنّ تعلّق الأمر بكلّ واحد منها معلوم مع قطع النظر عن المزاحمة ، وإنّما قلنا بالتخيير بواسطة المزاحمة مع اشتمال كلّ واحد من طرفي التخيير على المصلحة الفعليّة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التخيير بين فعل الشيء وتركه بواسطة دوران حكمه بين الوجوب والحرمة مع عدم المرجّح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قد عرفت ذلك فلا بدّ من بيان أنّ ما نحن بصدده من أيّ هذه الأقسام؟</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التخيير بين الأعلم وغيره ليس من القسم الثاني ، إذ لا دليل في الشرع بكون مفاده التخيير الشرعي بين الأعلم والأدون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القسم الأوّل ، إذ من المعلوم اعتبار الأدون عند عدم المعارضة ، وليس وجوب عتق الرقبة المؤمنة عند عدم تعارضه بوجوب المطلق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من القسم الثالث أو القسم الرابع ، ونحن لو سلّمنا جريان البراءة في القسمين الأوّلين فلا نسلّم أنّ القسمين الأخيرين يجري فيهما البراءة ، والوجه في ذلك عدم وفاء أدلّة البراءة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وبيانه تفصيلا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الشكّ في المقام راجع إلى تعيين المكلّف به المردّد بين الشيئين ، ولا شكّ في لزوم الأخذ بما يحتمل معه الترجيح بحكم العقل ؛ مضافا إلى أنّ الأخذ بأصالة البراءة فيما نحن فيه ليس في محلّه ، نظرا إلى أنّ الأصل المقرّر في الأمارات الغير العلميّة هو عدم جواز التعويل عليها</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قياس ما نحن فيه مع المثال المعهود من دوران الأمر بين الإطلاق والتقييد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كالعتق المردّد بين المؤمنة ومطلق الرقبة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مع الفارق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وجوب الزائد هناك موافق لأصل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المقام ، فإنّ الشك الزائد لا يطابق الأصل ، بل الشكّ فيه إنّما يرجع إلى عروض التخصيص في عمومات النهي عن العمل بما وراء العلم ، وأصالة الحقيقة فيهما تقضي بالتحريم فيما لم يعلم تخصيصه بدليل قطعيّ ، كما هو المفروض في مقام تأسيس 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يدلّ على أنّ المقام ليس من موارد البراءة بواسطة دوران الأمر بين الإطلاق والتقييد هو أنّه من لوازم ذلك تعلّق الأمر بالمطلق القدر المشترك ، وهو إنّما يجدي في التكاليف الواقعيّة ، وأمّا فيما هو طريق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كالتكليف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تعلّق الأمر بالقدر المشترك ، فإنّ القدر المشترك بين ما مفاده الوجوب وبين ما مفاده الحرمة لا يعقل أن يكون هو الطريق إلى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التخيير الشرعيّ بين الأخبار مع كونها طرقا إلى ما يستفاد منها فليس على القاعدة التي قرّرنا في الطرق ، فإنّ الأصل يقضي فيها بالتوقّف دون التخيير ، كما هو مذكور في بحث التعادل والتراجيح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وذلك لا يناسب الطريقة في الأخبار ، فإنّما هو يلائم القول بوجوب الأخذ بقول العادل في الأخبار والعالم في المقام تعبّدا شرعيّا من دون ملاحظة كونها طرقا موصلة إلى الواقع وإن كان ذلك بعيدا في الغاية كما يومئ إليها أمارات قد استوفيناها في مباحث الظنّ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Style w:val="FootnoteAnchor"/>
          <w:rtl w:val="true"/>
        </w:rPr>
        <w:footnoteReference w:id="1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الأصل في المقام هو التخيير ، لرجوع الأمر إلى الشكّ في كون الأعلميّة هل هي من المرجّحات أو لا ، والأصل عدم كونها منها</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عدم حجّية قول غير الأعلم لا وجه لأنّ يكون عدم الحجّية بحسب الشرع في حدّ ذاته ، ضرورة اعتباره عند عدم الأعلم ، بل المراد عدم الحجّية عند دوران الأمر بين الأخذ بفتوى الأعلم وقول غيره ، ووقوع التعارض بينهما بعد العلم بالحجّية في الجملة ، ولا ريب أنّ الحكم بتقديم الأعلم يحتاج إلى مرجّح والمرجّحية ليست من الأمور التي تطابق الأصل كنفس الحجّية ، فمتى ما شكّ فيها فالأصل عدمها ، ومعه يثبت التخيير ، وهو المطلوب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رجوع أصالة عدم الترجيح في المقام إلى تخصيص العموم الذي دلّ على حرمة العمل بما وراء العلم بدون مخصّص ، فلا وجه لجريانه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التخيير المطلوب في المقام إثباته إمّا التخيير العقلي أو الشرعي ، ولا سبيل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حكم العقل بالتخيير إنّما هو فرع التساوي في نظره ، والمفروض حصول الترجيح لأحدهما ولا سبيل إلى القول بعدم اعتبار هذا الترجيح ، إذ المدار هو حكم العقل ومع احتمال الترجيح لا حكم للعقل ، وأصالة العدم لا ترفع نفس الاحتمال الذي من لوازمه العقليّة عدم استقلال العقل بالتخيير لاحتمال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وفاء شيء من الأدلّة الشرعيّة بالتخيير بين قول الأعلم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حكم الشرع بالتخيير بعد محكم العقل فهو إنّما هو في موضوع حكم العقل على الوجه الذي حكم به العقل ، فلا وجه لما عسى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قضيّة الملازمة هو وجود الحكم الشرعي في مورد حكم العقل بالتخيير</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 فلا محيص عن الالتزام بأنّ الأصل عدم اعتبار قول المفضول عند تعارضه بقول الفاضل ؛ لما عرفت في طيّ الكلمات المذكورة ، ولذلك تراهم مطبقين على الأصل المذكورة وإنّما زعم من زعم بواسطة الأدلّة الواردة القاطعة للأصول ، وإذ قد عرفت الأصل في المقام فلنذكر أدلّة الطرفين في هداية مستقلّة</w:t>
      </w:r>
      <w:r>
        <w:rPr>
          <w:rFonts w:eastAsia="Amiri" w:cs="Amiri" w:ascii="Amiri" w:hAnsi="Amiri"/>
          <w:color w:val="111111"/>
          <w:sz w:val="28"/>
          <w:szCs w:val="28"/>
          <w:rtl w:val="true"/>
          <w:lang w:bidi="ar-SA"/>
        </w:rPr>
        <w:t xml:space="preserve">.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7" w:name="pg16264_169839"/>
      <w:bookmarkStart w:id="358" w:name="pg16264_169839"/>
      <w:bookmarkEnd w:id="358"/>
    </w:p>
    <w:p>
      <w:pPr>
        <w:pStyle w:val="Heading3"/>
        <w:numPr>
          <w:ilvl w:val="2"/>
          <w:numId w:val="1"/>
        </w:numPr>
        <w:rPr/>
      </w:pPr>
      <w:bookmarkStart w:id="359" w:name="pg16264_169839"/>
      <w:bookmarkStart w:id="360" w:name="__RefHeading___Toc4588758_1280447820"/>
      <w:bookmarkStart w:id="361" w:name="_Toc111"/>
      <w:bookmarkEnd w:id="359"/>
      <w:bookmarkEnd w:id="360"/>
      <w:r>
        <w:rPr>
          <w:rtl w:val="true"/>
        </w:rPr>
        <w:t>هداية</w:t>
      </w:r>
      <w:bookmarkEnd w:id="361"/>
    </w:p>
    <w:p>
      <w:pPr>
        <w:pStyle w:val="BookText"/>
        <w:rPr/>
      </w:pPr>
      <w:r>
        <w:rPr>
          <w:rFonts w:ascii="Amiri" w:hAnsi="Amiri" w:eastAsia="Amiri" w:cs="Amiri"/>
          <w:color w:val="111111"/>
          <w:sz w:val="28"/>
          <w:sz w:val="28"/>
          <w:szCs w:val="28"/>
          <w:rtl w:val="true"/>
          <w:lang w:bidi="ar-SA"/>
        </w:rPr>
        <w:t>في ذكر احتجاج القائلين بالجواز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بتقريراته الثلاث كما عرفت فيما مرّ </w:t>
      </w:r>
      <w:r>
        <w:rPr>
          <w:rStyle w:val="FootnoteAnchor"/>
          <w:rtl w:val="true"/>
        </w:rPr>
        <w:footnoteReference w:id="1319"/>
      </w:r>
      <w:r>
        <w:rPr>
          <w:rFonts w:ascii="Amiri" w:hAnsi="Amiri" w:eastAsia="Amiri" w:cs="Amiri"/>
          <w:color w:val="111111"/>
          <w:sz w:val="28"/>
          <w:sz w:val="28"/>
          <w:szCs w:val="28"/>
          <w:rtl w:val="true"/>
          <w:lang w:bidi="ar-SA"/>
        </w:rPr>
        <w:t>، مع ما فيها من عدم الاستقامة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إطلاقات الأدلّة كتابا وسنّة ، إذ لا أثر فيها على اشتراط الأعلميّة ، فيكون هذه الإطلاقات قاطعة للأصل على تقدير تسليم اقتضائه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استقرار سيرة أصحاب الأئمّة عليهم‌السلام على الأخذ بفتاوى أرباب النظر والاجتهاد من دون فحص عن الأعلميّة مع القطع باختلافهم في العلم والفضيلة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 ذلك ملاحظة تجويز التكلّم بهشام </w:t>
      </w:r>
      <w:r>
        <w:rPr>
          <w:rStyle w:val="FootnoteAnchor"/>
          <w:rtl w:val="true"/>
        </w:rPr>
        <w:footnoteReference w:id="1320"/>
      </w:r>
      <w:r>
        <w:rPr>
          <w:rFonts w:ascii="IRNazanin" w:hAnsi="IRNazanin" w:eastAsia="IRNazanin"/>
          <w:color w:val="111111"/>
          <w:sz w:val="28"/>
          <w:sz w:val="28"/>
          <w:szCs w:val="28"/>
          <w:rtl w:val="true"/>
          <w:lang w:bidi="fa-IR"/>
        </w:rPr>
        <w:t xml:space="preserve">وأضرابه </w:t>
      </w:r>
      <w:r>
        <w:rPr>
          <w:rStyle w:val="FootnoteAnchor"/>
          <w:rtl w:val="true"/>
        </w:rPr>
        <w:footnoteReference w:id="1321"/>
      </w:r>
      <w:r>
        <w:rPr>
          <w:rFonts w:ascii="Amiri" w:hAnsi="Amiri" w:eastAsia="Amiri" w:cs="Amiri"/>
          <w:color w:val="111111"/>
          <w:sz w:val="28"/>
          <w:sz w:val="28"/>
          <w:szCs w:val="28"/>
          <w:rtl w:val="true"/>
          <w:lang w:bidi="ar-SA"/>
        </w:rPr>
        <w:t>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تقليد الأعلم عسرا لا يتحمّل في العادة ، فيكون منفيّا في الشريعة</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الأعلم في الأغلب منحصر في واحد أو في اثنين ، ومن المعلوم أنّ رجوع جميع أهل الاسلام إليه فيه عسر عليه وعليهم كما هو ظاهر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زعمه بعض الأجلّة </w:t>
      </w:r>
      <w:r>
        <w:rPr>
          <w:rStyle w:val="FootnoteAnchor"/>
          <w:rtl w:val="true"/>
        </w:rPr>
        <w:footnoteReference w:id="1323"/>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تقليد الأعلم واجبا لما كان الأخذ بفتاوى أصحاب الأئمّة مع إمكان الاستفتاء منهم عليهم‌السلام جائزا ، فإنّهم أولى بأن يؤخذ منهم من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استند إليه المحقّق القمّي رحمه‌اللّه </w:t>
      </w:r>
      <w:r>
        <w:rPr>
          <w:rStyle w:val="FootnoteAnchor"/>
          <w:rtl w:val="true"/>
        </w:rPr>
        <w:footnoteReference w:id="1324"/>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الاستناد إلى دليل الانسداد القاضي بوجوب الأخذ بقول العالم للعامّي ، من غير فرق بين الأعلم وغيره ، ضرورة حصول المناط وإمكانه في غير الأعلم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ممّا لا يجوز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الإطلاقات المذكورة بعد الغضّ عن نهوضها على مشروعيّة أصل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الوجه في ذلك فيما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الإطلاقات بين أصناف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صنف منها يكون دالاّ على جواز الأخذ بقول العالم على وجه يكون المراد به الجنس ، كآية السؤال </w:t>
      </w:r>
      <w:r>
        <w:rPr>
          <w:rStyle w:val="FootnoteAnchor"/>
          <w:rtl w:val="true"/>
        </w:rPr>
        <w:footnoteReference w:id="1325"/>
      </w:r>
      <w:r>
        <w:rPr>
          <w:rFonts w:ascii="Amiri" w:hAnsi="Amiri" w:eastAsia="Amiri" w:cs="Amiri"/>
          <w:color w:val="111111"/>
          <w:sz w:val="28"/>
          <w:sz w:val="28"/>
          <w:szCs w:val="28"/>
          <w:rtl w:val="true"/>
          <w:lang w:bidi="ar-SA"/>
        </w:rPr>
        <w:t>فإنّ المأمور به فيها هو وجوب السؤال عن جنس العالم ، كما هو ظاهر على من لاحظها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الحوادث الواقعة فارجعوا فيها إلى رواة أحاديثنا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وصنف منها ما يدلّ على وجوب الأخذ بكلّ عالم على وجه العموم كآية النفر </w:t>
      </w:r>
      <w:r>
        <w:rPr>
          <w:rStyle w:val="FootnoteAnchor"/>
          <w:rtl w:val="true"/>
        </w:rPr>
        <w:footnoteReference w:id="1327"/>
      </w:r>
      <w:r>
        <w:rPr>
          <w:rFonts w:ascii="Amiri" w:hAnsi="Amiri" w:eastAsia="Amiri" w:cs="Amiri"/>
          <w:color w:val="111111"/>
          <w:sz w:val="28"/>
          <w:sz w:val="28"/>
          <w:szCs w:val="28"/>
          <w:rtl w:val="true"/>
          <w:lang w:bidi="ar-SA"/>
        </w:rPr>
        <w:t xml:space="preserve">فإنّها على ما هو المقرّر في توجيه الاستدلال بها يدلّ على وجوب </w:t>
      </w:r>
    </w:p>
    <w:p>
      <w:pPr>
        <w:pStyle w:val="BookText"/>
        <w:rPr/>
      </w:pPr>
      <w:r>
        <w:rPr>
          <w:rFonts w:ascii="Amiri" w:hAnsi="Amiri" w:eastAsia="Amiri" w:cs="Amiri"/>
          <w:color w:val="111111"/>
          <w:sz w:val="28"/>
          <w:sz w:val="28"/>
          <w:szCs w:val="28"/>
          <w:rtl w:val="true"/>
          <w:lang w:bidi="ar-SA"/>
        </w:rPr>
        <w:t xml:space="preserve">الأخذ بقول المنذرين ، ونظيره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عرف أحكامنا </w:t>
      </w:r>
      <w:r>
        <w:rPr>
          <w:rFonts w:eastAsia="Amiri" w:cs="Amiri" w:ascii="Amiri" w:hAnsi="Amiri"/>
          <w:color w:val="111111"/>
          <w:sz w:val="28"/>
          <w:szCs w:val="28"/>
          <w:rtl w:val="true"/>
          <w:lang w:bidi="ar-SA"/>
        </w:rPr>
        <w:t xml:space="preserve">» </w:t>
      </w:r>
      <w:r>
        <w:rPr>
          <w:rStyle w:val="FootnoteAnchor"/>
          <w:rtl w:val="true"/>
        </w:rPr>
        <w:footnoteReference w:id="1328"/>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من كان من العلماء صائنا لدينه فللعوام أن يقلّدوه </w:t>
      </w:r>
      <w:r>
        <w:rPr>
          <w:rFonts w:eastAsia="Amiri" w:cs="Amiri" w:ascii="Amiri" w:hAnsi="Amiri"/>
          <w:color w:val="111111"/>
          <w:sz w:val="28"/>
          <w:szCs w:val="28"/>
          <w:rtl w:val="true"/>
          <w:lang w:bidi="ar-SA"/>
        </w:rPr>
        <w:t xml:space="preserve">»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وصنف منها ما يدلّ على وجوب الأخذ بقول كلّ عالم على أيّ وجه اتّفق على وجه العموم البدلي ،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اعتمدا في دينكما على كلّ مسنّ في حبّنا </w:t>
      </w:r>
      <w:r>
        <w:rPr>
          <w:rFonts w:eastAsia="Amiri" w:cs="Amiri" w:ascii="Amiri" w:hAnsi="Amiri"/>
          <w:color w:val="111111"/>
          <w:sz w:val="28"/>
          <w:szCs w:val="28"/>
          <w:rtl w:val="true"/>
          <w:lang w:bidi="ar-SA"/>
        </w:rPr>
        <w:t xml:space="preserve">» </w:t>
      </w:r>
      <w:r>
        <w:rPr>
          <w:rStyle w:val="FootnoteAnchor"/>
          <w:rtl w:val="true"/>
        </w:rPr>
        <w:footnoteReference w:id="1330"/>
      </w:r>
      <w:r>
        <w:rPr>
          <w:rFonts w:ascii="Amiri" w:hAnsi="Amiri" w:eastAsia="Amiri" w:cs="Amiri"/>
          <w:color w:val="111111"/>
          <w:sz w:val="28"/>
          <w:sz w:val="28"/>
          <w:szCs w:val="28"/>
          <w:rtl w:val="true"/>
          <w:lang w:bidi="ar-SA"/>
        </w:rPr>
        <w:t xml:space="preserve">فإنّ مفاده وجوب الرجوع إلى العلماء على وجه يستفاد منه التخيير ، مثل الرواية المنقولة عند الجمهور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أصحابي كالنجوم بأيّهم اقتديتم اهتديتم </w:t>
      </w:r>
      <w:r>
        <w:rPr>
          <w:rFonts w:eastAsia="Amiri" w:cs="Amiri" w:ascii="Amiri" w:hAnsi="Amiri"/>
          <w:color w:val="111111"/>
          <w:sz w:val="28"/>
          <w:szCs w:val="28"/>
          <w:rtl w:val="true"/>
          <w:lang w:bidi="ar-SA"/>
        </w:rPr>
        <w:t xml:space="preserve">»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ريب في أنّ الاستناد إلى الصنفين الأوّلين ممّا لا يجدي في المقام ، فإنّ المستفاد منها مشروعيّة جواز الرجوع إلى العلماء في أصل الشريعة ، ولا كلام لنا فيه ، إذ لا إشكال في أنّ قول الغير الأعلم حجّة وأنّه يجب الأخذ به في حدّ ذاته عند عدم معارضته بقول الأعلم ، وإنّما الكلام في أنّ من الجائز الأخذ به عند معارضته بقول الأعلم أو لا؟ ولا إشكال في أنّ هذه الواقعة خارجة عن مفاد الدليل المذكور فلا بدّ لها من دليل يوافقها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الصنف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 دليلا للخصم ، لما عرفت من أنّه يستفاد منه التخيير ، فيمكن الاستناد إليه عند الشكّ في رجحان قول الأعلم على غيره</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لا يجدي أيضا ، والوجه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إمكان الاستفادة لا يجدي في التمسّك بالإطلاق ، بل لا بدّ وأنّ يكون المطلق في مقام بيان الحكم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والظاهر أنّ هذه الأقسام كلّها مسوقة لبيان جواز نفس التقليد من دون ملاحظة أمر آخر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 إلى الأطبّاء ، أو إلى الطبيب ، أو إلى كلّ من يعالج مثلا ، فإنّ المفهوم منها بيان أصل المرجع ، وأمّا الواقعة المترتّبة على هذه الواقعة من وقوع التعارض بين أقوال الأطبّاء ، فلا يستفاد منها ؛ ولذلك لا يعدّ بيان المرجع عند التعارض قبيحا كما هو كذلك في المقبولة ، فإنّه بعد الأمر بالرجوع إلى العارف بالأحكام يصدى </w:t>
      </w:r>
      <w:r>
        <w:rPr>
          <w:rStyle w:val="FootnoteAnchor"/>
          <w:rtl w:val="true"/>
        </w:rPr>
        <w:footnoteReference w:id="1332"/>
      </w:r>
      <w:r>
        <w:rPr>
          <w:rFonts w:ascii="Amiri" w:hAnsi="Amiri" w:eastAsia="Amiri" w:cs="Amiri"/>
          <w:color w:val="111111"/>
          <w:sz w:val="28"/>
          <w:sz w:val="28"/>
          <w:szCs w:val="28"/>
          <w:rtl w:val="true"/>
          <w:lang w:bidi="ar-SA"/>
        </w:rPr>
        <w:t>لبيان المرجع عند التعارض ولذلك حسن استفسار السائل أيضا ، نعم يصحّ التعويل على هذه الاطلاقات عند عدم العلم بالاختلاف والتعارض 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الأخبار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فالاستناد إليها يتوقّف على دعوى العلم بوجود الاختلاف بين هؤلاء المفتين في العلم والفضيلة ، والعلم باطّلاع الناس على اختلافهم فيه ، والعلم باختلافهم في الفروع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إثبات ذلك فيمن أمر الإمام عليه‌السلام بالاستفتاء منهم في غاية الصعوبة ، بل لا يكون ذلك إلاّ تخرّصا على الغيب</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السيرة </w:t>
      </w:r>
      <w:r>
        <w:rPr>
          <w:rStyle w:val="FootnoteAnchor"/>
          <w:rtl w:val="true"/>
        </w:rPr>
        <w:footnoteReference w:id="1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فالمسلّم منها أنّهم مع عدم علمهم بالاختلاف في الفتاوى كانوا يرجعون بعضهم إلى بعض ، وأمّا مع العلم بالاختلاف إجمالا فلا نسلّم عدم فحصهم عن الفاضل وعدم رجوعهم إليه ، فكيف بما إذا علموا بالفضيلة والاختلاف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دعوى ندرة الاختلاف بين أصحاب الأئمّة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ننكر أصل الاجتهاد في حقّهم ، بل نقول بالفرق بيننا وبينهم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w:t>
      </w:r>
      <w:r>
        <w:rPr>
          <w:rStyle w:val="FootnoteAnchor"/>
          <w:rtl w:val="true"/>
        </w:rPr>
        <w:footnoteReference w:id="1334"/>
      </w:r>
      <w:r>
        <w:rPr>
          <w:rFonts w:ascii="Amiri" w:hAnsi="Amiri" w:eastAsia="Amiri" w:cs="Amiri"/>
          <w:color w:val="111111"/>
          <w:sz w:val="28"/>
          <w:sz w:val="28"/>
          <w:szCs w:val="28"/>
          <w:rtl w:val="true"/>
          <w:lang w:bidi="ar-SA"/>
        </w:rPr>
        <w:t xml:space="preserve">وجود أسباب الاختلاف في حقّنا دونهم ، فإنّ 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w:t>
      </w:r>
    </w:p>
    <w:p>
      <w:pPr>
        <w:pStyle w:val="BookText"/>
        <w:rPr/>
      </w:pPr>
      <w:r>
        <w:rPr>
          <w:rFonts w:ascii="Amiri" w:hAnsi="Amiri" w:eastAsia="Amiri" w:cs="Amiri"/>
          <w:color w:val="111111"/>
          <w:sz w:val="28"/>
          <w:sz w:val="28"/>
          <w:szCs w:val="28"/>
          <w:rtl w:val="true"/>
          <w:lang w:bidi="ar-SA"/>
        </w:rPr>
        <w:t xml:space="preserve">المقلّدين في أمثال زماننا حيث إنّهم لا يختلفون في الفتاوى المنقولة عن مجتهدهم ، فإنّه كلّما يزداد بعد عهدنا عن مشكاة الإمامة ومصباح الولاية يزداد الحيرة والاختلاف فينا ؛ ولذلك 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أصحابي كالنجوم </w:t>
      </w:r>
      <w:r>
        <w:rPr>
          <w:rFonts w:eastAsia="Amiri" w:cs="Amiri" w:ascii="Amiri" w:hAnsi="Amiri"/>
          <w:color w:val="111111"/>
          <w:sz w:val="28"/>
          <w:szCs w:val="28"/>
          <w:rtl w:val="true"/>
          <w:lang w:bidi="ar-SA"/>
        </w:rPr>
        <w:t xml:space="preserve">» </w:t>
      </w:r>
      <w:r>
        <w:rPr>
          <w:rStyle w:val="FootnoteAnchor"/>
          <w:rtl w:val="true"/>
        </w:rPr>
        <w:footnoteReference w:id="1335"/>
      </w:r>
      <w:r>
        <w:rPr>
          <w:rFonts w:ascii="Amiri" w:hAnsi="Amiri" w:eastAsia="Amiri" w:cs="Amiri"/>
          <w:color w:val="111111"/>
          <w:sz w:val="28"/>
          <w:sz w:val="28"/>
          <w:szCs w:val="28"/>
          <w:rtl w:val="true"/>
          <w:lang w:bidi="ar-SA"/>
        </w:rPr>
        <w:t>فإنّ فيه دلالة على خلاف مراد المتمسّكين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يخالف اختلاف الهادين ، فلا بدّ من أن يكون الكلّ متّفقا في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التشبيه بالنجوم يفيد ذلك ، فإنّها طرق قطعيّة يتوصّل بكلّ واحد منها إلى المقصود على اختلاف أوضاع المقاصد وهيئات الكواكب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فالإنصاف أنّ دعوى استقرار السيرة على جواز الرجوع إلى غير الأعلم عند العلم بالاختلاف وإمكان الرجوع إلى 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يكون شايعا معلوما للأئمّة بالعلم المعتاد المعتبر في حجّية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بيّنة ، ولم يقم دليل عليها أيضا ، فعهدتها على مدّعيها</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لزوم الحرج </w:t>
      </w:r>
      <w:r>
        <w:rPr>
          <w:rStyle w:val="FootnoteAnchor"/>
          <w:rtl w:val="true"/>
        </w:rPr>
        <w:footnoteReference w:id="1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أريد لزومه في تشخيص موضوعه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تشخيص الأعلم ليس بأخفى من تشخيص نفس الاجتهاد فيما هو الموصل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أريد لزومه من حيث الانحصار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حينئذ الرجوع إلى الأعلم فيمن لا يلزم منه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إلحاق الغير بالإجماع ، لما عرفت مرارا من أنّ التفضيل بواسطة لزوم العسر ليس تفصيلا في الحقيقة ، لحكومة الأدلّة الدالّة على نفسه على جميع الأدلّة في الأحكام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أنّ فتوى الأعلم فيها 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فتوى غيره أيضا قد يكون فيه العسر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للاعتماد على هذه الوجوه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غرائب الاستدلال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المقصود على ما عرفت عند العلم بالاختلاف ، والعلم بمخالفة الإمام مع غيره يوجب العلم ببطلان الغير ومع ذلك لا يجوز التقليد ، مضافا إلى أنّ قياس الإمام بغيره مما يشمئزّ منه أصحاب الإنصاف ،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مبنيّ على مقدّمات لم يساعد عليها بداهة ولا برهان ، بل قامت الضرورة الدينيّة على خلافه كما أومأنا إلى ذلك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فالواجب هو الأخذ بالأعلم أيضا ، لما ستعرف في أدلّة المانعين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إهمال الغير الأعلم عند معارضته بالأعلم يوجب الحكم بمساواته بغير العالم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يَسْتَوِي الَّذِينَ يَعْلَمُونَ وَالَّذِينَ لا يَعْلَمُونَ </w:t>
      </w:r>
      <w:r>
        <w:rPr>
          <w:rFonts w:eastAsia="Amiri" w:cs="Amiri" w:ascii="Amiri" w:hAnsi="Amiri"/>
          <w:color w:val="111111"/>
          <w:sz w:val="28"/>
          <w:szCs w:val="28"/>
          <w:rtl w:val="true"/>
          <w:lang w:bidi="ar-SA"/>
        </w:rPr>
        <w:t xml:space="preserve">)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مساواة الأعلم وغيره أيضا يوجب الحكم بمساواة العالم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التمسّك بالآية في أمثال المقام ممّا لا وجه له أصلا كما لا يخفى ، إذ نفي المساواة من جميع الجهات ممّا لا سبيل إليه ولا ظاهر في البين يجدي في المقام ، فيكفي في نفي المساواة الاختلاف في بعض الجهات ، ولم يثبت كون المقام منها ، فتدبّر</w:t>
      </w:r>
      <w:r>
        <w:rPr>
          <w:rFonts w:eastAsia="Amiri" w:cs="Amiri" w:ascii="Amiri" w:hAnsi="Amiri"/>
          <w:color w:val="111111"/>
          <w:sz w:val="28"/>
          <w:szCs w:val="28"/>
          <w:rtl w:val="true"/>
          <w:lang w:bidi="ar-SA"/>
        </w:rPr>
        <w:t xml:space="preserve">. </w:t>
      </w:r>
      <w:bookmarkStart w:id="362" w:name="pg16264_169845"/>
    </w:p>
    <w:p>
      <w:pPr>
        <w:pStyle w:val="Heading3"/>
        <w:numPr>
          <w:ilvl w:val="2"/>
          <w:numId w:val="1"/>
        </w:numPr>
        <w:rPr/>
      </w:pPr>
      <w:bookmarkStart w:id="363" w:name="__RefHeading___Toc4588760_1280447820"/>
      <w:bookmarkStart w:id="364" w:name="_Toc112"/>
      <w:bookmarkEnd w:id="362"/>
      <w:bookmarkEnd w:id="363"/>
      <w:r>
        <w:rPr>
          <w:rtl w:val="true"/>
        </w:rPr>
        <w:t>هداية</w:t>
      </w:r>
      <w:bookmarkEnd w:id="364"/>
    </w:p>
    <w:p>
      <w:pPr>
        <w:pStyle w:val="Heading4"/>
        <w:numPr>
          <w:ilvl w:val="3"/>
          <w:numId w:val="1"/>
        </w:numPr>
        <w:rPr/>
      </w:pPr>
      <w:bookmarkStart w:id="365" w:name="__RefHeading___Toc4588762_1280447820"/>
      <w:bookmarkStart w:id="366" w:name="_Toc113"/>
      <w:bookmarkEnd w:id="365"/>
      <w:r>
        <w:rPr>
          <w:rtl w:val="true"/>
        </w:rPr>
        <w:t xml:space="preserve">في ذكر احتجاج المانعين </w:t>
      </w:r>
      <w:r>
        <w:rPr>
          <w:rtl w:val="true"/>
        </w:rPr>
        <w:t>:</w:t>
      </w:r>
      <w:bookmarkEnd w:id="366"/>
    </w:p>
    <w:p>
      <w:pPr>
        <w:pStyle w:val="BookText"/>
        <w:rPr/>
      </w:pPr>
      <w:r>
        <w:rPr>
          <w:rFonts w:ascii="Amiri" w:hAnsi="Amiri" w:eastAsia="Amiri" w:cs="Amiri"/>
          <w:color w:val="111111"/>
          <w:sz w:val="28"/>
          <w:sz w:val="28"/>
          <w:szCs w:val="28"/>
          <w:rtl w:val="true"/>
          <w:lang w:bidi="ar-SA"/>
        </w:rPr>
        <w:t xml:space="preserve">وهو بعد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Style w:val="FootnoteAnchor"/>
          <w:rtl w:val="true"/>
        </w:rPr>
        <w:footnoteReference w:id="1338"/>
      </w:r>
      <w:r>
        <w:rPr>
          <w:rFonts w:ascii="Amiri" w:hAnsi="Amiri" w:eastAsia="Amiri" w:cs="Amiri"/>
          <w:color w:val="111111"/>
          <w:sz w:val="28"/>
          <w:sz w:val="28"/>
          <w:szCs w:val="28"/>
          <w:rtl w:val="true"/>
          <w:lang w:bidi="ar-SA"/>
        </w:rPr>
        <w:t xml:space="preserve">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الإجماعات المنقولة صريحا في كلام المحقّق الثاني </w:t>
      </w:r>
      <w:r>
        <w:rPr>
          <w:rStyle w:val="FootnoteAnchor"/>
          <w:rtl w:val="true"/>
        </w:rPr>
        <w:footnoteReference w:id="1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حكاه الأردبيلي عن بعضهم أيضا </w:t>
      </w:r>
      <w:r>
        <w:rPr>
          <w:rStyle w:val="FootnoteAnchor"/>
          <w:rtl w:val="true"/>
        </w:rPr>
        <w:footnoteReference w:id="1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وظاهرا في كلام الشهيد الثاني </w:t>
      </w:r>
      <w:r>
        <w:rPr>
          <w:rStyle w:val="FootnoteAnchor"/>
          <w:rtl w:val="true"/>
        </w:rPr>
        <w:footnoteReference w:id="1341"/>
      </w:r>
      <w:r>
        <w:rPr>
          <w:rFonts w:ascii="Amiri" w:hAnsi="Amiri" w:eastAsia="Amiri" w:cs="Amiri"/>
          <w:color w:val="111111"/>
          <w:sz w:val="28"/>
          <w:sz w:val="28"/>
          <w:szCs w:val="28"/>
          <w:rtl w:val="true"/>
          <w:lang w:bidi="ar-SA"/>
        </w:rPr>
        <w:t xml:space="preserve">المؤيّد بنقل عدم الخلاف عند أصحابنا ، كما يظهر من السيّد في الذريعة </w:t>
      </w:r>
      <w:r>
        <w:rPr>
          <w:rStyle w:val="FootnoteAnchor"/>
          <w:rtl w:val="true"/>
        </w:rPr>
        <w:footnoteReference w:id="1342"/>
      </w:r>
      <w:r>
        <w:rPr>
          <w:rFonts w:ascii="Amiri" w:hAnsi="Amiri" w:eastAsia="Amiri" w:cs="Amiri"/>
          <w:color w:val="111111"/>
          <w:sz w:val="28"/>
          <w:sz w:val="28"/>
          <w:szCs w:val="28"/>
          <w:rtl w:val="true"/>
          <w:lang w:bidi="ar-SA"/>
        </w:rPr>
        <w:t xml:space="preserve">، والبهائي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وتقليد الأفضل معيّن عندنا </w:t>
      </w:r>
      <w:r>
        <w:rPr>
          <w:rStyle w:val="FootnoteAnchor"/>
          <w:rtl w:val="true"/>
        </w:rPr>
        <w:footnoteReference w:id="1343"/>
      </w:r>
      <w:r>
        <w:rPr>
          <w:rFonts w:ascii="Amiri" w:hAnsi="Amiri" w:eastAsia="Amiri" w:cs="Amiri"/>
          <w:color w:val="111111"/>
          <w:sz w:val="28"/>
          <w:sz w:val="28"/>
          <w:szCs w:val="28"/>
          <w:rtl w:val="true"/>
          <w:lang w:bidi="ar-SA"/>
        </w:rPr>
        <w:t xml:space="preserve">، وفي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الأصحاب الذين وصل إلينا كلامهم </w:t>
      </w:r>
      <w:r>
        <w:rPr>
          <w:rStyle w:val="FootnoteAnchor"/>
          <w:rtl w:val="true"/>
        </w:rPr>
        <w:footnoteReference w:id="1344"/>
      </w:r>
      <w:r>
        <w:rPr>
          <w:rFonts w:ascii="Amiri" w:hAnsi="Amiri" w:eastAsia="Amiri" w:cs="Amiri"/>
          <w:color w:val="111111"/>
          <w:sz w:val="28"/>
          <w:sz w:val="28"/>
          <w:szCs w:val="28"/>
          <w:rtl w:val="true"/>
          <w:lang w:bidi="ar-SA"/>
        </w:rPr>
        <w:t>المعاضدة بالشهرة المحقّقة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الحجّة في مثل المقام الملحق بالفرعيّات ، بل ولا يجوز الاجتراء في الإفتاء في مثل هذه المسألة التي بمنزلة الإفتاء في جميع الفقه بخلاف المنقول </w:t>
      </w:r>
    </w:p>
    <w:p>
      <w:pPr>
        <w:pStyle w:val="BookText"/>
        <w:rPr/>
      </w:pPr>
      <w:r>
        <w:rPr>
          <w:rFonts w:ascii="Amiri" w:hAnsi="Amiri" w:eastAsia="Amiri" w:cs="Amiri"/>
          <w:color w:val="111111"/>
          <w:sz w:val="28"/>
          <w:sz w:val="28"/>
          <w:szCs w:val="28"/>
          <w:rtl w:val="true"/>
          <w:lang w:bidi="ar-SA"/>
        </w:rPr>
        <w:t>من الأصحاب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نرى منهم الاختلاف مع وجود ذلك فيما هو أهون من المقام ، كما لا يخفى على من تتبّع فتاويهم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وجه للوسوسة بعدم حجّية الإجماع المنقول في المقام كما عرفت ، والتعليل الفاسد في كلام المجمعين ليس بضائر بعد الاتّفاق الكاشف مع ما تعرف من صحّة التعليل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ترجيح الأعلم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مقبولة عمر بن حنظلة حيث قال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ما حكم به أعدلهما وأفقههما وأصدقهما في الحديث وأورعهما ، ولا يلتفت إلى ما حكم به الآخر </w:t>
      </w:r>
      <w:r>
        <w:rPr>
          <w:rFonts w:eastAsia="Amiri" w:cs="Amiri" w:ascii="Amiri" w:hAnsi="Amiri"/>
          <w:color w:val="111111"/>
          <w:sz w:val="28"/>
          <w:szCs w:val="28"/>
          <w:rtl w:val="true"/>
          <w:lang w:bidi="ar-SA"/>
        </w:rPr>
        <w:t xml:space="preserve">»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الصدوق عن داود بن الحصين 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رجلين اتّفقا على عدلين جعلاهما بينهما في حكم وقع بينهما خلاف ، واختلف العدلان بينهما عن قول أيّهما يمضي الحكم؟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إلى أفقههما وأعلمهما بأحاديثنا </w:t>
      </w:r>
      <w:r>
        <w:rPr>
          <w:rFonts w:eastAsia="Amiri" w:cs="Amiri" w:ascii="Amiri" w:hAnsi="Amiri"/>
          <w:color w:val="111111"/>
          <w:sz w:val="28"/>
          <w:szCs w:val="28"/>
          <w:rtl w:val="true"/>
          <w:lang w:bidi="ar-SA"/>
        </w:rPr>
        <w:t xml:space="preserve">»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أمير المؤمنين عليه‌السلام المنقول في نهج البلاغة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اختر للحكم بين الناس أفضل رعيّتك </w:t>
      </w:r>
      <w:r>
        <w:rPr>
          <w:rFonts w:eastAsia="Amiri" w:cs="Amiri" w:ascii="Amiri" w:hAnsi="Amiri"/>
          <w:color w:val="111111"/>
          <w:sz w:val="28"/>
          <w:szCs w:val="28"/>
          <w:rtl w:val="true"/>
          <w:lang w:bidi="ar-SA"/>
        </w:rPr>
        <w:t xml:space="preserve">» </w:t>
      </w:r>
      <w:r>
        <w:rPr>
          <w:rStyle w:val="FootnoteAnchor"/>
          <w:rtl w:val="true"/>
        </w:rPr>
        <w:footnoteReference w:id="1347"/>
      </w:r>
      <w:r>
        <w:rPr>
          <w:rFonts w:ascii="Amiri" w:hAnsi="Amiri" w:eastAsia="Amiri" w:cs="Amiri"/>
          <w:color w:val="111111"/>
          <w:sz w:val="28"/>
          <w:sz w:val="28"/>
          <w:szCs w:val="28"/>
          <w:rtl w:val="true"/>
          <w:lang w:bidi="ar-SA"/>
        </w:rPr>
        <w:t>والتقريب في الكلّ ظاهر ، فإنّ الإمام قدّم قول الأفقه والأعلم على غيره عند العلم بالمعارضة والمخالفة ، وهو المطلوب</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المقبولة هو اختصاصها بالقضاء كما هو المصرّح به في صدرها ، حيث سأل الراوي عن رجلين بينهما منازعة في دين أو ميراث ، فلا يستقيم الاستدلال بهما في الفتوى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لأنّا نقول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المطلوب بالإجماع المركّب ، إذ لا قائل بالفصل بين وجوب قضاء الأعلم وتقليده ، وإن احتمل عدم تحقّقه في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الرواية بظاهرها بصورة تقارن الحكمين ولم يثبت الإجماع حينئذ ، 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يوجب حمل الرواية على النادر ، إذ التقارن قلّما يتّفق مع إمكان دعوى الإطلاق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المقبولة صدرا وذيلا فيما إذا كان الاشتباه في الحكم الشرعي الّذي مرجعه إلى الاختلاف في الفتوى ، دون الأمور الخارجية التي لا يكون رفع الاشتباه فيها بالرجوع إلى الأحاديث ، فتكون الرواية دليلا على الترجيح بالأعلميّة عند اختلاف أرباب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ويرشد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رفع الاشتباه في غيرها إنّما هو بالأمارات المفيدة للأمور الخارجيّة كالأيمان والبيّنات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الاشتباه في الحكم الشرعي ، فإنّ مرجع الاشتباه فيها بالرجوع إلى الأدلّة الشرعيّة التي منها الأحاديث الواردة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المرجّحات المذكورة بعد ذلك أيضا من مرجّحات الاستنباط للحكم الشرعي ، مثل موافقة الكتاب ومخالفة العامّة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النزاع في الأمور الخارجيّة لا وجه لاختلاف الحكمين فيه ، إذ لا يجوز نقض حكم الحاكم الأوّل للثاني ، فلا يعقل الاختلاف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لحمل الرواية على التقليد أيضا ، فإنّ إعمال هذه المرجّحات ليس من مثال المقلّد أيضا ، ضرورة أنّ اللازم في حقّ المقلّد هو الأخذ بالفتوى من دون مراجعة إلى دليل الواقعة حتى يحتاج إلى إعمال المرجّحات</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مبنيّ على اختلاف حال المقلّدين الموجودين في ذلك الزمان والموجودين في زماننا ، إذ يمكن أن يكون المقلّدون في ذلك الزمان من أرباب </w:t>
      </w:r>
    </w:p>
    <w:p>
      <w:pPr>
        <w:pStyle w:val="BookText"/>
        <w:rPr/>
      </w:pP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ذلك تقليدهم لحصول الاطمئنان لهم بأنّ المذكور في مقام الفتوى هو مضمون الرواية المسموعة عن الإمام ، ألا ترى أمر الصادق عليه‌السلام بعبد اللّه بن أبي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من أصحاب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بالرجوع إلى الثقفي </w:t>
      </w:r>
      <w:r>
        <w:rPr>
          <w:rStyle w:val="FootnoteAnchor"/>
          <w:rtl w:val="true"/>
        </w:rPr>
        <w:footnoteReference w:id="1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أنّهم كانوا يعتمدون بما عندهم من الروايات ، وإذا احتاجوا في واقعة إلى حكم كانوا يسألون بعضهم بعضا فيعتمدون على جوابه وإن لم يكن لفظ الرواية ، تنزيلا لفتواهم منزلة رواياتهم ، مثل المقلّدين في زماننا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اجتماع الأوصاف المذكورة في الرواية ، فالظاهر من مساقها اكتفاء بعضها أيضا ؛ مضافا إلى انعقاد الإجماع على خلافه ولا يوجب نقضا في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مخالفة ترتيب المرجّحات أيضا للعمل لا يضرّ ما نحن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للمناقشة في دلالة المقبولة ، كما لا وجه للمناقشة في سندها ، فإنّها مقبولة معمول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المناقشة في 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ولا بدّ من المناقشة فليناقش في الرواية المنقولة في نهج البلاغة </w:t>
      </w:r>
      <w:r>
        <w:rPr>
          <w:rStyle w:val="FootnoteAnchor"/>
          <w:rtl w:val="true"/>
        </w:rPr>
        <w:footnoteReference w:id="1349"/>
      </w:r>
      <w:r>
        <w:rPr>
          <w:rFonts w:ascii="IRNazanin" w:hAnsi="IRNazanin" w:eastAsia="IRNazanin"/>
          <w:color w:val="111111"/>
          <w:sz w:val="28"/>
          <w:sz w:val="28"/>
          <w:szCs w:val="28"/>
          <w:rtl w:val="true"/>
          <w:lang w:bidi="fa-IR"/>
        </w:rPr>
        <w:t>فإنّ الظاهر من مساقها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Style w:val="FootnoteAnchor"/>
          <w:rtl w:val="true"/>
        </w:rPr>
        <w:footnoteReference w:id="1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فتوى الأعلم أقرب من غيرها فيجب الأخذ بها عند التعارض ؛ لأنّ الأخذ بالأقرب لازم عند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فظاهر ، وأمّا الثاني فلقضاء صريح العقل به</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 عليه </w:t>
      </w:r>
      <w:r>
        <w:rPr>
          <w:rStyle w:val="FootnoteAnchor"/>
          <w:rtl w:val="true"/>
        </w:rPr>
        <w:footnoteReference w:id="1351"/>
      </w:r>
      <w:r>
        <w:rPr>
          <w:rFonts w:ascii="Amiri" w:hAnsi="Amiri" w:eastAsia="Amiri" w:cs="Amiri"/>
          <w:color w:val="111111"/>
          <w:sz w:val="28"/>
          <w:sz w:val="28"/>
          <w:szCs w:val="28"/>
          <w:rtl w:val="true"/>
          <w:lang w:bidi="ar-SA"/>
        </w:rPr>
        <w:t>تارة في الصغرى وأخرى في الكبرى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الأقربيّة على وجه الإطلاق ممّا لا وجه لها ، إذ ربما يكون فتوى غيره أقرب بواسطة اعتضادها بالأمور الخارجيّة ، كموافقتها المشهور أو لفتوى أعلم الأموات أو غير ذلك ، فإذا فرض اطّلاع المقلّد على هذه المرجّحات يكون فتوى غير الأعلم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فبأنّه لا دليل على اعتبار الأقربيّة في الأمارات التعبّدية التي منها قول المفتي في حقّ المستفتي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 كان اعتباره من باب الظنّ كان ذلك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قد اعترف </w:t>
      </w:r>
      <w:r>
        <w:rPr>
          <w:rStyle w:val="FootnoteAnchor"/>
          <w:rtl w:val="true"/>
        </w:rPr>
        <w:footnoteReference w:id="1352"/>
      </w:r>
      <w:r>
        <w:rPr>
          <w:rFonts w:ascii="IRNazanin" w:hAnsi="IRNazanin" w:eastAsia="IRNazanin"/>
          <w:color w:val="111111"/>
          <w:sz w:val="28"/>
          <w:sz w:val="28"/>
          <w:szCs w:val="28"/>
          <w:rtl w:val="true"/>
          <w:lang w:bidi="fa-IR"/>
        </w:rPr>
        <w:t>مرارا بفساد هذه الدعوى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ويمكن الجواب ، أمّا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الأقربيّة تارة تكون بواسطة المرجّحات الداخليّة في ذات الأمارة ، نظير قوّة الدلالة في تعارض الأخبار وقوّة السند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تكون بواسطة أمور خارجيّة عن ذات الأمارة ، مثل موافقة المشهور وأمثاله ممّا لا ربط له بنفس الأمارة وإن كان يوجب أقربيّة مضمونها إلى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بينهما ظاهر مذكور في محلّه في باب التعارض</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كلام في اعتبار المرجّح الداخلي في حقّ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المرجّحات الخارجيّة فقد تحقّق في محلّها أنّها معتبرة في حقّ المجتهد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المقلّد فالإجماع بل الضرورة قضت على عدم اعتبار المرجّح الخارجي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فيه ظاهر ، حيث إنّه لو قلنا بذلك يلزم تديّن كلّ واحد من المقلّدين بغير ما تديّن به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المرجّح الداخلي الذي منه الأعلميّة ، فإنّه معتبر في حقّه قطعا لانضباطه وعدم لزوم المحذور على تقديره ، مع حكم العقل بلزوم الأخذ بالأقرب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يقاس ذلك بالشهرة ونحوها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قام على عدم اعتبار ظنّ المقلّد في مقام الترجيح فيما إذا لم يكن مستندا بنفس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في المقام شيء آخر ، وهو أنّ فتوى غير الأعلم قد يكون بنفسها أقوى من فتوى الأعلم بواسطة زيادة حاصلة فيها من زيادة فحص وكثرة تتبّع لأقوال العلماء بعد اشتراكهما فيما هو المصحّح للاجتهاد والفتوى ، فلو لم نقل بأنّ ذلك يوجب الأعلميّة في هذه الواقعة الخاصّة لا يستقيم الاستناد إلى الدليل المذكور ، بل ولا يجري غيره من الأدلّة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الإجماعات المنقولة ، فلعدم الاطمئنان بشمولها 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الأخبار ، فيمكن دعوى عدم انصرافها إلى مثل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يتخيّر بينهما نظرا إلى عدم الترجيح بينهما بواسطة اشتمال كلّ منهما على مرجّح داخليّ ، أو يقدّم الفاضل الأقوى نوعا نظرا إلى إطلاق معاقد الإجماعات والأخبار ، أو يقدّم المفضول نظرا إلى كونه أوثق شخصا؟ وجوه ، أوسطها الأوسط لو لم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يوجب أعلميّة المفضول في الواقعة الخاصّة ، فتدبّر</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التقليد إنّما هو ليس من الأمارات التعبّدية المحضة التي لا يلاحظ فيها حال الواقع بوجه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 مفادها في عرض الواقع على وجه يكون موضوعا لما يترتب عليها حتى لا يكون الأقربية إلى الواقع موجبا للأخذ بها عند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 الأمارات الثابتة بواسطة دليل الانسداد حتى يؤخذ بالطرف الراجح ولو كان من الأمور الخارجية ، بل المتحقّق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التقليد في حقّ العاميّ إنّما هو من باب التعبّد لكن على وجه الطريقيّة ، فالملحوظ فيه هو الكشف عن الواقع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أنّ الأخذ بما هو الأقوى في هذه الأمارات لازم لحكم العقل</w:t>
      </w:r>
      <w:r>
        <w:rPr>
          <w:rFonts w:eastAsia="Amiri" w:cs="Amiri" w:ascii="Amiri" w:hAnsi="Amiri"/>
          <w:color w:val="111111"/>
          <w:sz w:val="28"/>
          <w:szCs w:val="28"/>
          <w:rtl w:val="true"/>
          <w:lang w:bidi="ar-SA"/>
        </w:rPr>
        <w:t xml:space="preserve">. </w:t>
      </w:r>
      <w:bookmarkStart w:id="367" w:name="pg16264_169851"/>
    </w:p>
    <w:p>
      <w:pPr>
        <w:pStyle w:val="BookText"/>
        <w:rPr/>
      </w:pPr>
      <w:bookmarkEnd w:id="367"/>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التقليد إنّما هو معتبر من حيث إنّه يطابق الواقع في الأغلب وإن لم يكن مداره على حصول الظنّ في خصوصيّات الموارد ، وذلك يوجب الأخذ بالأقرب الأقوى نوعا إذا كان الأقربيّة مستندة إلى ذات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يدّعى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بناء العقلاء على الرجوع إلى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 ، لما عرفت من أنّ بناء التقليد ليس على التعبّدية الصرفة ، فإنّ من المعلوم أنّ وجه بنائهم في أمورهم إنّما هو بواسطة إناطة أمورهم بالواقع المستكشف عندهم في الغالب بالإدراكات الظنّية</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4588764_1280447820"/>
      <w:bookmarkStart w:id="369" w:name="_Toc114"/>
      <w:bookmarkEnd w:id="368"/>
      <w:r>
        <w:rPr>
          <w:rtl w:val="true"/>
        </w:rPr>
        <w:t xml:space="preserve">وينبغي التنبيه على أمور </w:t>
      </w:r>
      <w:r>
        <w:rPr>
          <w:rtl w:val="true"/>
        </w:rPr>
        <w:t>:</w:t>
      </w:r>
      <w:bookmarkEnd w:id="369"/>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حسب الاشتقاق في اللغة هو اختلاف الفاضل والمفضول في مراتب الإدراك المختلفة شدّة وضعفا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ليس بمراد قطعا ، بل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هو أقوى ملكة أو أكثر خبرة من غيره ، وإمّا من هو أكثر معلوما من غيره</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هو الأوّل وإن قيل بانفكاكه عن الثاني في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كثرة المعلومات مع ضعف الملكة الحاصلة منها الاستنباط ربما يكون موجبا لمزيد البعد عن الواقع ، كما نشاهد في أغلب أبناء زماننا من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إلى ذلك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 بالملكة </w:t>
      </w:r>
      <w:r>
        <w:rPr>
          <w:rStyle w:val="FootnoteAnchor"/>
          <w:rtl w:val="true"/>
        </w:rPr>
        <w:footnoteReference w:id="1353"/>
      </w:r>
      <w:r>
        <w:rPr>
          <w:rFonts w:ascii="Amiri" w:hAnsi="Amiri" w:eastAsia="Amiri" w:cs="Amiri"/>
          <w:color w:val="111111"/>
          <w:sz w:val="28"/>
          <w:sz w:val="28"/>
          <w:szCs w:val="28"/>
          <w:rtl w:val="true"/>
          <w:lang w:bidi="ar-SA"/>
        </w:rPr>
        <w:t xml:space="preserve">مع شيوعه في العرف والعادة ، وفي بعض الآثار ما يرشد إليه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أنتم أعلم الناس إذا علمتم وفهمتم معاني كلامنا </w:t>
      </w:r>
      <w:r>
        <w:rPr>
          <w:rFonts w:eastAsia="Amiri" w:cs="Amiri" w:ascii="Amiri" w:hAnsi="Amiri"/>
          <w:color w:val="111111"/>
          <w:sz w:val="28"/>
          <w:szCs w:val="28"/>
          <w:rtl w:val="true"/>
          <w:lang w:bidi="ar-SA"/>
        </w:rPr>
        <w:t xml:space="preserve">»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وبالجملة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الخفيّة التي لا يعرفها العرف والعادة ، ولا مدخليّة لكثرة المعلومات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ذلك سببا لوثاقة فتواه بناء على الاختلاف </w:t>
      </w:r>
      <w:r>
        <w:rPr>
          <w:rStyle w:val="FootnoteAnchor"/>
          <w:rtl w:val="true"/>
        </w:rPr>
        <w:footnoteReference w:id="1355"/>
      </w:r>
      <w:r>
        <w:rPr>
          <w:rFonts w:ascii="Amiri" w:hAnsi="Amiri" w:eastAsia="Amiri" w:cs="Amiri"/>
          <w:color w:val="111111"/>
          <w:sz w:val="28"/>
          <w:sz w:val="28"/>
          <w:szCs w:val="28"/>
          <w:rtl w:val="true"/>
          <w:lang w:bidi="ar-SA"/>
        </w:rPr>
        <w:t>بين الأعلميّة والأوثقيّة كان الوجه ما عرفت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علم المقلّد بواسطة مراجعة أهل الخبرة إتقان أمر المفتي في الاستنباط واستحكام مباني اجتهاده على وجه يكون ذلك زائدا على ما هو المعتبر في الاستنباط ، فالواجب الرجوع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الظنّ بذلك يقوم مقام العلم؟ الأقرب نعم ، لا لما يتوهّم من اعتبار الظنّ في أمثاله ، بل لما عرفت من كفاية احتمال وجود ما يحتمل المرجحيّة بين المتعارضين ، فكيف بالظنّ بوجوده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التعويل على الظنّ مع إمكان تحصيل العلم؟ الأقرب نعم إذا لم يحتمل أعلميّة الموهون بل يحتمل مساواتهما ، فإذا احتمل الأعلميّة فاللازم هو الفحص على القول بوجوبه كما ستعرف ، وعلى القول بعدمه فلا 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اللازم هو الأخذ بالأورع عند تساويهما في العلم والفضيلة أو يتخيّر بينهما؟ قولان </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المنقول </w:t>
      </w:r>
      <w:r>
        <w:rPr>
          <w:rStyle w:val="FootnoteAnchor"/>
          <w:rtl w:val="true"/>
        </w:rPr>
        <w:footnoteReference w:id="1356"/>
      </w:r>
      <w:r>
        <w:rPr>
          <w:rFonts w:ascii="Amiri" w:hAnsi="Amiri" w:eastAsia="Amiri" w:cs="Amiri"/>
          <w:color w:val="111111"/>
          <w:sz w:val="28"/>
          <w:sz w:val="28"/>
          <w:szCs w:val="28"/>
          <w:rtl w:val="true"/>
          <w:lang w:bidi="ar-SA"/>
        </w:rPr>
        <w:t xml:space="preserve">من النهاية </w:t>
      </w:r>
      <w:r>
        <w:rPr>
          <w:rStyle w:val="FootnoteAnchor"/>
          <w:rtl w:val="true"/>
        </w:rPr>
        <w:footnoteReference w:id="1357"/>
      </w:r>
      <w:r>
        <w:rPr>
          <w:rFonts w:ascii="Amiri" w:hAnsi="Amiri" w:eastAsia="Amiri" w:cs="Amiri"/>
          <w:color w:val="111111"/>
          <w:sz w:val="28"/>
          <w:sz w:val="28"/>
          <w:szCs w:val="28"/>
          <w:rtl w:val="true"/>
          <w:lang w:bidi="ar-SA"/>
        </w:rPr>
        <w:t xml:space="preserve">والتهذيب </w:t>
      </w:r>
      <w:r>
        <w:rPr>
          <w:rStyle w:val="FootnoteAnchor"/>
          <w:rtl w:val="true"/>
        </w:rPr>
        <w:footnoteReference w:id="1358"/>
      </w:r>
      <w:r>
        <w:rPr>
          <w:rFonts w:ascii="Amiri" w:hAnsi="Amiri" w:eastAsia="Amiri" w:cs="Amiri"/>
          <w:color w:val="111111"/>
          <w:sz w:val="28"/>
          <w:sz w:val="28"/>
          <w:szCs w:val="28"/>
          <w:rtl w:val="true"/>
          <w:lang w:bidi="ar-SA"/>
        </w:rPr>
        <w:t xml:space="preserve">والذكرى </w:t>
      </w:r>
      <w:r>
        <w:rPr>
          <w:rStyle w:val="FootnoteAnchor"/>
          <w:rtl w:val="true"/>
        </w:rPr>
        <w:footnoteReference w:id="1359"/>
      </w:r>
      <w:r>
        <w:rPr>
          <w:rFonts w:ascii="IRNazanin" w:hAnsi="IRNazanin" w:eastAsia="IRNazanin"/>
          <w:color w:val="111111"/>
          <w:sz w:val="28"/>
          <w:sz w:val="28"/>
          <w:szCs w:val="28"/>
          <w:rtl w:val="true"/>
          <w:lang w:bidi="fa-IR"/>
        </w:rPr>
        <w:t xml:space="preserve">والدروس </w:t>
      </w:r>
      <w:r>
        <w:rPr>
          <w:rStyle w:val="FootnoteAnchor"/>
          <w:rtl w:val="true"/>
        </w:rPr>
        <w:footnoteReference w:id="1360"/>
      </w:r>
    </w:p>
    <w:p>
      <w:pPr>
        <w:pStyle w:val="BookText"/>
        <w:rPr/>
      </w:pPr>
      <w:r>
        <w:rPr>
          <w:rFonts w:ascii="Amiri" w:hAnsi="Amiri" w:eastAsia="Amiri" w:cs="Amiri"/>
          <w:color w:val="111111"/>
          <w:sz w:val="28"/>
          <w:sz w:val="28"/>
          <w:szCs w:val="28"/>
          <w:rtl w:val="true"/>
          <w:lang w:bidi="ar-SA"/>
        </w:rPr>
        <w:t xml:space="preserve">والجعفريّة </w:t>
      </w:r>
      <w:r>
        <w:rPr>
          <w:rStyle w:val="FootnoteAnchor"/>
          <w:rtl w:val="true"/>
        </w:rPr>
        <w:footnoteReference w:id="1361"/>
      </w:r>
      <w:r>
        <w:rPr>
          <w:rFonts w:ascii="Amiri" w:hAnsi="Amiri" w:eastAsia="Amiri" w:cs="Amiri"/>
          <w:color w:val="111111"/>
          <w:sz w:val="28"/>
          <w:sz w:val="28"/>
          <w:szCs w:val="28"/>
          <w:rtl w:val="true"/>
          <w:lang w:bidi="ar-SA"/>
        </w:rPr>
        <w:t xml:space="preserve">والمقاصد العليّة </w:t>
      </w:r>
      <w:r>
        <w:rPr>
          <w:rStyle w:val="FootnoteAnchor"/>
          <w:rtl w:val="true"/>
        </w:rPr>
        <w:footnoteReference w:id="1362"/>
      </w:r>
      <w:r>
        <w:rPr>
          <w:rFonts w:ascii="Amiri" w:hAnsi="Amiri" w:eastAsia="Amiri" w:cs="Amiri"/>
          <w:color w:val="111111"/>
          <w:sz w:val="28"/>
          <w:sz w:val="28"/>
          <w:szCs w:val="28"/>
          <w:rtl w:val="true"/>
          <w:lang w:bidi="ar-SA"/>
        </w:rPr>
        <w:t xml:space="preserve">والمسالك </w:t>
      </w:r>
      <w:r>
        <w:rPr>
          <w:rStyle w:val="FootnoteAnchor"/>
          <w:rtl w:val="true"/>
        </w:rPr>
        <w:footnoteReference w:id="1363"/>
      </w:r>
      <w:r>
        <w:rPr>
          <w:rFonts w:ascii="Amiri" w:hAnsi="Amiri" w:eastAsia="Amiri" w:cs="Amiri"/>
          <w:color w:val="111111"/>
          <w:sz w:val="28"/>
          <w:sz w:val="28"/>
          <w:szCs w:val="28"/>
          <w:rtl w:val="true"/>
          <w:lang w:bidi="ar-SA"/>
        </w:rPr>
        <w:t xml:space="preserve">والتمهيد </w:t>
      </w:r>
      <w:r>
        <w:rPr>
          <w:rStyle w:val="FootnoteAnchor"/>
          <w:rtl w:val="true"/>
        </w:rPr>
        <w:footnoteReference w:id="1364"/>
      </w:r>
      <w:r>
        <w:rPr>
          <w:rFonts w:ascii="Amiri" w:hAnsi="Amiri" w:eastAsia="Amiri" w:cs="Amiri"/>
          <w:color w:val="111111"/>
          <w:sz w:val="28"/>
          <w:sz w:val="28"/>
          <w:szCs w:val="28"/>
          <w:rtl w:val="true"/>
          <w:lang w:bidi="ar-SA"/>
        </w:rPr>
        <w:t xml:space="preserve">وشرح الزبدة للفاضل الصالح </w:t>
      </w:r>
      <w:r>
        <w:rPr>
          <w:rStyle w:val="FootnoteAnchor"/>
          <w:rtl w:val="true"/>
        </w:rPr>
        <w:footnoteReference w:id="1365"/>
      </w:r>
      <w:r>
        <w:rPr>
          <w:rFonts w:ascii="Amiri" w:hAnsi="Amiri" w:eastAsia="Amiri" w:cs="Amiri"/>
          <w:color w:val="111111"/>
          <w:sz w:val="28"/>
          <w:sz w:val="28"/>
          <w:szCs w:val="28"/>
          <w:rtl w:val="true"/>
          <w:lang w:bidi="ar-SA"/>
        </w:rPr>
        <w:t>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الأقوى ، لما عرفت من الأصل وبعض الأخبار ، ويزداد قوّة إذا فرض وثاقته بواسطة شدّة ورعه وبذل جهده ، فإنّه يندرج في عنوان الدليل العقلي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يتخيّر بين الأعلم والأورع؟ أو يقدّم الأوّل أو الثاني؟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الأقرب الثاني ؛ لأنّ المناط في الاستفتاء والعمل بقوله آكد فيه من غيره وإن كان أورع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ذلك سببا لوثاقة فتواه بواسطة إعمال الفكر زائدا على ما هو المعتبر ، لو لم نقل بخروجه عن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المقلّد كون زيد أعلم وعلم موارد الاختلاف تفصيلا بينه وبين غيره ، فقد عرفت وجوب الأخذ بالأعلم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علم بالأعلم تفصيلا وبالاختلاف إجمالا ، فهل يجب تمييز المسائل المختلف فيها عن غيرها أو لا؟ وجهان </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الأظهر الوجوب إذا كان المعلوم بالإجمال غير ملحق بالشبهة الغير المحصورة ، فإنّ العلم الإجمالي على الوجه المذكور كالعلم التفصيلي من غير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ملحقا بالشبهة الغير المحصورة فهو نظير ما إذا علم التفاضل ولم يعلم الاختلاف أصلا ، ولا دليل على وجوب الفحص عن الاختلاف سوى الأصل </w:t>
      </w:r>
    </w:p>
    <w:p>
      <w:pPr>
        <w:pStyle w:val="BookText"/>
        <w:rPr/>
      </w:pPr>
      <w:r>
        <w:rPr>
          <w:rFonts w:ascii="Amiri" w:hAnsi="Amiri" w:eastAsia="Amiri" w:cs="Amiri"/>
          <w:color w:val="111111"/>
          <w:sz w:val="28"/>
          <w:sz w:val="28"/>
          <w:szCs w:val="28"/>
          <w:rtl w:val="true"/>
          <w:lang w:bidi="ar-SA"/>
        </w:rPr>
        <w:t>المنقطع بالسيرة المستمرّة على ما مرّ الوجه فيها ، فيجوز الأخذ بفتوى المفضول مع العلم بالتفاضل ؛ مضافا إلى أصالة عدم المعارض الغير المعارضة بأصالة عدم غيره ، إذ لا يترتّب عليها حكم مع جواز الرجوع إلى بعض الإطلاقات عند القائلين بدلالتها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علم الاختلاف واحتمل الفاضل فهل يجب الفحص أو لا؟ وجهان ، بل لعلّه قولان ، يدلّ على عدم الوجوب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أمارتان تعارضتا لا يمكن الجمع بينهما ولا طرحهما ولا تعيين أحدهما ، فلا بدّ من التخيير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التعيين موجود ولا يندفع بأصالة عدم التفاضل ؛ لأنّها بعد كونها أخذا بالأصل في تعيين الحادث لا يتمّ ، حيث إنّ التخيير العقلي عدمه من اللوازم العقليّة لوجود الاحتمال ، والأصل لا يجدي في رفع الاحتمال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 عن وجوب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الفحص في المقام بمنزلة الفحص عن نفس المرجع في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الوجوب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 حيث إنّ قبل الفحص لا يعلم البراءة ، بخلافه بعد الفحص ، فالواجب هو الفحص</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رواية داود بن الحصين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تنظر إلى أفقههما </w:t>
      </w:r>
      <w:r>
        <w:rPr>
          <w:rFonts w:eastAsia="Amiri" w:cs="Amiri" w:ascii="Amiri" w:hAnsi="Amiri"/>
          <w:color w:val="111111"/>
          <w:sz w:val="28"/>
          <w:szCs w:val="28"/>
          <w:rtl w:val="true"/>
          <w:lang w:bidi="ar-SA"/>
        </w:rPr>
        <w:t xml:space="preserve">» </w:t>
      </w:r>
      <w:r>
        <w:rPr>
          <w:rStyle w:val="FootnoteAnchor"/>
          <w:rtl w:val="true"/>
        </w:rPr>
        <w:footnoteReference w:id="1366"/>
      </w:r>
      <w:r>
        <w:rPr>
          <w:rFonts w:ascii="Amiri" w:hAnsi="Amiri" w:eastAsia="Amiri" w:cs="Amiri"/>
          <w:color w:val="111111"/>
          <w:sz w:val="28"/>
          <w:sz w:val="28"/>
          <w:szCs w:val="28"/>
          <w:rtl w:val="true"/>
          <w:lang w:bidi="ar-SA"/>
        </w:rPr>
        <w:t xml:space="preserve">فإنّه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واضحة على وجوب الفحص ؛ مضافا إلى كونه معمولا به في جميع الطرق المتعارضة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وجوب الفحص موافق للقاعدة أيضا ، فإنّ التكليف معلوم إجمالا وإنّما الشكّ في كونه على وجه التعيين على تقدير التفاضل ، أو على </w:t>
      </w:r>
    </w:p>
    <w:p>
      <w:pPr>
        <w:pStyle w:val="BookText"/>
        <w:rPr/>
      </w:pPr>
      <w:r>
        <w:rPr>
          <w:rFonts w:ascii="Amiri" w:hAnsi="Amiri" w:eastAsia="Amiri" w:cs="Amiri"/>
          <w:color w:val="111111"/>
          <w:sz w:val="28"/>
          <w:sz w:val="28"/>
          <w:szCs w:val="28"/>
          <w:rtl w:val="true"/>
          <w:lang w:bidi="ar-SA"/>
        </w:rPr>
        <w:t xml:space="preserve">وجه التخيير على تقدير عدمه ، ومنشأ الشكّ هو الاشتباه في المصداق مع انتفاء ما يشخّصه من الأصول وإمكان استعلامه ، فلا بدّ من الفحص حتّى يعلم المكلّف به أو ظنّ </w:t>
      </w:r>
      <w:r>
        <w:rPr>
          <w:rStyle w:val="FootnoteAnchor"/>
          <w:rtl w:val="true"/>
        </w:rPr>
        <w:footnoteReference w:id="1367"/>
      </w:r>
      <w:r>
        <w:rPr>
          <w:rFonts w:ascii="Amiri" w:hAnsi="Amiri" w:eastAsia="Amiri" w:cs="Amiri"/>
          <w:color w:val="111111"/>
          <w:sz w:val="28"/>
          <w:sz w:val="28"/>
          <w:szCs w:val="28"/>
          <w:rtl w:val="true"/>
          <w:lang w:bidi="ar-SA"/>
        </w:rPr>
        <w:t>به ، سواء كان من مطلق الظنّ أو غيره ، لكفاية احتماله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يعرف وجوب الفحص فيما لو علم بالتفاضل إجمالا بعد العلم بالاختلاف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علم بالاختلاف إجمالا مع الشكّ في التفاضل ، فاللازم الفحص عن التفاضل ثمّ الأخذ بموارد الاتّفاق والتميز عن موارد الاختلاف فيما إذا كان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شكّ في التفاضل والاختلاف معا فلا يجب الفحص ؛ لأنّه مع العلم بالتفاضل قد عرفت عدم الوجوب ففي المقام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علم التفاضل والاختلاف إجمالا فالواجب هو الفحص ؛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بالتفاضل إجمالا مع الشك في الاختلاف فلا 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مجموع الصور تسعة لا يجب الفحص مع الشكّ في الاختلاف ، سواء علم التفاضل تفصيلا أو إجمالا أو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الفحص من التفاضل فيما إذا علم الاختلاف تفصيلا أو إجمالا على وجه يعتدّ به سواء علم التفاضل إجمالا أو لم يعلم به</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قلّد أحد المجتهدين بواسطة التفاضل ثمّ تعاكست النسبة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كانا متساويين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لاشتغال أحدهما بالمباحث العلمية دون الآخر أو لغير ذلك ، فهل يجب الرجوع عن تقليد الأوّل ، أو يجب البقاء عليه ، أو يتخيّر بينهما؟ وجوه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قلنا بجواز العدول فلا إشكال في وجوب الرجوع ، لوجود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المانع ، إذ لا مانع إلاّ احتمال حرمة العدول ، والمفروض جوازه فيجري فيه الأدلّة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بحرمة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لعلّه الأوفق ؛ لأنّه مقتضى الأخذ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فيشكل الأمر ، نظرا إلى تعارض ما هو العمدة في المقامين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 والإجماعات المنقولة وعدم انصراف الأخبار إلى مثل المقام المسبوق بالتقليد ، فيحكم بالتخيير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مع ذلك فالأقوى الرجوع إلى الأعلم ، والوجه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العمدة في دليل حرمة الرجوع هو الأصل المتعاضد بنقل الإجماع من العلاّمة </w:t>
      </w:r>
      <w:r>
        <w:rPr>
          <w:rStyle w:val="FootnoteAnchor"/>
          <w:rtl w:val="true"/>
        </w:rPr>
        <w:footnoteReference w:id="1368"/>
      </w:r>
      <w:r>
        <w:rPr>
          <w:rFonts w:ascii="Amiri" w:hAnsi="Amiri" w:eastAsia="Amiri" w:cs="Amiri"/>
          <w:color w:val="111111"/>
          <w:sz w:val="28"/>
          <w:sz w:val="28"/>
          <w:szCs w:val="28"/>
          <w:rtl w:val="true"/>
          <w:lang w:bidi="ar-SA"/>
        </w:rPr>
        <w:t xml:space="preserve">والعميدي </w:t>
      </w:r>
      <w:r>
        <w:rPr>
          <w:rStyle w:val="FootnoteAnchor"/>
          <w:rtl w:val="true"/>
        </w:rPr>
        <w:footnoteReference w:id="1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يظهر عموم مقالتهم للمقام ، حتّى أنّ بعض مدّعي الإجماع هناك قد اختار الرجوع في المقام ، كالعميدي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الاجماعات المنقولة في وجوب تقليد الأعلم تشمل المقام من دون معارض ، فإنّ المعتمد من الإجماعات في العدول هو إجماع العلاّمة والعميدي وقد اختارا القول بالعدول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دعوى انعقادها فيما لو أريد العدول في الواقعة الّتي قلّد فيها ، مثل ما إذا عمل بقول المفتي في جواز البيع بالفارسيّة ثمّ باع على الوجه المذكور ، فإنّه يحرم عليه العدول عن التقليد الخاصّ وإن جاز له العدول في مبيع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إجماع العضدي والحاجبي </w:t>
      </w:r>
      <w:r>
        <w:rPr>
          <w:rStyle w:val="FootnoteAnchor"/>
          <w:rtl w:val="true"/>
        </w:rPr>
        <w:footnoteReference w:id="1371"/>
      </w:r>
      <w:r>
        <w:rPr>
          <w:rFonts w:ascii="Amiri" w:hAnsi="Amiri" w:eastAsia="Amiri" w:cs="Amiri"/>
          <w:color w:val="111111"/>
          <w:sz w:val="28"/>
          <w:sz w:val="28"/>
          <w:szCs w:val="28"/>
          <w:rtl w:val="true"/>
          <w:lang w:bidi="ar-SA"/>
        </w:rPr>
        <w:t>فعلى تقدير عمومه ممّا لا يزيح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ينقدح جريان الأصل في المقام ، لأنّ احتمال حرمة البقاء أقوى من احتمال حرمة العدول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وإن كان دائرا بين المحذورين ، إلاّ أنّه دائر في الحكم الظاهري بين التخيير والتعيين ، والأصل هو التعيين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قلّد المفضول بواسطة تعذّر الوصول إلى الفاضل فبعد التمكّن منه يجب الأخذ بالفاضل والعدول عن تقليده ، فكيف بالمسائل الّتي ما قلّد فيه المفضول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الترافع إلى المفضول مع وجود الفاضل؟ فيه تفصيل ، فإنّ القضاء إمّا أن يكون باستعمال أمور اجتهاديّة يلزم منه عمل المترافعين بقوله ، كترجيح البيّنة الداخلة على غيرها والحكم بردّ اليمين ، وكما إذا كان وجه النزاع هو اختلاف المجتهدين ، كما إذا ادّعى أحدهم ملكيّة عين مشتراة بالفارسيّة والآخر عدمها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لا يكون كذلك ، كما إذا كان رفع التشاجر بينهما موقوفا على سماع البيّنة من المدّعي أو حلف المنكر</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إشكال في جواز الترافع إلى المفضول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بين الفاضل وغيره اختلاف في الفتوى فمع العلم بالاختلاف على جواز </w:t>
      </w:r>
      <w:r>
        <w:rPr>
          <w:rStyle w:val="FootnoteAnchor"/>
          <w:rtl w:val="true"/>
        </w:rPr>
        <w:footnoteReference w:id="1372"/>
      </w:r>
      <w:r>
        <w:rPr>
          <w:rFonts w:ascii="Amiri" w:hAnsi="Amiri" w:eastAsia="Amiri" w:cs="Amiri"/>
          <w:color w:val="111111"/>
          <w:sz w:val="28"/>
          <w:sz w:val="28"/>
          <w:szCs w:val="28"/>
          <w:rtl w:val="true"/>
          <w:lang w:bidi="ar-SA"/>
        </w:rPr>
        <w:t>الترافع إلى المفضول ، للأدلّة السابقة الدالّة على عدم جواز الأخذ بالمفضول مع وجود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على أنّ القضاء لا يجوز من المفضول ولو عند الوفاق أو عدم احتياج الواقعة إلى إعمال الفتوى ، لإطلاق أدلّة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 ينافي كون القضاء منصبا فيحتمل اعتبار الأعلميّة فيه تعبّدا لعدم كونه طريقا ، إذ مجرّد الاحتمال لا يكفي بعد وجود الدليل على وجه الإطلاق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وهل للمفضول سائر الولايات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التصرّف في أموال الأيتام والأوقاف الراجعة إلى الحاكم الشرعي ونحو ذلك؟ الأقرب نعم ، لإطلاق ما دلّ على ثبوت تلك المناصب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اختصاصها بالفاضل ، نظرا إلى كونها نيابة عن الإمام فلا بدّ من الاقتصار على مورد العلم بالإذن والفاضل معلوم النيابة والأصل عدم نيابة المفضول على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مدفوع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تحقّق مورد التفصيل كان ذلك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فتوى الفاضل بطريق مفيد للعلم أو ما يقوم مقامه من الأمارات المقرّرة في الشريعة بالخصوص لإثبات أمثال ذلك كالبيّنة ونحوها لا إشكال في وجوب الأخذ بها وترك التعويل على فتوى المفضول المخالفة لها ، سواء كانت فتوى المفضول معلومة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يلحق بتلك الأمارات الخاصّة الظنون المطلقة على القول بها فيما إذا كان فتوى المفضول معلوما ، أو يؤخذ بها ، أو يتخيّر بينهما لوجود المرجّح في الطرفين؟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الأقرب العدم ؛ لأنّ حجّية مطلق الظنّ إنّما هو فرع عدم وجود الظنّ الخاصّ ، والمفروض اطّلاعه على فتوى المفضول التي هي الحجّة الشرعيّة على عدم تقدير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وفتوى الفاضل الثابت بالظنّ لا يصلح معارضا إلاّ على تقدير عدم اعتبار فتوى المفضول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بعد غير ثابت ، فيرجع إلى عموم ما دلّ على وجوب الأخذ بها لو كان</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يوجب طرح الظنون المطلقة عند معارضتها بالأمارات الثابتة من باب الظنون الخاصّة ؛ لأنّ اعتبار مطلق الظنّ في مورد الظنّ الخاصّ موقوف على انتفاء الظنّ الخاصّ ولا يرتفع إلاّ بعد المعارضة ولا يصلح للمعارضة إلاّ بعد حجّية الظنّ المطلق الموقوف على ارتفاع الظنّ الخاص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الأخذ بالشهرة مثلا في قبال الخبر الواحد إمّا بواسطة خروج الخبر عن موضوع الحجّة كما إذا ارتفع الوثوق به بواسطة المخالفة ، وإمّا بواسطة العلم الإجمالي بتخصيص الأمارة الخاصّة بمضامين الأمارات الظنّية ، وأين ذلك من اعتبار الظنّ في قبال قول المفضول المعلوم حجّيته بالفرض؟</w:t>
      </w:r>
    </w:p>
    <w:p>
      <w:pPr>
        <w:pStyle w:val="BookText"/>
        <w:rPr/>
      </w:pPr>
      <w:r>
        <w:rPr>
          <w:rFonts w:ascii="Amiri" w:hAnsi="Amiri" w:eastAsia="Amiri" w:cs="Amiri"/>
          <w:color w:val="111111"/>
          <w:sz w:val="28"/>
          <w:sz w:val="28"/>
          <w:szCs w:val="28"/>
          <w:rtl w:val="true"/>
          <w:lang w:bidi="ar-SA"/>
        </w:rPr>
        <w:t>ولا يقاس ذلك بالظنّ بالأعلميّة ، فإنّه ظنّ بالمرجّح وهذا ظنّ بالحجّة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 تساويا في ذلك تعيّن الأخذ بالفاضل ، لكونه القدر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الكلام في غير الأعلميّة من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 المقلّد إلى الأعلم ، فإن أفتاه بوجوب تقليده فلا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أفتى بجواز تقليده فهل للمقلّد الرجوع إلى غيره أو لا؟</w:t>
      </w:r>
    </w:p>
    <w:p>
      <w:pPr>
        <w:pStyle w:val="BookText"/>
        <w:rPr/>
      </w:pPr>
      <w:r>
        <w:rPr>
          <w:rFonts w:ascii="Amiri" w:hAnsi="Amiri" w:eastAsia="Amiri" w:cs="Amiri"/>
          <w:color w:val="111111"/>
          <w:sz w:val="28"/>
          <w:sz w:val="28"/>
          <w:szCs w:val="28"/>
          <w:rtl w:val="true"/>
          <w:lang w:bidi="ar-SA"/>
        </w:rPr>
        <w:t>حكى الأستاذ المحقّق دام مجده عن بعض معاصريه عدم الجواز ، ولم يظهر لنا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بواسطة أنّ غير الأعلم ربما يفتي بوجوب تقليد الأعلم فيلزم من وجوده عدمه ، فقد عرفت أنّه لا يجب أن يقلّد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بواسطة أنّ العقل إنّما هداه إلى الأعلم فلا وجه للحكم بخلاف ما هداه إليه العقل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ليس اجتهادا منه في هذه الواقعة ، بل الرجوع إلى الأعلم في هذه الواقعة إنّما هو حكم ظاهريّ من العقل ، وليس مدركا للحكم الواقعي ، وبعد الفتوى يستعلم حكمه الواقعي ، فلا مانع من الرجوع إلى غير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وجوب تعيين المجتهدين في العمل بقولهم إذا كانوا متوافقين في الفتوى وإن كان بينهم تفاضل ، بعد كون كلّ واحد منهم حجّة شرعيّة مع انتفاء ما يوجب التعدية بالنسبة إلى قول الأعلم</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في الفحص هو الفحص عن حال العلماء الذين تيسّر للمقلّد الرجوع إليهم ، فلا يجب الفحص عن حال الموجودين في مشارق الأرض ومغاربها ، عملا بالسيرة ، واعتمادا على نفي العسر والحرج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الواجب هو الفحص عن حال من يدّعي الأعلميّة ولو لم يعلم قابليّته ، أو لا بدّ من الفحص فيمن يعلم قابليّته؟ الأقوى هو الأوّل ، ولكن الأقرب هو الثاني ، لعدم الاعتناء بمن لم يثبت قابليّته بعد ، كما يظهر ذلك بالسيرة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في الغالب بواسطة العلم الإجمالي بانتفاء الأعلميّة فيمن لم يعلم قابليّته ، وإذا يعتبر الرجوع إلى الأعلم فاللازم هو الرجوع إلى من هو أعلم من غيره فالأعلم ، فإنّ ذلك مقتضى الأدلّة السابقة</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آخر ما أردنا إيراده في هذه المسألة المهمّة على ما أفاده الأستاذ المحقّق المدقّق العليم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اللّه ظلّه على رءوس أرباب العلم والعمل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 وآله الطاهرين</w:t>
      </w:r>
      <w:r>
        <w:rPr>
          <w:rFonts w:eastAsia="Amiri" w:cs="Amiri" w:ascii="Amiri" w:hAnsi="Amiri"/>
          <w:color w:val="111111"/>
          <w:sz w:val="28"/>
          <w:szCs w:val="28"/>
          <w:rtl w:val="true"/>
          <w:lang w:bidi="ar-SA"/>
        </w:rPr>
        <w:t xml:space="preserve">. </w:t>
      </w:r>
      <w:bookmarkStart w:id="370" w:name="pg16264_169861"/>
    </w:p>
    <w:p>
      <w:pPr>
        <w:pStyle w:val="BookText"/>
        <w:rPr/>
      </w:pPr>
      <w:bookmarkEnd w:id="37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371" w:name="__RefHeading___Toc4588766_1280447820"/>
      <w:bookmarkStart w:id="372" w:name="_Toc115"/>
      <w:bookmarkEnd w:id="371"/>
      <w:r>
        <w:rPr>
          <w:rtl w:val="true"/>
        </w:rPr>
        <w:t xml:space="preserve">مسألتان ملحقتان </w:t>
      </w:r>
      <w:r>
        <w:rPr>
          <w:rtl w:val="true"/>
        </w:rPr>
        <w:t xml:space="preserve">: </w:t>
      </w:r>
      <w:r>
        <w:rPr>
          <w:rtl w:val="true"/>
        </w:rPr>
        <w:t>تقليد الميت وتقليد الأعلم</w:t>
      </w:r>
      <w:bookmarkEnd w:id="372"/>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3" w:name="__RefHeading___Toc4588768_1280447820"/>
      <w:bookmarkStart w:id="374" w:name="_Toc116"/>
      <w:bookmarkEnd w:id="373"/>
      <w:r>
        <w:rPr>
          <w:rtl w:val="true"/>
        </w:rPr>
        <w:t>اشارة</w:t>
      </w:r>
      <w:bookmarkEnd w:id="374"/>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5" w:name="pg16264_169863"/>
      <w:bookmarkStart w:id="376" w:name="pg16264_169863"/>
      <w:bookmarkEnd w:id="376"/>
    </w:p>
    <w:p>
      <w:pPr>
        <w:pStyle w:val="BookText"/>
        <w:rPr/>
      </w:pPr>
      <w:bookmarkStart w:id="377" w:name="pg16264_169863"/>
      <w:bookmarkEnd w:id="377"/>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واعلم أنّ مسألتي تقليد الميّت وتقليد الأعلم اللتين ليستا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خارجتان عن أجزاء كتاب مطارح الأنظار وإن كانتا أيضا من إفادات المحقّق الثالث والعلاّمة الثاني ، الشيخ مرتضى الأنصاري ، التي حرّرها بعض الأساطين من 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أنّهما في غاية الجودة والإتقان في الإفادة والتحرير ، ومن هنا أجبنا </w:t>
      </w:r>
      <w:r>
        <w:rPr>
          <w:rStyle w:val="FootnoteAnchor"/>
          <w:rtl w:val="true"/>
        </w:rPr>
        <w:footnoteReference w:id="1373"/>
      </w:r>
      <w:r>
        <w:rPr>
          <w:rFonts w:ascii="Amiri" w:hAnsi="Amiri" w:eastAsia="Amiri" w:cs="Amiri"/>
          <w:color w:val="111111"/>
          <w:sz w:val="28"/>
          <w:sz w:val="28"/>
          <w:szCs w:val="28"/>
          <w:rtl w:val="true"/>
          <w:lang w:bidi="ar-SA"/>
        </w:rPr>
        <w:t xml:space="preserve">التكرير ، هو المسك ما أكررته يتضوّع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 والصلاة والسّلام على خير خلقه محمد وآله الطيّبين الطاهرين ، ولعنة اللّه على أعدائهم أجمعين الى يوم الدين</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4588770_1280447820"/>
      <w:bookmarkStart w:id="379" w:name="_Toc117"/>
      <w:bookmarkEnd w:id="378"/>
      <w:r>
        <w:rPr>
          <w:rtl w:val="true"/>
        </w:rPr>
        <w:t xml:space="preserve">[ </w:t>
      </w:r>
      <w:r>
        <w:rPr>
          <w:rtl w:val="true"/>
        </w:rPr>
        <w:t xml:space="preserve">الأقوال في اشتراط الحياة في المفتي </w:t>
      </w:r>
      <w:r>
        <w:rPr>
          <w:rtl w:val="true"/>
        </w:rPr>
        <w:t>] :</w:t>
      </w:r>
      <w:bookmarkEnd w:id="379"/>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فقد اختلف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اتّفاقهم على جواز التقليد عند تعذّر العلم ، عدا بعض من فقهاء الحلب </w:t>
      </w:r>
      <w:r>
        <w:rPr>
          <w:rStyle w:val="FootnoteAnchor"/>
          <w:rtl w:val="true"/>
        </w:rPr>
        <w:footnoteReference w:id="1375"/>
      </w:r>
      <w:r>
        <w:rPr>
          <w:rFonts w:ascii="Amiri" w:hAnsi="Amiri" w:eastAsia="Amiri" w:cs="Amiri"/>
          <w:color w:val="111111"/>
          <w:sz w:val="28"/>
          <w:sz w:val="28"/>
          <w:szCs w:val="28"/>
          <w:rtl w:val="true"/>
          <w:lang w:bidi="ar-SA"/>
        </w:rPr>
        <w:t xml:space="preserve">، كابن زهرة </w:t>
      </w:r>
      <w:r>
        <w:rPr>
          <w:rStyle w:val="FootnoteAnchor"/>
          <w:rtl w:val="true"/>
        </w:rPr>
        <w:footnoteReference w:id="1376"/>
      </w:r>
      <w:r>
        <w:rPr>
          <w:rFonts w:ascii="Amiri" w:hAnsi="Amiri" w:eastAsia="Amiri" w:cs="Amiri"/>
          <w:color w:val="111111"/>
          <w:sz w:val="28"/>
          <w:sz w:val="28"/>
          <w:szCs w:val="28"/>
          <w:rtl w:val="true"/>
          <w:lang w:bidi="ar-SA"/>
        </w:rPr>
        <w:t xml:space="preserve">وجملة من المعتزلة </w:t>
      </w:r>
      <w:r>
        <w:rPr>
          <w:rStyle w:val="FootnoteAnchor"/>
          <w:rtl w:val="true"/>
        </w:rPr>
        <w:footnoteReference w:id="1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اشتراط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حياة المفتي في الاستفتاء والتقليد ، فالمعروف عند الإمامية والمشهور فيما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شهرة دعت جماعة من أجلاّء الأصحاب إلى نفي الخلاف ، أو دعوى الاجماع عليه </w:t>
      </w:r>
      <w:r>
        <w:rPr>
          <w:rStyle w:val="FootnoteAnchor"/>
          <w:rtl w:val="true"/>
        </w:rPr>
        <w:footnoteReference w:id="1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الاشتراط ، فعن شرح الألفية </w:t>
      </w:r>
      <w:r>
        <w:rPr>
          <w:rStyle w:val="FootnoteAnchor"/>
          <w:rtl w:val="true"/>
        </w:rPr>
        <w:footnoteReference w:id="1379"/>
      </w:r>
      <w:r>
        <w:rPr>
          <w:rFonts w:ascii="Amiri" w:hAnsi="Amiri" w:eastAsia="Amiri" w:cs="Amiri"/>
          <w:color w:val="111111"/>
          <w:sz w:val="28"/>
          <w:sz w:val="28"/>
          <w:szCs w:val="28"/>
          <w:rtl w:val="true"/>
          <w:lang w:bidi="ar-SA"/>
        </w:rPr>
        <w:t xml:space="preserve">للمحقّق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الأخذ عن الميّت مع وجود المجتهد الحي بلا خلاف بين علماء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في كتبهم المختصرة والمطوّلة وفي غيرهما ، باشتراط حياة المجتهد في جواز العمل بقوله ، ولم يتحقّق إلى الآن في ذلك خلاف ممن يعتدّ بقوله من أصحابنا ، وإن كان للعامّة في ذلك خلاف </w:t>
      </w:r>
      <w:r>
        <w:rPr>
          <w:rStyle w:val="FootnoteAnchor"/>
          <w:rtl w:val="true"/>
        </w:rPr>
        <w:footnoteReference w:id="1380"/>
      </w:r>
      <w:r>
        <w:rPr>
          <w:rFonts w:ascii="Amiri" w:hAnsi="Amiri" w:eastAsia="Amiri" w:cs="Amiri"/>
          <w:color w:val="111111"/>
          <w:sz w:val="28"/>
          <w:sz w:val="28"/>
          <w:szCs w:val="28"/>
          <w:rtl w:val="true"/>
          <w:lang w:bidi="ar-SA"/>
        </w:rPr>
        <w:t>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وبمثله قال في آداب العلم والمتعلّم </w:t>
      </w:r>
      <w:r>
        <w:rPr>
          <w:rStyle w:val="FootnoteAnchor"/>
          <w:rtl w:val="true"/>
        </w:rPr>
        <w:footnoteReference w:id="1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محكي الرسالة المنسوبة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بعد التتبّع الصادق فيما وصل إلينا من كلامهم ما علمنا من أصحابنا السابقين وعلمائنا الصالحين مخالفا في ذلك ؛ فإنّهم قد ذكروا في كتبهم الاصوليّة والفقهيّة قاطعين فيه 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يجوز تقليد الميّت ، وأنّ قوله يبطل بموته من غير نقل خلاف أحد فيه </w:t>
      </w:r>
      <w:r>
        <w:rPr>
          <w:rStyle w:val="FootnoteAnchor"/>
          <w:rtl w:val="true"/>
        </w:rPr>
        <w:footnoteReference w:id="1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المعالم </w:t>
      </w:r>
      <w:r>
        <w:rPr>
          <w:rStyle w:val="FootnoteAnchor"/>
          <w:rtl w:val="true"/>
        </w:rPr>
        <w:footnoteReference w:id="1383"/>
      </w:r>
      <w:r>
        <w:rPr>
          <w:rFonts w:ascii="Amiri" w:hAnsi="Amiri" w:eastAsia="Amiri" w:cs="Amiri"/>
          <w:color w:val="111111"/>
          <w:sz w:val="28"/>
          <w:sz w:val="28"/>
          <w:szCs w:val="28"/>
          <w:rtl w:val="true"/>
          <w:lang w:bidi="ar-SA"/>
        </w:rPr>
        <w:t xml:space="preserve">نسبه إلى ظاهر الأصحاب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بفتاوى الموتى مخالف لما يظهر من اتفاق علمائنا على المنع عن الرجوع إلى فتوى الميّت مع وجود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القاساني </w:t>
      </w:r>
      <w:r>
        <w:rPr>
          <w:rStyle w:val="FootnoteAnchor"/>
          <w:rtl w:val="true"/>
        </w:rPr>
        <w:footnoteReference w:id="1384"/>
      </w:r>
      <w:r>
        <w:rPr>
          <w:rFonts w:ascii="Amiri" w:hAnsi="Amiri" w:eastAsia="Amiri" w:cs="Amiri"/>
          <w:color w:val="111111"/>
          <w:sz w:val="28"/>
          <w:sz w:val="28"/>
          <w:szCs w:val="28"/>
          <w:rtl w:val="true"/>
          <w:lang w:bidi="ar-SA"/>
        </w:rPr>
        <w:t xml:space="preserve">الذي ستعرف خلافه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الاعتراف بأنّه مختار </w:t>
      </w:r>
    </w:p>
    <w:p>
      <w:pPr>
        <w:pStyle w:val="BookText"/>
        <w:rPr/>
      </w:pPr>
      <w:r>
        <w:rPr>
          <w:rFonts w:ascii="Amiri" w:hAnsi="Amiri" w:eastAsia="Amiri" w:cs="Amiri"/>
          <w:color w:val="111111"/>
          <w:sz w:val="28"/>
          <w:sz w:val="28"/>
          <w:szCs w:val="28"/>
          <w:rtl w:val="true"/>
          <w:lang w:bidi="ar-SA"/>
        </w:rPr>
        <w:t>أكثر المجتهدين ، بحيث كاد أن يكون إجماعا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صريح شارع </w:t>
      </w:r>
      <w:r>
        <w:rPr>
          <w:rStyle w:val="FootnoteAnchor"/>
          <w:rtl w:val="true"/>
        </w:rPr>
        <w:footnoteReference w:id="1385"/>
      </w:r>
      <w:r>
        <w:rPr>
          <w:rFonts w:ascii="Amiri" w:hAnsi="Amiri" w:eastAsia="Amiri" w:cs="Amiri"/>
          <w:color w:val="111111"/>
          <w:sz w:val="28"/>
          <w:sz w:val="28"/>
          <w:szCs w:val="28"/>
          <w:rtl w:val="true"/>
          <w:lang w:bidi="ar-SA"/>
        </w:rPr>
        <w:t xml:space="preserve">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عن ظاهر النهاية </w:t>
      </w:r>
      <w:r>
        <w:rPr>
          <w:rStyle w:val="FootnoteAnchor"/>
          <w:rtl w:val="true"/>
        </w:rPr>
        <w:footnoteReference w:id="1386"/>
      </w:r>
      <w:r>
        <w:rPr>
          <w:rFonts w:ascii="Amiri" w:hAnsi="Amiri" w:eastAsia="Amiri" w:cs="Amiri"/>
          <w:color w:val="111111"/>
          <w:sz w:val="28"/>
          <w:sz w:val="28"/>
          <w:szCs w:val="28"/>
          <w:rtl w:val="true"/>
          <w:lang w:bidi="ar-SA"/>
        </w:rPr>
        <w:t>؛ بناء على أنّ عدم ذكر الخلاف هنا بعد الفتوى ذكر لعدم الخلاف في مثل المقام ، خصوصا من مثل الفاضل ، المتعرّض للخلاف في جميع المسائل ، سيّما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الكفاية </w:t>
      </w:r>
      <w:r>
        <w:rPr>
          <w:rStyle w:val="FootnoteAnchor"/>
          <w:rtl w:val="true"/>
        </w:rPr>
        <w:footnoteReference w:id="1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الاتفاق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وبالإجماع صرّح ابن أبي جمهور الأحسائي </w:t>
      </w:r>
      <w:r>
        <w:rPr>
          <w:rStyle w:val="FootnoteAnchor"/>
          <w:rtl w:val="true"/>
        </w:rPr>
        <w:footnoteReference w:id="1388"/>
      </w:r>
      <w:r>
        <w:rPr>
          <w:rFonts w:ascii="Amiri" w:hAnsi="Amiri" w:eastAsia="Amiri" w:cs="Amiri"/>
          <w:color w:val="111111"/>
          <w:sz w:val="28"/>
          <w:sz w:val="28"/>
          <w:szCs w:val="28"/>
          <w:rtl w:val="true"/>
          <w:lang w:bidi="ar-SA"/>
        </w:rPr>
        <w:t xml:space="preserve">فيما حكي عنه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جواز العمل بقول المجتهد من بقائه ، فلو مات بطل العمل بقوله فوجب الرجوع إلى غيره ؛ إذ الميّت لا قول له ، وعلى هذا انعقد إجماع الإمامية وبه نطقت مصنّفاتهم الاصوليّة والفروعيّة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 في محكي الذكرى </w:t>
      </w:r>
      <w:r>
        <w:rPr>
          <w:rStyle w:val="FootnoteAnchor"/>
          <w:rtl w:val="true"/>
        </w:rPr>
        <w:footnoteReference w:id="1389"/>
      </w:r>
      <w:r>
        <w:rPr>
          <w:rFonts w:ascii="Amiri" w:hAnsi="Amiri" w:eastAsia="Amiri" w:cs="Amiri"/>
          <w:color w:val="111111"/>
          <w:sz w:val="28"/>
          <w:sz w:val="28"/>
          <w:szCs w:val="28"/>
          <w:rtl w:val="true"/>
          <w:lang w:bidi="ar-SA"/>
        </w:rPr>
        <w:t xml:space="preserve">إلى ظاهر العلماء ، وفي محكي الجعفرية </w:t>
      </w:r>
      <w:r>
        <w:rPr>
          <w:rStyle w:val="FootnoteAnchor"/>
          <w:rtl w:val="true"/>
        </w:rPr>
        <w:footnoteReference w:id="1390"/>
      </w:r>
      <w:r>
        <w:rPr>
          <w:rFonts w:ascii="Amiri" w:hAnsi="Amiri" w:eastAsia="Amiri" w:cs="Amiri"/>
          <w:color w:val="111111"/>
          <w:sz w:val="28"/>
          <w:sz w:val="28"/>
          <w:szCs w:val="28"/>
          <w:rtl w:val="true"/>
          <w:lang w:bidi="ar-SA"/>
        </w:rPr>
        <w:t xml:space="preserve">ومجمع الفائدة </w:t>
      </w:r>
      <w:r>
        <w:rPr>
          <w:rStyle w:val="FootnoteAnchor"/>
          <w:rtl w:val="true"/>
        </w:rPr>
        <w:footnoteReference w:id="1391"/>
      </w:r>
      <w:r>
        <w:rPr>
          <w:rFonts w:ascii="Amiri" w:hAnsi="Amiri" w:eastAsia="Amiri" w:cs="Amiri"/>
          <w:color w:val="111111"/>
          <w:sz w:val="28"/>
          <w:sz w:val="28"/>
          <w:szCs w:val="28"/>
          <w:rtl w:val="true"/>
          <w:lang w:bidi="ar-SA"/>
        </w:rPr>
        <w:t xml:space="preserve">إلى الأكثر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على المتتبّع أنّ كلمات الأوائل والأواسط متّفقة في منع العمل بقول الموتى وأنّ القول به من الخصائص العامّة ، فمن ادّعى إجماعهم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ادّعاه المحقّق النراقي في المناهج </w:t>
      </w:r>
      <w:r>
        <w:rPr>
          <w:rStyle w:val="FootnoteAnchor"/>
          <w:rtl w:val="true"/>
        </w:rPr>
        <w:footnoteReference w:id="1393"/>
      </w:r>
      <w:r>
        <w:rPr>
          <w:rFonts w:ascii="Amiri" w:hAnsi="Amiri" w:eastAsia="Amiri" w:cs="Amiri"/>
          <w:color w:val="111111"/>
          <w:sz w:val="28"/>
          <w:sz w:val="28"/>
          <w:szCs w:val="28"/>
          <w:rtl w:val="true"/>
          <w:lang w:bidi="ar-SA"/>
        </w:rPr>
        <w:t xml:space="preserve">والمولى البهبهاني </w:t>
      </w:r>
      <w:r>
        <w:rPr>
          <w:rStyle w:val="FootnoteAnchor"/>
          <w:rtl w:val="true"/>
        </w:rPr>
        <w:footnoteReference w:id="1394"/>
      </w:r>
    </w:p>
    <w:p>
      <w:pPr>
        <w:pStyle w:val="BookText"/>
        <w:rPr/>
      </w:pPr>
      <w:r>
        <w:rPr>
          <w:rFonts w:ascii="Amiri" w:hAnsi="Amiri" w:eastAsia="Amiri" w:cs="Amiri"/>
          <w:color w:val="111111"/>
          <w:sz w:val="28"/>
          <w:sz w:val="28"/>
          <w:szCs w:val="28"/>
          <w:rtl w:val="true"/>
          <w:lang w:bidi="ar-SA"/>
        </w:rPr>
        <w:t xml:space="preserve">على 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مغربا ، وإنّما المغرب من أنكره تمسّكا بصراحة بعض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وظهور الآخر في ثبوت الخلاف ؛ لأنّ الخلاف المصرّح به في بعض العبائر والمستظهر عن البعض الآخر لم يعلم كونه من أصحابنا ، بل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الشهيد الثاني في محكي الرسالة </w:t>
      </w:r>
      <w:r>
        <w:rPr>
          <w:rStyle w:val="FootnoteAnchor"/>
          <w:rtl w:val="true"/>
        </w:rPr>
        <w:footnoteReference w:id="139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الخلاف إنّما هو من العامّة ، وأغرب من ذلك إنكار حجيّة هذه الاجماعات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صدر عن الفاضل القمي </w:t>
      </w:r>
      <w:r>
        <w:rPr>
          <w:rStyle w:val="FootnoteAnchor"/>
          <w:rtl w:val="true"/>
        </w:rPr>
        <w:footnoteReference w:id="1396"/>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عدم إفادتها إلاّ الظن الذي لم يقم دليل على اعتباره في المسائل الاصولية ، سيّما مثل هذه المسألة التي حدوث ابتلاء الناس بها وعدم تداولها في الصدر الأوّل ، تأييد لصدق دعوى الاجماع فيها ؛ لأنّ الدالّ على اعتبار الظنّ في الفروع إنّما يدلّ على اعتباره في التكاليف الفعليّة التي يعتقد بها المكلّف في الوقائع ، ومن الواضح أنّ الظنّ بحكم شيء من مدارك الفروع يؤول بالأخرة إلى الظنّ بالتكليف الفعلي ، وتحقيق ذلك مطلوب من محلّه</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تقدير عدم حجّيته مطلقا أو في مسألتنا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كونها 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الاجماعات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على صدقها التتبّع واعتراف بعض الأعاظم </w:t>
      </w:r>
      <w:r>
        <w:rPr>
          <w:rStyle w:val="FootnoteAnchor"/>
          <w:rtl w:val="true"/>
        </w:rPr>
        <w:footnoteReference w:id="1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بعد الفحص الأكيد لم يطّلع على الخلاف بين الأصحاب المجتهدين في الأوائل والأواسط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القطع بوجود دليل عند القدماء متّفق عليه بينهم في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من الأصل السالم عن معارضة ما توهّم دليلا على الجواز من الآيات والأخبار ، وذلك فإنّ عثورهم على تلك الأخبار والآيات التي نتلوها عليك مع عدم اعتدادهم بشأنها ومصيرهم إلى ما تقتضيه الاصول </w:t>
      </w:r>
    </w:p>
    <w:p>
      <w:pPr>
        <w:pStyle w:val="BookText"/>
        <w:rPr/>
      </w:pPr>
      <w:r>
        <w:rPr>
          <w:rFonts w:ascii="Amiri" w:hAnsi="Amiri" w:eastAsia="Amiri" w:cs="Amiri"/>
          <w:color w:val="111111"/>
          <w:sz w:val="28"/>
          <w:sz w:val="28"/>
          <w:szCs w:val="28"/>
          <w:rtl w:val="true"/>
          <w:lang w:bidi="ar-SA"/>
        </w:rPr>
        <w:t>والضوابط من المنع مما يقتضي بعدم انقطاع حكم الأصل عندهم ، فيتطرّق الوهم في دلالتها على جواز تقليد الميّت بعد فرض دلالتها على أصل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الإجماعات تعدّ من الحجج في المسألة ، كلّ ذلك مع الاعتراف بكون مسألتنا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وجوب تقليد الحيّ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المسائل الاصولية ، 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مسألة فرعيّة ؛ لأنّها ممّا ينتفع به المقلّد على تقدير كونها من القطعيّات ، ولا ينتفع بها في الاجتهاد أصلا ورأسا وقد تقرّر في غير موضع أنّه المعيار في تميز </w:t>
      </w:r>
      <w:r>
        <w:rPr>
          <w:rStyle w:val="FootnoteAnchor"/>
          <w:rtl w:val="true"/>
        </w:rPr>
        <w:footnoteReference w:id="1398"/>
      </w:r>
      <w:r>
        <w:rPr>
          <w:rFonts w:ascii="Amiri" w:hAnsi="Amiri" w:eastAsia="Amiri" w:cs="Amiri"/>
          <w:color w:val="111111"/>
          <w:sz w:val="28"/>
          <w:sz w:val="28"/>
          <w:szCs w:val="28"/>
          <w:rtl w:val="true"/>
          <w:lang w:bidi="ar-SA"/>
        </w:rPr>
        <w:t>مسائل الأصول عن الفروع ، فلا عذر لمن أنكر حجيّة هذه الاجماعات مع كونه ممّن يقول بحجيّتها في الفروع ، فتأمّل</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نقل خلاف جملة من المتأخّرين ، وأشدّهم خلافا هم الأخبارية ، فذهب الاسترابادي </w:t>
      </w:r>
      <w:r>
        <w:rPr>
          <w:rStyle w:val="FootnoteAnchor"/>
          <w:rtl w:val="true"/>
        </w:rPr>
        <w:footnoteReference w:id="1399"/>
      </w:r>
      <w:r>
        <w:rPr>
          <w:rFonts w:ascii="Amiri" w:hAnsi="Amiri" w:eastAsia="Amiri" w:cs="Amiri"/>
          <w:color w:val="111111"/>
          <w:sz w:val="28"/>
          <w:sz w:val="28"/>
          <w:szCs w:val="28"/>
          <w:rtl w:val="true"/>
          <w:lang w:bidi="ar-SA"/>
        </w:rPr>
        <w:t xml:space="preserve">والقاساني </w:t>
      </w:r>
      <w:r>
        <w:rPr>
          <w:rStyle w:val="FootnoteAnchor"/>
          <w:rtl w:val="true"/>
        </w:rPr>
        <w:footnoteReference w:id="1400"/>
      </w:r>
      <w:r>
        <w:rPr>
          <w:rFonts w:ascii="Amiri" w:hAnsi="Amiri" w:eastAsia="Amiri" w:cs="Amiri"/>
          <w:color w:val="111111"/>
          <w:sz w:val="28"/>
          <w:sz w:val="28"/>
          <w:szCs w:val="28"/>
          <w:rtl w:val="true"/>
          <w:lang w:bidi="ar-SA"/>
        </w:rPr>
        <w:t xml:space="preserve">فيما حكي عنهما إلى الجواز مطلقا ، ونسبه الشهيد في محكي الذكرى </w:t>
      </w:r>
      <w:r>
        <w:rPr>
          <w:rStyle w:val="FootnoteAnchor"/>
          <w:rtl w:val="true"/>
        </w:rPr>
        <w:footnoteReference w:id="1401"/>
      </w:r>
      <w:r>
        <w:rPr>
          <w:rFonts w:ascii="Amiri" w:hAnsi="Amiri" w:eastAsia="Amiri" w:cs="Amiri"/>
          <w:color w:val="111111"/>
          <w:sz w:val="28"/>
          <w:sz w:val="28"/>
          <w:szCs w:val="28"/>
          <w:rtl w:val="true"/>
          <w:lang w:bidi="ar-SA"/>
        </w:rPr>
        <w:t xml:space="preserve">إلى بعض ، وهو المحكي عن القمّي </w:t>
      </w:r>
      <w:r>
        <w:rPr>
          <w:rStyle w:val="FootnoteAnchor"/>
          <w:rtl w:val="true"/>
        </w:rPr>
        <w:footnoteReference w:id="1402"/>
      </w:r>
      <w:r>
        <w:rPr>
          <w:rFonts w:ascii="Amiri" w:hAnsi="Amiri" w:eastAsia="Amiri" w:cs="Amiri"/>
          <w:color w:val="111111"/>
          <w:sz w:val="28"/>
          <w:sz w:val="28"/>
          <w:szCs w:val="28"/>
          <w:rtl w:val="true"/>
          <w:lang w:bidi="ar-SA"/>
        </w:rPr>
        <w:t xml:space="preserve">في حجّة الاسلام ، والجزائري في منبع الحياة </w:t>
      </w:r>
      <w:r>
        <w:rPr>
          <w:rStyle w:val="FootnoteAnchor"/>
          <w:rtl w:val="true"/>
        </w:rPr>
        <w:footnoteReference w:id="1403"/>
      </w:r>
      <w:r>
        <w:rPr>
          <w:rFonts w:ascii="Amiri" w:hAnsi="Amiri" w:eastAsia="Amiri" w:cs="Amiri"/>
          <w:color w:val="111111"/>
          <w:sz w:val="28"/>
          <w:sz w:val="28"/>
          <w:szCs w:val="28"/>
          <w:rtl w:val="true"/>
          <w:lang w:bidi="ar-SA"/>
        </w:rPr>
        <w:t xml:space="preserve">، ووافقهم التوني </w:t>
      </w:r>
      <w:r>
        <w:rPr>
          <w:rStyle w:val="FootnoteAnchor"/>
          <w:rtl w:val="true"/>
        </w:rPr>
        <w:footnoteReference w:id="1404"/>
      </w:r>
      <w:r>
        <w:rPr>
          <w:rFonts w:ascii="Amiri" w:hAnsi="Amiri" w:eastAsia="Amiri" w:cs="Amiri"/>
          <w:color w:val="111111"/>
          <w:sz w:val="28"/>
          <w:sz w:val="28"/>
          <w:szCs w:val="28"/>
          <w:rtl w:val="true"/>
          <w:lang w:bidi="ar-SA"/>
        </w:rPr>
        <w:t xml:space="preserve">إذا كان المجتهد ممّن لا يفتي إلاّ بمنطوقات الأدلّة ومدلولاتها الصريحة أو الظاهرة كالصدوقين ، وإن كان يفتي بالمداليل الالتزامية الغير البيّنة فمنع عن تقليده حيّا </w:t>
      </w:r>
      <w:bookmarkStart w:id="380" w:name="pg16264_169868"/>
    </w:p>
    <w:p>
      <w:pPr>
        <w:pStyle w:val="BookText"/>
        <w:rPr/>
      </w:pPr>
      <w:bookmarkEnd w:id="380"/>
      <w:r>
        <w:rPr>
          <w:rFonts w:ascii="Amiri" w:hAnsi="Amiri" w:eastAsia="Amiri" w:cs="Amiri"/>
          <w:color w:val="111111"/>
          <w:sz w:val="28"/>
          <w:sz w:val="28"/>
          <w:szCs w:val="28"/>
          <w:rtl w:val="true"/>
          <w:lang w:bidi="ar-SA"/>
        </w:rPr>
        <w:t>كان أو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الأردبيلي </w:t>
      </w:r>
      <w:r>
        <w:rPr>
          <w:rStyle w:val="FootnoteAnchor"/>
          <w:rtl w:val="true"/>
        </w:rPr>
        <w:footnoteReference w:id="1405"/>
      </w:r>
      <w:r>
        <w:rPr>
          <w:rFonts w:ascii="Amiri" w:hAnsi="Amiri" w:eastAsia="Amiri" w:cs="Amiri"/>
          <w:color w:val="111111"/>
          <w:sz w:val="28"/>
          <w:sz w:val="28"/>
          <w:szCs w:val="28"/>
          <w:rtl w:val="true"/>
          <w:lang w:bidi="ar-SA"/>
        </w:rPr>
        <w:t xml:space="preserve">والعلاّمة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حكى </w:t>
      </w:r>
      <w:r>
        <w:rPr>
          <w:rStyle w:val="FootnoteAnchor"/>
          <w:rtl w:val="true"/>
        </w:rPr>
        <w:footnoteReference w:id="1406"/>
      </w:r>
      <w:r>
        <w:rPr>
          <w:rFonts w:ascii="Amiri" w:hAnsi="Amiri" w:eastAsia="Amiri" w:cs="Amiri"/>
          <w:color w:val="111111"/>
          <w:sz w:val="28"/>
          <w:sz w:val="28"/>
          <w:szCs w:val="28"/>
          <w:rtl w:val="true"/>
          <w:lang w:bidi="ar-SA"/>
        </w:rPr>
        <w:t xml:space="preserve">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الجواز عند فقد المجتهد الحي مطلقا أو في ذلك الزمان والفاضل القمي رحمه‌اللّه </w:t>
      </w:r>
      <w:r>
        <w:rPr>
          <w:rStyle w:val="FootnoteAnchor"/>
          <w:rtl w:val="true"/>
        </w:rPr>
        <w:footnoteReference w:id="1407"/>
      </w:r>
      <w:r>
        <w:rPr>
          <w:rFonts w:ascii="Amiri" w:hAnsi="Amiri" w:eastAsia="Amiri" w:cs="Amiri"/>
          <w:color w:val="111111"/>
          <w:sz w:val="28"/>
          <w:sz w:val="28"/>
          <w:szCs w:val="28"/>
          <w:rtl w:val="true"/>
          <w:lang w:bidi="ar-SA"/>
        </w:rPr>
        <w:t>أناط الحكم مناط حصول الظن الأقوى ، سواء حصل من قول الميّت أو الحي ، فهو من المجوّزين مطلقا ولم أجد غيره من المجتهدين وافقه في كتابه ممّن يعتد بشأنه</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4588772_1280447820"/>
      <w:bookmarkStart w:id="382" w:name="_Toc118"/>
      <w:bookmarkEnd w:id="381"/>
      <w:r>
        <w:rPr>
          <w:rtl w:val="true"/>
        </w:rPr>
        <w:t xml:space="preserve">[ </w:t>
      </w:r>
      <w:r>
        <w:rPr>
          <w:rtl w:val="true"/>
        </w:rPr>
        <w:t xml:space="preserve">وجوه القول بعدم جواز تقليد الميت </w:t>
      </w:r>
      <w:r>
        <w:rPr>
          <w:rtl w:val="true"/>
        </w:rPr>
        <w:t>] :</w:t>
      </w:r>
      <w:bookmarkEnd w:id="382"/>
    </w:p>
    <w:p>
      <w:pPr>
        <w:pStyle w:val="BookText"/>
        <w:rPr/>
      </w:pPr>
      <w:r>
        <w:rPr>
          <w:rFonts w:ascii="Amiri" w:hAnsi="Amiri" w:eastAsia="Amiri" w:cs="Amiri"/>
          <w:color w:val="111111"/>
          <w:sz w:val="28"/>
          <w:sz w:val="28"/>
          <w:szCs w:val="28"/>
          <w:rtl w:val="true"/>
          <w:lang w:bidi="ar-SA"/>
        </w:rPr>
        <w:t xml:space="preserve">والحقّ الذي لا ينبغي الارتياب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على ذلك وجوه </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من الإجماعات المعتضدة بظهور اتفاق الامامية على ذلك ؛ إذ قد عرفت أنّه لا خلاف بين قدماء الأصحاب والمتوسّطين بحكم التتبع وشهادة جملة من الفحول ، فانّ جريان عادتهم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ذكر المخالفين في المسائل مع عدم ذكر مخالف واحد معا في المسألة ممّا يعطي الجزم باتفاق كلمتهم في ذلك ، ودعوى صراحة الذكرى في خلاف بعض الأصحاب ، يدفعها ما عن رسالة </w:t>
      </w:r>
      <w:r>
        <w:rPr>
          <w:rStyle w:val="FootnoteAnchor"/>
          <w:rtl w:val="true"/>
        </w:rPr>
        <w:footnoteReference w:id="1408"/>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العلماء يعمّ العامّة والخاصّة ، وبعض الأعم أعم من بعض الأخص ، مع أنّ خلاف نادر من أصحابنا غير قادح فيما ادعينا من الإجماع على طريقة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ضعف توهّم الخلاف من كلام من جعل الحكم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 كالعلاّمة في محكي التهذيب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أو نسبته إلى الأكثر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لأنّ المسألة إذا كانت من الخلافيات بين العامّة والخاصّة ، ونحو هذه الكلمات مما لا صراحة بل لا ظهور لها في تحقّق الخلاف بين الخاصّة ، وقد نسب الشهيد الثاني قول المشهور إلى الأكثر في المنيّة والمقاصد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ومع ذلك فقد اعترف بعدم الخلاف من الخاصّة في الرسالة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والمسالك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وآداب المعلّم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والمتعلّم ، وهذا ممّا يؤكّد كون هذه الكلمات إشارة إلى خلاف العامّة ، وأمّا الخلاف الذي نقلوه من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على فرض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ممّا أنكره في الدين الشيخ السعيد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والمحقّق الثاني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فيما حكي عنهما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نحمله على الاستعانة بكتب أموات من المتقدمين عند فقد المجتهد الحيّ ممّا لا يضرّنا ؛ لأنّ كلامنا الآن في قبال من أجاز العمل بقول الموتى مع وجود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المتأخّرون ، فلم ينقل منهم الخلاف أيضا سوى من عرفته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الأخباريين وبعض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وخلاف الأخباريين ومن يقرب منهم في المشرب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إنكار طريقة الاجتهاد</w:t>
      </w:r>
    </w:p>
    <w:p>
      <w:pPr>
        <w:pStyle w:val="BookText"/>
        <w:rPr/>
      </w:pPr>
      <w:r>
        <w:rPr>
          <w:rFonts w:ascii="Amiri" w:hAnsi="Amiri" w:eastAsia="Amiri" w:cs="Amiri"/>
          <w:color w:val="111111"/>
          <w:sz w:val="28"/>
          <w:sz w:val="28"/>
          <w:szCs w:val="28"/>
          <w:rtl w:val="true"/>
          <w:lang w:bidi="ar-SA"/>
        </w:rPr>
        <w:t xml:space="preserve">والتقليد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قادح في اتّفاق المجتهدين ؛ نظرا الى اختلال طريقتهم وعدم قولهم بالاجتهاد والتقليد رأسا ، واقتصارهم في استنباط الأحكام على الأخذ من كتب المحدّثين أحياء كانوا أو أمواتا ، وعدّهم الفتوى نقلا لمضمون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اعتبر التوني </w:t>
      </w:r>
      <w:r>
        <w:rPr>
          <w:rStyle w:val="FootnoteAnchor"/>
          <w:rtl w:val="true"/>
        </w:rPr>
        <w:footnoteReference w:id="1409"/>
      </w:r>
      <w:r>
        <w:rPr>
          <w:rFonts w:ascii="Amiri" w:hAnsi="Amiri" w:eastAsia="Amiri" w:cs="Amiri"/>
          <w:color w:val="111111"/>
          <w:sz w:val="28"/>
          <w:sz w:val="28"/>
          <w:szCs w:val="28"/>
          <w:rtl w:val="true"/>
          <w:lang w:bidi="ar-SA"/>
        </w:rPr>
        <w:t>في التقليد كون المجتهد ممّن لا يعمل إلاّ بمداليل الأخبار الواضحة دون الالتزاميات الغير البيّنة التي يعمل بها المجتهدون ويفتون على حسب مقتضاها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وسوّى بين الحياة والممات كما هو الشأن في العمل بالأحاديث ، فإنّ نظره إلى تسويغ العمل بفتوى تكون نقلا لمضمون الأخبار حتى يكون العمل بها عملا بالخبر ، لا إلى عدم اشتراط حياة المفتي على فرض جواز العمل بالفتوى ، مثل ما يقول المجتهدون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 يقدح في الاتفاق المزبور خلاف الأردبيلي </w:t>
      </w:r>
      <w:r>
        <w:rPr>
          <w:rStyle w:val="FootnoteAnchor"/>
          <w:rtl w:val="true"/>
        </w:rPr>
        <w:footnoteReference w:id="1410"/>
      </w:r>
      <w:r>
        <w:rPr>
          <w:rFonts w:ascii="Amiri" w:hAnsi="Amiri" w:eastAsia="Amiri" w:cs="Amiri"/>
          <w:color w:val="111111"/>
          <w:sz w:val="28"/>
          <w:sz w:val="28"/>
          <w:szCs w:val="28"/>
          <w:rtl w:val="true"/>
          <w:lang w:bidi="ar-SA"/>
        </w:rPr>
        <w:t xml:space="preserve">لما ظهر وجهه في خلاف العلاّمة رحمه‌اللّه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فبقي من المخالفين المجتهد الفاضل القمي رحمه‌اللّه وهو باعتبار فساد مستنده وعدم مشاركة غيره له في ذلك وإن شاركه في أصل الحكم في الجملة ، مما لا يقدح خلافه ، وليس هذا الكلام إلاّ في الردّ عليه</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الاتفاق ممّا ادّعاه غير واحد من الأتقياء الفحول وأعاظم أهل الاصول بعد أن بلغوا في الفحص والتتبّع ما هو المأمول ، فهو إمّا حجّة واضحة في المسألة ، أو يدفع مانعية ما يتوهّم مانعيته عن العمل بالأصل من الإطلاقات وعلى التقديرين ففيه الحجة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الأصل ، وتقريره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بأنّ حجّية قول الغير حكم يحتاج الى دليل معتبر ، والمقدار الثابت منها إنّما هو حجّية قول الحي لكونه متفقا عليه بين الفريقين ، وأمّا قول الميّت فالأصل عدم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تسالم الفريقين حجّية قول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القائلين بجواز تقليد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يرى وجوب اتّباع الظن الأقوى ، فقد يكون حاصلا من قول الميّت ، ومنهم من يوجب تقليد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فرض كون الميّت أعلم لم يجز تقليد الحي عنده ، فتقليد الحي والميّت متساويان في الاحتياج إلى الدليل وعدم الإجماع ، وإجراء الأصل في أحدهما معارض باجرائه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نفرض الكلام فيما إذا تساوى الحي والميّت من جميع الجهات ، فيتمّ الدليل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صورة رجحان الميّت في العلم أو في إفادة قوله الظن ، يتمّ المدّعى بعدم القول بالفصل ؛ لأنّ كلّ من يرى وجوب تقليد الميّت الأعلم أو الذي يفيد قوله الظن الأقوى عينا قال بوجوبه تخييرا في صورة المساواة ، والتفصيل بين الصورتين قول لا يقول به أحد من الفريقين</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اجيب عن هذا الإيراد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وجوب تقليد الأعلم عند هؤلاء القائلين بجواز تقليد الميّت ، فإنّ صريح بعضهم عدم الوجوب </w:t>
      </w:r>
      <w:r>
        <w:rPr>
          <w:rStyle w:val="FootnoteAnchor"/>
          <w:rtl w:val="true"/>
        </w:rPr>
        <w:footnoteReference w:id="1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وجوب متابعة الظن الأقوى فالقائل به إنّما هو بعض معاصري المجيب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الفاضل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 فلا يقدح اختيار هذا المذهب في دعوى الإجماع على خروج قول الحي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صورة كون الظنّ الحاصل من قول الميّت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 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ذكرنا في الجواب أحسن ؛ لأنّا لو بنينا على عدم قدح مخالفة هذا القائل في الإجماع على حجّية قول الحي مطلقا لم يبعد دعوى الإجماع المحقّق على بطلانه ؛ فانّ الظاهر أنّه لم يقل غيره بوجوب اتباع الظنّ الأقوى ، وتعيّن العمل بقول الميّت إذا كان الأقوى منه في نظر المقلّد ، فيخرج الكلام عن كونه استدلالا بالأصل ،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التقليد عمل بما وراء العلم وهو منفي بالآثار والاعتبار خرج قول الحي بالإجماع وبقي الباقي تحت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صاحب الوافية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كون العمل بما وراء العلم منهيّا إلاّ في اصول العقائد </w:t>
      </w:r>
      <w:r>
        <w:rPr>
          <w:rStyle w:val="FootnoteAnchor"/>
          <w:rtl w:val="true"/>
        </w:rPr>
        <w:footnoteReference w:id="1413"/>
      </w:r>
      <w:r>
        <w:rPr>
          <w:rFonts w:ascii="Amiri" w:hAnsi="Amiri" w:eastAsia="Amiri" w:cs="Amiri"/>
          <w:color w:val="111111"/>
          <w:sz w:val="28"/>
          <w:sz w:val="28"/>
          <w:szCs w:val="28"/>
          <w:rtl w:val="true"/>
          <w:lang w:bidi="ar-SA"/>
        </w:rPr>
        <w:t>، وهو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مشاكلته </w:t>
      </w:r>
      <w:r>
        <w:rPr>
          <w:rStyle w:val="FootnoteAnchor"/>
          <w:rtl w:val="true"/>
        </w:rPr>
        <w:footnoteReference w:id="1414"/>
      </w:r>
      <w:r>
        <w:rPr>
          <w:rFonts w:ascii="Amiri" w:hAnsi="Amiri" w:eastAsia="Amiri" w:cs="Amiri"/>
          <w:color w:val="111111"/>
          <w:sz w:val="28"/>
          <w:sz w:val="28"/>
          <w:szCs w:val="28"/>
          <w:rtl w:val="true"/>
          <w:lang w:bidi="ar-SA"/>
        </w:rPr>
        <w:t>وطريقة الأخبارية عجيبا ؛ لأنّ العقل القاطع عندهم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التقليد طريق جعلي للمكلّف بحيث لو لا دليل دلّ على اعتباره لما جاز الأخذ به كما عرفت ، ولا ريب أنّه إذا دار الأمر بين التخيير والتعيين في الطريق ولا يدري أنّه يجب الأخذ بهذا عينا أو مخيّرا بينها وبين غيره وجب الأخذ بما يحتمل وجوب الأخذ به عينا بحكم الاحتياط القاضي به العقل ؛ لأنّه لا ينافي احتمال كونه أحد فردي الواجب التخييري</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الأصل إنّما يتمّ على مذهب من يبني على الاحتياط فيما إذا دار الأمر بين التخيير والتعيين ، وأمّا على مذهب من يبني على البراءة فلا يتم ذلك الأصل ؛ لأنّا نقول فرق بين الطريق وغيره ؛ فإنّ الأصل الأوّلي في الطرق الغير العلمية هي الحرمة إلاّ ما خرج بالدليل ، وفي غيره هي البراءة ، فمتى حصل الشكّ </w:t>
      </w:r>
    </w:p>
    <w:p>
      <w:pPr>
        <w:pStyle w:val="BookText"/>
        <w:rPr/>
      </w:pPr>
      <w:r>
        <w:rPr>
          <w:rFonts w:ascii="Amiri" w:hAnsi="Amiri" w:eastAsia="Amiri" w:cs="Amiri"/>
          <w:color w:val="111111"/>
          <w:sz w:val="28"/>
          <w:sz w:val="28"/>
          <w:szCs w:val="28"/>
          <w:rtl w:val="true"/>
          <w:lang w:bidi="ar-SA"/>
        </w:rPr>
        <w:t>في حكم شيء من الطرق فالمرجع فيه هو المنع بخلاف ما إذا حصل الشك في حكم سائر الأشياء ، فإنّ المرجع فيها هي البراءة ، ومن هنا ينقدح كون الأصل مقتضيا للاشتراط عند فقد الإطلاق إذا شككنا في شرطيّة شيء لكون الشيء طريقا ، بخلاف ما إذا شككنا في شرطيّته في غير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الطرق الجعليّة غير الأصل في سائر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في هذه المسألة ربما يعارض بالاحتياط في المسألة الفرعيّة ، كما إذا كان قول الميّت موافقا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الاحتياط في المسألة الاصولية مقدّم على الاحتياط في المسألة الفرعيّة بقاعدة المزيل والمزال كما يظهر بالتأمّل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ورابعا </w:t>
      </w:r>
      <w:r>
        <w:rPr>
          <w:rStyle w:val="FootnoteAnchor"/>
          <w:rtl w:val="true"/>
        </w:rPr>
        <w:footnoteReference w:id="1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الذمّة مشغولة بالعبادة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يتفق الخروج من عهدتها إلاّ بتقليد الحي ؛ لأنّ تقليد الميّت معركة للآراء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فقاعدة الشغل واستصحابه يقتضيان المنع من تقليد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العبادات ، وأمّا في المعاملات ، فأصالة عدم ترتّب الأثر 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تقرير أصول أخر تظهر بالتأمّل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وارد على هذه الأصول من الأدلّة سوى الاستصحاب وظاهر الأخبار والآيات التي قد يتمسّك بها في إثبات جواز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وستعرف إن شاء اللّه فساد الاستدلال بها وبقاعدة الانسداد التي تمسّك بها الفاضل القمّي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Style w:val="FootnoteAnchor"/>
          <w:rtl w:val="true"/>
        </w:rPr>
        <w:footnoteReference w:id="1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المفتي إذا مات سقط قوله عن درجة الاعتبار ولا يعتدّ بقوله أصلا ، ومن هذا شأنه لا يجوز الاستناد إليه شرعا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بيان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مخالفة الحي لسائر أهل عصره يمنع عن انعقاد الاجماع على خلافه إجماعا ، بخلاف مخالفة الميّت ، فإنّها غير قادحة في انعقاده ، فلو كان قوله نحو قول الحي معتبرا شرعا لكان مخالفته قادحة أيضا كمخالفة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الحجة ذكرها المحقّق الشيخ علي في حاشية الشرائع </w:t>
      </w:r>
      <w:r>
        <w:rPr>
          <w:rStyle w:val="FootnoteAnchor"/>
          <w:rtl w:val="true"/>
        </w:rPr>
        <w:footnoteReference w:id="1418"/>
      </w:r>
      <w:r>
        <w:rPr>
          <w:rFonts w:ascii="Amiri" w:hAnsi="Amiri" w:eastAsia="Amiri" w:cs="Amiri"/>
          <w:color w:val="111111"/>
          <w:sz w:val="28"/>
          <w:sz w:val="28"/>
          <w:szCs w:val="28"/>
          <w:rtl w:val="true"/>
          <w:lang w:bidi="ar-SA"/>
        </w:rPr>
        <w:t xml:space="preserve">، ثمّ اعترض على نفسه بما يرجع إلى منع الملازمة الثانية ، وحاصله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انعقاد الإجماع على خلافه بموته ليس لأجل سقوط اعتبار قوله بموته ، بل لحصول العلم حينئذ بدخول المعصوم عليه‌السلام في الباقين الذي هو الباعث على حجيّة الإجماع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في انعقاد الإجماع على خلافه بموته على أنّ الموت يوجب عدم اعتبار قوله بعد أن كان معتبرا في حال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أجاب عنه بما أجاد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موت الفقيه حينئذ يكشف عن خطأ قوله في حال الحياة ، فلا يجوز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الفرق بين هذا الجواب وبين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الموت مسقطا لاعتبار القول بعد أن كان معتبرا ، وقضيّة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كاشفا عن خطأ القول رأسا ، باعتبار حصول العلم بكون قوله خلاف قول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ولا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يتوهّم اختصاص هذا الدليل بما إذا كان قول الميّت مخالفا لإجماع علماء العصر ، فلا يقتضي عدم جواز التقليد فيها إذا لم يكن كذلك ، كما إذا كانوا مختلفين ، وكان قول بعضهم موافقا لقول الميّت</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كذلك وإن كان بناء الاستدلال على فرض الكلام فيما إذا كان رأي المجتهد مخالفا لآراء سائر أهل العصر فمات ، فإنّ ممانعة قوله حال الحياة في هذا </w:t>
      </w:r>
    </w:p>
    <w:p>
      <w:pPr>
        <w:pStyle w:val="BookText"/>
        <w:rPr/>
      </w:pPr>
      <w:r>
        <w:rPr>
          <w:rFonts w:ascii="Amiri" w:hAnsi="Amiri" w:eastAsia="Amiri" w:cs="Amiri"/>
          <w:color w:val="111111"/>
          <w:sz w:val="28"/>
          <w:sz w:val="28"/>
          <w:szCs w:val="28"/>
          <w:rtl w:val="true"/>
          <w:lang w:bidi="ar-SA"/>
        </w:rPr>
        <w:t>الفرض عن انعقاد الإجماع على خلافه ، وعدم المسابقة بعد الموت ، دليل واضح على كون الموت موجبا لسقوط اعتبار القول بعد أن كان معتبرا ، فالدليل وإن كان من مقدّماته فرض مخالفة قوله لسائر أهل العصر إلاّ أنّ النتيجة الحاصلة منها سقوط اعتبار القول بالموت مطلقا كما يظهر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 أن تقرّر الدليل على وجه آخر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الميّت إذا وافق قول أحد الأحياء فالعمل بقوله ليس تقليدا للميّت ، بل تقليد للحي ؛ بناء على عدم اعتبار تعيين المفتي في التقليد الذي هو شرط لصحّة العمل ، كما لعلّه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يوافق قول أحدهم كان مخالفا لأقوال أهل العصر ، ومعلوم البطلان بالإجماع بناء على حجيّته من باب اللطف ، فالتقليد للميّت دون الحيّ لا ينفكّ عن مخالفة الإجماع قطعا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صاحب الوافية بعد أن نقل هذا الدليل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 هذا الوجه ظاهر ؛ لأنّه بعد عدم حجّيته على أصولنا ينتقض بمعروف النسب ، مع أنّهم اعتبروا بشهادة الميّت في الجرح والتعديل وهو يستلزم الاعتداد بقوله في عدد الكبائر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وتبعه في النقض بمعروف النسب غير واحد ممّن تأخّر عنه </w:t>
      </w:r>
      <w:r>
        <w:rPr>
          <w:rStyle w:val="FootnoteAnchor"/>
          <w:rtl w:val="true"/>
        </w:rPr>
        <w:footnoteReference w:id="1420"/>
      </w:r>
      <w:r>
        <w:rPr>
          <w:rFonts w:ascii="Amiri" w:hAnsi="Amiri" w:eastAsia="Amiri" w:cs="Amiri"/>
          <w:color w:val="111111"/>
          <w:sz w:val="28"/>
          <w:sz w:val="28"/>
          <w:szCs w:val="28"/>
          <w:rtl w:val="true"/>
          <w:lang w:bidi="ar-SA"/>
        </w:rPr>
        <w:t xml:space="preserve">، وصورته واضحة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انعقاد الاجماع على الخلاف مشترك الورود بين الحي والميّت بناء على ما هو التحقيق عند الإمامية في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حجّيّته من باب الكشف عن قول المعصوم لعدم منافاته لمخالفة الحي المعلوم النسب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 أنّه بعد التأمّل في جواب الشيخ علي رحمه‌اللّه عن الاعتراض الذي أورده على نفسه يظهر جواب هذا النقض أيضا ، فإنّ كون مخالفة معلوم النسب غير قادحة في انعقاد الاجماع لا ينافي كون الموت كاشفا عن خطأ قوله ، وهو الباعث لعدم الاعتداد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عرفت أنّ الاستدلال بالدليل المزبور يتصور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المجتهد ما دام كونه حيّا يعتبر قوله وإذا مات سقط اعتبار قوله بنفس الموت ، وذلك لأنّ المجتهد المخالف لأهل عصره في الرأي ما لم يمت يمنع مخالفته عن انعقاد الإجماع على خلافه ، وإذا مات فبموته يتحقّق الإجماع على خلافه ، وهذا يدلّ على اعتبار قوله في حال الحياة وعدم اعتباره في حال الممات ، إذ لو كان معتبرا أيضا مثل اعتباره قبل الموت لكان مانعا عن انعقاد الإجماع على خلافه ، وحيث لا يمنع علم أنّ قوله ميّت مثله لا اعتداد بشأنه</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قرّر الاستدلال كذلك ، فهذا مبنيّ على كون الإجماع اتّفاق الكل ، بحيث يقدح في ثبوته مخالفة بعض آحاد الامّة ، سواء كان معلوم النسب أو مجهوله ، كما عليه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الدليل لا يلائم مذهبنا في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قدح خلاف مجهول النسب حيّا كان أو ميّتا جيّد ، إلاّ أنّه ليس من النقض في شيء ، بل هو منع لمبنى الاستدلال ، أعني قدح خلاف الحيّ في انعقاد الإجماع ، فتضعيف صاحب الوافية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بعدم حجّيته على أصولنا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 ضعيف خارج عن رسم الإيراد ، وراجع إلى إيراد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هذا الجواب إنّما يناسب إذا كان المحجوج عليه بهذه الحجّة الخاصّة ، والمستدلّ إنّما احتجّ بها على العامّة القائلين بحجيّة الإجماع من جهة اتّفاق الامّة كلّها تعبّدا إذ لم يكن معتقدا بخلاف أحد من الخاصّة إلى زمانه ، بل كان معتقدا بوفاقهم كما اعترف به في شرح الألفيّة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المجتهد المخالف لآراء أهل عصره ما دام كونه في الحياة لا يحصل العلم ببطلان قوله ؛ لاحتمال كونه معصوما ، وإذا مات كشف موته عن خطئه ؛ لظهور دخول المعصوم في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بني الاستدلال على ذلك كما يصرّح به الجواب عن الاعتراض الذي أورده على نفسه ، كان النقض المزبور أجنبيّا ؛ لأنّ إمكان تحقّق الإجماع مع خلاف بعض الأحياء المعروف النسب لا يمنع شيئا من مقدّمات الدليل من الصغرى أو الكبرى ؛ لأنّ المستدلّ غير منكر لذلك ، بل يعرف أنّ مناط حجيّة الإجماع إنّما هو القطع بدخول المعصوم عليه‌السلام كما هو صريح اعترافه </w:t>
      </w:r>
      <w:r>
        <w:rPr>
          <w:rStyle w:val="FootnoteAnchor"/>
          <w:rtl w:val="true"/>
        </w:rPr>
        <w:footnoteReference w:id="1422"/>
      </w:r>
      <w:r>
        <w:rPr>
          <w:rFonts w:ascii="Amiri" w:hAnsi="Amiri" w:eastAsia="Amiri" w:cs="Amiri"/>
          <w:color w:val="111111"/>
          <w:sz w:val="28"/>
          <w:sz w:val="28"/>
          <w:szCs w:val="28"/>
          <w:rtl w:val="true"/>
          <w:lang w:bidi="ar-SA"/>
        </w:rPr>
        <w:t xml:space="preserve">في تقرير الاعتراض ، وأنّه لو حصل القطع بدخوله عليه‌السلام في آحاد معيّنين كان الحجّة فيهم ، وإن كان بعض الأحيان على خلافهم ، لكن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موت المجتهد المخالف دائم الكشف عن خطئه ، فلا يجوز الاعتماد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خلاف الحيّ المعلوم النسب أيضا معلوم البطلان لمكان الإجماع على خلافه</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الاعتماد على قوله أيضا ، ولا يلزم من منع تقليد نحو هذا الحي منع تقليد مطلق الحي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يرد على هذا التقرير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مفاد الدليل حينئذ ليس إلاّ عدم تقليد الميّت الذي كشف موته عن خطئه بأن كان سائر أهل عصره مخالفين له في الرأي وكان موته موجبا لكشف خطئه باعتبار حصول العلم بدخول المعصوم في الباقين ، وأمّا الميّت الذي لم يكشف موته عن خطئه بإمكان </w:t>
      </w:r>
      <w:r>
        <w:rPr>
          <w:rStyle w:val="FootnoteAnchor"/>
          <w:rtl w:val="true"/>
        </w:rPr>
        <w:footnoteReference w:id="1423"/>
      </w:r>
      <w:r>
        <w:rPr>
          <w:rFonts w:ascii="Amiri" w:hAnsi="Amiri" w:eastAsia="Amiri" w:cs="Amiri"/>
          <w:color w:val="111111"/>
          <w:sz w:val="28"/>
          <w:sz w:val="28"/>
          <w:szCs w:val="28"/>
          <w:rtl w:val="true"/>
          <w:lang w:bidi="ar-SA"/>
        </w:rPr>
        <w:t xml:space="preserve">الأحياء بعضهم موافقين له في الرأي ، فلا دلالة له على عدم جواز تقليده حينئذ ، ويمكن دفعه بما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رأي الميّت إذا وافق رأي أحد الأحياء لم يكن العمل على طبق رأيه تقليدا له ؛ بل للحيّ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فرض الكلام في أصل الاستدلال فيما إذا كان الميّت مخالفا لسائر أهل عصره ، فإنّ صورة موافقة بعض الأحياء يمكن إخراجها من محلّ البحث ؛ لقلّة جدواها ؛ بناء على عدم اختلاف التقليد باختلاف نيّة المقلّد ، ولا يخفى أنّ الاستدلال على الوجه الأوّل لو تمّ فإنما يفيد عدم الاعتداد بقوله مطلقا حتّى فيما إذا وافق بعض الأحياء ، كما بيّنا وجهه عند تقرير الدليل</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ما ذكره صاحب الوافية </w:t>
      </w:r>
      <w:r>
        <w:rPr>
          <w:rStyle w:val="FootnoteAnchor"/>
          <w:rtl w:val="true"/>
        </w:rPr>
        <w:footnoteReference w:id="1424"/>
      </w:r>
      <w:r>
        <w:rPr>
          <w:rFonts w:ascii="Amiri" w:hAnsi="Amiri" w:eastAsia="Amiri" w:cs="Amiri"/>
          <w:color w:val="111111"/>
          <w:sz w:val="28"/>
          <w:sz w:val="28"/>
          <w:szCs w:val="28"/>
          <w:rtl w:val="true"/>
          <w:lang w:bidi="ar-SA"/>
        </w:rPr>
        <w:t xml:space="preserve">بعد النقض بقوله مع أنّهم اعتبروا شهادة الميّت في الجرح والتعديل وهو يستلزم الاعتداد بقوله في الكبائر مع عدم ارتباطه بالجواب اشتباه واضح ؛ فإنّ مناط الجرح والتعديل على قبح أفعال المجروح وحسن أفعال المعدّل في نظره لا بحسب الواقع ، فلا يلزم من قبول الجرح والتعديل إلاّ الحكم بارتكاب المجروح والمعدّل ما رآه قبيحا وعدمه ، وهذا لا يستلزم قول الجارح والمعدّل في عدد الكبائر بعد أن لم يكن مناط الفسق والعدالة بمباشرة ما هو كبيرة في نظره ، ولعلّ وجه الاشتباه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زعم أنّ مناط الجرح والتعديل والفسق والعدالة ارتكاب الكبيرة الواقعيّة </w:t>
      </w:r>
    </w:p>
    <w:p>
      <w:pPr>
        <w:pStyle w:val="BookText"/>
        <w:rPr/>
      </w:pPr>
      <w:r>
        <w:rPr>
          <w:rFonts w:ascii="Amiri" w:hAnsi="Amiri" w:eastAsia="Amiri" w:cs="Amiri"/>
          <w:color w:val="111111"/>
          <w:sz w:val="28"/>
          <w:sz w:val="28"/>
          <w:szCs w:val="28"/>
          <w:rtl w:val="true"/>
          <w:lang w:bidi="ar-SA"/>
        </w:rPr>
        <w:t xml:space="preserve">والاجتناب عنها ، فتخيّل أنّ قبول شهادته في ذلك يستلزم قبول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اعتبار قوله في كونها كبيرة يستلزم ردّ شهادته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واعترض صاحب الفصول </w:t>
      </w:r>
      <w:r>
        <w:rPr>
          <w:rStyle w:val="FootnoteAnchor"/>
          <w:rtl w:val="true"/>
        </w:rPr>
        <w:footnoteReference w:id="1425"/>
      </w:r>
      <w:r>
        <w:rPr>
          <w:rFonts w:ascii="Amiri" w:hAnsi="Amiri" w:eastAsia="Amiri" w:cs="Amiri"/>
          <w:color w:val="111111"/>
          <w:sz w:val="28"/>
          <w:sz w:val="28"/>
          <w:szCs w:val="28"/>
          <w:rtl w:val="true"/>
          <w:lang w:bidi="ar-SA"/>
        </w:rPr>
        <w:t xml:space="preserve">على هذه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عرفته من النقض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غاية ما يلزم منها عدم اعتبار قوله في انعقاد الإجماع ولا يلزم منه عدم اعتباره مطلقا حتى بالنسبة إلى جواز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الاعتراض مبنيّ على تقرير الاستدلال بالوجه الأوّل ؛ فإنّ قضيّة التقرير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الموت عن خطأ قوله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ممّا تلونا ضعف هذا الاعتراض على التقرير الأوّل أيضا ؛ فإنّه لو تمّ فإنّما يقتضي إسقاط الموت اعتبار القول بعد أن كان معتبرا ، من دون اختصاص له بمسألة انعقاد الإجماع ؛ نظرا إلى أنّ أقلّ مراتب اعتبار قول المجتهد ممانعته عن انعقاد الإجماع على خلافه ، فحيث لم يمنع من ذلك علم بفقدانه لجميع مراتب الاعتبار التي من 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أعظمها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القائل باعتبار قول الميّت يدّعي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الموت من حيث هو لا مدخليّة له في اعتبار القول وعدمه ، وهذا الدليل يقتضي مدخليّة الحياة في الاعتبار في الجملة ، وبعدم القول بالفصل بين الموارد في ذلك يتمّ المدّعى ، فتأمّل</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Style w:val="FootnoteAnchor"/>
          <w:rtl w:val="true"/>
        </w:rPr>
        <w:footnoteReference w:id="1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قرّر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الإجماع قد ينعقد على خلاف الميّت فيكون قوله معلوم البطلان من الدين ، والعامي لا خبرة له بمواقع الإجماع ، فقد يؤدّي تقليده الأموات إلى التقليد في أمر معلوم البطلان فيجب التحرّز عن ذلك ، لكان 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نظر واضح ؛ لأنّ الإجماع قد ينعقد على خلاف الحي أيضا باعترافه ، فيجب التحرّز عن قول الحي أيضا إلاّ بعد العلم بأنّه غير مخالف للإجماع ، وكلّ ما يقال هنا يقال في تقليد الميّت حرفا بحرف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Style w:val="FootnoteAnchor"/>
          <w:rtl w:val="true"/>
        </w:rPr>
        <w:footnoteReference w:id="1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دلائل الفقه لما كانت ظنّية لم تكن حجّيتها إلاّ باعتبار الظن الحاصل معها ، وهذا الظن يمنع بقاؤه بعد الموت ، فيبقى الحكم خاليا عن السند ، فيخرج عن كونه معتبرا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الدليل أيضا نقل عن المحقّق الشيخ علي رحمه‌اللّه في حواشي الشرائع </w:t>
      </w:r>
      <w:r>
        <w:rPr>
          <w:rStyle w:val="FootnoteAnchor"/>
          <w:rtl w:val="true"/>
        </w:rPr>
        <w:footnoteReference w:id="1428"/>
      </w:r>
      <w:r>
        <w:rPr>
          <w:rFonts w:ascii="Amiri" w:hAnsi="Amiri" w:eastAsia="Amiri" w:cs="Amiri"/>
          <w:color w:val="111111"/>
          <w:sz w:val="28"/>
          <w:sz w:val="28"/>
          <w:szCs w:val="28"/>
          <w:rtl w:val="true"/>
          <w:lang w:bidi="ar-SA"/>
        </w:rPr>
        <w:t xml:space="preserve">، وأورده غير واحد ممّن تأخّر عنه بتقريرات مختلفة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w:t>
      </w:r>
      <w:r>
        <w:rPr>
          <w:rStyle w:val="FootnoteAnchor"/>
          <w:rtl w:val="true"/>
        </w:rPr>
        <w:footnoteReference w:id="1429"/>
      </w:r>
      <w:r>
        <w:rPr>
          <w:rFonts w:ascii="Amiri" w:hAnsi="Amiri" w:eastAsia="Amiri" w:cs="Amiri"/>
          <w:color w:val="111111"/>
          <w:sz w:val="28"/>
          <w:sz w:val="28"/>
          <w:szCs w:val="28"/>
          <w:rtl w:val="true"/>
          <w:lang w:bidi="ar-SA"/>
        </w:rPr>
        <w:t xml:space="preserve">في رسالته ، والمير محمد باقر الداماد في بعض رسائله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واعترض عليه صاحب الوافية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زوال الظن بعد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خلوّ الحكم عن السند على تقدير الزوال ، فلم لا يكفي اقتران الظن بالحكم في السابق سندا له</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ويدفع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الظن من الأعراض القائمة بالذهن ، وهو قوّة من قوى الحيوان الناطق ، وخاصّة من خواصّه متقوّم بالحياة كتقوّم أصل الحيوانيّة بها ، ويتقوّى بقوّة البدن ويضعف بضعفه ، فإذا عرض الموت الذي يفني جميع القوى </w:t>
      </w:r>
    </w:p>
    <w:p>
      <w:pPr>
        <w:pStyle w:val="BookText"/>
        <w:rPr/>
      </w:pPr>
      <w:r>
        <w:rPr>
          <w:rFonts w:ascii="Amiri" w:hAnsi="Amiri" w:eastAsia="Amiri" w:cs="Amiri"/>
          <w:color w:val="111111"/>
          <w:sz w:val="28"/>
          <w:sz w:val="28"/>
          <w:szCs w:val="28"/>
          <w:rtl w:val="true"/>
          <w:lang w:bidi="ar-SA"/>
        </w:rPr>
        <w:t xml:space="preserve">الحيوانية حتى القوى الدرّاكة انعدم تلك القوّة أيضا ؛ ولذا ترى أنّ الهرم وزيادة الطعن في السنّ يذهب بالسامعة والباصرة والمدركة وغيرها من القوى ، بحيث لا يبصر ولا يسمع ولا يفهم شيئا ، كما أخبر اللّه تعالى به في محكم كتابه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وَمِنْكُمْ مَنْ يُرَدُّ إِلى أَرْذَلِ الْعُمُرِ لِكَيْ لا يَعْلَمَ بَعْدَ عِلْمٍ شَيْئاً </w:t>
      </w:r>
      <w:r>
        <w:rPr>
          <w:rFonts w:eastAsia="Amiri" w:cs="Amiri" w:ascii="Amiri" w:hAnsi="Amiri"/>
          <w:color w:val="111111"/>
          <w:sz w:val="28"/>
          <w:szCs w:val="28"/>
          <w:rtl w:val="true"/>
          <w:lang w:bidi="ar-SA"/>
        </w:rPr>
        <w:t xml:space="preserve">... )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المولى البهبهاني رحمه‌اللّه </w:t>
      </w:r>
      <w:r>
        <w:rPr>
          <w:rStyle w:val="FootnoteAnchor"/>
          <w:rtl w:val="true"/>
        </w:rPr>
        <w:footnoteReference w:id="1433"/>
      </w:r>
      <w:r>
        <w:rPr>
          <w:rFonts w:ascii="Amiri" w:hAnsi="Amiri" w:eastAsia="Amiri" w:cs="Amiri"/>
          <w:color w:val="111111"/>
          <w:sz w:val="28"/>
          <w:sz w:val="28"/>
          <w:szCs w:val="28"/>
          <w:rtl w:val="true"/>
          <w:lang w:bidi="ar-SA"/>
        </w:rPr>
        <w:t xml:space="preserve">على زوال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حكي عنه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بالبداهة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الظنّ إنّما هو الصورة الحاصلة في ذهنه ، فحين الشدّة والاضطراب حالة النزع لا تبقى تلك الصورة قط ، بل وحين النسيان والغفلة أيضا ، فما ظنّك بما بعد الموت حيث صار الذهن جمادا لا حسّ فيه</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الاستدلال مبنيّ على كون الظنّ جزءا من الأجزاء البدنيّة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واضح وإنّما الذي نتعقله ويساعد عليه الوجدان ، بل البرهان أيضا ، هو الذي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قوّة من قوى الحيوان الناطق يدرك بها الأشياء النظرية ، وبه قوامها وتعيّنها بالحياة ، وبقاء تركيب الأخلاط الأربعة في هذا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ذلك ، أنّه قد تقرّر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لكلّ خلط من الأخلاط الأربعة أثر في النفس الناطقة ، مثل أنّ أثر الصفراء هو الإدراك وسرعة الانتقال وجودة الذهن ، وأثر البلغم هو البلادة وسوء الفهم وبطء الانتقال ، وأثر الدم هو الشهوة والغضب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هذه الآثار إنّما تظهر من الأخلاط الأربعة في حال الحياة ، فإنّ الموت عبارة عن فناء هذه الأخلاط كلّها في البدن وتجرّد النفس وخروجها عن الجسمانيات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خفاء ولا إشكال عند المحقّقين ، مثل المير </w:t>
      </w:r>
      <w:r>
        <w:rPr>
          <w:rStyle w:val="FootnoteAnchor"/>
          <w:rtl w:val="true"/>
        </w:rPr>
        <w:footnoteReference w:id="1434"/>
      </w:r>
      <w:r>
        <w:rPr>
          <w:rFonts w:ascii="Amiri" w:hAnsi="Amiri" w:eastAsia="Amiri" w:cs="Amiri"/>
          <w:color w:val="111111"/>
          <w:sz w:val="28"/>
          <w:sz w:val="28"/>
          <w:szCs w:val="28"/>
          <w:rtl w:val="true"/>
          <w:lang w:bidi="ar-SA"/>
        </w:rPr>
        <w:t xml:space="preserve">والثانيين </w:t>
      </w:r>
      <w:r>
        <w:rPr>
          <w:rStyle w:val="FootnoteAnchor"/>
          <w:rtl w:val="true"/>
        </w:rPr>
        <w:footnoteReference w:id="1435"/>
      </w:r>
      <w:r>
        <w:rPr>
          <w:rFonts w:ascii="Amiri" w:hAnsi="Amiri" w:eastAsia="Amiri" w:cs="Amiri"/>
          <w:color w:val="111111"/>
          <w:sz w:val="28"/>
          <w:sz w:val="28"/>
          <w:szCs w:val="28"/>
          <w:rtl w:val="true"/>
          <w:lang w:bidi="ar-SA"/>
        </w:rPr>
        <w:t xml:space="preserve">وأمثالهم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الموت يوجب زوال الظن ، وأنّه من الأعراض المشروطة بالحياة ، فدعوى بقائه بعد الموت واهية لا ينبغي الالتفات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وزعم صاحب الفصول </w:t>
      </w:r>
      <w:r>
        <w:rPr>
          <w:rStyle w:val="FootnoteAnchor"/>
          <w:rtl w:val="true"/>
        </w:rPr>
        <w:footnoteReference w:id="1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وفاقا لبعض من تقدّمه </w:t>
      </w:r>
      <w:r>
        <w:rPr>
          <w:rStyle w:val="FootnoteAnchor"/>
          <w:rtl w:val="true"/>
        </w:rPr>
        <w:footnoteReference w:id="143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سبب زوال الظن إنّما هو انكشاف حقائق الامور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عن قيام دليل قاطع على ذلك قبل قيام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قد عرفت أنّ زوال الظنّ ليس لأجل انكشاف الواقع وانقلابه بالعلم ، بل لأجل فناء محلّه الذي هو الذهن المتقوّم بتركيب الأخلاط والقوى في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انكشاف الأشياء عند النفس بعد الموت وعدمه فهو مقام آخر لا يتوقّف على أحد الطرفين بفوت المطلوب ، لأنّا لو لم نقل بالانكشاف لقلنا بزوال الظنّ أيضا ، لما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زوال الظنون وانكشاف واقع الأحكام للمجتهد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الاعتقاد الراجح المحقّق في ضمن الظن ممّا يمكن بقاؤه بموافقة العلم الطارئ فيستصحب بقاؤه ، لعدم القطع بزواله ، إذ التقدير تجويز موافقة علمه لظنه وزوال تجويز النقيض </w:t>
      </w:r>
      <w:r>
        <w:rPr>
          <w:rStyle w:val="FootnoteAnchor"/>
          <w:rtl w:val="true"/>
        </w:rPr>
        <w:footnoteReference w:id="143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 لا ملازمة بين زوال الظن بعد الموت وانكشاف الوقائع ،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قد زال قطعا ؛ لما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وحصول الاعتقاد الجديد الذي حصل له بعد الموت على فرض كونه موافقا للظن بحكم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حجّيته في مثل المقام ، مع أنّ الاعتقاد الظنّي والاعتقاد الجزمي مرتبتان متضادّتان مختلفتان ، والأول قد ارتفع جدّا ، والثاني حادث جديد ، وإجراء الاستصحاب فيه مبنيّ على المسامحة وعدم التدقيق في البقاء والحدوث كما في استصحاب الألوان الضعيفة مع القطع بتكاملها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Style w:val="FootnoteAnchor"/>
          <w:rtl w:val="true"/>
        </w:rPr>
        <w:footnoteReference w:id="1439"/>
      </w:r>
      <w:r>
        <w:rPr>
          <w:rFonts w:ascii="Amiri" w:hAnsi="Amiri" w:eastAsia="Amiri" w:cs="Amiri"/>
          <w:color w:val="111111"/>
          <w:sz w:val="28"/>
          <w:sz w:val="28"/>
          <w:szCs w:val="28"/>
          <w:rtl w:val="true"/>
          <w:lang w:bidi="ar-SA"/>
        </w:rPr>
        <w:t xml:space="preserve">انقلابها إلى حالة الشدة على فرض بقائها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 نشأ لا عن دليل ؛ لأنّ اعتقادات الموتى وعلومهم تحصل بالمكاشفة والشهود ، ولم يقم دليل على أنّ جواز التقليد حكم من أحكام هذا النحو من الاعتقاد الخارج عن عالم الاجتهاد ، وقد تقرّر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استصحاب الموضوعات الغير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كالحياة والعلم والظنّ ونحوهما ، إنّما هي عبارة عن إجراء أحكامها الشرعيّة عليها التي يعلم ثبوتها لها على فرض بقائها ، كحرمة نكاح الزوجة على فرض حياة بعلها مثلا ، فحيث كان المستصحب على فرض بقائه ممّا لم يقم دليل شرعيّ على ترتيب الحكم عليه ، لم يكن فائدة في استصحابها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فبعد اللتيا والتي صار نتيجة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الاعتقاد الظنّي الحاصل للمجتهد في حال الحياة قد تكامل بالموت وبلغ حدّ الجزم ؛ بحكم الاستصحاب</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ذلك لا يتمّ به المدّعى ، بل لا بدّ أن يكون دليل دلّ على أنّ جواز التقليد حكم من أحكام الاعتقاد الراجح ، كسبيّا كان أو كشفيّا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إثبات بقاء الاعتقاد بعد الموت ليترتّب عليه حكمه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في ردّ الاستصحاب الذي يتمسّك به المجوّزون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الدليل مفقود ، وحينئذ فلا ينفع استصحاب بقاء الاعتقاد الراجح بعد الموت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هنا ينقدح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يضرّنا الاعتراف ببقاء الظنّ نفسه من دون تكامل وتقلّب بالقطع أيضا ، وإن كان بناء أهل الاستدلال على الزوال ؛ ولعلّه لأجل معلوميّة ذلك عند المستدلّ بحيث لم يخطر بباله أنّ عاقلا يذهب إلى بقاء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الدلائل الظنّية حجّيتها إنّما هي باعتبار الظنّ الحاصل منها للمجتهد الحي ، لكنّه لا يخلو عن مصادرة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 الثاني </w:t>
      </w:r>
      <w:r>
        <w:rPr>
          <w:rStyle w:val="FootnoteAnchor"/>
          <w:rtl w:val="true"/>
        </w:rPr>
        <w:footnoteReference w:id="1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مناط الحجّية إذا كان هو الظنّ كان الحكم يدور مداره ؛ لأنّه يقع وسطا لقياس نتيجته القطعيّة المطلوبة ، ومن الواضح المقرر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الاستنتاج يحتاج إلى ثبوت الملازمة بين النتيجة وبين الوسط بحيث يلزم من وجود أحدهما وجود الآخر ومن انتفائه انتفاؤه</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ما كان بينه وبين مدلوله ملازمة واقعية بحيث يلزم من العلم به العلم به ، وهذا في غير الأدلّة الشرعيّة واضح ، وأمّا فيها ففي القطعيات منها أيضا لا إشكال في ثبوت الملازمة بينها وبين نتائجها واقعا ، وأمّا الظنّيات ، كخبر الواحد والشهرة وأمثالها ، فهي في أنفسها ليست من الأدلّة حقيقة ؛ لانتفاء الملازمة بينها وبين المطلوب منها ؛ لكنّها بملاحظة الدليل الثانوي الدالّ على حجيتها من العقل أو النقل صارت حجّة شرعيّة ، إمّا تعبّدا أو باعتبار ما فيها من الظنّ الذي يحصل للمجتهد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صيرورتها حجّة دوران النتيجة معها على قياس دوران المطلوب مدار الحدّ الوسط في سائر القياسات مثل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متعفّن الأخلاط ، وكلّ متعفّن الأخلاط محموم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الحكم بالحمّى في زيد يتوقّف على بقاء تعفّن الأخلاط ، كذلك الحكم بحرمة ما ظنّه المجتهد </w:t>
      </w:r>
    </w:p>
    <w:p>
      <w:pPr>
        <w:pStyle w:val="BookText"/>
        <w:rPr/>
      </w:pPr>
      <w:r>
        <w:rPr>
          <w:rFonts w:ascii="Amiri" w:hAnsi="Amiri" w:eastAsia="Amiri" w:cs="Amiri"/>
          <w:color w:val="111111"/>
          <w:sz w:val="28"/>
          <w:sz w:val="28"/>
          <w:szCs w:val="28"/>
          <w:rtl w:val="true"/>
          <w:lang w:bidi="ar-SA"/>
        </w:rPr>
        <w:t xml:space="preserve">واعتقده باجتهاده حراما يتوقّف على بقاء الظن ؛ لأنّه بمنزلة تعفّن الأخلاط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مظنون الحرمة ، وكلّ مظنون الحرمة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كلام في أنّ الحجّة عبارة عن الوسط الذي يستلزم المطلوب وجودا وعدما ، وإنّما الكلام في أنّ ذلك الوسط ما ذا؟ وأنت تدّعي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الظنّ المستمرّ إلى آن الحكم ، 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تعلّق الظنّ بالحكم في الجملة ، ونقول فيما إذا زال الظنّ بعد أن كان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ممّا تعلّق بحرمته ظنّ المجتهد قبل ، وكلّ ما كان كذلك فهو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والصغرى معلومة والكبرى يستدلّ عليها بما يستدلّ به على كبرى دليلك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هو مظنون الحرمة بالظنّ الفعلي فهو حرام ؛ إذ لا فرق بين قولنا وقولك إلاّ أنّك تدّعي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ظنّ المجتهد وإخبار العدل مثلا علّة لحدوث حكم اللّه الثانوي وبقائه ، فيرتفع بارتفاعه ، ونحن ندّعي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علّة للحدوث خاصّة ، وأمّا البقاء ، فلا يكفي أصل حدوث الظنّ آناً ما في بقاء الحكم الثانوي ، فإن طالبتني بدليل لأطالبنّك به ، 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بعد زوال الظنّ بالموت يبقى خاليا عن السند ، مصادرة واضحة كما قاله المعترض</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على كبرى قياسنا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على بقاء اشتراط الظن مثلا في بقاء الحكم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الدليل على أزيد من ذلك ، كما ستعرف في قدح مدارك التقليد ؛ لأنّك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بالحرمة مثلا غير مستلزم لها في ذاته ، والقدر الثابت من الملازمة الشرعيّة التي دعتنا إلى الاستدلال بها على الحكم الثانوي إنّما هي بينه وبين الظنّ بالحكم الأوّلي فعلا ، ومن ادّعى ثبوتها بينه وبين الظنّ بحكم اللّه الواقعي الأوّلي في أحد الأزمنة فهو مطالب بالدليل ؛ لأنّ كلامنا مبنيّ على الأخذ بالقدر المتيقّن فيما هو مخالف للأصل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هنا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الاعتراض الثاني ليس من آداب المناظرة ؛ لأنّ مطالبة الدليل من المنكر مع عدم إقامة الحجّة على الإثبات خروج عن قاعدة الاعتراض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أن يناقش على </w:t>
      </w:r>
      <w:r>
        <w:rPr>
          <w:rStyle w:val="FootnoteAnchor"/>
          <w:rtl w:val="true"/>
        </w:rPr>
        <w:footnoteReference w:id="1441"/>
      </w:r>
      <w:r>
        <w:rPr>
          <w:rFonts w:ascii="Amiri" w:hAnsi="Amiri" w:eastAsia="Amiri" w:cs="Amiri"/>
          <w:color w:val="111111"/>
          <w:sz w:val="28"/>
          <w:sz w:val="28"/>
          <w:szCs w:val="28"/>
          <w:rtl w:val="true"/>
          <w:lang w:bidi="ar-SA"/>
        </w:rPr>
        <w:t xml:space="preserve">الدليل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تماميّته تتوقّف حينئذ على إعمال الأصل في المسألة ، فلا يكون استدلالا مع الإغماض عنه ، كما هو الشأن في كلّ مقام يجمع فيه بين الاستدلال بالأصل والدليل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Style w:val="FootnoteAnchor"/>
          <w:rtl w:val="true"/>
        </w:rPr>
        <w:footnoteReference w:id="1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w:t>
      </w:r>
      <w:r>
        <w:rPr>
          <w:rStyle w:val="FootnoteAnchor"/>
          <w:rtl w:val="true"/>
        </w:rPr>
        <w:footnoteReference w:id="1443"/>
      </w:r>
      <w:r>
        <w:rPr>
          <w:rFonts w:ascii="Amiri" w:hAnsi="Amiri" w:eastAsia="Amiri" w:cs="Amiri"/>
          <w:color w:val="111111"/>
          <w:sz w:val="28"/>
          <w:sz w:val="28"/>
          <w:szCs w:val="28"/>
          <w:rtl w:val="true"/>
          <w:lang w:bidi="ar-SA"/>
        </w:rPr>
        <w:t xml:space="preserve">والشهيد </w:t>
      </w:r>
      <w:r>
        <w:rPr>
          <w:rStyle w:val="FootnoteAnchor"/>
          <w:rtl w:val="true"/>
        </w:rPr>
        <w:footnoteReference w:id="1444"/>
      </w:r>
      <w:r>
        <w:rPr>
          <w:rFonts w:ascii="Amiri" w:hAnsi="Amiri" w:eastAsia="Amiri" w:cs="Amiri"/>
          <w:color w:val="111111"/>
          <w:sz w:val="28"/>
          <w:sz w:val="28"/>
          <w:szCs w:val="28"/>
          <w:rtl w:val="true"/>
          <w:lang w:bidi="ar-SA"/>
        </w:rPr>
        <w:t xml:space="preserve">الثانيان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جاز العمل بفتوى الفقيه بعد موته لامتنع في زماننا الإجماع على وجوب تقليد الأعلم والأورع من المجتهدين ، والوقوف بالنسبة إلى الأعصار الماضية في هذا العصر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الدليل بعين عباراته نقل </w:t>
      </w:r>
      <w:r>
        <w:rPr>
          <w:rStyle w:val="FootnoteAnchor"/>
          <w:rtl w:val="true"/>
        </w:rPr>
        <w:footnoteReference w:id="1445"/>
      </w:r>
      <w:r>
        <w:rPr>
          <w:rFonts w:ascii="Amiri" w:hAnsi="Amiri" w:eastAsia="Amiri" w:cs="Amiri"/>
          <w:color w:val="111111"/>
          <w:sz w:val="28"/>
          <w:sz w:val="28"/>
          <w:szCs w:val="28"/>
          <w:rtl w:val="true"/>
          <w:lang w:bidi="ar-SA"/>
        </w:rPr>
        <w:t xml:space="preserve">أيضا عن المحقّق المزبور ، والظاهر بل المتعيّن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الفقير المضطر امتنع أن يرجع إلى العمل بفتوى الميّت دون مطلق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الملازمة على فرض واقعيّة الإجماع الذي ادعاه واضح ؛ لأنّ تقليد الميّت مشروط بأعلميّته ، ولا سبيل للمكلّف إلى العلم</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المناقشة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بإمكان تحصيل العلم بالأعلميّة والأورعيّة </w:t>
      </w:r>
    </w:p>
    <w:p>
      <w:pPr>
        <w:pStyle w:val="BookText"/>
        <w:rPr/>
      </w:pPr>
      <w:r>
        <w:rPr>
          <w:rFonts w:ascii="Amiri" w:hAnsi="Amiri" w:eastAsia="Amiri" w:cs="Amiri"/>
          <w:color w:val="111111"/>
          <w:sz w:val="28"/>
          <w:sz w:val="28"/>
          <w:szCs w:val="28"/>
          <w:rtl w:val="true"/>
          <w:lang w:bidi="ar-SA"/>
        </w:rPr>
        <w:t xml:space="preserve">بالرجوع إلى الكتب والتصانيف الباقية ، كما في الوافية </w:t>
      </w:r>
      <w:r>
        <w:rPr>
          <w:rStyle w:val="FootnoteAnchor"/>
          <w:rtl w:val="true"/>
        </w:rPr>
        <w:footnoteReference w:id="1446"/>
      </w:r>
      <w:r>
        <w:rPr>
          <w:rFonts w:ascii="Amiri" w:hAnsi="Amiri" w:eastAsia="Amiri" w:cs="Amiri"/>
          <w:color w:val="111111"/>
          <w:sz w:val="28"/>
          <w:sz w:val="28"/>
          <w:szCs w:val="28"/>
          <w:rtl w:val="true"/>
          <w:lang w:bidi="ar-SA"/>
        </w:rPr>
        <w:t xml:space="preserve">وتبعه غيره </w:t>
      </w:r>
      <w:r>
        <w:rPr>
          <w:rStyle w:val="FootnoteAnchor"/>
          <w:rtl w:val="true"/>
        </w:rPr>
        <w:footnoteReference w:id="1447"/>
      </w:r>
      <w:r>
        <w:rPr>
          <w:rFonts w:ascii="Amiri" w:hAnsi="Amiri" w:eastAsia="Amiri" w:cs="Amiri"/>
          <w:color w:val="111111"/>
          <w:sz w:val="28"/>
          <w:sz w:val="28"/>
          <w:szCs w:val="28"/>
          <w:rtl w:val="true"/>
          <w:lang w:bidi="ar-SA"/>
        </w:rPr>
        <w:t xml:space="preserve">؛ لأنّ الكتب والتصانيف كثيرا ما تقصر عن كشف مقدار فضيلة </w:t>
      </w:r>
      <w:r>
        <w:rPr>
          <w:rStyle w:val="FootnoteAnchor"/>
          <w:rtl w:val="true"/>
        </w:rPr>
        <w:footnoteReference w:id="1448"/>
      </w:r>
      <w:r>
        <w:rPr>
          <w:rFonts w:ascii="Amiri" w:hAnsi="Amiri" w:eastAsia="Amiri" w:cs="Amiri"/>
          <w:color w:val="111111"/>
          <w:sz w:val="28"/>
          <w:sz w:val="28"/>
          <w:szCs w:val="28"/>
          <w:rtl w:val="true"/>
          <w:lang w:bidi="ar-SA"/>
        </w:rPr>
        <w:t>، ونحن قد رأينا فضل المصنّف على مصنّفه في زماننا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بالإجماع المزبور على المدّعى بعكس طريقة الاستدلال المذكور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تربية الزمان مثل بعض الأموات الأعلام ، كالشيخ والمرتضى والعلاّمة والشهيد والكركي وأمثالهم من أجلاّء أهل التحقيق وكشف دقائق الفقه ودرك خفيّاته في كلّ عصر نادر ، بل معدوم ، فلو جاز تقليد الميّت وجب الاقتصار على فتاويهم ، وينسدّ باب الفتوى بين الأحياء له كما في ما بين العامة ، وهذا ممّا يمكن بالحدس الصائب القطع بعدم رضا صاحب الشريعة به ، وربما يكون في استقرار طريقة الخاصة على الاجتهاد دلالة واضحة على عدم الاعتداد بقول الميّت كائنا من كان ، فإنّ هذا ليس من مجرّد فضيلة الاجتهاد من دون مساس حاجة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بالفتوى المتأخّرة عند تعدّدها واختلافها واجب بالإجماع ، ولا يتميّز في الميّت فتواه الأول عن الأخيرة</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الدليل أيضا منقول </w:t>
      </w:r>
      <w:r>
        <w:rPr>
          <w:rStyle w:val="FootnoteAnchor"/>
          <w:rtl w:val="true"/>
        </w:rPr>
        <w:footnoteReference w:id="1449"/>
      </w:r>
      <w:r>
        <w:rPr>
          <w:rFonts w:ascii="Amiri" w:hAnsi="Amiri" w:eastAsia="Amiri" w:cs="Amiri"/>
          <w:color w:val="111111"/>
          <w:sz w:val="28"/>
          <w:sz w:val="28"/>
          <w:szCs w:val="28"/>
          <w:rtl w:val="true"/>
          <w:lang w:bidi="ar-SA"/>
        </w:rPr>
        <w:t xml:space="preserve">عن المحقّق ، وأجاب عنه صاحب الوافية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بأنّه يمكن العلم بتقديم الفتوى وتأخّره في الميّت من كتبه وأنّه لا يتمّ إلاّ في ميّت تغيّر فتواه في مسألة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اجتهاد الحي أقرب إلى الواقع عن اجتهاد الميّت ؛ لأنّ الحي يقف غالبا على فتوى الميّت وعلى ما هو مستنده فيها ، فإذا أفتى بخلافها علم أنّه قد بلغ نظره إلى ما لم يكن قد بلغ إليه نظر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الرجوع من الخطأ إلى الصواب ممكن في حقّ الحي دون الميّت ؛ فيكون الأخذ بقول الحي أوثق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الأوّل كون الميّت أفضل وأحوط من الحي بالمدارك ، كما توهّم ؛ لأنّ أثر الفضل إنّما يظهر في الإمكان الابتدائية ، فيمكن ظهور خطئه في الاستدلال للمفضول ولو من جهة الإصابة بالمعارض الذي خفي على 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قيل </w:t>
      </w:r>
      <w:r>
        <w:rPr>
          <w:rStyle w:val="FootnoteAnchor"/>
          <w:rtl w:val="true"/>
        </w:rPr>
        <w:footnoteReference w:id="1451"/>
      </w:r>
      <w:r>
        <w:rPr>
          <w:rFonts w:ascii="Amiri" w:hAnsi="Amiri" w:eastAsia="Amiri" w:cs="Amiri"/>
          <w:color w:val="111111"/>
          <w:sz w:val="28"/>
          <w:sz w:val="28"/>
          <w:szCs w:val="28"/>
          <w:rtl w:val="true"/>
          <w:lang w:bidi="ar-SA"/>
        </w:rPr>
        <w:t xml:space="preserve">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الرجوع من الفتوى قد يكون من الحقّ إلى الباطل ، وهذا الباب مسدود في حق الأموات بخلاف الأحياء فلا يكون في إمكان الرجوع دلالة على أقربية القول عن الواقع إذا لم يرجع ؛ لأنّ عدم الرجوع مع إمكانه إنّما يقتضي تأكّد الظن بالواقع إذ كان الرجوع دائما عن الخطأ إلى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يمكن أن يتعاكس الأمر لم يكن فيه زيادة ظن ، فيمكن الجواب عنه </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المدار على ما هو الغالب في رجوع المجتهدين ، ولا ريب أنّ أغلب موارد الرجوع رجوع عن الباطل ، وأمّا الرجوع عن الحق ففي غاية القلّة فليتأمّل</w:t>
      </w:r>
      <w:r>
        <w:rPr>
          <w:rFonts w:eastAsia="Amiri" w:cs="Amiri" w:ascii="Amiri" w:hAnsi="Amiri"/>
          <w:color w:val="111111"/>
          <w:sz w:val="28"/>
          <w:szCs w:val="28"/>
          <w:rtl w:val="true"/>
          <w:lang w:bidi="ar-SA"/>
        </w:rPr>
        <w:t xml:space="preserve">. </w:t>
      </w:r>
      <w:bookmarkStart w:id="383" w:name="pg16264_169889"/>
    </w:p>
    <w:p>
      <w:pPr>
        <w:pStyle w:val="BookText"/>
        <w:rPr/>
      </w:pPr>
      <w:bookmarkEnd w:id="383"/>
      <w:r>
        <w:rPr>
          <w:rFonts w:ascii="Amiri" w:hAnsi="Amiri" w:eastAsia="Amiri" w:cs="Amiri"/>
          <w:color w:val="111111"/>
          <w:sz w:val="28"/>
          <w:sz w:val="28"/>
          <w:szCs w:val="28"/>
          <w:rtl w:val="true"/>
          <w:lang w:bidi="ar-SA"/>
        </w:rPr>
        <w:t>وقد استدل على المطلوب بوجوه أخر أعرضنا عن ذكرها ؛ لعدم اعتمادنا في إثبات المدعى على غير الأوّلين من الأصل والإجماعات المعتضدة بظهور الاتفاق ، ولابتنائها على أنّ الموت يوجب زوال الظن وقد عرفت الكلام في ذلك ، وأنّه لا بدّ وأن يرجع فيه بالأخرة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تحقّق وتبيّن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عدم تماميّة حجج القول بالمنع لا يثبت دعوى المجوّزين أيضا إلاّ باقامة ما يعتمد عليه من الدليل</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4588774_1280447820"/>
      <w:bookmarkStart w:id="385" w:name="_Toc119"/>
      <w:bookmarkEnd w:id="384"/>
      <w:r>
        <w:rPr>
          <w:rtl w:val="true"/>
        </w:rPr>
        <w:t xml:space="preserve">[ </w:t>
      </w:r>
      <w:r>
        <w:rPr>
          <w:rtl w:val="true"/>
        </w:rPr>
        <w:t xml:space="preserve">وجوه القول بجواز تقليد الميّت ومناقشتها </w:t>
      </w:r>
      <w:r>
        <w:rPr>
          <w:rtl w:val="true"/>
        </w:rPr>
        <w:t>] :</w:t>
      </w:r>
      <w:bookmarkEnd w:id="385"/>
    </w:p>
    <w:p>
      <w:pPr>
        <w:pStyle w:val="BookText"/>
        <w:rPr/>
      </w:pPr>
      <w:r>
        <w:rPr>
          <w:rFonts w:ascii="Amiri" w:hAnsi="Amiri" w:eastAsia="Amiri" w:cs="Amiri"/>
          <w:color w:val="111111"/>
          <w:sz w:val="28"/>
          <w:sz w:val="28"/>
          <w:szCs w:val="28"/>
          <w:rtl w:val="true"/>
          <w:lang w:bidi="ar-SA"/>
        </w:rPr>
        <w:t xml:space="preserve">وللقول بالجواز أيضا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 والإجماع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يجز تقليد الميّت لما أجمعوا على النقل إلى السلف ، وعلى وضع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فائدة في هذين إلاّ العمل بأقوال السلف والاعتماد عليها في العبادات والمعاملات ، وليس هذا إلاّ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كون الراجعين إلى كتبهم هم العلماء ؛ فإنّ العمل بقول الموتى على تقدير حرمته يساوي فيه العامي والعالم</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كثير البلاد وكثير الأزمنة فاقدة للمجتهد الحي ، فلولا جاز العمل بقول الميّت لزم العسر والحرج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وضعف هذين الوجهين ظاهر وجوابهما واضح ، ولقد أطال الكلام المولى البهبهاني </w:t>
      </w:r>
      <w:r>
        <w:rPr>
          <w:rStyle w:val="FootnoteAnchor"/>
          <w:rtl w:val="true"/>
        </w:rPr>
        <w:footnoteReference w:id="1453"/>
      </w:r>
      <w:r>
        <w:rPr>
          <w:rFonts w:ascii="Amiri" w:hAnsi="Amiri" w:eastAsia="Amiri" w:cs="Amiri"/>
          <w:color w:val="111111"/>
          <w:sz w:val="28"/>
          <w:sz w:val="28"/>
          <w:szCs w:val="28"/>
          <w:rtl w:val="true"/>
          <w:lang w:bidi="ar-SA"/>
        </w:rPr>
        <w:t>في تزييفهما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إطالة الكلام في بقيّة الأدلّة أحسن منها فيهما ؛ لأنّ الرجوع إلى كتب السلف ليس للعمل بأقوالهم تعبّدا ، بل للاستعانة على فهم مدرك المسألة ، وأيّ نفع أعظم من ذلك؟ وأمّا لزوم العسر والحرج على تقدير الاقتصار على فتوى الأحياء فمنه </w:t>
      </w:r>
      <w:r>
        <w:rPr>
          <w:rStyle w:val="FootnoteAnchor"/>
          <w:rtl w:val="true"/>
        </w:rPr>
        <w:footnoteReference w:id="1454"/>
      </w:r>
      <w:r>
        <w:rPr>
          <w:rFonts w:ascii="Amiri" w:hAnsi="Amiri" w:eastAsia="Amiri" w:cs="Amiri"/>
          <w:color w:val="111111"/>
          <w:sz w:val="28"/>
          <w:sz w:val="28"/>
          <w:szCs w:val="28"/>
          <w:rtl w:val="true"/>
          <w:lang w:bidi="ar-SA"/>
        </w:rPr>
        <w:t>في غاية الوضوح ، وعلى فرض لزومهما أحيانا لا يقتضي فتح باب تقليد الأموات مطلقا بل يتقدّر بقدره كما هو الشأن في سائر الأحكام والتكاليف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ويقرر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بالنسبة إلى حال الفتوى ، واخرى بالنسبة إلى حال المفتي ، وثالثة بالنسبة إلى حال المستفتي لأنّ المجتهد في حال حياته كانت فتواه معتبرة وجائز التقليد فيها ، وكان هو ممّن يجوّز تقليده والأخذ منه ، وكان المقلّد ممن يصح له الاعتماد على قوله في عباداته ومعاملاته ، ويقتضي الاستصحاب بقاء الأحكام الثلاثة كلها إلى حال الموت ؛ للشك في ارتفاعها بالموت بعد القطع بثبوتها حال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الاستصحابات يرجع بعضها إلى بعض يفيد كلّ واحد مفاد الباقي ؛ لأنّ الاستصحاب الثاني الراجع إلى حال المفتي ربما توهّم أنّه لا يفيد كون المفتي ممّن لا يجوز العمل بقوله إلاّ في حقّ من عاصره ؛ لامتناع تحقّق الجواز في حقّ المعدومين ، فيمتنع الاستصحاب لتعدّد الموضوع</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أهليّة المفتي لجواز العمل بفتواه صفة ثابتة له ولو لم يوجد عامل فعلا فإنّه ينحلّ إلى قضيّة شرطيّة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دخل في عداد المكلّفين </w:t>
      </w:r>
    </w:p>
    <w:p>
      <w:pPr>
        <w:pStyle w:val="BookText"/>
        <w:rPr/>
      </w:pPr>
      <w:r>
        <w:rPr>
          <w:rFonts w:ascii="Amiri" w:hAnsi="Amiri" w:eastAsia="Amiri" w:cs="Amiri"/>
          <w:color w:val="111111"/>
          <w:sz w:val="28"/>
          <w:sz w:val="28"/>
          <w:szCs w:val="28"/>
          <w:rtl w:val="true"/>
          <w:lang w:bidi="ar-SA"/>
        </w:rPr>
        <w:t xml:space="preserve">بأحكام اللّه تعالى فله الأخذ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الشرطيّة لا يتوقّف على فعليّة الشرط ، وهذه الأهليّة كانت متيقّنة الوجود في حال الحياة ، فلا يصار عنها بالشك الطارئ بعد الموت</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فالجواب عنها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شرائط حجّية الاستصحاب أو جريانه </w:t>
      </w:r>
      <w:r>
        <w:rPr>
          <w:rStyle w:val="FootnoteAnchor"/>
          <w:rtl w:val="true"/>
        </w:rPr>
        <w:footnoteReference w:id="1455"/>
      </w:r>
      <w:r>
        <w:rPr>
          <w:rFonts w:ascii="Amiri" w:hAnsi="Amiri" w:eastAsia="Amiri" w:cs="Amiri"/>
          <w:color w:val="111111"/>
          <w:sz w:val="28"/>
          <w:sz w:val="28"/>
          <w:szCs w:val="28"/>
          <w:rtl w:val="true"/>
          <w:lang w:bidi="ar-SA"/>
        </w:rPr>
        <w:t xml:space="preserve">على ما قرّر في موضعه وإلاّ لزم الحكم بوجود العرض لا في موضوع ، وموضوع المستصحب في المقام ، أعني جواز التقليد ، قد بيّنا أنّه الظن الفعلي القائم بنفس المجتهد الذي لا شبهة في زواله بالموت ، ونزيد هنا في البيان على سبيل الإيجاز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مجاري الأدلّة الظنّية حكمان </w:t>
      </w:r>
      <w:r>
        <w:rPr>
          <w:rStyle w:val="FootnoteAnchor"/>
          <w:rtl w:val="true"/>
        </w:rPr>
        <w:footnoteReference w:id="1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واقعيّ تعلّق به ظن المجتهد ، ثابت للأشياء الواقعيّة كالخمر والعصير ونحوهما ، من غير مدخليّة ظنّ المجتهد فيها وإلاّ لزم التصويب ، وحكم ظاهريّ قطعيّ جاء من الدليل الدال على اعتبار ذلك الظن ، ثابت للأشياء الخارجيّة من غير تعلّق الظنّ بحكمها الواقعي ، وهو وجوب العمل بمؤدّى الظن ، فالحكم الواقعي الأوّلي موضوعه ذات العصير والخمر مثلا ، وأمّا موضوع الظاهري الثانوي فهو العصير لا من حيث ذاته ، بل من حيث كونه مما ظن بنجاسته المجتهد ، ولا ريب أنّ الناس من العوام والخواصّ من المجتهد والمقلّد إنّما يتعبّدون في موارد الأدلّة الظنّية بذلك الحكم الثانوي الذي موضوعه حقيقة ظنّ المجتهد ؛ لأنّ المفروض أنّ الحكم الأصلي الأوّلي ليس بمعلوم ، وإنّما ظنّ به المجتهد ببعض الأمارات ، والتعبّد بأمر غير معلوم غير معقول ، فكما أنّ مدار عمل المجتهد على </w:t>
      </w:r>
    </w:p>
    <w:p>
      <w:pPr>
        <w:pStyle w:val="BookText"/>
        <w:rPr/>
      </w:pPr>
      <w:r>
        <w:rPr>
          <w:rFonts w:ascii="Amiri" w:hAnsi="Amiri" w:eastAsia="Amiri" w:cs="Amiri"/>
          <w:color w:val="111111"/>
          <w:sz w:val="28"/>
          <w:sz w:val="28"/>
          <w:szCs w:val="28"/>
          <w:rtl w:val="true"/>
          <w:lang w:bidi="ar-SA"/>
        </w:rPr>
        <w:t>ظنّه ، كذلك مدار عمل المقلّد على ظنّ مجتهده ؛ إذ لا فرق بينهما في التعبّد بذلك الحكم الظاهري القطعي الذي موضوعه الظنّ إلاّ أنّ المقلّد يجب عليه الرجوع إلى المجتهد لمعرفة موضوع ذلك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نسلّم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المقلّد متعبّد بظنّ المجتهد ، وأنّ موضوع حكمه الثانوي إنّما هو الظنّ ، بل هو متعبّد بقوله وفتواه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إخباره عن حكم اللّه ، فيكون موضوع ذلك الحكم الثانوي هو قول المجتهد ، وهو لا يتغيّر ولا يتبدّل بموت القائل كالرواية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إذا فرض رجوع المجتهد عن قوله كان الموضوع منتفيا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كونه متعبّدا بظنّه ، لا نسلّم زوال الظنّ بعد الموت لإمكان بقائه ، بأن لا ينكشف له 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وانكشف وظهر جوابه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التعبّد بظنّ المجتهد أو بقوله كلاهما مخالفان للأصل محتاجان إلى الدليل ، وقد ذكرنا 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التعبّد بالظنّ ممّا لا كلام فيه ولا إشكال ، فيكون ثابتا من باب التعبّد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التعبّد بمجرّد القول والإخبار عن حكم اللّه ولو مع زوال الظنّ ، فلم يقم عليه دليل معتبر ؛ لأنّ أدلّة مشروعيّة التقليد غير وافية بذلك كما ستعرف</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ذكرت من إمكان بقاء الظنّ فنحن لا نتحاشى من ذلك ، ولكن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المقلّد متعبّد بظنّ المجتهد الحي دون الميّت ، ومن ادّعى أكثر من ذلك طولب بالدليل ، وأنّى له بذلك بعد عدم قيام دليل معتبر على مشروعيّة أصل التقليد سوى الإجماع والسيرة والضرورة التي لا يحصل منها أمر يرتفع منه الاشتباه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موضوع الحكم هو الظنّ القائم بنفس الحي ، فالأمر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انتفاء موضوع الحكم بالموت ، لكنّه ليس ممّا دلّ عليه قاطع </w:t>
      </w:r>
      <w:r>
        <w:rPr>
          <w:rStyle w:val="FootnoteAnchor"/>
          <w:rtl w:val="true"/>
        </w:rPr>
        <w:footnoteReference w:id="1457"/>
      </w:r>
      <w:r>
        <w:rPr>
          <w:rFonts w:ascii="Amiri" w:hAnsi="Amiri" w:eastAsia="Amiri" w:cs="Amiri"/>
          <w:color w:val="111111"/>
          <w:sz w:val="28"/>
          <w:sz w:val="28"/>
          <w:szCs w:val="28"/>
          <w:rtl w:val="true"/>
          <w:lang w:bidi="ar-SA"/>
        </w:rPr>
        <w:t>سوى الأصل ، ومن المحتمل أن يكون الموضوع مطلق الظنّ إذا قلنا ببقائه بعد الموت أو بمجرّد القول ، فيبقى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والمانع عن جريان الاستصحاب إنّما هو القطع بزواله ، فلا مانع من جريانه عند الشكّ في البقاء ، فإنّ الاستصحاب يحكم بوجوده ، وقد أشار صاحب الوافية </w:t>
      </w:r>
      <w:r>
        <w:rPr>
          <w:rStyle w:val="FootnoteAnchor"/>
          <w:rtl w:val="true"/>
        </w:rPr>
        <w:footnoteReference w:id="1458"/>
      </w:r>
      <w:r>
        <w:rPr>
          <w:rFonts w:ascii="Amiri" w:hAnsi="Amiri" w:eastAsia="Amiri" w:cs="Amiri"/>
          <w:color w:val="111111"/>
          <w:sz w:val="28"/>
          <w:sz w:val="28"/>
          <w:szCs w:val="28"/>
          <w:rtl w:val="true"/>
          <w:lang w:bidi="ar-SA"/>
        </w:rPr>
        <w:t xml:space="preserve">إلى هذا الكلام في جواب المير </w:t>
      </w:r>
      <w:r>
        <w:rPr>
          <w:rStyle w:val="FootnoteAnchor"/>
          <w:rtl w:val="true"/>
        </w:rPr>
        <w:footnoteReference w:id="1459"/>
      </w:r>
      <w:r>
        <w:rPr>
          <w:rFonts w:ascii="Amiri" w:hAnsi="Amiri" w:eastAsia="Amiri" w:cs="Amiri"/>
          <w:color w:val="111111"/>
          <w:sz w:val="28"/>
          <w:sz w:val="28"/>
          <w:szCs w:val="28"/>
          <w:rtl w:val="true"/>
          <w:lang w:bidi="ar-SA"/>
        </w:rPr>
        <w:t>، حيث منع من استصحاب جواز التقليد باعتبار 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الدليل على أنّ التقليد عبارة عن التعبّد بقول الحي موجود ، وهو ظاهر كلّ ما جعلوه دليلا على مشروعيّة التقليد من الكتاب والسنّة ؛ فإنّ الظاهر منها حجيّة قول الحي ؛ ولذا تمسّك بعض </w:t>
      </w:r>
      <w:r>
        <w:rPr>
          <w:rStyle w:val="FootnoteAnchor"/>
          <w:rtl w:val="true"/>
        </w:rPr>
        <w:footnoteReference w:id="1460"/>
      </w:r>
      <w:r>
        <w:rPr>
          <w:rFonts w:ascii="Amiri" w:hAnsi="Amiri" w:eastAsia="Amiri" w:cs="Amiri"/>
          <w:color w:val="111111"/>
          <w:sz w:val="28"/>
          <w:sz w:val="28"/>
          <w:szCs w:val="28"/>
          <w:rtl w:val="true"/>
          <w:lang w:bidi="ar-SA"/>
        </w:rPr>
        <w:t>بآية السؤال على عدم جواز تقليد الميت</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ثبت في محلّه أنّه إذا شكّ في موضوع الحكم ولم يظهر من دليله ما يدور الحكم مداره امتنع استصحاب ذلك الحكم عند زوال ما يتحمّل كونه موضوعا أو اعتباره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متى حصل الشكّ في موضوع الحكم لم يعلم كون الحكم السابق الذي يراد استصحابه ما ذا ، والاستصحاب عبارة عن انسحاب اليقين السابق ، أي ما تيقّن به سابقا إلى زمان </w:t>
      </w:r>
    </w:p>
    <w:p>
      <w:pPr>
        <w:pStyle w:val="BookText"/>
        <w:rPr/>
      </w:pPr>
      <w:r>
        <w:rPr>
          <w:rFonts w:ascii="Amiri" w:hAnsi="Amiri" w:eastAsia="Amiri" w:cs="Amiri"/>
          <w:color w:val="111111"/>
          <w:sz w:val="28"/>
          <w:sz w:val="28"/>
          <w:szCs w:val="28"/>
          <w:rtl w:val="true"/>
          <w:lang w:bidi="ar-SA"/>
        </w:rPr>
        <w:t xml:space="preserve">الشك ، وإذا لم يحصل اليقين بالحكم السابق ولم يعلم أنّ القضيّة المتيقّنة ما ذا فلا مجرى للاستصحاب على ما هو التحقيق ، فلو شككنا مثلا في أنّ موضوع النجاسة هل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التغيّر صار سببا لنجاسته كالملاقاة ، أو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يحكم بنجاسته للاستصحاب بعد زوال التغير على ما هو الحقّ المقرّر في محلّه ؛ لأنّ الأخبار الناهية عن نقض اليقين بالشك غير شاملة لذلك ؛ إذ لو بنينا على طهارة ذلك الماء بعد زوال التغير لم نكن ناقضين لليقين بالشك ، وإنّما يكون كذلك لو كنّا متيقّنا </w:t>
      </w:r>
      <w:r>
        <w:rPr>
          <w:rStyle w:val="FootnoteAnchor"/>
          <w:rtl w:val="true"/>
        </w:rPr>
        <w:footnoteReference w:id="1461"/>
      </w:r>
      <w:r>
        <w:rPr>
          <w:rFonts w:ascii="Amiri" w:hAnsi="Amiri" w:eastAsia="Amiri" w:cs="Amiri"/>
          <w:color w:val="111111"/>
          <w:sz w:val="28"/>
          <w:sz w:val="28"/>
          <w:szCs w:val="28"/>
          <w:rtl w:val="true"/>
          <w:lang w:bidi="ar-SA"/>
        </w:rPr>
        <w:t>بأنّ هذا الماء كان نجسا ومع احتمال كون النجس هو المتغيّر دون الماء ، فإنّه لا يحصل يقين بذلك ، فلو لم يحكم بالنجاسة حينئذ لم يكن فيه نقض 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حصّلنا موضوع الحكم من دليله ثمّ شككنا في بقائه وارتفاعه باعتبار الشك في مقدار استعداد علّة ذلك الحكم تمّ الاستصحاب ، وذلك مثل أن كان دليل نجاسة الماء نحو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ينجس الماء إذا 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نحو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المتغيّر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الماء نفسه جعل في هذه القضيّة موضوعا للنجاسة ، واحتمال كون التغيّر علّة محدثة ومبقية حتى يرتفع الحكم بارتفاعه يدفع باستصحاب نجاسة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يبقى عندك شيء من موارد الشك من حيث المقتضي تقول بجريان الاستصحاب فيه أم لا؟</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كلامنا هذا لا يبقى من مواردها أصل إلاّ ما عرفت ممّا يكون الشك مسبّبا من الشك في كيفية عليّة العلّة ومقدار استعداده بعد إحراز موضوع الحكم من الدليل ، ومثل ما إذا كان سبب الشك احتمال مدخليّة خصوصيّة الزمان ، مثل أن أمر المولى بالقعود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يدري أنّ المطلوب منه مقدار </w:t>
      </w:r>
    </w:p>
    <w:p>
      <w:pPr>
        <w:pStyle w:val="BookText"/>
        <w:rPr/>
      </w:pPr>
      <w:r>
        <w:rPr>
          <w:rFonts w:ascii="Amiri" w:hAnsi="Amiri" w:eastAsia="Amiri" w:cs="Amiri"/>
          <w:color w:val="111111"/>
          <w:sz w:val="28"/>
          <w:sz w:val="28"/>
          <w:szCs w:val="28"/>
          <w:rtl w:val="true"/>
          <w:lang w:bidi="ar-SA"/>
        </w:rPr>
        <w:t>ساعة أو ساعتين ، فإنّ الظاهر جريان الاستصحاب فيه أيضا ؛ بناء على أنّ الزمان شيء لا يعتبر قيدا لموضوع الحكم وإن كان نظر الدقيق يجعله مثل سائر مقامات الشك من حيث 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كلّ ذلك مطلوب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هنا كلام آخر قد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1462"/>
      </w:r>
      <w:r>
        <w:rPr>
          <w:rFonts w:ascii="Amiri" w:hAnsi="Amiri" w:eastAsia="Amiri" w:cs="Amiri"/>
          <w:color w:val="111111"/>
          <w:sz w:val="28"/>
          <w:sz w:val="28"/>
          <w:szCs w:val="28"/>
          <w:rtl w:val="true"/>
          <w:lang w:bidi="ar-SA"/>
        </w:rPr>
        <w:t xml:space="preserve">هناك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القائل بجريان الاستصحاب في أمثال المقام ، المبهم فيها موضوع المستصحب في نظر الدقيق ، 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العبرة في بقاء الموضوع وانتفائه إنّما هو بالصدق العرفي ، وأهل العرف يتسامحون في الحكم بالبقاء والانتفاء ، حتى أنّهم يشيرون إلى الكلب المستحيل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نجسا والأصل بقاء النجاسة ، مع أنّ المشار إليه في الحالة اللاحقة إنّما هو الجماد الذي لا يطلق عليه الكلب الذي هو موضوع للنجاسة في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يشيرون إلى ميّت الإنسان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يجوز النظر إلى عورته لزوجته في حال الحياة والأصل بقاؤه ، مع أنّ الحلّية كانت ثابتة للنظر إلى عورة الزوج الذي لا ريب في كونه إنسانا لا جمادا إلاّ أنّ المعتمد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في محله </w:t>
      </w:r>
      <w:r>
        <w:rPr>
          <w:rStyle w:val="FootnoteAnchor"/>
          <w:rtl w:val="true"/>
        </w:rPr>
        <w:footnoteReference w:id="1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الاستصحاب في أمثال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حصّلنا موضوع المستصحب من دليله وعلمنا تغيّره أو انتفاءه في الحالة الثانية أو لم نحصّل الموضوع وكنا في اشتباه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دليل الحكم لبيّا كالإجماع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عندنا جريان الاستصحاب</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تخيّله التوني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عدم العلم بتغيّر الموضوع يكفي في جريان الاستصحاب فلا يعتبر إحراز البقاء ، فبعيد من التحصيل في الغاية ؛ لأنّ وجود الموضوع ممّا لا بدّ منه في وجود المحمول حدوثا وبقاء إذ لا يتعقل الحكم بقيام </w:t>
      </w:r>
    </w:p>
    <w:p>
      <w:pPr>
        <w:pStyle w:val="BookText"/>
        <w:rPr/>
      </w:pPr>
      <w:r>
        <w:rPr>
          <w:rFonts w:ascii="Amiri" w:hAnsi="Amiri" w:eastAsia="Amiri" w:cs="Amiri"/>
          <w:color w:val="111111"/>
          <w:sz w:val="28"/>
          <w:sz w:val="28"/>
          <w:szCs w:val="28"/>
          <w:rtl w:val="true"/>
          <w:lang w:bidi="ar-SA"/>
        </w:rPr>
        <w:t>زيد مثلا مع عدم وجود زيد في الخارج فلا بدّ أوّلا من إحراز وجوده ثمّ الحكم ببقاء الحكم ، أي المحمول فيه ؛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الموضوع نثبته بالاستصحاب أيضا فلا يقدح في استصحاب حكمه الشك في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الموضوعات الخارجيّة لا يرجع إلى محصّل إلاّ الحكم بترتّب أحكامها عليها شرعا وجواز استصحاب الحكم ليس من أحكام الموضوع حتّى يترتّب عليه ، بل إنّما هو من أحكامها العقليّة ؛ لأنّ اشتراط بقاء الموضوع في جريان الاستصحاب أمر جاء من قبل حكم العقل بامتناع وجود المحمول لا في موضوع ، فليس حكما من أحكام موضوع الحكم حتى يترتّب على وجوده بالاستصحاب ، سلّمنا كونه مما يترتّب عليه بعد استصحابه باعتبار كونه حكما شرعيّا له ، 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موضوع الحكم ما يجري فيه الاستصحاب كان الحكم مترتّبا عليه من دون حاجة إلى استصحاب آخر يجري في نفس الحكم ، بل لا يبقى مع استصحاب الموضوع محلاّ </w:t>
      </w:r>
      <w:r>
        <w:rPr>
          <w:rStyle w:val="FootnoteAnchor"/>
          <w:rtl w:val="true"/>
        </w:rPr>
        <w:footnoteReference w:id="1464"/>
      </w:r>
      <w:r>
        <w:rPr>
          <w:rFonts w:ascii="Amiri" w:hAnsi="Amiri" w:eastAsia="Amiri" w:cs="Amiri"/>
          <w:color w:val="111111"/>
          <w:sz w:val="28"/>
          <w:sz w:val="28"/>
          <w:szCs w:val="28"/>
          <w:rtl w:val="true"/>
          <w:lang w:bidi="ar-SA"/>
        </w:rPr>
        <w:t>لجريان الاستصحاب في نفس الحكم ، فإجراء الاستصحاب في الحكم والموضوع ممّا لا يجتمعان في محلّ واحد</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الأمر كذلك ، فنحن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جواز التقليد ثابت ، إمّا لقول المجتهد أو لظنّه مطلقا أو لظنّه ما دام حيّا ، ولا ندري زوال ذلك الموضوع بعد الموت ؛ لاحتمال كونه أحد الأوّلين فيستصحب ذلك ؛ إذا الأصل بقاء ما قد ثبت له جواز التقليد وباستصحابه يثبت جواز التقليد في حال الموت لكونه حكما من أحكامه شرعا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الأصل بقاء موضوع الحكم لا يثبت كون الباقي من الامور المحتمل كونها موضوعا هو الموضوع إلاّ على الأصل المثبت الذي لا نقول به ، والذي يفيد في المقام هو الحكم بموضوعيّة ذلك القول الذي هو الباقي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بقاء الموضوع في العالم من غير إثبات كون الباقي أعني القول موضوعا فلا فائدة فيه جدّا ؛ إذ إثبات كون القول هو الموضوع مثلا بذلك الاستصحاب ، أعني استصحاب الموضوع أخذ بالأصل المثبت فتدبّر في المقام وراجع ما حرّر في الاستصحاب في نفي الأصول المثبتة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التي استدلّ بها على مشروعيّة التقليد غير واحد من الأصحاب </w:t>
      </w:r>
      <w:r>
        <w:rPr>
          <w:rStyle w:val="FootnoteAnchor"/>
          <w:rtl w:val="true"/>
        </w:rPr>
        <w:footnoteReference w:id="1465"/>
      </w:r>
      <w:r>
        <w:rPr>
          <w:rFonts w:ascii="Amiri" w:hAnsi="Amiri" w:eastAsia="Amiri" w:cs="Amiri"/>
          <w:color w:val="111111"/>
          <w:sz w:val="28"/>
          <w:sz w:val="28"/>
          <w:szCs w:val="28"/>
          <w:rtl w:val="true"/>
          <w:lang w:bidi="ar-SA"/>
        </w:rPr>
        <w:t>، فإنّها تدلّ بإطلاقها على حجيّة قول الميّت للمقلّد نحو قول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النفر المذكورة في سورة براءة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لا نَفَرَ مِنْ كُلِّ فِرْقَةٍ مِنْهُمْ طائِفَةٌ لِيَتَفَقَّهُوا فِي الدِّينِ وَلِيُنْذِرُوا قَوْمَهُمْ إِذا رَجَعُوا إِلَيْهِمْ لَعَلَّهُمْ يَحْذَرُونَ </w:t>
      </w:r>
      <w:r>
        <w:rPr>
          <w:rFonts w:eastAsia="Amiri" w:cs="Amiri" w:ascii="Amiri" w:hAnsi="Amiri"/>
          <w:color w:val="111111"/>
          <w:sz w:val="28"/>
          <w:szCs w:val="28"/>
          <w:rtl w:val="true"/>
          <w:lang w:bidi="ar-SA"/>
        </w:rPr>
        <w:t xml:space="preserve">)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دلّت على وجوب الحذر عقيب الإنذار الواجب المراد به الفتوى خاصّة أو الأعمّ منها ومن الرواية من وجهين </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انسلاخها عن الترجّي تفيد مطلوبيّة مدخولها ومحبوبيّتها </w:t>
      </w:r>
      <w:r>
        <w:rPr>
          <w:rStyle w:val="FootnoteAnchor"/>
          <w:rtl w:val="true"/>
        </w:rPr>
        <w:footnoteReference w:id="1467"/>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عقيب الإنذار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ثبت رجحان الحذر وحسنه ثبت وجوبه ، إذ مع قيام المقتضي يجب ، ومع عدمه لا يحسن على وجه الاستحباب أيضا ، بل لا يكاد يتحقّق موضوع الحذر مع انتفاء ما يكون سببا </w:t>
      </w:r>
    </w:p>
    <w:p>
      <w:pPr>
        <w:pStyle w:val="BookText"/>
        <w:rPr/>
      </w:pPr>
      <w:r>
        <w:rPr>
          <w:rFonts w:ascii="Amiri" w:hAnsi="Amiri" w:eastAsia="Amiri" w:cs="Amiri"/>
          <w:color w:val="111111"/>
          <w:sz w:val="28"/>
          <w:sz w:val="28"/>
          <w:szCs w:val="28"/>
          <w:rtl w:val="true"/>
          <w:lang w:bidi="ar-SA"/>
        </w:rPr>
        <w:t>للخوف والوجل مع أنّ ثبوت رجحان الحذر يكفي في إثبات وجوبه بالإجماع المركّب ، فإنّ من قال بجوازه قال بوجوبه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وقوع الإنذار غاية للنفر الواجب بدلالة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وجوبه وعدم رضا الآمر بانتفائها ، كما هو الشأن في جميع الغايات المترتّبة على فعل الواجبات ، سواء كانت من الأفعال أم لا ، كما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 لعلّك تفلح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فَقُولا لَهُ قَوْلاً لَيِّناً لَعَلَّهُ يَتَذَكَّرُ أَوْ يَخْشى </w:t>
      </w:r>
      <w:r>
        <w:rPr>
          <w:rFonts w:eastAsia="Amiri" w:cs="Amiri" w:ascii="Amiri" w:hAnsi="Amiri"/>
          <w:color w:val="111111"/>
          <w:sz w:val="28"/>
          <w:szCs w:val="28"/>
          <w:rtl w:val="true"/>
          <w:lang w:bidi="ar-SA"/>
        </w:rPr>
        <w:t xml:space="preserve">) </w:t>
      </w:r>
      <w:r>
        <w:rPr>
          <w:rStyle w:val="FootnoteAnchor"/>
          <w:rtl w:val="true"/>
        </w:rPr>
        <w:footnoteReference w:id="1468"/>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وَأَقِيمُوا الصَّلاةَ وَآتُوا الزَّكاةَ وَأَطِيعُوا الرَّسُولَ لَعَلَّكُمْ تُرْحَمُونَ </w:t>
      </w:r>
      <w:r>
        <w:rPr>
          <w:rFonts w:eastAsia="Amiri" w:cs="Amiri" w:ascii="Amiri" w:hAnsi="Amiri"/>
          <w:color w:val="111111"/>
          <w:sz w:val="28"/>
          <w:szCs w:val="28"/>
          <w:rtl w:val="true"/>
          <w:lang w:bidi="ar-SA"/>
        </w:rPr>
        <w:t xml:space="preserve">) </w:t>
      </w:r>
      <w:r>
        <w:rPr>
          <w:rStyle w:val="FootnoteAnchor"/>
          <w:rtl w:val="true"/>
        </w:rPr>
        <w:footnoteReference w:id="1469"/>
      </w:r>
      <w:r>
        <w:rPr>
          <w:rFonts w:ascii="Amiri" w:hAnsi="Amiri" w:eastAsia="Amiri" w:cs="Amiri"/>
          <w:color w:val="111111"/>
          <w:sz w:val="28"/>
          <w:sz w:val="28"/>
          <w:szCs w:val="28"/>
          <w:rtl w:val="true"/>
          <w:lang w:bidi="ar-SA"/>
        </w:rPr>
        <w:t>وحينئذ ، فالحذر أيضا واجب لوقوعه غاية الإنذار الواجب</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 مع أنّ وجوب أصل الإنذار في ذاته يقتضي وجوب الحذر عقبه وإن لم يصرّح بكونه غايته ، وإلاّ كان الإنذار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مثل ما عن المسالك </w:t>
      </w:r>
      <w:r>
        <w:rPr>
          <w:rStyle w:val="FootnoteAnchor"/>
          <w:rtl w:val="true"/>
        </w:rPr>
        <w:footnoteReference w:id="1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الاستدلال على وجوب قبول قول النساء في العدّة بقوله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يَحِلُّ لَهُنَّ أَنْ يَكْتُمْنَ ما خَلَقَ اللّهُ فِي أَرْحامِهِنَّ </w:t>
      </w:r>
      <w:r>
        <w:rPr>
          <w:rFonts w:eastAsia="Amiri" w:cs="Amiri" w:ascii="Amiri" w:hAnsi="Amiri"/>
          <w:color w:val="111111"/>
          <w:sz w:val="28"/>
          <w:szCs w:val="28"/>
          <w:rtl w:val="true"/>
          <w:lang w:bidi="ar-SA"/>
        </w:rPr>
        <w:t xml:space="preserve">... ) </w:t>
      </w:r>
      <w:r>
        <w:rPr>
          <w:rStyle w:val="FootnoteAnchor"/>
          <w:rtl w:val="true"/>
        </w:rPr>
        <w:footnoteReference w:id="1471"/>
      </w:r>
      <w:r>
        <w:rPr>
          <w:rFonts w:ascii="Amiri" w:hAnsi="Amiri" w:eastAsia="Amiri" w:cs="Amiri"/>
          <w:color w:val="111111"/>
          <w:sz w:val="28"/>
          <w:sz w:val="28"/>
          <w:szCs w:val="28"/>
          <w:rtl w:val="true"/>
          <w:lang w:bidi="ar-SA"/>
        </w:rPr>
        <w:t xml:space="preserve">بناء على أنّ حرمة الكتمان عليهنّ يقتضي وجوب قبول قولهنّ بالنسبة إلى ما في الأرحام ، وإلاّ كان الإظهار لغوا ، وإذا دلّت الآية على وجوب الحذر عقيب الإنذار فيستدلّ بإطلاقها على وجوبه عقيب الإنذار الصادر من الموتى في حال حياتهم ، فإنّ مماتهم لا يوجب انتفاء صفة الإنذار عن الفتاوى الصادرة عنهم في حال الحياة ، بل كلّ من يبلغه تلك الفتوى يدخل في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النذر </w:t>
      </w:r>
      <w:r>
        <w:rPr>
          <w:rFonts w:eastAsia="Amiri" w:cs="Amiri" w:ascii="Amiri" w:hAnsi="Amiri"/>
          <w:color w:val="111111"/>
          <w:sz w:val="28"/>
          <w:szCs w:val="28"/>
          <w:rtl w:val="true"/>
          <w:lang w:bidi="ar-SA"/>
        </w:rPr>
        <w:t xml:space="preserve">» </w:t>
      </w:r>
      <w:r>
        <w:rPr>
          <w:rStyle w:val="FootnoteAnchor"/>
          <w:rtl w:val="true"/>
        </w:rPr>
        <w:footnoteReference w:id="1472"/>
      </w:r>
      <w:r>
        <w:rPr>
          <w:rFonts w:ascii="Amiri" w:hAnsi="Amiri" w:eastAsia="Amiri" w:cs="Amiri"/>
          <w:color w:val="111111"/>
          <w:sz w:val="28"/>
          <w:sz w:val="28"/>
          <w:szCs w:val="28"/>
          <w:rtl w:val="true"/>
          <w:lang w:bidi="ar-SA"/>
        </w:rPr>
        <w:t>بالفتح فيجب الحذر لما ذكر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والجواب عنها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بالنفر الواجب المشتمل عليه الآية إنّما هو النفر إلى الجهاد بقرينة قوله تعالى قبلها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الْمُؤْمِنُونَ لِيَنْفِرُوا كَافَّةً </w:t>
      </w:r>
      <w:r>
        <w:rPr>
          <w:rFonts w:eastAsia="Amiri" w:cs="Amiri" w:ascii="Amiri" w:hAnsi="Amiri"/>
          <w:color w:val="111111"/>
          <w:sz w:val="28"/>
          <w:szCs w:val="28"/>
          <w:rtl w:val="true"/>
          <w:lang w:bidi="ar-SA"/>
        </w:rPr>
        <w:t xml:space="preserve">) </w:t>
      </w:r>
      <w:r>
        <w:rPr>
          <w:rStyle w:val="FootnoteAnchor"/>
          <w:rtl w:val="true"/>
        </w:rPr>
        <w:footnoteReference w:id="1473"/>
      </w:r>
      <w:r>
        <w:rPr>
          <w:rFonts w:ascii="Amiri" w:hAnsi="Amiri" w:eastAsia="Amiri" w:cs="Amiri"/>
          <w:color w:val="111111"/>
          <w:sz w:val="28"/>
          <w:sz w:val="28"/>
          <w:szCs w:val="28"/>
          <w:rtl w:val="true"/>
          <w:lang w:bidi="ar-SA"/>
        </w:rPr>
        <w:t xml:space="preserve">ومن المعلوم أنّ المقصود من النفر إلى الجهاد ليس هو التفقّه والإنذار حتّى يجبان فيجب لأجل وجوبهما الحذر ، نعم قد يترتّبان عليه لما فيه من مشاهدة آيات اللّه وغلبة أوليائه على أعدائه وسائر ما يشتمل عليه حرب المؤمنين مع الكفّار ممّا يوجب قوّة الإيمان وتأكّد اليقين ، فيحصل بسببها بصيرة لهم في الدين فيخبرون بما شاهدوه قومهم المتخلّفة </w:t>
      </w:r>
      <w:r>
        <w:rPr>
          <w:rStyle w:val="FootnoteAnchor"/>
          <w:rtl w:val="true"/>
        </w:rPr>
        <w:footnoteReference w:id="1474"/>
      </w:r>
      <w:r>
        <w:rPr>
          <w:rFonts w:ascii="Amiri" w:hAnsi="Amiri" w:eastAsia="Amiri" w:cs="Amiri"/>
          <w:color w:val="111111"/>
          <w:sz w:val="28"/>
          <w:sz w:val="28"/>
          <w:szCs w:val="28"/>
          <w:rtl w:val="true"/>
          <w:lang w:bidi="ar-SA"/>
        </w:rPr>
        <w:t>إذا رجعوا إليهم ، فيكون التفقّه والإنذار المشتمل عليهما الآية من قبيل الفوائد المترتّبة على فعل الواجب لا الغاية حتى يجب بوجوب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لو سلّمنا كون المراد بالنفر الواجب هو النفر للتفقّه لا للجهاد ، أنّ المراد بالتفقّه هنا هو أخذ الأحكام من الحجّة ، ويحتمل الروايات ، فالحذر الواجب ما كان عقيب الإنذار بطريق الرواية لفظا أو معنى ، فلا دلالة فيها على وجوبه عقيب الإنذار بالفتوى ؛ ولذا تمسّك الأصحاب بهذه الآية على حجيّة الخبر ، والدليل على ذلك أمران </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الاجتهاد لم يكن متعارفا زمن نزول الآية ، بل المتعارف فيه إنّما هو الرجوع إلى الحجّة ، فتحمل الآية على الغالب المتعارف ، وربما يؤيّده بآية </w:t>
      </w:r>
      <w:r>
        <w:rPr>
          <w:rStyle w:val="FootnoteAnchor"/>
          <w:rtl w:val="true"/>
        </w:rPr>
        <w:footnoteReference w:id="1475"/>
      </w:r>
      <w:r>
        <w:rPr>
          <w:rFonts w:ascii="Amiri" w:hAnsi="Amiri" w:eastAsia="Amiri" w:cs="Amiri"/>
          <w:color w:val="111111"/>
          <w:sz w:val="28"/>
          <w:sz w:val="28"/>
          <w:szCs w:val="28"/>
          <w:rtl w:val="true"/>
          <w:lang w:bidi="ar-SA"/>
        </w:rPr>
        <w:t>النفر ، فانّ الظاهر منها النفر إلى الحجّة خاصّة ، فلا يندرج فيها النفر إلى الرواة للاجتهاد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الإمام عليه‌السلام بهذه الرواية على وجوب نقل الأخبار في بعض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فضل بن شاذان في علله عن الرضا عليه‌السلام </w:t>
      </w:r>
      <w:r>
        <w:rPr>
          <w:rStyle w:val="FootnoteAnchor"/>
          <w:rtl w:val="true"/>
        </w:rPr>
        <w:footnoteReference w:id="1476"/>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امروا بالحجّ لعلّة الوفادة إلى اللّه تعالى وطلب الزيادة والخروج عن كلّ ما اقترف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فيه من التفقّه ونقل أخبار الأئمة على </w:t>
      </w:r>
      <w:r>
        <w:rPr>
          <w:rStyle w:val="FootnoteAnchor"/>
          <w:rtl w:val="true"/>
        </w:rPr>
        <w:footnoteReference w:id="1477"/>
      </w:r>
      <w:r>
        <w:rPr>
          <w:rFonts w:ascii="Amiri" w:hAnsi="Amiri" w:eastAsia="Amiri" w:cs="Amiri"/>
          <w:color w:val="111111"/>
          <w:sz w:val="28"/>
          <w:sz w:val="28"/>
          <w:szCs w:val="28"/>
          <w:rtl w:val="true"/>
          <w:lang w:bidi="ar-SA"/>
        </w:rPr>
        <w:t xml:space="preserve">كلّ صقع وناحية ، كما قال اللّه تعالى عزّ 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فَلَوْ لا نَفَرَ مِنْ كُلِّ فِرْقَةٍ مِنْهُمْ طائِفَةٌ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ونحوها غيرها ، فإنّ المستفاد من التعليل المزبور انحصار المراد بالتفقّه في تحمّل الأخبار ونقلها ، فلا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تقدير كون المراد به ما يشمل الفتوى تمّ الاستدلال أيضا</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كون المراد بالتفقّه ما يشمل الاجتهاد ، أنّ القدر المستفاد منها هو وجوب الحذر عند العلم بصدق المنذر ، وذلك لأنّ التفقّه عبارة عن معرفة الامور الواقعيّة ، وحيث لا يعلم أنّ الإنذار هل وقع في محلّه بمطابقة الامور الواقعيّة أم لا؟ لم يتحقّق موضوع الإنذار حتى يجب الحذر والقبول ، فانحصر وجوب الحذر فيما إذا علم المنذر صدق المنذر في إنذاره بالأحكام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توقّف صدق الإنذار على علم المنذر واعتقاده بمطابقة الواقع ، فإنّ الإنذار نوع من الإخبار ، ومن الواضح أنّه لا يتوقّف على اعتقاد السامع بصدق الخبر ، فإطلاق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لَعَلَّهُمْ يَحْذَرُونَ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وجوب الحذر عقيب الإنذار في صورتي العلم وعدمه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الإطلاق ممنوعة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 ، فلأنّ الغالب في إنذار المنذر من أهل العلم وإخبارهم عن الأحكام حصول العلم للمنذرين ، فتنزّل الآية على ما هو الغالب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 فلأنّ مثل هذا الكلام عرفا وارد مورد </w:t>
      </w:r>
      <w:r>
        <w:rPr>
          <w:rStyle w:val="FootnoteAnchor"/>
          <w:rtl w:val="true"/>
        </w:rPr>
        <w:footnoteReference w:id="1478"/>
      </w:r>
      <w:r>
        <w:rPr>
          <w:rFonts w:ascii="Amiri" w:hAnsi="Amiri" w:eastAsia="Amiri" w:cs="Amiri"/>
          <w:color w:val="111111"/>
          <w:sz w:val="28"/>
          <w:sz w:val="28"/>
          <w:szCs w:val="28"/>
          <w:rtl w:val="true"/>
          <w:lang w:bidi="ar-SA"/>
        </w:rPr>
        <w:t>مقام آخر غير إنشاء حكم تعبّدي ظاهري ، أعني العمل بقول المنذر تعبّدا ، وهو إهداء الناس إلى الحقّ وتبليغ الجاهل إلى ما هو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وجوب قبول الجاهل من المبلّغ مطلقا أو فيما إذا أفاد العلم ، مقام آخر يرجع فيه إلى ما تقتضيه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نظيره في المحاورات كثير ؛ فإنّ المقصود العرفي من الأمر تبليغ الحقّ إلى الجاهل وإرشاده ، والملازمة إلى ما كان في جهل منه ، وعلى ذلك ينزّل جميع ما ورد في حقّ الأنبياء والحجج من الأمر ببيان الحقّ وإظهار الأحكام ؛ فإن المقصود منها ليس إلاّ بلوغ الأحكام إلى الناس وخروجهم عن الجهالة ، لا تأسيس أساس التعبّد والعمل والتقليد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يوجب وهن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شكّ في اشتمال التفقّه على معرفة الأصول والفروع ، كما يدلّ عليه استدلال المعصوم بهذه الآية في غير واحد من الروايات </w:t>
      </w:r>
      <w:r>
        <w:rPr>
          <w:rStyle w:val="FootnoteAnchor"/>
          <w:rtl w:val="true"/>
        </w:rPr>
        <w:footnoteReference w:id="1479"/>
      </w:r>
      <w:r>
        <w:rPr>
          <w:rFonts w:ascii="Amiri" w:hAnsi="Amiri" w:eastAsia="Amiri" w:cs="Amiri"/>
          <w:color w:val="111111"/>
          <w:sz w:val="28"/>
          <w:sz w:val="28"/>
          <w:szCs w:val="28"/>
          <w:rtl w:val="true"/>
          <w:lang w:bidi="ar-SA"/>
        </w:rPr>
        <w:t>على وجوب معرفة الحجّة إذا حدث على إمام العصر حادثة ولا يجوز الحذر عقيب الإنذار في الأصول بدون حصول العلم إجماعا إلاّ من قليل</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دلالة الآية على وجوب الحذر مطلقا ، سواء تحصّل العلم أم لا ، أنّك قد عرفت أنّ الإنذار الواجب إنّما هو الإنذار العلمي بالامور المعلومة </w:t>
      </w:r>
    </w:p>
    <w:p>
      <w:pPr>
        <w:pStyle w:val="BookText"/>
        <w:rPr/>
      </w:pPr>
      <w:r>
        <w:rPr>
          <w:rFonts w:ascii="Amiri" w:hAnsi="Amiri" w:eastAsia="Amiri" w:cs="Amiri"/>
          <w:color w:val="111111"/>
          <w:sz w:val="28"/>
          <w:sz w:val="28"/>
          <w:szCs w:val="28"/>
          <w:rtl w:val="true"/>
          <w:lang w:bidi="ar-SA"/>
        </w:rPr>
        <w:t>الواقعيّة ، ضرورة كونه غاية للتفقّه المراد به معرفة حقائق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بها كما ذكرنا ، فغاية ما تدلّ عليه حينئذ هو وجوب الحذر إذا كان المنذر عالما في إنذاره ، فالإنذار الظنّي خارج من تحتها ، والمهمّ إنّما هو إثبات جواز التقليد في الفتاوى الظنّية ، فإنّ الفتوى التي تكون عن علم ،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الضروريّات والإجماعات التي تفيد العلم للمقلّد أيضا ، فلا موضع يكون المفتي فيه عالما بما يفتي ولم يحصل للمقلّد ، ولو فرض إمكان ذلك ، فالقدر الثابت حينئذ جواز التقليد تعبّدا في حصول الفتوى التي تكون عن علم ، فيبقى جواز التقليد في الفتاوى الظنّية خاليا عن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يدفع ذلك بالإجماع المركّب ، فإنّ كلّ من أجاز التقليد في صورة كون المفتي عالما أجازه في صورة الظنّ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جميع ذلك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تدلّ على وجوب الحذر عقيب الإنذار مطلقا ، سواء كان الإنذار أي الفتوى علميّا أو ظنّيا ، وسواء أفاد العلم للمنذر أو لا ، أنّ ظاهرها اختصاص الحكم بإنذار الأحياء ؛ لأنّ الحياة لها مدخلية في حقيقة الإنذار والأمر بالتفقّه والإنذار متوجّه إلى 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أغمضنا عن جميع ذلك ، وسلّمنا دلالة الآية على جواز تقليد الميّت ، أنّ ما تلونا من الإجماعات الشاهد على صدقها التتبّع كما عرفت ، مخصّصة لها</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تلخّص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لا دلالة لها على مشروعيّة أصل التقليد التعبّدي الذي نحن في صدد بيانه ، وعلى فرض دلالتها عليه فهي قاصرة الدلالة على جواز تقليد الأموات ، وعلى فرض تسليم دلالتها على ذلك فهي مخصّصة بما سمعت من الإجماعات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الكتمان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يَكْتُمُونَ ما أَنْزَلْنا مِنَ الْبَيِّناتِ وَالْهُدى مِنْ بَعْدِ ما بَيَّنَّاهُ لِلنَّاسِ فِي الْكِتابِ أُولئِكَ يَلْعَنُهُمُ اللّهُ وَيَلْعَنُهُمُ اللاَّعِنُونَ </w:t>
      </w:r>
      <w:r>
        <w:rPr>
          <w:rFonts w:eastAsia="Amiri" w:cs="Amiri" w:ascii="Amiri" w:hAnsi="Amiri"/>
          <w:color w:val="111111"/>
          <w:sz w:val="28"/>
          <w:szCs w:val="28"/>
          <w:rtl w:val="true"/>
          <w:lang w:bidi="ar-SA"/>
        </w:rPr>
        <w:t xml:space="preserve">)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والتقريب فيه نظير ما بيّنا في آية النفر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حرمة الكتمان تستلزم وجوب القبول عند الإظهار ، وهذا هو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عليها جميع ما أوردنا على آية النفر عدا الأوّلين ؛ فإنّ الآية ساكتة عن وجوب التقليد التعبّدي ، وواردة في مقام بيان الحقّ وحرمة الكتمان ، وأمّا وجوب القبول على السامعين مطلقا حتى في غير صورة حصول العلم لهم فلا دلالة فيها على ذلك</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ظاهرها اختصاص وجوب القبول بصورة العلم تنزيلا على ما هو الغالب المتعارف في تبليغ الحقّ وإظهار الصواب من أهل العلم والخبرة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الآية كتمان اليهود علامات النبي صلى‌اللّه‌عليه‌وآله بعد ما تبيّن لهم ذلك في الكتاب ، أعني التوراة ، ومن المعلوم أنّ آيات النبوّة يعتبر فيها حصول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يكتفى بالظن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وجب الإظهار على الظانّ وجب القبول منه تعبّدا ، وكذا لو وجب الإظهار على العالم الذي لا يفيد قوله العلم ؛ فإنّه أمكن جعل الآية حينئذ دليلا على وجوب القبول تعبّدا ، لكن وجوب القبول المستفاد التزاما من وجوب الإظهار المستفاد من حرمة الكتمان لا إطلاق فيه بحيث يشتمل </w:t>
      </w:r>
      <w:r>
        <w:rPr>
          <w:rStyle w:val="FootnoteAnchor"/>
          <w:rtl w:val="true"/>
        </w:rPr>
        <w:footnoteReference w:id="1481"/>
      </w:r>
      <w:r>
        <w:rPr>
          <w:rFonts w:ascii="Amiri" w:hAnsi="Amiri" w:eastAsia="Amiri" w:cs="Amiri"/>
          <w:color w:val="111111"/>
          <w:sz w:val="28"/>
          <w:sz w:val="28"/>
          <w:szCs w:val="28"/>
          <w:rtl w:val="true"/>
          <w:lang w:bidi="ar-SA"/>
        </w:rPr>
        <w:t>ما نحن فيه ؛ إذ يكفي في خروج وجوب الإظهار عن وجوب القبول في الجملة ، كما في قبول الروايات مطلقا وقبول الفتاوى من الأحياء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السؤال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 xml:space="preserve">) </w:t>
      </w:r>
      <w:r>
        <w:rPr>
          <w:rStyle w:val="FootnoteAnchor"/>
          <w:rtl w:val="true"/>
        </w:rPr>
        <w:footnoteReference w:id="1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والاستدلال بها موقوف على صدق السؤال على مراجعة كتب الأموات ، والقول بدلالتها على وجوب العمل بقول العلماء ابتداء من غير وساطة السؤال ، بناء على كون وجوبه مقدّميا ذريعة إلى العمل بقولهم ؛ لكونه حجّة ، فإنّ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حجيّة القول توجب وجوب السؤال ؛ لا أنّ وجوب السؤال يوجب الحجيّة ، فيكون الانتقال من وجوب السؤال إلى حجيّة القول من باب الاستدلال الإنّي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ما يرد على الاستدلال بهذه الآية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ظاهرها بشهادة السياق إرادة علماء اليهود كما عن ابن عباس وقتادة وغيرهما </w:t>
      </w:r>
      <w:r>
        <w:rPr>
          <w:rStyle w:val="FootnoteAnchor"/>
          <w:rtl w:val="true"/>
        </w:rPr>
        <w:footnoteReference w:id="1483"/>
      </w:r>
      <w:r>
        <w:rPr>
          <w:rFonts w:ascii="Amiri" w:hAnsi="Amiri" w:eastAsia="Amiri" w:cs="Amiri"/>
          <w:color w:val="111111"/>
          <w:sz w:val="28"/>
          <w:sz w:val="28"/>
          <w:szCs w:val="28"/>
          <w:rtl w:val="true"/>
          <w:lang w:bidi="ar-SA"/>
        </w:rPr>
        <w:t xml:space="preserve">؛ فإنّ المذكور في سورة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مِنْ قَبْلِكَ إِلاَّ رِجالاً نُوحِي إِلَيْهِمْ 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بِالْبَيِّناتِ وَالزُّبُرِ </w:t>
      </w:r>
      <w:r>
        <w:rPr>
          <w:rFonts w:eastAsia="Amiri" w:cs="Amiri" w:ascii="Amiri" w:hAnsi="Amiri"/>
          <w:color w:val="111111"/>
          <w:sz w:val="28"/>
          <w:szCs w:val="28"/>
          <w:rtl w:val="true"/>
          <w:lang w:bidi="ar-SA"/>
        </w:rPr>
        <w:t xml:space="preserve">... ) </w:t>
      </w:r>
      <w:r>
        <w:rPr>
          <w:rStyle w:val="FootnoteAnchor"/>
          <w:rtl w:val="true"/>
        </w:rPr>
        <w:footnoteReference w:id="1484"/>
      </w:r>
      <w:r>
        <w:rPr>
          <w:rFonts w:ascii="Amiri" w:hAnsi="Amiri" w:eastAsia="Amiri" w:cs="Amiri"/>
          <w:color w:val="111111"/>
          <w:sz w:val="28"/>
          <w:sz w:val="28"/>
          <w:szCs w:val="28"/>
          <w:rtl w:val="true"/>
          <w:lang w:bidi="ar-SA"/>
        </w:rPr>
        <w:t xml:space="preserve">، ومثله في سورة الأنبياء </w:t>
      </w:r>
      <w:r>
        <w:rPr>
          <w:rStyle w:val="FootnoteAnchor"/>
          <w:rtl w:val="true"/>
        </w:rPr>
        <w:footnoteReference w:id="1485"/>
      </w:r>
      <w:r>
        <w:rPr>
          <w:rFonts w:ascii="Amiri" w:hAnsi="Amiri" w:eastAsia="Amiri" w:cs="Amiri"/>
          <w:color w:val="111111"/>
          <w:sz w:val="28"/>
          <w:sz w:val="28"/>
          <w:szCs w:val="28"/>
          <w:rtl w:val="true"/>
          <w:lang w:bidi="ar-SA"/>
        </w:rPr>
        <w:t>من غير ذكر البينات والزبر</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قطع النظر عن السياق ، فقد ورد في عدّة روايات </w:t>
      </w:r>
      <w:r>
        <w:rPr>
          <w:rStyle w:val="FootnoteAnchor"/>
          <w:rtl w:val="true"/>
        </w:rPr>
        <w:footnoteReference w:id="1486"/>
      </w:r>
      <w:r>
        <w:rPr>
          <w:rFonts w:ascii="Amiri" w:hAnsi="Amiri" w:eastAsia="Amiri" w:cs="Amiri"/>
          <w:color w:val="111111"/>
          <w:sz w:val="28"/>
          <w:sz w:val="28"/>
          <w:szCs w:val="28"/>
          <w:rtl w:val="true"/>
          <w:lang w:bidi="ar-SA"/>
        </w:rPr>
        <w:t xml:space="preserve">مشتملة على الصحيح والموثق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بالأئمة صلوات اللّه عليهم أجمعين ، فإرادة وجوب الرجوع في أمر الدين إلى مطلق العلماء خروج عن قول المفسّرين وعن النصوص الواردة في تفسيرها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ذكره بعض الأصوليّين </w:t>
      </w:r>
      <w:r>
        <w:rPr>
          <w:rStyle w:val="FootnoteAnchor"/>
          <w:rtl w:val="true"/>
        </w:rPr>
        <w:footnoteReference w:id="1487"/>
      </w:r>
      <w:r>
        <w:rPr>
          <w:rFonts w:ascii="Amiri" w:hAnsi="Amiri" w:eastAsia="Amiri" w:cs="Amiri"/>
          <w:color w:val="111111"/>
          <w:sz w:val="28"/>
          <w:sz w:val="28"/>
          <w:szCs w:val="28"/>
          <w:rtl w:val="true"/>
          <w:lang w:bidi="ar-SA"/>
        </w:rPr>
        <w:t>في مسألتي حجيّة الخبر الواحد وقول المفتي ، إغماضا عن سوق الآية وما ورد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الأمر بالسؤال عند عدم العلم إرادة تحصيل العلم لا وجوب السؤال للعمل بما يجيب المسئول تعبّدا ، وهو واضح ، فلا دلالة لها على أصل التقليد التعبّدي فضلا عن تقليد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الذكر عبارة عن العلم ، فلا دلالة فيها على وجوب السؤال عن المجتهدين المعتمدين على الظنون إلاّ في الفتاوى التي تكون عن علم ، والمدّعى هو إثبات جواز التقليد في الفتاوى الظنّية خاصّة أو مطلقا ، اللّهم إلاّ أن يدفع بالإجماع كما عرفت في آية النفر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الأحياء ، ودعوى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الأموات ممنوعة في الغاية ، إمّا لزوال العلوم والاعتقادات القائمة بالنفس بالموت وإن حصل بعده اعتقادات اخرى حضورية موافقها أو مخالفها ، أو لظهوره في الأحياء لعلّه لأجل ذلك استدلّ بعض الأصوليين </w:t>
      </w:r>
      <w:r>
        <w:rPr>
          <w:rStyle w:val="FootnoteAnchor"/>
          <w:rtl w:val="true"/>
        </w:rPr>
        <w:footnoteReference w:id="1488"/>
      </w:r>
      <w:r>
        <w:rPr>
          <w:rFonts w:ascii="Amiri" w:hAnsi="Amiri" w:eastAsia="Amiri" w:cs="Amiri"/>
          <w:color w:val="111111"/>
          <w:sz w:val="28"/>
          <w:sz w:val="28"/>
          <w:szCs w:val="28"/>
          <w:rtl w:val="true"/>
          <w:lang w:bidi="ar-SA"/>
        </w:rPr>
        <w:t xml:space="preserve">بهذه الآية على عدم جواز تقليد الميّت وإن كان ليس في محلّه ، نظرا إلى أنّ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الأحياء لا يوجب دلالة الآية على المنع من الرجوع إلى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 أنّ الآية تدلّ على وجوب عمل السائل بالتقليد</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جملة الأدلّة إطلاق السنّة التي وردت في مشروعيته ، وهي طائفتان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منها ورد </w:t>
      </w:r>
      <w:r>
        <w:rPr>
          <w:rStyle w:val="FootnoteAnchor"/>
          <w:rtl w:val="true"/>
        </w:rPr>
        <w:footnoteReference w:id="1489"/>
      </w:r>
      <w:r>
        <w:rPr>
          <w:rFonts w:ascii="Amiri" w:hAnsi="Amiri" w:eastAsia="Amiri" w:cs="Amiri"/>
          <w:color w:val="111111"/>
          <w:sz w:val="28"/>
          <w:sz w:val="28"/>
          <w:szCs w:val="28"/>
          <w:rtl w:val="true"/>
          <w:lang w:bidi="ar-SA"/>
        </w:rPr>
        <w:t>في رجوع آحاد الناس إلى الأشخاص المعيّنين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والاخرى قد وردت في حجّية أقوال العلماء والرواة والمحدّثين</w:t>
      </w:r>
      <w:r>
        <w:rPr>
          <w:rFonts w:eastAsia="Amiri" w:cs="Amiri" w:ascii="Amiri" w:hAnsi="Amiri"/>
          <w:color w:val="111111"/>
          <w:sz w:val="28"/>
          <w:szCs w:val="28"/>
          <w:rtl w:val="true"/>
          <w:lang w:bidi="ar-SA"/>
        </w:rPr>
        <w:t xml:space="preserve">. </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الاولى ، فهي أيضا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دلّ على الرجوع إلى رواياتهم ، بحيث يظهر منه عدم الفرق بين الفتوى والرواية ، مثل ما ورد في حقّ زرارة من الأمر بالرجوع إليه ، كقوله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حديثنا فعليك بهذا الجالس </w:t>
      </w:r>
      <w:r>
        <w:rPr>
          <w:rFonts w:eastAsia="Amiri" w:cs="Amiri" w:ascii="Amiri" w:hAnsi="Amiri"/>
          <w:color w:val="111111"/>
          <w:sz w:val="28"/>
          <w:szCs w:val="28"/>
          <w:rtl w:val="true"/>
          <w:lang w:bidi="ar-SA"/>
        </w:rPr>
        <w:t xml:space="preserve">» </w:t>
      </w:r>
      <w:r>
        <w:rPr>
          <w:rStyle w:val="FootnoteAnchor"/>
          <w:rtl w:val="true"/>
        </w:rPr>
        <w:footnoteReference w:id="1490"/>
      </w:r>
      <w:r>
        <w:rPr>
          <w:rFonts w:ascii="Amiri" w:hAnsi="Amiri" w:eastAsia="Amiri" w:cs="Amiri"/>
          <w:color w:val="111111"/>
          <w:sz w:val="28"/>
          <w:sz w:val="28"/>
          <w:szCs w:val="28"/>
          <w:rtl w:val="true"/>
          <w:lang w:bidi="ar-SA"/>
        </w:rPr>
        <w:t xml:space="preserve">يشير إلى زرارة ، 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ما رواه زرارة 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ردّه </w:t>
      </w:r>
      <w:r>
        <w:rPr>
          <w:rFonts w:eastAsia="Amiri" w:cs="Amiri" w:ascii="Amiri" w:hAnsi="Amiri"/>
          <w:color w:val="111111"/>
          <w:sz w:val="28"/>
          <w:szCs w:val="28"/>
          <w:rtl w:val="true"/>
          <w:lang w:bidi="ar-SA"/>
        </w:rPr>
        <w:t xml:space="preserve">» </w:t>
      </w:r>
      <w:r>
        <w:rPr>
          <w:rStyle w:val="FootnoteAnchor"/>
          <w:rtl w:val="true"/>
        </w:rPr>
        <w:footnoteReference w:id="1491"/>
      </w:r>
      <w:r>
        <w:rPr>
          <w:rFonts w:ascii="Amiri" w:hAnsi="Amiri" w:eastAsia="Amiri" w:cs="Amiri"/>
          <w:color w:val="111111"/>
          <w:sz w:val="28"/>
          <w:sz w:val="28"/>
          <w:szCs w:val="28"/>
          <w:rtl w:val="true"/>
          <w:lang w:bidi="ar-SA"/>
        </w:rPr>
        <w:t xml:space="preserve">وفي حقّ محمد بن مسلم ، كقوله بعد السؤال عنه عمّن يرجع إليه إذا احتاج أو سئل عن 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منعك عن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سمع عن أبي عليه‌السلام أحاديث وكان عنده وجيها </w:t>
      </w:r>
      <w:r>
        <w:rPr>
          <w:rFonts w:eastAsia="Amiri" w:cs="Amiri" w:ascii="Amiri" w:hAnsi="Amiri"/>
          <w:color w:val="111111"/>
          <w:sz w:val="28"/>
          <w:szCs w:val="28"/>
          <w:rtl w:val="true"/>
          <w:lang w:bidi="ar-SA"/>
        </w:rPr>
        <w:t xml:space="preserve">» </w:t>
      </w:r>
      <w:r>
        <w:rPr>
          <w:rStyle w:val="FootnoteAnchor"/>
          <w:rtl w:val="true"/>
        </w:rPr>
        <w:footnoteReference w:id="1492"/>
      </w:r>
      <w:r>
        <w:rPr>
          <w:rFonts w:ascii="Amiri" w:hAnsi="Amiri" w:eastAsia="Amiri" w:cs="Amiri"/>
          <w:color w:val="111111"/>
          <w:sz w:val="28"/>
          <w:sz w:val="28"/>
          <w:szCs w:val="28"/>
          <w:rtl w:val="true"/>
          <w:lang w:bidi="ar-SA"/>
        </w:rPr>
        <w:t xml:space="preserve">وفي حقّ أبان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ائت أبان بن تغلب ، فإنّه قد سمع منّي حديثا كثيرا فما روى لك منّي فاروه عنّي </w:t>
      </w:r>
      <w:r>
        <w:rPr>
          <w:rFonts w:eastAsia="Amiri" w:cs="Amiri" w:ascii="Amiri" w:hAnsi="Amiri"/>
          <w:color w:val="111111"/>
          <w:sz w:val="28"/>
          <w:szCs w:val="28"/>
          <w:rtl w:val="true"/>
          <w:lang w:bidi="ar-SA"/>
        </w:rPr>
        <w:t xml:space="preserve">» </w:t>
      </w:r>
      <w:r>
        <w:rPr>
          <w:rStyle w:val="FootnoteAnchor"/>
          <w:rtl w:val="true"/>
        </w:rPr>
        <w:footnoteReference w:id="1493"/>
      </w:r>
      <w:r>
        <w:rPr>
          <w:rFonts w:ascii="Amiri" w:hAnsi="Amiri" w:eastAsia="Amiri" w:cs="Amiri"/>
          <w:color w:val="111111"/>
          <w:sz w:val="28"/>
          <w:sz w:val="28"/>
          <w:szCs w:val="28"/>
          <w:rtl w:val="true"/>
          <w:lang w:bidi="ar-SA"/>
        </w:rPr>
        <w:t xml:space="preserve">وغير ذلك ممّا ورد في أمثال هؤلاء الأجلاّء في الدين الذين نطقت بعض النصوص في حقّ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لولاهم لاندرس آثار النبوّة ، مثل قول أبي محمّد في حقّ العميري </w:t>
      </w:r>
      <w:r>
        <w:rPr>
          <w:rStyle w:val="FootnoteAnchor"/>
          <w:rtl w:val="true"/>
        </w:rPr>
        <w:footnoteReference w:id="1494"/>
      </w:r>
      <w:r>
        <w:rPr>
          <w:rFonts w:ascii="Amiri" w:hAnsi="Amiri" w:eastAsia="Amiri" w:cs="Amiri"/>
          <w:color w:val="111111"/>
          <w:sz w:val="28"/>
          <w:sz w:val="28"/>
          <w:szCs w:val="28"/>
          <w:rtl w:val="true"/>
          <w:lang w:bidi="ar-SA"/>
        </w:rPr>
        <w:t xml:space="preserve">وابنه اللذين هما من النواب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إنّهما ثقتان فما </w:t>
      </w:r>
      <w:r>
        <w:rPr>
          <w:rStyle w:val="FootnoteAnchor"/>
          <w:rtl w:val="true"/>
        </w:rPr>
        <w:footnoteReference w:id="1495"/>
      </w:r>
      <w:r>
        <w:rPr>
          <w:rFonts w:ascii="Amiri" w:hAnsi="Amiri" w:eastAsia="Amiri" w:cs="Amiri"/>
          <w:color w:val="111111"/>
          <w:sz w:val="28"/>
          <w:sz w:val="28"/>
          <w:szCs w:val="28"/>
          <w:rtl w:val="true"/>
          <w:lang w:bidi="ar-SA"/>
        </w:rPr>
        <w:t xml:space="preserve">أدّيا اليك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لأحمد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فعنّي يؤدّيان ، وما قالا لك فعنّي يقولان ، فاسمع لهما وأطعهما ، فإنّهما الثقتان المأمونان </w:t>
      </w:r>
      <w:r>
        <w:rPr>
          <w:rFonts w:eastAsia="Amiri" w:cs="Amiri" w:ascii="Amiri" w:hAnsi="Amiri"/>
          <w:color w:val="111111"/>
          <w:sz w:val="28"/>
          <w:szCs w:val="28"/>
          <w:rtl w:val="true"/>
          <w:lang w:bidi="ar-SA"/>
        </w:rPr>
        <w:t xml:space="preserve">»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وقسم منهما دلّ على جواز الأخذ بفتواهم ، مثل قول الباقر عليه‌السلام لأبان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اجلس في المسجد وأفت للناس فإنّي احبّ أن يرى في شيعتي مثلك </w:t>
      </w:r>
      <w:r>
        <w:rPr>
          <w:rFonts w:eastAsia="Amiri" w:cs="Amiri" w:ascii="Amiri" w:hAnsi="Amiri"/>
          <w:color w:val="111111"/>
          <w:sz w:val="28"/>
          <w:szCs w:val="28"/>
          <w:rtl w:val="true"/>
          <w:lang w:bidi="ar-SA"/>
        </w:rPr>
        <w:t xml:space="preserve">» </w:t>
      </w:r>
      <w:r>
        <w:rPr>
          <w:rStyle w:val="FootnoteAnchor"/>
          <w:rtl w:val="true"/>
        </w:rPr>
        <w:footnoteReference w:id="1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ما ورد في النهي عن الإفتاء بغير علم وغير اطّلاع بالناسخ والمنسوخ ضرورة دلالتها على الجواز إذا كان المفتي جامعا لشرائط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وقسم يشتمل </w:t>
      </w:r>
      <w:r>
        <w:rPr>
          <w:rStyle w:val="FootnoteAnchor"/>
          <w:rtl w:val="true"/>
        </w:rPr>
        <w:footnoteReference w:id="1498"/>
      </w:r>
      <w:r>
        <w:rPr>
          <w:rFonts w:ascii="Amiri" w:hAnsi="Amiri" w:eastAsia="Amiri" w:cs="Amiri"/>
          <w:color w:val="111111"/>
          <w:sz w:val="28"/>
          <w:sz w:val="28"/>
          <w:szCs w:val="28"/>
          <w:rtl w:val="true"/>
          <w:lang w:bidi="ar-SA"/>
        </w:rPr>
        <w:t xml:space="preserve">الفتوى والرواية مثل قوله عليه‌السلام لشعيب العقرقوفي بعد السؤال عمّن يرجع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بالأسدي ، يعني أبا بصير </w:t>
      </w:r>
      <w:r>
        <w:rPr>
          <w:rStyle w:val="FootnoteAnchor"/>
          <w:rtl w:val="true"/>
        </w:rPr>
        <w:footnoteReference w:id="1499"/>
      </w:r>
      <w:r>
        <w:rPr>
          <w:rFonts w:ascii="Amiri" w:hAnsi="Amiri" w:eastAsia="Amiri" w:cs="Amiri"/>
          <w:color w:val="111111"/>
          <w:sz w:val="28"/>
          <w:sz w:val="28"/>
          <w:szCs w:val="28"/>
          <w:rtl w:val="true"/>
          <w:lang w:bidi="ar-SA"/>
        </w:rPr>
        <w:t xml:space="preserve">، وقوله لعلي بن المسيب بعد السؤال عمّن يأخذ منه معالم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 بزكريّا بن آدم المأمون على الدين والدنيا </w:t>
      </w:r>
      <w:r>
        <w:rPr>
          <w:rFonts w:eastAsia="Amiri" w:cs="Amiri" w:ascii="Amiri" w:hAnsi="Amiri"/>
          <w:color w:val="111111"/>
          <w:sz w:val="28"/>
          <w:szCs w:val="28"/>
          <w:rtl w:val="true"/>
          <w:lang w:bidi="ar-SA"/>
        </w:rPr>
        <w:t xml:space="preserve">» </w:t>
      </w:r>
      <w:r>
        <w:rPr>
          <w:rStyle w:val="FootnoteAnchor"/>
          <w:rtl w:val="true"/>
        </w:rPr>
        <w:footnoteReference w:id="1500"/>
      </w:r>
      <w:r>
        <w:rPr>
          <w:rFonts w:ascii="Amiri" w:hAnsi="Amiri" w:eastAsia="Amiri" w:cs="Amiri"/>
          <w:color w:val="111111"/>
          <w:sz w:val="28"/>
          <w:sz w:val="28"/>
          <w:szCs w:val="28"/>
          <w:rtl w:val="true"/>
          <w:lang w:bidi="ar-SA"/>
        </w:rPr>
        <w:t xml:space="preserve">، وقوله عليه‌السلام لعبد العزيز بن المهدي </w:t>
      </w:r>
      <w:r>
        <w:rPr>
          <w:rStyle w:val="FootnoteAnchor"/>
          <w:rtl w:val="true"/>
        </w:rPr>
        <w:footnoteReference w:id="1501"/>
      </w:r>
      <w:r>
        <w:rPr>
          <w:rFonts w:ascii="Amiri" w:hAnsi="Amiri" w:eastAsia="Amiri" w:cs="Amiri"/>
          <w:color w:val="111111"/>
          <w:sz w:val="28"/>
          <w:sz w:val="28"/>
          <w:szCs w:val="28"/>
          <w:rtl w:val="true"/>
          <w:lang w:bidi="ar-SA"/>
        </w:rPr>
        <w:t xml:space="preserve">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أحتاج ولست ألقاك في كلّ وقت أفيونس بن عبد الرحمن ثقة آخذ منه معالم ديني؟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1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ممّا لا يخفى على المتتبّع ، ومنه قول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لعميري </w:t>
      </w:r>
      <w:r>
        <w:rPr>
          <w:rStyle w:val="FootnoteAnchor"/>
          <w:rtl w:val="true"/>
        </w:rPr>
        <w:footnoteReference w:id="1503"/>
      </w:r>
      <w:r>
        <w:rPr>
          <w:rFonts w:ascii="Amiri" w:hAnsi="Amiri" w:eastAsia="Amiri" w:cs="Amiri"/>
          <w:color w:val="111111"/>
          <w:sz w:val="28"/>
          <w:sz w:val="28"/>
          <w:szCs w:val="28"/>
          <w:rtl w:val="true"/>
          <w:lang w:bidi="ar-SA"/>
        </w:rPr>
        <w:t>وابنه ما سمعت ، وإن كان ظاهره في الرواية دون الفتوى</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الطائفة الثانية ، فمنها ما يدلّ على وجوب قبول الحكم عند الترافع مثل قول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عمر بن حنظلة المتلقّى بالقبول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انظروا إلى من كان منكم قد روى حديثنا ، ونظر في حلالنا وحرامنا ، وعرف أحكامنا فارضوا به </w:t>
      </w:r>
    </w:p>
    <w:p>
      <w:pPr>
        <w:pStyle w:val="BookText"/>
        <w:rPr/>
      </w:pPr>
      <w:r>
        <w:rPr>
          <w:rFonts w:ascii="Amiri" w:hAnsi="Amiri" w:eastAsia="Amiri" w:cs="Amiri"/>
          <w:color w:val="111111"/>
          <w:sz w:val="28"/>
          <w:sz w:val="28"/>
          <w:szCs w:val="28"/>
          <w:rtl w:val="true"/>
          <w:lang w:bidi="ar-SA"/>
        </w:rPr>
        <w:t xml:space="preserve">حاكما ، فإنّي قد جعلته عليكم حاكما ، فإذا حكم بحكمنا فلم يقبل منه فإنّه بحكم اللّه استخفّ ، وعلينا ردّ ، والرادّ علينا رادّ على اللّه وهو على حدّ الشرك باللّه عزّ وجلّ </w:t>
      </w:r>
      <w:r>
        <w:rPr>
          <w:rFonts w:eastAsia="Amiri" w:cs="Amiri" w:ascii="Amiri" w:hAnsi="Amiri"/>
          <w:color w:val="111111"/>
          <w:sz w:val="28"/>
          <w:szCs w:val="28"/>
          <w:rtl w:val="true"/>
          <w:lang w:bidi="ar-SA"/>
        </w:rPr>
        <w:t xml:space="preserve">» </w:t>
      </w:r>
      <w:r>
        <w:rPr>
          <w:rStyle w:val="FootnoteAnchor"/>
          <w:rtl w:val="true"/>
        </w:rPr>
        <w:footnoteReference w:id="1504"/>
      </w:r>
      <w:r>
        <w:rPr>
          <w:rFonts w:ascii="Amiri" w:hAnsi="Amiri" w:eastAsia="Amiri" w:cs="Amiri"/>
          <w:color w:val="111111"/>
          <w:sz w:val="28"/>
          <w:sz w:val="28"/>
          <w:szCs w:val="28"/>
          <w:rtl w:val="true"/>
          <w:lang w:bidi="ar-SA"/>
        </w:rPr>
        <w:t xml:space="preserve">، ومثل قوله أيضا في خبر أبي خديجة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إيّاكم أن يحاكم بعضكم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أهل الجور ، ولكن انظروا إلى رجل منكم يعلم شيئا من قضايانا فاجعلوه بينكم حكما ، فإنّي قد جعلته قاضيا فتحاكموا إليه </w:t>
      </w:r>
      <w:r>
        <w:rPr>
          <w:rFonts w:eastAsia="Amiri" w:cs="Amiri" w:ascii="Amiri" w:hAnsi="Amiri"/>
          <w:color w:val="111111"/>
          <w:sz w:val="28"/>
          <w:szCs w:val="28"/>
          <w:rtl w:val="true"/>
          <w:lang w:bidi="ar-SA"/>
        </w:rPr>
        <w:t xml:space="preserve">»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 الاستدلال بها على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لأنّ قبول الحكم يستلزم قبول الفتوى بالإجماع المركّب أو بالأولويّة كما قيل </w:t>
      </w:r>
      <w:r>
        <w:rPr>
          <w:rStyle w:val="FootnoteAnchor"/>
          <w:rtl w:val="true"/>
        </w:rPr>
        <w:footnoteReference w:id="1506"/>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لأنّ الترافع قد يكون من جهة اختلاف المتحاكمين في حكم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قبول الحكم حينئذ متوقّفا على اعتبار فتواه في بيان الحكم الشرعي ؛ إذ لو لا ذلك لما حصل فصل للخصومة وهو واضح</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جواز الرجوع إليهم من غير تقييد بالرواية أو الفتوى ، فيكون بإطلاقه دليلا على جواز التقليد لأهله كما يكون دليلا على جواز العمل بالرواية لأهله ، مثل قول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التوقيع الشريف لإسحاق بن يعقوب على ما عن كتاب الغيبة للشيخ ، وإكمال الدين للصدوق ، والاحتجاج للطبرسي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الحوادث الواقعة فارجعوا فيها إلى رواة أحاديثنا ، فإنّهم حجّتي عليكم وأنا حجّة اللّه </w:t>
      </w:r>
      <w:r>
        <w:rPr>
          <w:rFonts w:eastAsia="Amiri" w:cs="Amiri" w:ascii="Amiri" w:hAnsi="Amiri"/>
          <w:color w:val="111111"/>
          <w:sz w:val="28"/>
          <w:szCs w:val="28"/>
          <w:rtl w:val="true"/>
          <w:lang w:bidi="ar-SA"/>
        </w:rPr>
        <w:t xml:space="preserve">» </w:t>
      </w:r>
      <w:r>
        <w:rPr>
          <w:rStyle w:val="FootnoteAnchor"/>
          <w:rtl w:val="true"/>
        </w:rPr>
        <w:footnoteReference w:id="1507"/>
      </w:r>
      <w:r>
        <w:rPr>
          <w:rFonts w:ascii="Amiri" w:hAnsi="Amiri" w:eastAsia="Amiri" w:cs="Amiri"/>
          <w:color w:val="111111"/>
          <w:sz w:val="28"/>
          <w:sz w:val="28"/>
          <w:szCs w:val="28"/>
          <w:rtl w:val="true"/>
          <w:lang w:bidi="ar-SA"/>
        </w:rPr>
        <w:t xml:space="preserve">حيث إنّ الأمر بالرجوع إلى الرواة لو سلّم ظهوره </w:t>
      </w:r>
    </w:p>
    <w:p>
      <w:pPr>
        <w:pStyle w:val="BookText"/>
        <w:rPr/>
      </w:pPr>
      <w:r>
        <w:rPr>
          <w:rFonts w:ascii="Amiri" w:hAnsi="Amiri" w:eastAsia="Amiri" w:cs="Amiri"/>
          <w:color w:val="111111"/>
          <w:sz w:val="28"/>
          <w:sz w:val="28"/>
          <w:szCs w:val="28"/>
          <w:rtl w:val="true"/>
          <w:lang w:bidi="ar-SA"/>
        </w:rPr>
        <w:t xml:space="preserve">في العمل بالرواية فمقتضى التعليل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بأنّهم حجّة على الناس من قبل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الأخذ بفتاويهم أيضا ؛ لأنّ المجتهد يجب اتباعه في كلّ ما يخبر به ، سواء كان نفس الحكم الشرعي أو دليله ، بل يقتضي ذاك التعليل وجوب الرجوع إلى أقوالهم بعد موتهم أيضا ؛ لأنّ موت الحجّة لا يوجب سقوط اعتبار قوله ، ويدل عليه أيضا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حجّة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التعليل المزبور الدالّ على كون حجّيتهم مثل حجّيته عليه‌السلام ، فإنّ حياة الحجّة ومماته سيّان في اعتبار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 على جواز تقليد الفقيه الجامع لسائر شرائط الفتوى كالعدالة ، مثل ما في محكي الاحتجاج عن تفسير العسكري عليه‌السلام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أُمِّيُّونَ لا يَعْلَمُونَ الْكِتابَ إِلاَّ أَمانِيَّ </w:t>
      </w:r>
      <w:r>
        <w:rPr>
          <w:rFonts w:eastAsia="Amiri" w:cs="Amiri" w:ascii="Amiri" w:hAnsi="Amiri"/>
          <w:color w:val="111111"/>
          <w:sz w:val="28"/>
          <w:szCs w:val="28"/>
          <w:rtl w:val="true"/>
          <w:lang w:bidi="ar-SA"/>
        </w:rPr>
        <w:t xml:space="preserve">... ) </w:t>
      </w:r>
      <w:r>
        <w:rPr>
          <w:rStyle w:val="FootnoteAnchor"/>
          <w:rtl w:val="true"/>
        </w:rPr>
        <w:footnoteReference w:id="1508"/>
      </w:r>
      <w:r>
        <w:rPr>
          <w:rFonts w:ascii="Amiri" w:hAnsi="Amiri" w:eastAsia="Amiri" w:cs="Amiri"/>
          <w:color w:val="111111"/>
          <w:sz w:val="28"/>
          <w:sz w:val="28"/>
          <w:szCs w:val="28"/>
          <w:rtl w:val="true"/>
          <w:lang w:bidi="ar-SA"/>
        </w:rPr>
        <w:t xml:space="preserve">الآية الواردة في ذمّ عوام اليهود والنصارى في متابعة علمائهم في إنكار آيات النبوّة وآثارها ، وهو طويل لا بأس بذكره على طوله تيمّنا وتبرّكا بذكره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هؤلاء القوم من اليهود والنصارى لا يعرفون الكتاب إلاّ ما يسمعون من علمائهم لا سبيل لهم إلى غيره فكيف ذمّهم بتقليدهم والقبول من علمائهم؟ وهل عوام اليهود إلاّ كعوامنا يقلّدون علماءهم فإن لم يجز لاولئك القبول من علمائهم لم يجز لهؤلاء القبول من علمائهم؟</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عوامنا وعلمائنا وبين عوام اليهود وعلمائهم فرق من جهة وتسوية من جهة </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من حيث استووا فإنّ اللّه تعالى ذمّ عوامنا بتقليدهم علماءهم كما ذمّ عوامهم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بتقليدهم علماءهم </w:t>
      </w:r>
      <w:r>
        <w:rPr>
          <w:rFonts w:eastAsia="Amiri" w:cs="Amiri" w:ascii="Amiri" w:hAnsi="Amiri"/>
          <w:color w:val="111111"/>
          <w:sz w:val="28"/>
          <w:szCs w:val="28"/>
          <w:rtl w:val="true"/>
          <w:lang w:bidi="ar-SA"/>
        </w:rPr>
        <w:t>]</w:t>
      </w:r>
      <w:r>
        <w:rPr>
          <w:rStyle w:val="FootnoteAnchor"/>
          <w:rtl w:val="true"/>
        </w:rPr>
        <w:footnoteReference w:id="1509"/>
      </w:r>
      <w:r>
        <w:rPr>
          <w:rFonts w:ascii="Amiri" w:hAnsi="Amiri" w:eastAsia="Amiri" w:cs="Amiri"/>
          <w:color w:val="111111"/>
          <w:sz w:val="28"/>
          <w:sz w:val="28"/>
          <w:szCs w:val="28"/>
          <w:rtl w:val="true"/>
          <w:lang w:bidi="ar-SA"/>
        </w:rPr>
        <w:t>وأمّا من حيث افترقوا فلا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لي يا بن رسول اللّه</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عوام اليهود قد عرفوا علماءهم بالكذب الصريح </w:t>
      </w:r>
      <w:r>
        <w:rPr>
          <w:rStyle w:val="FootnoteAnchor"/>
          <w:rtl w:val="true"/>
        </w:rPr>
        <w:footnoteReference w:id="1510"/>
      </w:r>
      <w:r>
        <w:rPr>
          <w:rFonts w:ascii="Amiri" w:hAnsi="Amiri" w:eastAsia="Amiri" w:cs="Amiri"/>
          <w:color w:val="111111"/>
          <w:sz w:val="28"/>
          <w:sz w:val="28"/>
          <w:szCs w:val="28"/>
          <w:rtl w:val="true"/>
          <w:lang w:bidi="ar-SA"/>
        </w:rPr>
        <w:t xml:space="preserve">، وبأكل الحرام والرشا وتغيير الأحكام عن وجهها بالشفاعات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والعنايات </w:t>
      </w:r>
      <w:r>
        <w:rPr>
          <w:rFonts w:eastAsia="Amiri" w:cs="Amiri" w:ascii="Amiri" w:hAnsi="Amiri"/>
          <w:color w:val="111111"/>
          <w:sz w:val="28"/>
          <w:szCs w:val="28"/>
          <w:rtl w:val="true"/>
          <w:lang w:bidi="ar-SA"/>
        </w:rPr>
        <w:t>]</w:t>
      </w:r>
      <w:r>
        <w:rPr>
          <w:rStyle w:val="FootnoteAnchor"/>
          <w:rtl w:val="true"/>
        </w:rPr>
        <w:footnoteReference w:id="1511"/>
      </w:r>
      <w:r>
        <w:rPr>
          <w:rFonts w:ascii="Amiri" w:hAnsi="Amiri" w:eastAsia="Amiri" w:cs="Amiri"/>
          <w:color w:val="111111"/>
          <w:sz w:val="28"/>
          <w:sz w:val="28"/>
          <w:szCs w:val="28"/>
          <w:rtl w:val="true"/>
          <w:lang w:bidi="ar-SA"/>
        </w:rPr>
        <w:t xml:space="preserve">وعرفوهم بالتعصّب الشديد الذي يفارقون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Style w:val="FootnoteAnchor"/>
          <w:rtl w:val="true"/>
        </w:rPr>
        <w:footnoteReference w:id="1512"/>
      </w:r>
      <w:r>
        <w:rPr>
          <w:rFonts w:ascii="Amiri" w:hAnsi="Amiri" w:eastAsia="Amiri" w:cs="Amiri"/>
          <w:color w:val="111111"/>
          <w:sz w:val="28"/>
          <w:sz w:val="28"/>
          <w:szCs w:val="28"/>
          <w:rtl w:val="true"/>
          <w:lang w:bidi="ar-SA"/>
        </w:rPr>
        <w:t xml:space="preserve">أديانهم ، وأنّهم إذا تعصّبوا أزالوا حقوق من تعصّبوا عليه ، وأعطوا ما لا يستحقّه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Style w:val="FootnoteAnchor"/>
          <w:rtl w:val="true"/>
        </w:rPr>
        <w:footnoteReference w:id="1513"/>
      </w:r>
      <w:r>
        <w:rPr>
          <w:rFonts w:ascii="Amiri" w:hAnsi="Amiri" w:eastAsia="Amiri" w:cs="Amiri"/>
          <w:color w:val="111111"/>
          <w:sz w:val="28"/>
          <w:sz w:val="28"/>
          <w:szCs w:val="28"/>
          <w:rtl w:val="true"/>
          <w:lang w:bidi="ar-SA"/>
        </w:rPr>
        <w:t xml:space="preserve">تعصّبوا له من أموال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وظلموهم من أجلهم </w:t>
      </w:r>
      <w:r>
        <w:rPr>
          <w:rFonts w:eastAsia="Amiri" w:cs="Amiri" w:ascii="Amiri" w:hAnsi="Amiri"/>
          <w:color w:val="111111"/>
          <w:sz w:val="28"/>
          <w:szCs w:val="28"/>
          <w:rtl w:val="true"/>
          <w:lang w:bidi="ar-SA"/>
        </w:rPr>
        <w:t>]</w:t>
      </w:r>
      <w:r>
        <w:rPr>
          <w:rStyle w:val="FootnoteAnchor"/>
          <w:rtl w:val="true"/>
        </w:rPr>
        <w:footnoteReference w:id="1514"/>
      </w:r>
      <w:r>
        <w:rPr>
          <w:rFonts w:ascii="Amiri" w:hAnsi="Amiri" w:eastAsia="Amiri" w:cs="Amiri"/>
          <w:color w:val="111111"/>
          <w:sz w:val="28"/>
          <w:sz w:val="28"/>
          <w:szCs w:val="28"/>
          <w:rtl w:val="true"/>
          <w:lang w:bidi="ar-SA"/>
        </w:rPr>
        <w:t xml:space="preserve">وعرفوهم يقارفون المحرّمات ، واضطرّوا بمعارف قلوبهم إلى أنّ من فعل ما يفعلونه فهو فاسق لا يجوز أن يصدّق على اللّه تعالى ولا على الوسائط بين الخلق وبين اللّه تعالى ؛ فلذلك ذمّهم لمّا قلّدوا من عرفوا ومن قد علموا أنّه لا يجوز قبول خبره ولا تصديقه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حكايته </w:t>
      </w:r>
      <w:r>
        <w:rPr>
          <w:rFonts w:eastAsia="Amiri" w:cs="Amiri" w:ascii="Amiri" w:hAnsi="Amiri"/>
          <w:color w:val="111111"/>
          <w:sz w:val="28"/>
          <w:szCs w:val="28"/>
          <w:rtl w:val="true"/>
          <w:lang w:bidi="ar-SA"/>
        </w:rPr>
        <w:t>]</w:t>
      </w:r>
      <w:r>
        <w:rPr>
          <w:rStyle w:val="FootnoteAnchor"/>
          <w:rtl w:val="true"/>
        </w:rPr>
        <w:footnoteReference w:id="1515"/>
      </w:r>
      <w:r>
        <w:rPr>
          <w:rFonts w:ascii="Amiri" w:hAnsi="Amiri" w:eastAsia="Amiri" w:cs="Amiri"/>
          <w:color w:val="111111"/>
          <w:sz w:val="28"/>
          <w:sz w:val="28"/>
          <w:szCs w:val="28"/>
          <w:rtl w:val="true"/>
          <w:lang w:bidi="ar-SA"/>
        </w:rPr>
        <w:t xml:space="preserve">ولا العمل بما يؤدّيه إليهم عمّن لم يشاهدوه ووجب عليهم النظر بأنفسهم في أمر رسول اللّه صلى‌اللّه‌عليه‌وآله ؛ إذ كانت دلائله أوضح من أن تخفى ، وأشهر من أن لا تظهر لهم ، وكذلك عوام امّتنا إذا عرفوا من فقهائهم الفسق الظاهر ، والعصبيّة الشديدة ، والتكالب على حطام الدنيا وحرامها ، وإهلاك من يتعصّبون عليه وإن كان لإصلاح أمره مستحقّا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بالترفرف بالبرّ والإحسان على من تعصّبوا له وإن كان للإذلال والإهانة مستحقّا ، فمن قلّد من عوامنا مثل هؤلاء الفقهاء فهم مثل اليهود الذين ذمّهم اللّه تعالى </w:t>
      </w:r>
    </w:p>
    <w:p>
      <w:pPr>
        <w:pStyle w:val="BookText"/>
        <w:rPr/>
      </w:pPr>
      <w:r>
        <w:rPr>
          <w:rFonts w:ascii="Amiri" w:hAnsi="Amiri" w:eastAsia="Amiri" w:cs="Amiri"/>
          <w:color w:val="111111"/>
          <w:sz w:val="28"/>
          <w:sz w:val="28"/>
          <w:szCs w:val="28"/>
          <w:rtl w:val="true"/>
          <w:lang w:bidi="ar-SA"/>
        </w:rPr>
        <w:t xml:space="preserve">بالتقليد لفسقة فقهائهم ، فأمّا من كان من الفقهاء صائنا لنفسه حافظا لدينه ، مخالفا لهواه </w:t>
      </w:r>
      <w:r>
        <w:rPr>
          <w:rStyle w:val="FootnoteAnchor"/>
          <w:rtl w:val="true"/>
        </w:rPr>
        <w:footnoteReference w:id="1516"/>
      </w:r>
      <w:r>
        <w:rPr>
          <w:rFonts w:ascii="Amiri" w:hAnsi="Amiri" w:eastAsia="Amiri" w:cs="Amiri"/>
          <w:color w:val="111111"/>
          <w:sz w:val="28"/>
          <w:sz w:val="28"/>
          <w:szCs w:val="28"/>
          <w:rtl w:val="true"/>
          <w:lang w:bidi="ar-SA"/>
        </w:rPr>
        <w:t xml:space="preserve">، مطيعا لأمر مولاه ، فللعوام أن يقلّدوه ، وذلك لا يكون إلاّ بعض فقهاء الشيعة لا جميعهم ، فأمّا من ركب من القبائح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والفواحش </w:t>
      </w:r>
      <w:r>
        <w:rPr>
          <w:rFonts w:eastAsia="Amiri" w:cs="Amiri" w:ascii="Amiri" w:hAnsi="Amiri"/>
          <w:color w:val="111111"/>
          <w:sz w:val="28"/>
          <w:szCs w:val="28"/>
          <w:rtl w:val="true"/>
          <w:lang w:bidi="ar-SA"/>
        </w:rPr>
        <w:t>]</w:t>
      </w:r>
      <w:r>
        <w:rPr>
          <w:rStyle w:val="FootnoteAnchor"/>
          <w:rtl w:val="true"/>
        </w:rPr>
        <w:footnoteReference w:id="1517"/>
      </w:r>
      <w:r>
        <w:rPr>
          <w:rFonts w:ascii="Amiri" w:hAnsi="Amiri" w:eastAsia="Amiri" w:cs="Amiri"/>
          <w:color w:val="111111"/>
          <w:sz w:val="28"/>
          <w:sz w:val="28"/>
          <w:szCs w:val="28"/>
          <w:rtl w:val="true"/>
          <w:lang w:bidi="ar-SA"/>
        </w:rPr>
        <w:t>مراكب فسقة فقهاء العامّة فلا تقبلوا منهم عنّا شيئا ولا كرامة</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كثر التخليط فيما يتحمّل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 </w:t>
      </w:r>
      <w:r>
        <w:rPr>
          <w:rFonts w:eastAsia="Amiri" w:cs="Amiri" w:ascii="Amiri" w:hAnsi="Amiri"/>
          <w:color w:val="111111"/>
          <w:sz w:val="28"/>
          <w:szCs w:val="28"/>
          <w:rtl w:val="true"/>
          <w:lang w:bidi="ar-SA"/>
        </w:rPr>
        <w:t>]</w:t>
      </w:r>
      <w:r>
        <w:rPr>
          <w:rStyle w:val="FootnoteAnchor"/>
          <w:rtl w:val="true"/>
        </w:rPr>
        <w:footnoteReference w:id="1518"/>
      </w:r>
      <w:r>
        <w:rPr>
          <w:rFonts w:ascii="Amiri" w:hAnsi="Amiri" w:eastAsia="Amiri" w:cs="Amiri"/>
          <w:color w:val="111111"/>
          <w:sz w:val="28"/>
          <w:sz w:val="28"/>
          <w:szCs w:val="28"/>
          <w:rtl w:val="true"/>
          <w:lang w:bidi="ar-SA"/>
        </w:rPr>
        <w:t xml:space="preserve">أهل البيت </w:t>
      </w:r>
      <w:r>
        <w:rPr>
          <w:rStyle w:val="FootnoteAnchor"/>
          <w:rtl w:val="true"/>
        </w:rPr>
        <w:footnoteReference w:id="1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w:t>
      </w:r>
      <w:r>
        <w:rPr>
          <w:rStyle w:val="FootnoteAnchor"/>
          <w:rtl w:val="true"/>
        </w:rPr>
        <w:footnoteReference w:id="1520"/>
      </w:r>
      <w:r>
        <w:rPr>
          <w:rFonts w:ascii="Amiri" w:hAnsi="Amiri" w:eastAsia="Amiri" w:cs="Amiri"/>
          <w:color w:val="111111"/>
          <w:sz w:val="28"/>
          <w:sz w:val="28"/>
          <w:szCs w:val="28"/>
          <w:rtl w:val="true"/>
          <w:lang w:bidi="ar-SA"/>
        </w:rPr>
        <w:t xml:space="preserve">؛ لأنّ الفسقة يتحمّلون عنّا فيحرّفونه بأسره لجهلهم ، ويضعون الأشياء على غير وجهها لقلّة معرفتهم ، وآخرون يتعمّدون الكذب علينا ليجرّوا من عرض الدنيا ما هو زادهم إلى نار جهنّم ، ومنهم قوم نصّاب لا يقدرون على القدح فينا ، يتعلّمون بعض علومنا الصحيحة فيتوجّهون به عند شيعتنا ، وينتقصون بنا عند أعدائنا </w:t>
      </w:r>
      <w:r>
        <w:rPr>
          <w:rStyle w:val="FootnoteAnchor"/>
          <w:rtl w:val="true"/>
        </w:rPr>
        <w:footnoteReference w:id="1521"/>
      </w:r>
      <w:r>
        <w:rPr>
          <w:rFonts w:ascii="Amiri" w:hAnsi="Amiri" w:eastAsia="Amiri" w:cs="Amiri"/>
          <w:color w:val="111111"/>
          <w:sz w:val="28"/>
          <w:sz w:val="28"/>
          <w:szCs w:val="28"/>
          <w:rtl w:val="true"/>
          <w:lang w:bidi="ar-SA"/>
        </w:rPr>
        <w:t xml:space="preserve">ثمّ يضعون إليه أضعافه وأضعاف أضعافه من الأكاذيب علينا التي نحن براء منها فيتقبّله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المستسلمون </w:t>
      </w:r>
      <w:r>
        <w:rPr>
          <w:rFonts w:eastAsia="Amiri" w:cs="Amiri" w:ascii="Amiri" w:hAnsi="Amiri"/>
          <w:color w:val="111111"/>
          <w:sz w:val="28"/>
          <w:szCs w:val="28"/>
          <w:rtl w:val="true"/>
          <w:lang w:bidi="ar-SA"/>
        </w:rPr>
        <w:t>]</w:t>
      </w:r>
      <w:r>
        <w:rPr>
          <w:rStyle w:val="FootnoteAnchor"/>
          <w:rtl w:val="true"/>
        </w:rPr>
        <w:footnoteReference w:id="1522"/>
      </w:r>
      <w:r>
        <w:rPr>
          <w:rFonts w:ascii="Amiri" w:hAnsi="Amiri" w:eastAsia="Amiri" w:cs="Amiri"/>
          <w:color w:val="111111"/>
          <w:sz w:val="28"/>
          <w:sz w:val="28"/>
          <w:szCs w:val="28"/>
          <w:rtl w:val="true"/>
          <w:lang w:bidi="ar-SA"/>
        </w:rPr>
        <w:t>من شيعتنا على أنّه من علومنا ، فضلّوا وأضلّوا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w:t>
      </w:r>
      <w:r>
        <w:rPr>
          <w:rStyle w:val="FootnoteAnchor"/>
          <w:rtl w:val="true"/>
        </w:rPr>
        <w:footnoteReference w:id="1523"/>
      </w:r>
      <w:r>
        <w:rPr>
          <w:rFonts w:ascii="Amiri" w:hAnsi="Amiri" w:eastAsia="Amiri" w:cs="Amiri"/>
          <w:color w:val="111111"/>
          <w:sz w:val="28"/>
          <w:sz w:val="28"/>
          <w:szCs w:val="28"/>
          <w:rtl w:val="true"/>
          <w:lang w:bidi="ar-SA"/>
        </w:rPr>
        <w:t xml:space="preserve">أضرّ على ضعفاء شيعتنا من جيش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w:t>
      </w:r>
      <w:r>
        <w:rPr>
          <w:rStyle w:val="FootnoteAnchor"/>
          <w:rtl w:val="true"/>
        </w:rPr>
        <w:footnoteReference w:id="1524"/>
      </w:r>
    </w:p>
    <w:p>
      <w:pPr>
        <w:pStyle w:val="BookText"/>
        <w:rPr/>
      </w:pPr>
      <w:r>
        <w:rPr>
          <w:rFonts w:ascii="Amiri" w:hAnsi="Amiri" w:eastAsia="Amiri" w:cs="Amiri"/>
          <w:color w:val="111111"/>
          <w:sz w:val="28"/>
          <w:sz w:val="28"/>
          <w:szCs w:val="28"/>
          <w:rtl w:val="true"/>
          <w:lang w:bidi="ar-SA"/>
        </w:rPr>
        <w:t xml:space="preserve">على الحسين بن علي عليهما‌السلام </w:t>
      </w:r>
      <w:r>
        <w:rPr>
          <w:rStyle w:val="FootnoteAnchor"/>
          <w:rtl w:val="true"/>
        </w:rPr>
        <w:footnoteReference w:id="1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الحديث الشريف ، دلّ بموضعيه على مشروعية التقليد في حقّ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أشكل عليه ظاهر الآية الواردة في ذمّ تقليد عوام اليهود لعلمائهم لما وجده من المسلّمات عند الشيعة من تقليد عوامهم لعلمائهم ، أجاب عليه‌السلام بابداء الفرق بين التقليدين لا بإنكار أصل التقليد الذي كان هو الأولى بالجواب لو كان التقليد أمرا فاسدا من أصله ، وهذا تقرير منه عليه‌السلام لما اعتقده من مشروعيّة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كان من الفقهاء صائنا لنفسه حافظا لدينه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فإنّه صريح في حجّية قول الفقهاء في حقّ العوام وجواز اعتمادهم على أقوالهم ، ومطلق في الدلالة على الحجّية في حال الحياة والممات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ما عن المحاسن في محكي البحار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فبقول العلماء فاتبعوا </w:t>
      </w:r>
      <w:r>
        <w:rPr>
          <w:rFonts w:eastAsia="Amiri" w:cs="Amiri" w:ascii="Amiri" w:hAnsi="Amiri"/>
          <w:color w:val="111111"/>
          <w:sz w:val="28"/>
          <w:szCs w:val="28"/>
          <w:rtl w:val="true"/>
          <w:lang w:bidi="ar-SA"/>
        </w:rPr>
        <w:t xml:space="preserve">» </w:t>
      </w:r>
      <w:r>
        <w:rPr>
          <w:rStyle w:val="FootnoteAnchor"/>
          <w:rtl w:val="true"/>
        </w:rPr>
        <w:footnoteReference w:id="1526"/>
      </w:r>
      <w:r>
        <w:rPr>
          <w:rFonts w:ascii="Amiri" w:hAnsi="Amiri" w:eastAsia="Amiri" w:cs="Amiri"/>
          <w:color w:val="111111"/>
          <w:sz w:val="28"/>
          <w:sz w:val="28"/>
          <w:szCs w:val="28"/>
          <w:rtl w:val="true"/>
          <w:lang w:bidi="ar-SA"/>
        </w:rPr>
        <w:t xml:space="preserve">إلى غير ذلك مما لا يخفى على المتتبّع ، فإنّ المستظهر من جميع هذه الأخبار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فتوى الفقيه وقوله حكم ثانويّ في حق غيرهم من العوام الغير البالغين حدّ الفقاهة ، فلا يتفاوت حينئذ بين حال الحياة والممات</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يستدلّ على ذلك بدعوى استفادة المناط القطعي من هذه الأخبار ، 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ثبت من هذه الأدلّة حجّية قول الحي في حق المقلّد ، وهذا </w:t>
      </w:r>
    </w:p>
    <w:p>
      <w:pPr>
        <w:pStyle w:val="BookText"/>
        <w:rPr/>
      </w:pPr>
      <w:r>
        <w:rPr>
          <w:rFonts w:ascii="Amiri" w:hAnsi="Amiri" w:eastAsia="Amiri" w:cs="Amiri"/>
          <w:color w:val="111111"/>
          <w:sz w:val="28"/>
          <w:sz w:val="28"/>
          <w:szCs w:val="28"/>
          <w:rtl w:val="true"/>
          <w:lang w:bidi="ar-SA"/>
        </w:rPr>
        <w:t>ليس إلاّ لأجل كون قوله خبرا عن الواقع وكاشفا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صفة الحكاية غير زائلة عنه بمفارقة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هذا وبين الاستدلال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الاستدلال الأوّل مبنيّ على اندراج تقليد الميّت تحت إطلاق الأدلّة ، وهذا مبنيّ على اختصاصها بتقليد الحيّ مع اشتراك تقليد الميّت له في المناط المستظهر من عمومها ، وظاهر الوافية </w:t>
      </w:r>
      <w:r>
        <w:rPr>
          <w:rStyle w:val="FootnoteAnchor"/>
          <w:rtl w:val="true"/>
        </w:rPr>
        <w:footnoteReference w:id="1527"/>
      </w:r>
      <w:r>
        <w:rPr>
          <w:rFonts w:ascii="Amiri" w:hAnsi="Amiri" w:eastAsia="Amiri" w:cs="Amiri"/>
          <w:color w:val="111111"/>
          <w:sz w:val="28"/>
          <w:sz w:val="28"/>
          <w:szCs w:val="28"/>
          <w:rtl w:val="true"/>
          <w:lang w:bidi="ar-SA"/>
        </w:rPr>
        <w:t>أو صريحها هو الأول والثاني مما ذكره بعض الأصوليين</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يستدل أيضا بما 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حلال محمّد صلى‌اللّه‌عليه‌وآله حلال إلى يوم القيامة وحرامه حرام إلى يوم القيامة </w:t>
      </w:r>
      <w:r>
        <w:rPr>
          <w:rFonts w:eastAsia="Amiri" w:cs="Amiri" w:ascii="Amiri" w:hAnsi="Amiri"/>
          <w:color w:val="111111"/>
          <w:sz w:val="28"/>
          <w:szCs w:val="28"/>
          <w:rtl w:val="true"/>
          <w:lang w:bidi="ar-SA"/>
        </w:rPr>
        <w:t xml:space="preserve">» </w:t>
      </w:r>
      <w:r>
        <w:rPr>
          <w:rStyle w:val="FootnoteAnchor"/>
          <w:rtl w:val="true"/>
        </w:rPr>
        <w:footnoteReference w:id="1528"/>
      </w:r>
      <w:r>
        <w:rPr>
          <w:rFonts w:ascii="Amiri" w:hAnsi="Amiri" w:eastAsia="Amiri" w:cs="Amiri"/>
          <w:color w:val="111111"/>
          <w:sz w:val="28"/>
          <w:sz w:val="28"/>
          <w:szCs w:val="28"/>
          <w:rtl w:val="true"/>
          <w:lang w:bidi="ar-SA"/>
        </w:rPr>
        <w:t xml:space="preserve">بعد ملاحظة هذه الأخبار وغيرها ممّا دلّ على أنّ قول الفقيه حكم ثانويّ في حق المقلّد ؛ إذ لا فرق في تأييد الأحكام وعدم تغيّرها بتغيير الأحوال والأزمان بين الحكم الأوّلي والثانوي ، وقد استدلّ أيضا </w:t>
      </w:r>
      <w:r>
        <w:rPr>
          <w:rStyle w:val="FootnoteAnchor"/>
          <w:rtl w:val="true"/>
        </w:rPr>
        <w:footnoteReference w:id="1529"/>
      </w:r>
      <w:r>
        <w:rPr>
          <w:rFonts w:ascii="Amiri" w:hAnsi="Amiri" w:eastAsia="Amiri" w:cs="Amiri"/>
          <w:color w:val="111111"/>
          <w:sz w:val="28"/>
          <w:sz w:val="28"/>
          <w:szCs w:val="28"/>
          <w:rtl w:val="true"/>
          <w:lang w:bidi="ar-SA"/>
        </w:rPr>
        <w:t>زيادة على الأخبار المزبورة بخصوص ما ورد في كتاب يونس بن عبد الرحمن المسمى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موته ، من قول أبي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عرضه أبو جعفر الجعفري عليه ونظر فيه وتصفّحه كلّه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هذا ديني ودين آبائي ، وهو الحق كلّه </w:t>
      </w:r>
      <w:r>
        <w:rPr>
          <w:rFonts w:eastAsia="Amiri" w:cs="Amiri" w:ascii="Amiri" w:hAnsi="Amiri"/>
          <w:color w:val="111111"/>
          <w:sz w:val="28"/>
          <w:szCs w:val="28"/>
          <w:rtl w:val="true"/>
          <w:lang w:bidi="ar-SA"/>
        </w:rPr>
        <w:t xml:space="preserve">» </w:t>
      </w:r>
      <w:r>
        <w:rPr>
          <w:rStyle w:val="FootnoteAnchor"/>
          <w:rtl w:val="true"/>
        </w:rPr>
        <w:footnoteReference w:id="1530"/>
      </w:r>
      <w:r>
        <w:rPr>
          <w:rFonts w:ascii="Amiri" w:hAnsi="Amiri" w:eastAsia="Amiri" w:cs="Amiri"/>
          <w:color w:val="111111"/>
          <w:sz w:val="28"/>
          <w:sz w:val="28"/>
          <w:szCs w:val="28"/>
          <w:rtl w:val="true"/>
          <w:lang w:bidi="ar-SA"/>
        </w:rPr>
        <w:t xml:space="preserve">، وقول أبي جعفر عليه‌السلام بعد التصفّح من أوله إلى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 اللّه يونس </w:t>
      </w:r>
      <w:r>
        <w:rPr>
          <w:rFonts w:eastAsia="Amiri" w:cs="Amiri" w:ascii="Amiri" w:hAnsi="Amiri"/>
          <w:color w:val="111111"/>
          <w:sz w:val="28"/>
          <w:szCs w:val="28"/>
          <w:rtl w:val="true"/>
          <w:lang w:bidi="ar-SA"/>
        </w:rPr>
        <w:t xml:space="preserve">» </w:t>
      </w:r>
      <w:r>
        <w:rPr>
          <w:rStyle w:val="FootnoteAnchor"/>
          <w:rtl w:val="true"/>
        </w:rPr>
        <w:footnoteReference w:id="1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الأوّل نصّ في جواز العمل بكتابه وهو ميّت ، والثاني ظاهر في التقرير على العمل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الأخبار معظم ما يتمسّك بإطلاقها على جواز تقليد الميّت ، وبقيّة الوجوه لشدّة ضعفها ليس ممّا يصلح لتوهّم الخروج عن أصالة حرمة التقليد بسببها قوة </w:t>
      </w:r>
      <w:r>
        <w:rPr>
          <w:rStyle w:val="FootnoteAnchor"/>
          <w:rtl w:val="true"/>
        </w:rPr>
        <w:footnoteReference w:id="1532"/>
      </w:r>
      <w:r>
        <w:rPr>
          <w:rFonts w:ascii="Amiri" w:hAnsi="Amiri" w:eastAsia="Amiri" w:cs="Amiri"/>
          <w:color w:val="111111"/>
          <w:sz w:val="28"/>
          <w:sz w:val="28"/>
          <w:szCs w:val="28"/>
          <w:rtl w:val="true"/>
          <w:lang w:bidi="ar-SA"/>
        </w:rPr>
        <w:t>الوجه العقلي الذي ستسمع</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غير ناهضة في إثبات المدّعى ؛ إذ قد عرفت في الجواب عن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المتعارف من الأمر بالرجوع إلى الرواة والمحدّثين والعلماء والموثّقين ليس إلاّ بلوغ الحقّ إلى الجاهل وعلمه بما كان في جهل منه ، وأمّا إنشاء حكم ثانويّ تعبديّ ، وهو العمل بقولهم من دون حصول العلم والاعتقاد ، فهو بمراحل عن ذلك ، فلا دلالة لها على شرعيّة أصل التقليد فضلا عن تقليد الميّت ، ولذا قال صاحب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المعتمد من أدلّة التقليد إنّما هو الإجماع والضرورة ، وهما قاصران عن الدلالة على جواز تقليد الميّت </w:t>
      </w:r>
      <w:r>
        <w:rPr>
          <w:rStyle w:val="FootnoteAnchor"/>
          <w:rtl w:val="true"/>
        </w:rPr>
        <w:footnoteReference w:id="1533"/>
      </w:r>
      <w:r>
        <w:rPr>
          <w:rFonts w:ascii="Amiri" w:hAnsi="Amiri" w:eastAsia="Amiri" w:cs="Amiri"/>
          <w:color w:val="111111"/>
          <w:sz w:val="28"/>
          <w:sz w:val="28"/>
          <w:szCs w:val="28"/>
          <w:rtl w:val="true"/>
          <w:lang w:bidi="ar-SA"/>
        </w:rPr>
        <w:t xml:space="preserve">، وقد حقّقنا هذا المعنى في مسألة أخبار الآحاد ، ومما يؤكّد 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المقصود منها تعليم الجهّال بالأحكام الشرعيّة زيادة على ما هو الغالب المتعارف في أمثال هذه الخطابات اشتمال بعض الروايات الخاصّة ، مثل ما ورد في حقّ يونس </w:t>
      </w:r>
      <w:r>
        <w:rPr>
          <w:rStyle w:val="FootnoteAnchor"/>
          <w:rtl w:val="true"/>
        </w:rPr>
        <w:footnoteReference w:id="1534"/>
      </w:r>
      <w:r>
        <w:rPr>
          <w:rFonts w:ascii="Amiri" w:hAnsi="Amiri" w:eastAsia="Amiri" w:cs="Amiri"/>
          <w:color w:val="111111"/>
          <w:sz w:val="28"/>
          <w:sz w:val="28"/>
          <w:szCs w:val="28"/>
          <w:rtl w:val="true"/>
          <w:lang w:bidi="ar-SA"/>
        </w:rPr>
        <w:t xml:space="preserve">وزكريا بن آدم </w:t>
      </w:r>
      <w:r>
        <w:rPr>
          <w:rStyle w:val="FootnoteAnchor"/>
          <w:rtl w:val="true"/>
        </w:rPr>
        <w:footnoteReference w:id="1535"/>
      </w:r>
      <w:r>
        <w:rPr>
          <w:rFonts w:ascii="Amiri" w:hAnsi="Amiri" w:eastAsia="Amiri" w:cs="Amiri"/>
          <w:color w:val="111111"/>
          <w:sz w:val="28"/>
          <w:sz w:val="28"/>
          <w:szCs w:val="28"/>
          <w:rtl w:val="true"/>
          <w:lang w:bidi="ar-SA"/>
        </w:rPr>
        <w:t xml:space="preserve">على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اعتبار وصف الوثاقة والأمانة في المسئول عنه والمأخوذ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سوق الرواية ولو بملاحظة سؤال عبد العزيز الراوي عن كون يونس ثقة ليؤخذ عنه معالم الدين ، لا عن أصل جواز الأخذ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يشعر أو يدلّ على أنّ المقصود من </w:t>
      </w:r>
    </w:p>
    <w:p>
      <w:pPr>
        <w:pStyle w:val="BookText"/>
        <w:rPr/>
      </w:pPr>
      <w:r>
        <w:rPr>
          <w:rFonts w:ascii="Amiri" w:hAnsi="Amiri" w:eastAsia="Amiri" w:cs="Amiri"/>
          <w:color w:val="111111"/>
          <w:sz w:val="28"/>
          <w:sz w:val="28"/>
          <w:szCs w:val="28"/>
          <w:rtl w:val="true"/>
          <w:lang w:bidi="ar-SA"/>
        </w:rPr>
        <w:t xml:space="preserve">الرجوع إلى الرواة والموثّقين هو الوصول إلى الواقع ، لا تحصيل موضوع حكم ثانويّ تعبديّ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المفتي من حيث نفسه وكذا يؤكّد مورد رواية الاحتجاج </w:t>
      </w:r>
      <w:r>
        <w:rPr>
          <w:rStyle w:val="FootnoteAnchor"/>
          <w:rtl w:val="true"/>
        </w:rPr>
        <w:footnoteReference w:id="1536"/>
      </w:r>
      <w:r>
        <w:rPr>
          <w:rFonts w:ascii="Amiri" w:hAnsi="Amiri" w:eastAsia="Amiri" w:cs="Amiri"/>
          <w:color w:val="111111"/>
          <w:sz w:val="28"/>
          <w:sz w:val="28"/>
          <w:szCs w:val="28"/>
          <w:rtl w:val="true"/>
          <w:lang w:bidi="ar-SA"/>
        </w:rPr>
        <w:t xml:space="preserve">المصرّحة بجواز تقليد الفقهاء التي هي أوضح الأخبار وأصرحها دلالة بما هو من أصول الدين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النبوّة ، مع اتفاق الأصحاب على عدم جواز التقليد فيها</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التنزّل عن جميع ذلك نجيب عن الأخبار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أمر الإمام عليه‌السلام بالأخذ من زرارة وأبان وإسحاق ويونس وزكريّا والعميري ونحوهم ممّن أدركوا شرافة حضوره عليه‌السلام وأخذوا معالم الدين عنه بالسماع والشفاهة لا يدلّ على جواز الأخذ بقول كلّ من يفتى باجتهاده تعبّدا ؛ لأنّهم كانوا وسائط بين الإمام وبين سائر الخلق ، مثل وسائط عصرنا بين المجتهدين والمقلّدين من العدول والموثّقين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والأخذ من الواسطة ليس من التقليد له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ربما يفتي الواسطة باجتهاده مثل قول الشيخ أبي القاسم بن روح الجليل حين سأله </w:t>
      </w:r>
      <w:r>
        <w:rPr>
          <w:rStyle w:val="FootnoteAnchor"/>
          <w:rtl w:val="true"/>
        </w:rPr>
        <w:footnoteReference w:id="1537"/>
      </w:r>
      <w:r>
        <w:rPr>
          <w:rFonts w:ascii="Amiri" w:hAnsi="Amiri" w:eastAsia="Amiri" w:cs="Amiri"/>
          <w:color w:val="111111"/>
          <w:sz w:val="28"/>
          <w:sz w:val="28"/>
          <w:szCs w:val="28"/>
          <w:rtl w:val="true"/>
          <w:lang w:bidi="ar-SA"/>
        </w:rPr>
        <w:t xml:space="preserve">عن كتب الشلمغاني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فيها ما قاله العسكري عليه‌السلام في كتب ابن </w:t>
      </w:r>
      <w:r>
        <w:rPr>
          <w:rStyle w:val="FootnoteAnchor"/>
          <w:rtl w:val="true"/>
        </w:rPr>
        <w:footnoteReference w:id="1538"/>
      </w:r>
      <w:r>
        <w:rPr>
          <w:rFonts w:ascii="Amiri" w:hAnsi="Amiri" w:eastAsia="Amiri" w:cs="Amiri"/>
          <w:color w:val="111111"/>
          <w:sz w:val="28"/>
          <w:sz w:val="28"/>
          <w:szCs w:val="28"/>
          <w:rtl w:val="true"/>
          <w:lang w:bidi="ar-SA"/>
        </w:rPr>
        <w:t xml:space="preserve">فضّال ، حيث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نصنع بكتبهم وبيوتنا منها ملاء؟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ما رووا وذروا ما رأوا </w:t>
      </w:r>
      <w:r>
        <w:rPr>
          <w:rFonts w:eastAsia="Amiri" w:cs="Amiri" w:ascii="Amiri" w:hAnsi="Amiri"/>
          <w:color w:val="111111"/>
          <w:sz w:val="28"/>
          <w:szCs w:val="28"/>
          <w:rtl w:val="true"/>
          <w:lang w:bidi="ar-SA"/>
        </w:rPr>
        <w:t xml:space="preserve">» </w:t>
      </w:r>
      <w:r>
        <w:rPr>
          <w:rStyle w:val="FootnoteAnchor"/>
          <w:rtl w:val="true"/>
        </w:rPr>
        <w:footnoteReference w:id="1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اجتهاد مثل هذه الأشخاص مستند إلى السماع عن الإمام عليه‌السلام عموما أو خصوصا قطعا ، فالعمل باجتهادهم ورواياتهم في مرتبة واحدة </w:t>
      </w:r>
    </w:p>
    <w:p>
      <w:pPr>
        <w:pStyle w:val="BookText"/>
        <w:rPr/>
      </w:pPr>
      <w:r>
        <w:rPr>
          <w:rFonts w:ascii="Amiri" w:hAnsi="Amiri" w:eastAsia="Amiri" w:cs="Amiri"/>
          <w:color w:val="111111"/>
          <w:sz w:val="28"/>
          <w:sz w:val="28"/>
          <w:szCs w:val="28"/>
          <w:rtl w:val="true"/>
          <w:lang w:bidi="ar-SA"/>
        </w:rPr>
        <w:t>يجب على المقلّد والمجتهد على حدّ سواء ، فلا يقاس بهم غيرهم من المفتين الذين يفتون بغير سماع عن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أنّ ما ورد في حق عمري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قولي وكتابه كتابي </w:t>
      </w:r>
      <w:r>
        <w:rPr>
          <w:rFonts w:eastAsia="Amiri" w:cs="Amiri" w:ascii="Amiri" w:hAnsi="Amiri"/>
          <w:color w:val="111111"/>
          <w:sz w:val="28"/>
          <w:szCs w:val="28"/>
          <w:rtl w:val="true"/>
          <w:lang w:bidi="ar-SA"/>
        </w:rPr>
        <w:t xml:space="preserve">» </w:t>
      </w:r>
      <w:r>
        <w:rPr>
          <w:rStyle w:val="FootnoteAnchor"/>
          <w:rtl w:val="true"/>
        </w:rPr>
        <w:footnoteReference w:id="1540"/>
      </w:r>
      <w:r>
        <w:rPr>
          <w:rFonts w:ascii="Amiri" w:hAnsi="Amiri" w:eastAsia="Amiri" w:cs="Amiri"/>
          <w:color w:val="111111"/>
          <w:sz w:val="28"/>
          <w:sz w:val="28"/>
          <w:szCs w:val="28"/>
          <w:rtl w:val="true"/>
          <w:lang w:bidi="ar-SA"/>
        </w:rPr>
        <w:t>وأمثال ذلك في حقّ أمثاله لا يفيد حجّية الفتوى من كلّ من يفتي باجتهاده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أمر أبان بالإفتاء بين الناس لا يقتضي جواز تقليد غير الوسائط ، ومن هذا الباب ما قيل </w:t>
      </w:r>
      <w:r>
        <w:rPr>
          <w:rStyle w:val="FootnoteAnchor"/>
          <w:rtl w:val="true"/>
        </w:rPr>
        <w:footnoteReference w:id="1541"/>
      </w:r>
      <w:r>
        <w:rPr>
          <w:rFonts w:ascii="Amiri" w:hAnsi="Amiri" w:eastAsia="Amiri" w:cs="Amiri"/>
          <w:color w:val="111111"/>
          <w:sz w:val="28"/>
          <w:sz w:val="28"/>
          <w:szCs w:val="28"/>
          <w:rtl w:val="true"/>
          <w:lang w:bidi="ar-SA"/>
        </w:rPr>
        <w:t xml:space="preserve">في حقّ علي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الأصحاب كانوا يعملون بفتاويه عند إعواز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تسليم جميع ما ذكر منه لا دلالة فيها على جواز تقليد الميّت ابتداء كما لا يخفى</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الأخبار العامة ، فيرد على أخبار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دلالتها على حجّية الفتوى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بالدلالة على عكس المقصود ، أعني عدم جواز تقليد الميّت أولى ؛ لأنّ الحكومة لمّا كانت من المناصب الزائلة بالموت فتشاركه الفتوى في المنصبية والارتفاع بما يوجب ارتفاعها ، وعلى ما في التوقيع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والحوادث الواقعة فارجعوا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الاستدلال به موقوف على كون المراد بالحوادث الواقعة مواضع التقليد من المسائل العمليّة ، وهذا غير معلوم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الحوادث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 إشارة إلى الحوادث التي سأل عن حكمها إسحاق ، وسؤاله ليس بيدنا حتّى ننظر في المراد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ينقدح امتناع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الاستغراق الموقوف عليه تماميّة الاستدلال ؛ لأنّ عموميّة الجواب وخصوصيّته تابعان لعموم السؤال وخصوصيّته ، فإذا جهلنا عبارة السؤال ولم نعلم </w:t>
      </w:r>
    </w:p>
    <w:p>
      <w:pPr>
        <w:pStyle w:val="BookText"/>
        <w:rPr/>
      </w:pPr>
      <w:r>
        <w:rPr>
          <w:rFonts w:ascii="Amiri" w:hAnsi="Amiri" w:eastAsia="Amiri" w:cs="Amiri"/>
          <w:color w:val="111111"/>
          <w:sz w:val="28"/>
          <w:sz w:val="28"/>
          <w:szCs w:val="28"/>
          <w:rtl w:val="true"/>
          <w:lang w:bidi="ar-SA"/>
        </w:rPr>
        <w:t xml:space="preserve">أنّ المراد به ما ذا من العموم أو الخصوص من بعض الحوادث؟ امتنع حمل الجواب على شيء منهما ، بل قد يتقوّى كون المراد بالحوادث شبه المسائل الاعتقادية من الامور المشكلة ، وذلك لأن إسحاق بن يعقوب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فيه عن مسائل اشكلت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وإسحاق من أجلاّء الأصحاب ، وشأنه أجلّ من أن يشكل عليه أمر المسائل العمليّة التي هي موارد التقليد ولا يعرف تكليفه فيها حتى يسأل عن حكمها زمن الغيبة ، ويكون ذلك عنده من المشكلات ، مع أنّ الرجوع إلى العلماء في العمليّات كان ضروريّا لأغلب العوام فضلا عن الخواص ، ومما 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التوقيع الشريف يتضمّن جملة من المسائل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ما سألت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أرشدك اللّه وثبّتك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أمر المنكرين لي من أهل بيتنا وبني عمّنا ، فاعلم أنّه ليس بين اللّه عزّ وجل وبين أحد من قرابة ، ومن أنكرني فليس منّي ، وسبيله سبيل ابن نوح </w:t>
      </w:r>
      <w:r>
        <w:rPr>
          <w:rFonts w:eastAsia="Amiri" w:cs="Amiri" w:ascii="Amiri" w:hAnsi="Amiri"/>
          <w:color w:val="111111"/>
          <w:sz w:val="28"/>
          <w:szCs w:val="28"/>
          <w:rtl w:val="true"/>
          <w:lang w:bidi="ar-SA"/>
        </w:rPr>
        <w:t xml:space="preserve">»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وجه الانتفاع في غيبتي فكالانتفاع بالشمس إذا غيّبتها السحاب عن الأبصار </w:t>
      </w:r>
      <w:r>
        <w:rPr>
          <w:rFonts w:eastAsia="Amiri" w:cs="Amiri" w:ascii="Amiri" w:hAnsi="Amiri"/>
          <w:color w:val="111111"/>
          <w:sz w:val="28"/>
          <w:szCs w:val="28"/>
          <w:rtl w:val="true"/>
          <w:lang w:bidi="ar-SA"/>
        </w:rPr>
        <w:t xml:space="preserve">» </w:t>
      </w:r>
      <w:r>
        <w:rPr>
          <w:rStyle w:val="FootnoteAnchor"/>
          <w:rtl w:val="true"/>
        </w:rPr>
        <w:footnoteReference w:id="1543"/>
      </w:r>
      <w:r>
        <w:rPr>
          <w:rFonts w:ascii="Amiri" w:hAnsi="Amiri" w:eastAsia="Amiri" w:cs="Amiri"/>
          <w:color w:val="111111"/>
          <w:sz w:val="28"/>
          <w:sz w:val="28"/>
          <w:szCs w:val="28"/>
          <w:rtl w:val="true"/>
          <w:lang w:bidi="ar-SA"/>
        </w:rPr>
        <w:t xml:space="preserve">إلى غير ذلك مما اشتمل عليه التوقيع وليس من المسائل العملية مثل تكفير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الحسين بن علي عليهما‌السلام لم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ملاحظة هذه الفقرات وأمثالها مضافا إلى جلالة قدر إسحاق عن أن يجهل التكليف في المسائل العمليّة التي يبتلي بها في كلّ ساعة أو يوم ممّا يفيد الظنّ بأنّ المراد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الحوادث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وراء موارد التقليد ، قد خفي علينا باعتبار عدم ظفرنا بأصل السؤال وعبارته</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الحوادث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مجمل لكن عموم التعليل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فإنّهم حجّتي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اعتبار قول الرواة والمحدّثين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ذلك ، فمن الواضح اختصاصه بقول الأحياء ؛ لأنّ مرجع الضمير هم الأحياء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في رواية الاحتجاج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من كان من الفقهاء صائنا لنفسه </w:t>
      </w:r>
      <w:r>
        <w:rPr>
          <w:rStyle w:val="FootnoteAnchor"/>
          <w:rtl w:val="true"/>
        </w:rPr>
        <w:footnoteReference w:id="1544"/>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الاستدلال به موقوف على ثبوت الإطلاق بحسب الأحوال فيه ، بحيث يندرج فيه حالتا الحياة والممات ، وهو ممنوع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ظاهرة في الأحياء ، فلو كان فيه إطلاق فإنّما هو بحسب حالات الأحياء ، فلا يتعدّى منها إلى حالة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فلورود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Style w:val="FootnoteAnchor"/>
          <w:rtl w:val="true"/>
        </w:rPr>
        <w:footnoteReference w:id="1545"/>
      </w:r>
      <w:r>
        <w:rPr>
          <w:rFonts w:ascii="Amiri" w:hAnsi="Amiri" w:eastAsia="Amiri" w:cs="Amiri"/>
          <w:color w:val="111111"/>
          <w:sz w:val="28"/>
          <w:sz w:val="28"/>
          <w:szCs w:val="28"/>
          <w:rtl w:val="true"/>
          <w:lang w:bidi="ar-SA"/>
        </w:rPr>
        <w:t>مقام بيان مشروعيّة أصل التقليد ردّا لتوهّم الرجل السائل من ظاهر الآية حرمة التقليد رأسا ، فلا إطلاق فيه بحيث يقتضي حجّية فتوى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مع الغضّ عمّا في سند أكثر ما في هذه الأخبار من الضعف والإرسال ، خصوصا رواية الاحتجاج التي هي في أعلى مراتب الضعف ، وإلاّ فمن الواضح أنّ الخروج عن تحت الأصل المسلّم بين الكلّ بمثل هذه الضعاف سندا ودلالة مع مخالفة جلّ الأصحاب أو كلّهم ممّا لا يندرج تحت شيء من القواعد</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ظهر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له على مشروعيّة أصل التقليد رأسا ، والبعض الآخر على فرض دلالته عليه لا إطلاق فيه يشمل حالتي الحياة والممات ، بل إمّا مختصّ بظاهره بالأحياء ، أو ساكت من حيث الحياة والممات ، فلو تمسّك حينئذ بالاستصحاب ، فقد ظهر جوابه بما لا مزيد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ذكرنا ظهر الجواب عمّا ورد في كتاب يونس إذا نظر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ديني ودين آبائي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شيئا منهما لا يدلّ على كون ما في الكتاب حقّا صوابا مطابقا للواقع ، وأين هذا من الدلالة على جواز العمل بكتاب كلّ من أفتى في كتابه حسب الظنون الاجتهادية بامور يحتمل الصواب والخطأ ، وأيضا الظاهر أنّ ذلك الكتاب كان كتاب الرواية دون الفتوى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استدلال بعض </w:t>
      </w:r>
      <w:r>
        <w:rPr>
          <w:rStyle w:val="FootnoteAnchor"/>
          <w:rtl w:val="true"/>
        </w:rPr>
        <w:footnoteReference w:id="1546"/>
      </w:r>
      <w:r>
        <w:rPr>
          <w:rFonts w:ascii="Amiri" w:hAnsi="Amiri" w:eastAsia="Amiri" w:cs="Amiri"/>
          <w:color w:val="111111"/>
          <w:sz w:val="28"/>
          <w:sz w:val="28"/>
          <w:szCs w:val="28"/>
          <w:rtl w:val="true"/>
          <w:lang w:bidi="ar-SA"/>
        </w:rPr>
        <w:t xml:space="preserve">بما سمعت من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محمّد صلى‌اللّه‌عليه‌وآله حلال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أضعف من جميع الاستدلالات المزبورة لأنّ الحلال والحرام اسمان للحلال والحرام الواقعيين ، فلا يندرج فيهما التقليد التعبّدي الذي هو حكم ظاهري ، ولو سلّم صدقهما على ذلك فلا ريب أنّ تأبيد الأحكام لا يقتضي بقاءها بعد تغيّر العنوان وتبدّل المتعلّق ، فالوجوب الثابت للعمل بقول الحي لا يدلّ على وجوب العمل بقول الحيّ بحيث يدور مدار قول الحيّ ؛ فإن وجب العمل بقول الميّت أيضا فهو حكم آخر ثابت لموضوع آخر يحتاج إلى 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تنقيح المناط من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المستظهر منها حجيّة قول الحيّ من حيث كونه حكاية عن الواقع ، وهذه الحيثية لا تفارق القول المزبور بمفارقته ، ففيه من الضعف الواضح ما ترى ؛ لأنّ مدخليّة الحياة في الحجيّة إمّا مظنون أو محتمل أو لا دافع لهذا الاحتمال لا من عقل ولا من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الأدلّة اللفظية</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استدلّ على الجواز بدليل عقلي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الميّت مفيد للظنّ وكلّ ما يفيد الظنّ فهو حجّة في حقّ المقلّد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الصغرى فوجدانيّة ، وأمّا الكبرى فلدليل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التكاليف باقية وباب العلم منسدّ في حق المقلّد ، والظنّ الخاصّ مفقود ؛ لأنّ الدليل على جواز الأخذ بقول المجتهد تعبّدا مفقود ؛ إذ الأدلّة اللفظية من الكتاب والسنّة غير واضحة الدلالة ؛ لما فيها من المناقشات إلى ما شاء اللّه كما ظهر جملة منها ، ولو سلّم فلا يحصل منها إلاّ الظنّ المعلوم عدم حجّيته في إثبات الطريق الشرعي ، والأدلّة اللبّية من الإجماع والضرورة والسيرة غير ثابتة ؛ لأنّ السلف المعاصرين للإمام كان باب العلم في حقّهم مفتوحا ، وكانوا يعملون به ، والإجماع موهون بخلاف جملة من الأصحاب كفقهاء الحلب </w:t>
      </w:r>
      <w:r>
        <w:rPr>
          <w:rStyle w:val="FootnoteAnchor"/>
          <w:rtl w:val="true"/>
        </w:rPr>
        <w:footnoteReference w:id="1547"/>
      </w:r>
      <w:r>
        <w:rPr>
          <w:rFonts w:ascii="Amiri" w:hAnsi="Amiri" w:eastAsia="Amiri" w:cs="Amiri"/>
          <w:color w:val="111111"/>
          <w:sz w:val="28"/>
          <w:sz w:val="28"/>
          <w:szCs w:val="28"/>
          <w:rtl w:val="true"/>
          <w:lang w:bidi="ar-SA"/>
        </w:rPr>
        <w:t>والأخباريّين ، فلا مناص للعامي إلاّ الاعتماد على الظنّ كالمجتهد ؛ لأنّ الاقتصار على القدر المعلوم من الضرورة والإجماع من التكاليف يقتضي الخروج عن الدين ؛ لكونه في غاية 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وإلزام الاحتياط يستلزم العسر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الدليل احتجّ به الفاضل القمّي رحمه‌اللّه </w:t>
      </w:r>
      <w:r>
        <w:rPr>
          <w:rStyle w:val="FootnoteAnchor"/>
          <w:rtl w:val="true"/>
        </w:rPr>
        <w:footnoteReference w:id="1548"/>
      </w:r>
      <w:r>
        <w:rPr>
          <w:rFonts w:ascii="Amiri" w:hAnsi="Amiri" w:eastAsia="Amiri" w:cs="Amiri"/>
          <w:color w:val="111111"/>
          <w:sz w:val="28"/>
          <w:sz w:val="28"/>
          <w:szCs w:val="28"/>
          <w:rtl w:val="true"/>
          <w:lang w:bidi="ar-SA"/>
        </w:rPr>
        <w:t>على مختاره من جواز تقليد الميّت أو وجوبه إذا كان الظن الحاصل من قوله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فانّما يقتضي تقليد الميّت إذا كان الظنّ الحاصل من قوله أقوى من قول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صورة التساوي فلا إلاّ بضميمة دعوى عدم القول بالفصل ، لأنّ العمل بقول الميّت مع وجود الحي المساوي موقوف على حكم العقل بالتخيير بينهما ، والتخيير العقلي لا يجتمع مع احتمال المرجّح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 من الأدلّة لو لم يقتض تعيّن قول الحيّ وترجّحه على قول الميّت ، </w:t>
      </w:r>
    </w:p>
    <w:p>
      <w:pPr>
        <w:pStyle w:val="BookText"/>
        <w:rPr/>
      </w:pPr>
      <w:r>
        <w:rPr>
          <w:rFonts w:ascii="Amiri" w:hAnsi="Amiri" w:eastAsia="Amiri" w:cs="Amiri"/>
          <w:color w:val="111111"/>
          <w:sz w:val="28"/>
          <w:sz w:val="28"/>
          <w:szCs w:val="28"/>
          <w:rtl w:val="true"/>
          <w:lang w:bidi="ar-SA"/>
        </w:rPr>
        <w:t>فلا أقلّ من قيام الاحتمال ، ومع قيامه لا يحكم العقل بالتخيير جدّا ، بل يأخذ بالقدر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الاجماع المركب أو عدم القول بالفصل إنّما يناسب ممّن يعترف بكون جواز أصل التقليد إجماعيّا ، وإلاّ فاتفاق طائفة من الأصحاب القائلين بجوازه على عدم القول بالفصل مع خلاف من يقدح خلافه في انعقاد الإجماع على أصل التقليد لا حجّية فيه ، مثل عدم حجّية اتّفاقهم على أصل التقليد ، والمفروض أنّ المستدلّ أحد مقدّمات دليله عدم ثبوت الإجماع على جواز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فلنا قلب الإجماع المركّب ؛ لأنّ الأخذ بقول الحيّ عند التساوي قضيّة الأصل الأوّلي المسلّم بين الكلّ فيتمّ في صورة الاختلاف في مقدار الظنّ بالإجماع المركّب من قول المجمعين على أصل التقليد ؛ لأنّ مخالفة نادر ممّن سبق إلى ذهنه الشبهة لا يقدح في ثبوت الإجماع عندنا معاشر المانعين ، فليتدبّر جيّدا</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إنكار الظنّ الخاصّ يمنع قيام الدليل على حجيّة قول المفتي في حق المقلّد تعبّدا مكابرة واضحة ؛ لأنّ جواز تقليد العامي في الجملة معلوم بالضرورة من المذهب بل من الدين ، كسائر الأحكام الضروريّة ، مثل وجوب الصلاة والصوم يتحقّق موجبها من مسيس الحاجة وتوفّر الدواعي واستقرار طريقة السلف المعاصرين للإمام عليه‌السلام ، والخلف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العالم والجاهل والشريف والوضيع إلى يومنا هذا عليه ، فإنكار نادر ممّن اختلّ طريقته كالأخباريين ليس إلاّ كإنكار من منع عن ثبوت التكاليف الشرعيّة في حقّ الواصلين إلى درجة اليقين من حيث عدم القدح في انعقاد الإجماع ، وأمّا إنكار بعض فقهاء حلب ، فمع عدم منافاته لانعقاد الإجماع في هذا اليوم على طريقة المتأخّرين من دورانه مدار الكشف ، فلعلّه لأجل بعض الشبهات السابق إلى أذهانهم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اعلم ، أنّه إذا فرغنا من وجوب التقليد على العامي واختلفنا في وجوب تقليد الحي وعدمه ، فوظيفة العامي أوّلا الرجوع إلى الحيّ حتّى على القول بجواز تقليد الميّت ، فلا يجوز له الرجوع إلى الميّت ابتداء ، وقد أشار إلى ذلك صاحب المعالم </w:t>
      </w:r>
      <w:r>
        <w:rPr>
          <w:rStyle w:val="FootnoteAnchor"/>
          <w:rtl w:val="true"/>
        </w:rPr>
        <w:footnoteReference w:id="1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العامي إذا علم أنّ تكليفه هو التقليد ، ولم يعلم أنّه مكلّف بتقليد الحي ، أو يجوز له تقليد الميّت وجب عليه بحكم العقل الأخذ بالقدر المتيقّن المعلوم ؛ لأنّ العمل بالمشكوك فيه لا بدّ له من دليل ، ولا دليل للعامي عليه من إجماع أو ضرورة أو نحو ذلك من القطعيّات ،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وثمرة البحث في جواز تقليد الميّت إنّما هي للمجتهد إذا سأله العامي عن حكم تقليد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في جميع الشروط الخلافية في المفتي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اختلفا في وجوب أصل التقليد ودار تكليف العامي بينه وبين العمل بالظنّ ، وجب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أدلّة التقليد ؛ لأنّ ذلك الدليل العقلي يتوقّف على فقد طريق شرعيّ له إلى الأحكام ، فلا يجوز له العمل بذلك الدليل إلاّ بعد الفحص واليأس عن قيام الدليل القطعي على حجيّة بعض الطرق ، كما لا يجوز العمل بأصل البراءة قبل الفحص عن المعارض ، ومن الواضح أنّ المقلّد ليس من أهل النظر في الأدلّة ، فينحصر تكليفه في الاحتياط أو الرجوع إلى الأحياء في أخذ مدارك التقليد ، ثمّ النظر فيها ، فإن بقي له بعد ذلك شكّ أخذ بالظنّ في هذه المسألة الأصوليّة</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الدليل على فرض تماميّته إنّما يجدي للمجتهد في الفتوى بتقليد الموتى مع حصول الظنّ ، دون العامي القاصر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غاية ما يلزم من تماميّة 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تكليف العامي هو العمل بالظنّ ، ولا ريب أنّ الظنّ الحاصل من فتوى المعظم بعدم جواز تقليد الميّت ، ومن الإجماعات والشهرة والأخبار والآيات مانع بالنسبة إلى الظنّ الشخصي الحاصل له في خصوص المسألة الفرعيّة من قول الميّت ، وقد اشتهر بين الاصوليين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تعارض الظنّ المانع والممنوع وجب الأخذ بظنّه المانع مطلقا ، سواء كان أضعف من الظنّ الممنوع أم أقوى ، وعلى القول بوجوب الأخذ بأقوى الظنّين منهما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المانع هنا أعني الظنّ الحاصل من الإجماعات ومصير الجلّ أو الكلّ المتعلّق بحرمة تقليد الموتى أبدا أقوى من الظنّ الحاصل من فتوى الحيّ فضلا عن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الدليل على فرض تماميّته يقتضي وجوب الأخذ بفتوى الحيّ لأنّ الظنّ الحاصل من قول الميّت مظنون عدم اعتباره بملاحظة الإجماعات بالظنّ الأقوى</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مفاد هذا الدليل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العمل بالظنّ على العامي ، سواء كان حاصلا من قول الحيّ أو الميّت ، مما لم أجد قائلا بها </w:t>
      </w:r>
      <w:r>
        <w:rPr>
          <w:rStyle w:val="FootnoteAnchor"/>
          <w:rtl w:val="true"/>
        </w:rPr>
        <w:footnoteReference w:id="1550"/>
      </w:r>
      <w:r>
        <w:rPr>
          <w:rFonts w:ascii="Amiri" w:hAnsi="Amiri" w:eastAsia="Amiri" w:cs="Amiri"/>
          <w:color w:val="111111"/>
          <w:sz w:val="28"/>
          <w:sz w:val="28"/>
          <w:szCs w:val="28"/>
          <w:rtl w:val="true"/>
          <w:lang w:bidi="ar-SA"/>
        </w:rPr>
        <w:t xml:space="preserve">سوى الفاضل القمّي رحمه‌اللّه ولذا ادعى غير واحد </w:t>
      </w:r>
      <w:r>
        <w:rPr>
          <w:rStyle w:val="FootnoteAnchor"/>
          <w:rtl w:val="true"/>
        </w:rPr>
        <w:footnoteReference w:id="1551"/>
      </w:r>
      <w:r>
        <w:rPr>
          <w:rFonts w:ascii="Amiri" w:hAnsi="Amiri" w:eastAsia="Amiri" w:cs="Amiri"/>
          <w:color w:val="111111"/>
          <w:sz w:val="28"/>
          <w:sz w:val="28"/>
          <w:szCs w:val="28"/>
          <w:rtl w:val="true"/>
          <w:lang w:bidi="ar-SA"/>
        </w:rPr>
        <w:t xml:space="preserve">من المطّلعين على قوله الإجماع المحقّق على خلافه ، ولعلّ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القول منع لأصل التقليد رأسا مثل قول الأخباريين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العمل بقول الميّت لأجل الظنّ الحاصل منه ليس تقليدا للميّت تعبّدا كما لا يخفى ، فهذا القول يمكن إبطاله باتّفاق كلّ من أجاز التقليد من حيث كونه تقليدا</w:t>
      </w:r>
      <w:r>
        <w:rPr>
          <w:rFonts w:eastAsia="Amiri" w:cs="Amiri" w:ascii="Amiri" w:hAnsi="Amiri"/>
          <w:color w:val="111111"/>
          <w:sz w:val="28"/>
          <w:szCs w:val="28"/>
          <w:rtl w:val="true"/>
          <w:lang w:bidi="ar-SA"/>
        </w:rPr>
        <w:t xml:space="preserve">. </w:t>
      </w:r>
      <w:bookmarkStart w:id="386" w:name="pg16264_169924"/>
    </w:p>
    <w:p>
      <w:pPr>
        <w:pStyle w:val="BookText"/>
        <w:rPr/>
      </w:pPr>
      <w:bookmarkEnd w:id="386"/>
      <w:r>
        <w:rPr>
          <w:rFonts w:ascii="Amiri" w:hAnsi="Amiri" w:eastAsia="Amiri" w:cs="Amiri"/>
          <w:color w:val="111111"/>
          <w:sz w:val="28"/>
          <w:sz w:val="28"/>
          <w:szCs w:val="28"/>
          <w:rtl w:val="true"/>
          <w:lang w:bidi="ar-SA"/>
        </w:rPr>
        <w:t xml:space="preserve">ثمّ من أعجب العجائب أنّ صاحب الوافية </w:t>
      </w:r>
      <w:r>
        <w:rPr>
          <w:rStyle w:val="FootnoteAnchor"/>
          <w:rtl w:val="true"/>
        </w:rPr>
        <w:footnoteReference w:id="1552"/>
      </w:r>
      <w:r>
        <w:rPr>
          <w:rFonts w:ascii="Amiri" w:hAnsi="Amiri" w:eastAsia="Amiri" w:cs="Amiri"/>
          <w:color w:val="111111"/>
          <w:sz w:val="28"/>
          <w:sz w:val="28"/>
          <w:szCs w:val="28"/>
          <w:rtl w:val="true"/>
          <w:lang w:bidi="ar-SA"/>
        </w:rPr>
        <w:t xml:space="preserve">استدلّ على جواز تقليد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بالعسر والحرج المنفيّين ، فهما يندفعان به ،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العسر كما يندفع بتقليد الحيّ كذلك يندفع بتقليد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 من الواضحات يعرفه القروي والبدوي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فراغ كلامنا عن وجوب تقليد الحي ، ومن شاء فليتخذ مع الحق سبيلا</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4588776_1280447820"/>
      <w:bookmarkStart w:id="388" w:name="_Toc120"/>
      <w:bookmarkEnd w:id="387"/>
      <w:r>
        <w:rPr>
          <w:rtl w:val="true"/>
        </w:rPr>
        <w:t xml:space="preserve">وينبغي التنبيه على امور </w:t>
      </w:r>
      <w:r>
        <w:rPr>
          <w:rtl w:val="true"/>
        </w:rPr>
        <w:t>:</w:t>
      </w:r>
      <w:bookmarkEnd w:id="388"/>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فرق عندنا وعند المشهور في اشتراط حياة المجتهد بين التقليد الابتدائي والاستمراري ، ولكن حدث لبعض مشايخنا في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كصاحب الفصول </w:t>
      </w:r>
      <w:r>
        <w:rPr>
          <w:rStyle w:val="FootnoteAnchor"/>
          <w:rtl w:val="true"/>
        </w:rPr>
        <w:footnoteReference w:id="1553"/>
      </w:r>
      <w:r>
        <w:rPr>
          <w:rFonts w:ascii="Amiri" w:hAnsi="Amiri" w:eastAsia="Amiri" w:cs="Amiri"/>
          <w:color w:val="111111"/>
          <w:sz w:val="28"/>
          <w:sz w:val="28"/>
          <w:szCs w:val="28"/>
          <w:rtl w:val="true"/>
          <w:lang w:bidi="ar-SA"/>
        </w:rPr>
        <w:t xml:space="preserve">وبعض من يقاربه في الزمان </w:t>
      </w:r>
      <w:r>
        <w:rPr>
          <w:rStyle w:val="FootnoteAnchor"/>
          <w:rtl w:val="true"/>
        </w:rPr>
        <w:footnoteReference w:id="1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بالفصل بينهما ، فذهبوا إلى عدم الاشتراط في الثاني زاعمين أنّه غير مندرج تحت إطلاق كلمات المانعين ، ولم نجد لهذا التفصيل مصرّحا من الأوائل والأواسط ، غير أنّ شارح الوافية </w:t>
      </w:r>
      <w:r>
        <w:rPr>
          <w:rStyle w:val="FootnoteAnchor"/>
          <w:rtl w:val="true"/>
        </w:rPr>
        <w:footnoteReference w:id="1555"/>
      </w:r>
      <w:r>
        <w:rPr>
          <w:rFonts w:ascii="Amiri" w:hAnsi="Amiri" w:eastAsia="Amiri" w:cs="Amiri"/>
          <w:color w:val="111111"/>
          <w:sz w:val="28"/>
          <w:sz w:val="28"/>
          <w:szCs w:val="28"/>
          <w:rtl w:val="true"/>
          <w:lang w:bidi="ar-SA"/>
        </w:rPr>
        <w:t xml:space="preserve">نسبه إلى ميل بعض المتأخرين ثمّ استقربه ، بل الظاهر من كلمات الأصحاب ومعاقد الإجماعات عدم الفرق بينهما كما ستعرف ، حتّى أنّ سوق كلام صاحب الوافية مما يشعر بحداثة ذلك التفصيل الذي مال إليه بعض المتأخّرين </w:t>
      </w:r>
    </w:p>
    <w:p>
      <w:pPr>
        <w:pStyle w:val="BookText"/>
        <w:rPr/>
      </w:pPr>
      <w:r>
        <w:rPr>
          <w:rFonts w:ascii="Amiri" w:hAnsi="Amiri" w:eastAsia="Amiri" w:cs="Amiri"/>
          <w:color w:val="111111"/>
          <w:sz w:val="28"/>
          <w:sz w:val="28"/>
          <w:szCs w:val="28"/>
          <w:rtl w:val="true"/>
          <w:lang w:bidi="ar-SA"/>
        </w:rPr>
        <w:t xml:space="preserve">حيث لم ينسبه إلى أحد من المتقدّمين ، مع أنّ بناءه كان على استيفاء الأقوال ، كما يرشد إليه نقل قول الشيخ سليمان والعلاّمة الجرجاني والشيخ علي بن هلال </w:t>
      </w:r>
      <w:r>
        <w:rPr>
          <w:rStyle w:val="FootnoteAnchor"/>
          <w:rtl w:val="true"/>
        </w:rPr>
        <w:footnoteReference w:id="1556"/>
      </w:r>
      <w:r>
        <w:rPr>
          <w:rFonts w:ascii="Amiri" w:hAnsi="Amiri" w:eastAsia="Amiri" w:cs="Amiri"/>
          <w:color w:val="111111"/>
          <w:sz w:val="28"/>
          <w:sz w:val="28"/>
          <w:szCs w:val="28"/>
          <w:rtl w:val="true"/>
          <w:lang w:bidi="ar-SA"/>
        </w:rPr>
        <w:t>بجواز الأخذ من كتب المجتهدين بعد الأخذ بقول الحيّ أو قول من يحكي عنه ، وإن أردت أن تطمئن نفسك بصدق كلامنا هذا ، فعليك بالمراجعة إلى أدلّة المثبتين والمانعين تجد بعضها مطلقا بالنسبة إلى الابتداء والاستدامة وبعضها مصرّحا بعدم الفرق بينهما</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حكي عن بعض رسائله في مقام الاستدلال على الجواز مطلقا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أدلة الجواز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أخذ المقلّد مسألة من الفقيه الحيّ ، وكان مصاحبا لذلك الفقيه مطّلعا على أحواله وتبدّل آرائه فأفتاه بحكم مستنده النصّ والإجماع ، فعمل به واستمرّ عليه إلى بعد صلاة المغرب ، فمات ذلك الفقيه بين الصلاتين فعمل بتلك الفتوى في صلاة العشاء ، فتكون بناء على ما قلتم صحيحة وصلاة العشاء باطلة ، فنحن نسأل من بطلان هذه الصلاة الموافق حكمها للنصّ والإجماع؟ ولا يستندون في إبطالها إلى شيء سوى موت ذلك الفقيه ، فحينئذ فاللازم كونه شريكا في الأحكام الشرعيّة ، وهذا لا ينطبق على أصولنا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يوافق ما ذهب إليه الكرخي ، حيث يقول في مسجد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وأنا أقول ، يعني خلافا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علماؤنا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يحكون كلامه ويعملون به ، فلا تفاوت في اتّباع أقوالهم بين حياتهم وموتهم </w:t>
      </w:r>
      <w:r>
        <w:rPr>
          <w:rStyle w:val="FootnoteAnchor"/>
          <w:rtl w:val="true"/>
        </w:rPr>
        <w:footnoteReference w:id="1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اللّه مقامه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من الصراحة في دخول البقاء على تقليد الحيّ بعد موته تحت النزاع ما ترى ، إذ لو لا ذلك لكان الاستدلال أجنبيّا حيث لا يلزم ذلك إلاّ جواز تقليد الميّت استدامة ، ومع خروجه عن تحت كلام المانعين كان التقريب ممتنعا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وأصرح منه كلام السيّد المحقّق الكاظميني في شرحه على الوافية ، حيث تصدّى لجواب هذا الدليل بالنقض بما إذا تغيّر رأي المجتهد بين الصلاتين ، فلو كان البقاء على التقليد خارجا عن محلّ النزاع غير مشمول لإطلاق كلام المانعين ، كان الأولى </w:t>
      </w:r>
      <w:r>
        <w:rPr>
          <w:rStyle w:val="FootnoteAnchor"/>
          <w:rtl w:val="true"/>
        </w:rPr>
        <w:footnoteReference w:id="1558"/>
      </w:r>
      <w:r>
        <w:rPr>
          <w:rFonts w:ascii="Amiri" w:hAnsi="Amiri" w:eastAsia="Amiri" w:cs="Amiri"/>
          <w:color w:val="111111"/>
          <w:sz w:val="28"/>
          <w:sz w:val="28"/>
          <w:szCs w:val="28"/>
          <w:rtl w:val="true"/>
          <w:lang w:bidi="ar-SA"/>
        </w:rPr>
        <w:t>تسليم البقاء على التقليد ومنع استلزامه ثبوت المدّعى ، أعني التقليد الابتدائي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ومثلهما في الصراحة ، بل وأصرح ما ذكره السيّد أيضا في الشرح المزبور في جواب استدلال المجوّزين من العامة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موت الشاهد لا يبطل شهادته ، وكذا فتواه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الشاهد إذا شهد عند القاضي ثم مات قبل الحكم فحكم بعد ذلك بمقتضى تلك الشهادة فليس ذلك من القاضي اعتدادا بقول الميّت وشهادته ، بل بما أصاب من العلم المحرز عنده</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لمّا رأى عدم نهوض هذا الجواب في الفرق بين قبول الشهادة والتقليد الاستمراري ، عدل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وأقرب من ذلك وأسلم منه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في تقليد الميّت واقتفاء أثره واتباعه فيما ظنّ واستنبطه لا في اعتبار خبره وذلك أنّ الأوّل قد يعارض بتقليد الميّت فيما تناوله حيّا </w:t>
      </w:r>
      <w:r>
        <w:rPr>
          <w:rStyle w:val="FootnoteAnchor"/>
          <w:rtl w:val="true"/>
        </w:rPr>
        <w:footnoteReference w:id="155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فانّ هذا الكلام في غاية الصراحة في دخول الاستمراري تحت النزاع كالابتدائي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فالحقّ الذي لا ينبغي الارتياب فيه هو القول المشهور من عدم الجواز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على ذلك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المقرّر فيما تقدّم بوجوه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وإطلاق الإجماعات المزبورة الشاهد على صدقها التتبع في كتب السلف والخلف على ما سنبيّن من فساد توهّم عدم تناولها للاستمراري ، مضافا إلى بعض الوجوه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انعقاد الإجماع على خلاف الميّت دون الحي ، ومثل دوران حجيّة قول المفتي مدار ظنّه الزائل بالموت على ما اتّضح هناك وغيرهما ، كما يظهر بالتأمّل ؛ فإنّ هذه الوجوه على فرض تماميّتها شاملة لمحلّ البحث بل لو سلّم عدم تماميّتها في نفسها فهي ما تشهد باندراج محلّ البحث تحت قول المانعين ؛ لأنّ عموم الحجيّة وإطلاقها دليل على عموم المحجوج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وللقول بالجواز أيضا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 وقد يقرّر تارة بالنسبة إلى نفس المسألة التي نحن فيها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المقلّد كان له تقليد مجتهده حال حياته ، وارتفاع هذا الحكم بموته غير معلوم ، والأصل يقتضي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المجتهد كان ممّن يجوز الاعتماد على قوله ، والأصل البقاء إلى القطع بطروّ المزيل</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وهذان الاستصحابان قد ظهر جوابهما فيما تقدّم </w:t>
      </w:r>
      <w:r>
        <w:rPr>
          <w:rStyle w:val="FootnoteAnchor"/>
          <w:rtl w:val="true"/>
        </w:rPr>
        <w:footnoteReference w:id="1560"/>
      </w:r>
      <w:r>
        <w:rPr>
          <w:rFonts w:ascii="Amiri" w:hAnsi="Amiri" w:eastAsia="Amiri" w:cs="Amiri"/>
          <w:color w:val="111111"/>
          <w:sz w:val="28"/>
          <w:sz w:val="28"/>
          <w:szCs w:val="28"/>
          <w:rtl w:val="true"/>
          <w:lang w:bidi="ar-SA"/>
        </w:rPr>
        <w:t xml:space="preserve">بما لا مزيد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p>
    <w:p>
      <w:pPr>
        <w:pStyle w:val="BookText"/>
        <w:rPr/>
      </w:pPr>
      <w:r>
        <w:rPr>
          <w:rFonts w:ascii="Amiri" w:hAnsi="Amiri" w:eastAsia="Amiri" w:cs="Amiri"/>
          <w:color w:val="111111"/>
          <w:sz w:val="28"/>
          <w:sz w:val="28"/>
          <w:szCs w:val="28"/>
          <w:rtl w:val="true"/>
          <w:lang w:bidi="ar-SA"/>
        </w:rPr>
        <w:t>الجائز في حقّ المقلّد إنّما كان الأخذ بظنّ المجتهد الحي ، وإذا مات تغيّر الموضوع ، إمّا لزوال الظنّ ، كما حقّقنا وبرهنّا عليه ، أو لزوال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 ذلك مطلوب من هنالك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واخرى بالنسبة إلى الحكم الشرعيّ الثابت في حقّه للواقعة المعيّنة الفرعيّة ، مثل حرمة العصير ونجاسة الغسالة وأمثالهما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العصير قد كان محرّما عليه قبل موت مجتهده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بقاء الحرمة ؛ لعدم العلم بالمزيل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الكلام في نجاسة الغسالة وسائر ما قلّده فيه من المسائل الفرعيّة ، مثل وجوب السورة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 أيضا يظهر من التأمّل في جواب الأوّل ؛ لأنّ حرمة العصير في حال حياة المفتي لمّا كانت مستندة إلى ظنّه فلا جرم من زوال موضوعها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هذا الإجمال زيادة على ما سبقت إليه الإشارة الإجماليّة في التقليد الابتدائي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الثابت للموضوع كالعصير ، تارة يكون من جهة كونه عصيرا واخرى من حيث كونه ممّا تعلّق بحرمة ظنّ المجتهد الحي</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الأوّل ، فلا شبهة في جريان الاستصحاب فيه عند الشك في طروّ ما يزيله ، ولكنّه منحصر في القطعيّات التي نعلم بالحكم الشرعي فيها من ضرورة أو إجماع ، إذ لا ملازمة بين الظنّ بالحكم وبين ثبوته في الواقع حتّى في نظر الظانّ إلاّ بعد قيام دليل قطعيّ يفيد الملازمة التي مرجعها إلى وجوب العمل بالظنّ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فالحكم يدور مدار ذلك الظنّ الذي دلّ ذلك الدليل القطعي على اعتباره</w:t>
      </w:r>
      <w:r>
        <w:rPr>
          <w:rFonts w:eastAsia="Amiri" w:cs="Amiri" w:ascii="Amiri" w:hAnsi="Amiri"/>
          <w:color w:val="111111"/>
          <w:sz w:val="28"/>
          <w:szCs w:val="28"/>
          <w:rtl w:val="true"/>
          <w:lang w:bidi="ar-SA"/>
        </w:rPr>
        <w:t xml:space="preserve">. </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الثاني ، فإجراء الاستصحاب فيه ممتنع عند تغيّر الحيثيّة التي كان الحكم ثابتا للعصير من جهتها ؛ لأنّ المتيقّن في الزمان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قبل ممات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حرمة العصير من حيث كونه متعلّق ظنّ الحيّ لا من حيث كونه عصيرا ، فإن أردت بقولك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العصير قد كان حراما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كان حراما من حيث ذاته ، فقد كذبت ؛ لأنّ حكم ذات العصير من حيث كونه عصيرا غير معلوم ، وإنّما ظنّ به المقلّد من قول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أردت به أنّه كان حراما من حيث تعلّق ظنّ المجتهد الحيّ به ومن جهة كون الاجتناب عنه من جزئيّات اتّباع ظنّ المجتهد الحيّ ، فمسلّم معلوم متيقّن في الزمان السابق ، لكن الموت يوجب تبدّل موضوع هذا الحكم الظاهر إمّا بزوال أصل الظنّ ، كما هو الحقّ ، أو بزوال الحياة إلى موضوع آخر ، ومن الواضح أنّ حكم شيء من الموضوعات لا ينسحب بسبب الاستصحاب إلى موضوع آخر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استصحاب الحكم الواقعي فلا يقين به في الزمن السابق ، 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استصحاب الحكم الظاهري الذي موضوعه ظنّ الحيّ ، إمّا بدعوى كونه قول المفتي ، يعني إخباره عن الواقع كالرواية التي هي موضوع لوجوب عمل المجتهد بها ، أو بدعوى كونه مظنون المجتهد في أحد الأزمنة ، أو كونه ظنّ المجتهد سواء كان حيّا أو ميّتا مع دعوى بقاء الظنّ بعد الموت ، فمع قيام أدلّة واضحة على بطلان كلّ من هذه الاحتمالات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ظهر طائفة منها من تضاعيف الكلمات الماضية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مماشاة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الدعاوي ليست ممّا قام على شيء منها دليل واضح ، بل مقتضى أدلّة التقليد كون الموضوع 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ظنّ الحيّ ولو من جهة التمسّك بالأصل الذي قد عرفت عدم قيام دليل وارد عليه ، فغاية ما في الباب صيرورة حكم السابق مشكوكا ، وقد قرّرنا واخترنا في محلّه عدم حجّية الاستصحاب عند الشك في 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ظواهر الآيات والأخبار الدالّة على جواز التقليد ؛ فإنّ المستفاد منها ثبوت الحكم المقلّد فيه في زمن المقلّد ؛ إذ لم يشترط في وجوب الحذر الإنذار ، والمدلول عليه بآية النفر بقاء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يقيّد إطلاق الأمر بالتعويل على أقوال العلماء بصورة بقائهم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دلالتها على أصل التقليد ، وسند المنع بالنسبة إلى كلّ واحد منها قد مرّ سابقا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إطلاقها بالنسبة إلى صورة البقاء وعدمه ، لأنّ ما عدا آية النفر لا يدلّ على 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w:t>
      </w:r>
      <w:r>
        <w:rPr>
          <w:rFonts w:eastAsia="Amiri" w:cs="Amiri" w:ascii="Amiri" w:hAnsi="Amiri"/>
          <w:color w:val="111111"/>
          <w:sz w:val="28"/>
          <w:szCs w:val="28"/>
          <w:rtl w:val="true"/>
          <w:lang w:bidi="ar-SA"/>
        </w:rPr>
        <w:t>]</w:t>
      </w:r>
      <w:r>
        <w:rPr>
          <w:rStyle w:val="FootnoteAnchor"/>
          <w:rtl w:val="true"/>
        </w:rPr>
        <w:footnoteReference w:id="1563"/>
      </w:r>
      <w:r>
        <w:rPr>
          <w:rFonts w:ascii="Amiri" w:hAnsi="Amiri" w:eastAsia="Amiri" w:cs="Amiri"/>
          <w:color w:val="111111"/>
          <w:sz w:val="28"/>
          <w:sz w:val="28"/>
          <w:szCs w:val="28"/>
          <w:rtl w:val="true"/>
          <w:lang w:bidi="ar-SA"/>
        </w:rPr>
        <w:t>قول العالم إلاّ من باب الاستلزام العرفي ، من حيث إنّ الأمر بالسؤال والرجوع إلى العالم لو لم يقصد منه القبول بعد السؤال لكان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الاستلزام أمر معنويّ لا إطلاق فيه بالنسبة إلى شيء من الأحوال فضلا عن حالتي الحياة والموت</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آية النفر فغاية ما يفيده ذيلها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لَعَلَّهُمْ يَحْذَرُونَ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القبول من المنذرين الأحياء ، فإمّا يدلّ على اشتراط وجوب الحذر ببقاء المنذرين كما نقول ؛ نظرا إلى تقدير الحذر مقدار الإنذار القائم بنفس الأحياء ، فهو المدّعى أو لا يدلّ على شيء من الاشتراط وعدمه ، بل على ثبوت الحكم في حال حياتهم في الجملة ، فإن كان الأوّل ، كانت الآية دليلا على اشتراط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الثاني ، فلا بدّ في إثبات الحكم عند تغيّر هذه الحالة من التمسّك بالاستصحاب الذي قد عرفت جوابه ؛ لأنّ احتمال مدخليّة بعض الأحوال </w:t>
      </w:r>
    </w:p>
    <w:p>
      <w:pPr>
        <w:pStyle w:val="BookText"/>
        <w:rPr/>
      </w:pPr>
      <w:r>
        <w:rPr>
          <w:rFonts w:ascii="Amiri" w:hAnsi="Amiri" w:eastAsia="Amiri" w:cs="Amiri"/>
          <w:color w:val="111111"/>
          <w:sz w:val="28"/>
          <w:sz w:val="28"/>
          <w:szCs w:val="28"/>
          <w:rtl w:val="true"/>
          <w:lang w:bidi="ar-SA"/>
        </w:rPr>
        <w:t>في الموضوع ما لم يدفع بالدليل يكفي في عدم جريانه عند تغيّر تلك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إنّما تدلّ على اشتراط الحياة أو ساكتة عنه ، وعلى التقديرين يسقط الاستدلال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على فرض دلالتها على جواز البقاء مخصّصة بما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إطلاق معاقد الإجماعات التي هي على فرض حجّيتها يحتجّ بإطلاقاتها مثل إطلاق الرواية ؛ لأنّ البقاء على تقليد الحيّ بعد موته عمل بقول الميّت واستناد إليه ، كما هو ظاهر ، فيندرج تحت ما انعقد على بطلان العمل بقوله من الإجماعات الصريحة أو المستفادة من نفي الخلاف المستظهر بالتتبع ، مثل ما سمعت عن المسالك والمعالم وابن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الجمهور الأحسائي وغيرها ، ومنع كون البقاء على التقليد بعد الموت عملا بقوله مكابرة واضحة ، فإنّ العمل بقول الغير في العبادات عبارة عن تطبيقها على ما يقتضيه قوله من الكيفية فالانطباقات العارضة لأشخاص الأعمال المختلفة بتشخّصاتها يصدق على كلّ واحد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عمل بقول الغير ، كما يصدق العمل على كلّ واحد من معروضات تلك الانطباقات</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يظهر الكلام في الأخذ الذي اشتمل عليه بعض العبائر ، النافي للخلاف في عدم جوازه من الميّت ، كعبارة الألفيّة </w:t>
      </w:r>
      <w:r>
        <w:rPr>
          <w:rStyle w:val="FootnoteAnchor"/>
          <w:rtl w:val="true"/>
        </w:rPr>
        <w:footnoteReference w:id="1564"/>
      </w:r>
      <w:r>
        <w:rPr>
          <w:rFonts w:ascii="Amiri" w:hAnsi="Amiri" w:eastAsia="Amiri" w:cs="Amiri"/>
          <w:color w:val="111111"/>
          <w:sz w:val="28"/>
          <w:sz w:val="28"/>
          <w:szCs w:val="28"/>
          <w:rtl w:val="true"/>
          <w:lang w:bidi="ar-SA"/>
        </w:rPr>
        <w:t xml:space="preserve">المتقدّم إليها الإشارة ، لأنّ الأخذ والعمل والاعتماد والاستناد ونحوها من الأفعال القابلة للاستمرار ، مثل العقود والجلوس ابتداؤها واستمرارها سيّان في الاندراج تحت أساميها ؛ إذ ليست هي من الامور الآتية التي انحصر مصاديقها فيما يوجد منها في الآن الأوّل ، ألا ترى أنّه لو نهى عن الجلوس في دار الميّت وجب عليه الخروج </w:t>
      </w:r>
    </w:p>
    <w:p>
      <w:pPr>
        <w:pStyle w:val="BookText"/>
        <w:rPr/>
      </w:pPr>
      <w:r>
        <w:rPr>
          <w:rFonts w:ascii="Amiri" w:hAnsi="Amiri" w:eastAsia="Amiri" w:cs="Amiri"/>
          <w:color w:val="111111"/>
          <w:sz w:val="28"/>
          <w:sz w:val="28"/>
          <w:szCs w:val="28"/>
          <w:rtl w:val="true"/>
          <w:lang w:bidi="ar-SA"/>
        </w:rPr>
        <w:t>عنها إذا كان قد جلس فيها حال حياة صاحبها ، وإلى هذا ينظر حكم الفقهاء بالضمان لو انقلبت يد الأمانة إلى 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ظهر أيضا فساد ما في الفصول </w:t>
      </w:r>
      <w:r>
        <w:rPr>
          <w:rStyle w:val="FootnoteAnchor"/>
          <w:rtl w:val="true"/>
        </w:rPr>
        <w:footnoteReference w:id="1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صدق عنوان التقليد على البقاء بدعوى انصرافه إلى الابتدائي أو دعوى كونه حقيقة فيه ، فإنّ دعوى الانصراف لا مستند لها من غلبة ونحوها ، ودعوى التجوّز في الاستمراري 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التقليد إمّا عبارة عن نفس العمل أو الأخذ للعمل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استمرار الأخذ أخذ ، واستمرار العمل عمل ، مضافا إلى قلّة جدوى هذه الدعوى بعد ندرة ما اشتمل على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العبارات الظاهرة أو الصريحة في دعوى الإجماع ، كما قدّمنا ذكر طائفة منها في صدر المسألة ، فإنّها بين ما يدلّ على بطلان العمل وما يدلّ على عدم جواز الاستناد ، وما يدلّ على عدم جواز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محكي الرسالة المنسوبة إلى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قائل بجواز تقليد الميّت من أصحابنا السابقين وعلمائنا الصالحين ، فإنّهم ذكروا في كتبهم الأصولية والفقهيّة قاطعين فيه 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يجوز النقل عن الميّت ، وأنّ قوله يبطل بموته من غير نقل خلاف أجد فيها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أجد غيره ما </w:t>
      </w:r>
      <w:r>
        <w:rPr>
          <w:rStyle w:val="FootnoteAnchor"/>
          <w:rtl w:val="true"/>
        </w:rPr>
        <w:footnoteReference w:id="1567"/>
      </w:r>
      <w:r>
        <w:rPr>
          <w:rFonts w:ascii="Amiri" w:hAnsi="Amiri" w:eastAsia="Amiri" w:cs="Amiri"/>
          <w:color w:val="111111"/>
          <w:sz w:val="28"/>
          <w:sz w:val="28"/>
          <w:szCs w:val="28"/>
          <w:rtl w:val="true"/>
          <w:lang w:bidi="ar-SA"/>
        </w:rPr>
        <w:t xml:space="preserve">اشتمل على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سمعت من القاساني </w:t>
      </w:r>
      <w:r>
        <w:rPr>
          <w:rStyle w:val="FootnoteAnchor"/>
          <w:rtl w:val="true"/>
        </w:rPr>
        <w:footnoteReference w:id="1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نقل الإجماع عن ظاهر الاصوليين على عدم جواز تقليد الميّت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البقاء على التقليد تقليد ، وأنّ استمرار الأخذ أخذ ، لكن ندّعي أنّ القول ليس قول الميّت ، بل الحيّ ، فإنّ صدور القول عنه لمّا كان في حال الحياة فلا جرم من كونه منتسبا إلى الحيّ ؛ إذ الميّت ليس بقائل بصدور شيء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حينئذ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العمل بقول الميّت حتى في الابتداء ؛ لأنّ القول ينحصر على هذا التقدير في قول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 لا وجه حينئذ لمنع شمول أدلّة التقليد لتقليد الميّت ابتداء ؛ فإنّ الأخذ بقول الميّت حقيقة أخذ بقول الحي مع أنّ المفصّلين معترفون بعدم الشمول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 دلالة الإجماعات وأمّا اعتبارها وحجّيتها في المقام ، فقد ظهر ما يدلّ عليه بما لا مزيد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هذه الإجماعات الشاهد على صدقها التتبع واعتراف أمثال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قائل من أصحابنا السابقين بجواز تقليد الميّت ، يوجب الكشف القطعي إمّا بدليل دلّ على دعوى واحد من المعتبرين الإجماع في المسألة ، فكيف عن هذه الإجماعات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فإنّ جريان عادة السلف والخلف على بقاء تقليد المجتهدين بعد موتهم أمر معلوم لا ينبغي أن ينكر وإلاّ لوصل إلينا العدول لتوفّر الدواعي من كثرة ابتلاء الناس بموت المجتهدين ، ولم يعهد إلى الآن من أهالي أعصار الأئمة العدول إلى تقليد الحي بعد موت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من المنع ما ترى ، لأنّ الناس في زمن الأئمة كانوا بين أصناف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كان يأخذ معالم دينه من الإمام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كان يأخذ بروايات الموثّقين من أصحابهم وبفتاويهم التي هي بمنزلة الرواية ويجتهد فيها</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من كان يأخذ منهم الفتوى ويعمل بها تعبّدا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ونحن ندّعي أنّ أغلب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بين القسمين الأوّلين ، وإن كان الثاني منهما أغلب ؛ لسهولة الاجتهاد في ذلك الزمان ، وإمكان تحصيل العلم أو الظنّ المعتمد ، وأيّ دليل دلّ على أنّ الفرقة الثالثة قد استمرّوا على تقليد مجتهديهم بعد موتهم وعلمه الامام ولم يردعهم؟</w:t>
      </w:r>
    </w:p>
    <w:p>
      <w:pPr>
        <w:pStyle w:val="BookText"/>
        <w:rPr/>
      </w:pPr>
      <w:r>
        <w:rPr>
          <w:rFonts w:ascii="Amiri" w:hAnsi="Amiri" w:eastAsia="Amiri" w:cs="Amiri"/>
          <w:color w:val="111111"/>
          <w:sz w:val="28"/>
          <w:sz w:val="28"/>
          <w:szCs w:val="28"/>
          <w:rtl w:val="true"/>
          <w:lang w:bidi="ar-SA"/>
        </w:rPr>
        <w:t>مضافا إلى أنّ تقليد هؤلاء أيضا ربما يفارق تقليد عوامنا لعلمائنا من حيث إنّ ذلك التقليد كان أخذا من الواسطة ، فلا يقاس به الأخذ ممّن يفتي بظنونه الاجتهادية من دون الاستناد إلى السماع عن الإمام ؛ لأنّ الأخذ ممّن سمع عن الإمام عليه‌السلام أو ممّن سمع عن المجتهد من عدول زماننا ليس من التقليد له في شيء ، كما أوضحناه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العسر والحرج الشديدين لو الزم على </w:t>
      </w:r>
      <w:r>
        <w:rPr>
          <w:rStyle w:val="FootnoteAnchor"/>
          <w:rtl w:val="true"/>
        </w:rPr>
        <w:footnoteReference w:id="1569"/>
      </w:r>
      <w:r>
        <w:rPr>
          <w:rFonts w:ascii="Amiri" w:hAnsi="Amiri" w:eastAsia="Amiri" w:cs="Amiri"/>
          <w:color w:val="111111"/>
          <w:sz w:val="28"/>
          <w:sz w:val="28"/>
          <w:szCs w:val="28"/>
          <w:rtl w:val="true"/>
          <w:lang w:bidi="ar-SA"/>
        </w:rPr>
        <w:t>المقلّد بالعدول ، فإنّ تعلّم المسائل أمر صعب وموت المجتهد أمر ذائع ، فلو وجب العدول عن التقليد بموت المجتهد لزم العسر الواضح والحرج البيّن المنفيّان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 لأنّ وجوب الرجوع مخصوص بموارد الخلاف ، وهي ليست بمثابة توجب العسر والحرج</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الاطّلاع على الخلاف والوفاق فربما يمكن تحصيله في يوم أو يومين بمطالعة الرسالة أو السؤال ونحوهما وأيّ فرق بينه وبين من أراد التقليد في ابتداء بلوغه ، مع أنّ ابتداء التقليد فيه من الصعوبة ما ليست في العدول ، فلو كان في العدول حرج مسقط للتكليف لكان في ابتداء التقليد أشدّ وأولى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ألزمنا عليه نقض الآثار السابقة الواقعة على حسب فتوى الأوّل التي تخالفها فتوى الثاني ، وتجديد الأعمال قضاء أو إعادة كما هو الحقّ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سبق بيانه في </w:t>
      </w:r>
    </w:p>
    <w:p>
      <w:pPr>
        <w:pStyle w:val="BookText"/>
        <w:rPr/>
      </w:pPr>
      <w:r>
        <w:rPr>
          <w:rFonts w:ascii="Amiri" w:hAnsi="Amiri" w:eastAsia="Amiri" w:cs="Amiri"/>
          <w:color w:val="111111"/>
          <w:sz w:val="28"/>
          <w:sz w:val="28"/>
          <w:szCs w:val="28"/>
          <w:rtl w:val="true"/>
          <w:lang w:bidi="ar-SA"/>
        </w:rPr>
        <w:t xml:space="preserve">مسألة الإجزاء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اقتضى العدول العسر والحرج سقط التكليف به بالنسبة إلى خصوص نقض الآثار ، وأمّا البقاء على التقليد في تلك المسألة في مستقبل الزمان فلا ، لأنّ العسر الثابت في نقض الآثار لا يقتضي سقوط التكليف بالعدول بالنسبة إلى الأعمال المستقبلة ، ومن هنا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بلزوم العسر والحرج بناء على وجوب نقض الآثار على تقدير العدول على جواز البقاء على التقليد ليس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عسر العدول ليس لما فيه نفسه بل في تكراره مقدار تكرار موت المجتهد لإمكان موت المجتهد الثاني الذي اختاره في التقليد أيضا ، ثمّ الثالث ، ثمّ الرّابع إلى ما شاء اللّه ، وأنّه الفارق بينه وبين الشروع في التقليد ابتداء ، 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العدول لكونه أمرا هيّنا يمكن الالتزام به في كلّ سنة مرّة أو مرّتين من غير أن يكون فيه حرج ، فكيف عن الالتزام به في تمام العمر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العسر حينئذ يدور مدار شيء لا يعلمه إلاّ اللّه ، أعني موت المجتهد ، فليس للمقلّد ترك العدول الذي فيه مقتضى الوجوب ، لاحتمال أدائه إلى الحرج بسبب احتمال موت مجتهده الثاني والثالث</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القائلين بالبقاء اختلفوا في وجوبه وجوازه ، وأكثرهم على الأوّل ، 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عدم وجوب العدول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الثاني ، لأنّ عدم جواز العدول عن تقليد مجتهد إلى آخر لا دليل عليه معتدّا به سوى الإجماع وقاعدة الاحتياط التي مرجعها إلى الأخذ بالمتيقّن فيما خرج عن تحت أصالة حرمة التقليد ، وشيء منها لا يجيء في المقام ، أمّا الإجماع فظاهر ؛ لأنّ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العدول هنا ، وأمّا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فلدوران </w:t>
      </w:r>
    </w:p>
    <w:p>
      <w:pPr>
        <w:pStyle w:val="BookText"/>
        <w:rPr/>
      </w:pPr>
      <w:r>
        <w:rPr>
          <w:rFonts w:ascii="Amiri" w:hAnsi="Amiri" w:eastAsia="Amiri" w:cs="Amiri"/>
          <w:color w:val="111111"/>
          <w:sz w:val="28"/>
          <w:sz w:val="28"/>
          <w:szCs w:val="28"/>
          <w:rtl w:val="true"/>
          <w:lang w:bidi="ar-SA"/>
        </w:rPr>
        <w:t xml:space="preserve">الأمر بين المحذورين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البقاء ، ووجوب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تمسّك باستصحاب الوجوب حينئذ ففيه ما عرفت في نظائره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صاحب المفاتيح </w:t>
      </w:r>
      <w:r>
        <w:rPr>
          <w:rStyle w:val="FootnoteAnchor"/>
          <w:rtl w:val="true"/>
        </w:rPr>
        <w:footnoteReference w:id="1570"/>
      </w:r>
      <w:r>
        <w:rPr>
          <w:rFonts w:ascii="Amiri" w:hAnsi="Amiri" w:eastAsia="Amiri" w:cs="Amiri"/>
          <w:color w:val="111111"/>
          <w:sz w:val="28"/>
          <w:sz w:val="28"/>
          <w:szCs w:val="28"/>
          <w:rtl w:val="true"/>
          <w:lang w:bidi="ar-SA"/>
        </w:rPr>
        <w:t xml:space="preserve">على الجواز بالاستصحاب ، ثمّ أورد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الجواز كان في ضمن الوجوب ، فإذا ارتفع الفصل ارتفع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الجواز حكم وضعيّ عبارة عن صحّة التقليد ، بمعنى كونه مجزيا عن اشتغال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والوجوب حكم تكليفيّ ، ولا يلزم من انتفاء أحدهما انتفاء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الوضعي هنا إنّما استفيد من الحكم التكليفي ، فلا يتفاوتان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أجاب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بالمنع ،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مجرّد الشك يكفينا في التمسّك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التبعيّة إنّما هي في ابتداء التقليد ، ونمنعه في التقليد الاستمراري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إذا تأمّلت في أطراف هذا الكلام تجدها مواضع للنظر</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سائر شروط الإفتاء من الإيمان ، والإسلام ، والعدالة ، والعقل ، والعلم مثل الحياة في كونها شرطا في الابتداء والاستدامة ، وبه نصّ المحقّق الثاني في محكي حاشية الشرائع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عرض للفقيه العدل 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جنون أو طعن في السن كثيرا بحيث اختل فهمه امتنع تقليده ؛ لوجود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قد قلّده مقلّد قبل ذلك بطل حكم تقليده ؛ لأنّ العمل بقوله في مستقبل الزمان يقتضي الاستناد إليه حينئذ ، وقد خرج </w:t>
      </w:r>
    </w:p>
    <w:p>
      <w:pPr>
        <w:pStyle w:val="BookText"/>
        <w:rPr/>
      </w:pPr>
      <w:r>
        <w:rPr>
          <w:rFonts w:ascii="Amiri" w:hAnsi="Amiri" w:eastAsia="Amiri" w:cs="Amiri"/>
          <w:color w:val="111111"/>
          <w:sz w:val="28"/>
          <w:sz w:val="28"/>
          <w:szCs w:val="28"/>
          <w:rtl w:val="true"/>
          <w:lang w:bidi="ar-SA"/>
        </w:rPr>
        <w:t xml:space="preserve">عن الأهليّة لذلك ، فكان تقليده باطلا بالنسبة إلى مستقبل الزمان </w:t>
      </w:r>
      <w:r>
        <w:rPr>
          <w:rStyle w:val="FootnoteAnchor"/>
          <w:rtl w:val="true"/>
        </w:rPr>
        <w:footnoteReference w:id="157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واستظهر صاحب الفصول </w:t>
      </w:r>
      <w:r>
        <w:rPr>
          <w:rStyle w:val="FootnoteAnchor"/>
          <w:rtl w:val="true"/>
        </w:rPr>
        <w:footnoteReference w:id="1572"/>
      </w:r>
      <w:r>
        <w:rPr>
          <w:rFonts w:ascii="Amiri" w:hAnsi="Amiri" w:eastAsia="Amiri" w:cs="Amiri"/>
          <w:color w:val="111111"/>
          <w:sz w:val="28"/>
          <w:sz w:val="28"/>
          <w:szCs w:val="28"/>
          <w:rtl w:val="true"/>
          <w:lang w:bidi="ar-SA"/>
        </w:rPr>
        <w:t xml:space="preserve">جواز التقليد بقاء في الجنون الإطباقي ومطلقا في الأدواري ، واستشكل في صورة اختلال الفهم وهو بعيد عن الصواب ؛ لأنّ قضيّة الأصل عند الشك في الطريقية والحجّية هو الاشتراط ، ولا معارض لهذا الأصل ممّا يدلّ على عدم اشتراطها في البقاء سوى ما قد تخيّل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صدق التقليد على الاستدامة ، وعدم كون القول قول غير مجتهد أو قول مجنون ، وكلاهما قد ظهر جوابهما في البقاء على تقليد الميّت ؛ ولأنّ ظاهر الشرطيّة عند إطلاقها يقتضي ذلك ؛ إذ ليس في كلام الأصحاب المشترطين لهذه الامور في المفتي ما يظهر منه اختصاص الاشتراط بابتداء التقليد ، ولأنّ إطلاق ما دلّ على اعتبار بعض هذه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نحو قوله عليه‌السلام في رواية الاحتجاج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من كان من الفقهاء صائنا لنفسه حافظا لدينه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يتناول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يتناولهما الرضوي الدالّ على اشتراط الإيمان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تأخذوا معالم دينكم من غير شيعتنا ؛ فانّك إن تعدّيتهم أخذت دينك من الخائنين الذين خانوا اللّه ورسوله ، وخانوا أماناتهم ، إنّهم ائتمنوا على كتاب اللّه فحرّفوه وبدّلوه </w:t>
      </w:r>
      <w:r>
        <w:rPr>
          <w:rFonts w:eastAsia="Amiri" w:cs="Amiri" w:ascii="Amiri" w:hAnsi="Amiri"/>
          <w:color w:val="111111"/>
          <w:sz w:val="28"/>
          <w:szCs w:val="28"/>
          <w:rtl w:val="true"/>
          <w:lang w:bidi="ar-SA"/>
        </w:rPr>
        <w:t xml:space="preserve">... » </w:t>
      </w:r>
      <w:r>
        <w:rPr>
          <w:rStyle w:val="FootnoteAnchor"/>
          <w:rtl w:val="true"/>
        </w:rPr>
        <w:footnoteReference w:id="1573"/>
      </w:r>
      <w:r>
        <w:rPr>
          <w:rFonts w:ascii="Amiri" w:hAnsi="Amiri" w:eastAsia="Amiri" w:cs="Amiri"/>
          <w:color w:val="111111"/>
          <w:sz w:val="28"/>
          <w:sz w:val="28"/>
          <w:szCs w:val="28"/>
          <w:rtl w:val="true"/>
          <w:lang w:bidi="ar-SA"/>
        </w:rPr>
        <w:t>وإن كان دعوى ظهوره في اشتراطه زمن الفتوى ممكنة</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الدالّة على اشتراطه مطلقا ، باستثناء دعوى الظهور المزبور ، ما عن كتاب الغيبة بسنده الصحيح إلى عبد اللّه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 الشيخ أبي </w:t>
      </w:r>
    </w:p>
    <w:p>
      <w:pPr>
        <w:pStyle w:val="BookText"/>
        <w:rPr/>
      </w:pPr>
      <w:r>
        <w:rPr>
          <w:rFonts w:ascii="Amiri" w:hAnsi="Amiri" w:eastAsia="Amiri" w:cs="Amiri"/>
          <w:color w:val="111111"/>
          <w:sz w:val="28"/>
          <w:sz w:val="28"/>
          <w:szCs w:val="28"/>
          <w:rtl w:val="true"/>
          <w:lang w:bidi="ar-SA"/>
        </w:rPr>
        <w:t xml:space="preserve">القاسم بن روح الذي هو من </w:t>
      </w:r>
      <w:r>
        <w:rPr>
          <w:rStyle w:val="FootnoteAnchor"/>
          <w:rtl w:val="true"/>
        </w:rPr>
        <w:footnoteReference w:id="1574"/>
      </w:r>
      <w:r>
        <w:rPr>
          <w:rFonts w:ascii="Amiri" w:hAnsi="Amiri" w:eastAsia="Amiri" w:cs="Amiri"/>
          <w:color w:val="111111"/>
          <w:sz w:val="28"/>
          <w:sz w:val="28"/>
          <w:szCs w:val="28"/>
          <w:rtl w:val="true"/>
          <w:lang w:bidi="ar-SA"/>
        </w:rPr>
        <w:t xml:space="preserve">أحد النوّاب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سأله أصحابه عن كتب الشلمغاني بعد ارتداده ، 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فيها ما قاله العسكري عليه‌السلام في كتب بني فضّال حيث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نصنع بكتبهم وبيوتنا منها ملاء؟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خذوا بما رووا وذروا ما رأوا </w:t>
      </w:r>
      <w:r>
        <w:rPr>
          <w:rFonts w:eastAsia="Amiri" w:cs="Amiri" w:ascii="Amiri" w:hAnsi="Amiri"/>
          <w:color w:val="111111"/>
          <w:sz w:val="28"/>
          <w:szCs w:val="28"/>
          <w:rtl w:val="true"/>
          <w:lang w:bidi="ar-SA"/>
        </w:rPr>
        <w:t xml:space="preserve">» </w:t>
      </w:r>
      <w:r>
        <w:rPr>
          <w:rStyle w:val="FootnoteAnchor"/>
          <w:rtl w:val="true"/>
        </w:rPr>
        <w:footnoteReference w:id="1575"/>
      </w:r>
      <w:r>
        <w:rPr>
          <w:rFonts w:ascii="Amiri" w:hAnsi="Amiri" w:eastAsia="Amiri" w:cs="Amiri"/>
          <w:color w:val="111111"/>
          <w:sz w:val="28"/>
          <w:sz w:val="28"/>
          <w:szCs w:val="28"/>
          <w:rtl w:val="true"/>
          <w:lang w:bidi="ar-SA"/>
        </w:rPr>
        <w:t>فإنّ النهي عن الأخذ بآراء الشلمغاني مع ترك الاستفصال بين الأخذ الابتدائي والاستمراري يدلّ بعمومه على اعتبار الإسلام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الرواية ليس في سندها على ما اعترف به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حراسته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يتأمّل فيه سوى عبد اللّه الكوفي الذي يكفي في مدحه كونه خادم الشيخ أبي القاسم ، فيكون حسنا مع اعتضادها بإطلاق كلام الأصحاب</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المناقشة في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اعتقادهم الفاسد الذي أوجب خروجهم عن الحقّ بناء على كون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لا موصولة ، فلا تدلّ على حرمة الأخذ بفتاويهم في كتبهم ، فيدفعها غلبة الموصول مع أنّ المصدريّة أيضا تقتضي الحكم بعدم جواز أخذ جميع آرائهم المندرج فيها الفتوى ؛ لأنّ قرينة العهد مفقودة في المقام ، ثمّ في قول العسكري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وذروا ما رأوا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اشتمال كتبهم على الفتوى والرأي أيضا ؛ فلا يتوهّم اشتمالها على الروايات خاصّة ، كما أنّ فيه دلالة أيضا على أنّ العبرة في الرواية اتصاف الراوي بالإيمان حين تحمّلها ، فإنّ بني فضّال اختاروا الضلالة بعد أن كانوا على الهداية ، وفي الفتوى باتصاف المفتي حين 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الشيخ أبي القاسم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فيه ما قال العسكري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الرواية في شيء ، بل إنّما هو قول صدر منه بالرأي والمقايسة ، فلا حجّية فيه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فتاوى مثل هذا الشيخ الجليل حجّة مثل روايته ، كما عرفت غير مرّة ؛ لأنّه لم يكن يقول بغير سماع عن الإمام عليه‌السلام كما قال حين سئل عمّا يفتي به من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تقول فيها بالرأي أو سمعت عن الإمام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أقع من السماء فتخطفني الطير خير من أن أقول ما لا أسمع </w:t>
      </w:r>
      <w:r>
        <w:rPr>
          <w:rFonts w:eastAsia="Amiri" w:cs="Amiri" w:ascii="Amiri" w:hAnsi="Amiri"/>
          <w:color w:val="111111"/>
          <w:sz w:val="28"/>
          <w:szCs w:val="28"/>
          <w:rtl w:val="true"/>
          <w:lang w:bidi="ar-SA"/>
        </w:rPr>
        <w:t xml:space="preserve">»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موضع الاستشهاد </w:t>
      </w:r>
      <w:r>
        <w:rPr>
          <w:rStyle w:val="FootnoteAnchor"/>
          <w:rtl w:val="true"/>
        </w:rPr>
        <w:footnoteReference w:id="1577"/>
      </w:r>
      <w:r>
        <w:rPr>
          <w:rFonts w:ascii="Amiri" w:hAnsi="Amiri" w:eastAsia="Amiri" w:cs="Amiri"/>
          <w:color w:val="111111"/>
          <w:sz w:val="28"/>
          <w:sz w:val="28"/>
          <w:szCs w:val="28"/>
          <w:rtl w:val="true"/>
          <w:lang w:bidi="ar-SA"/>
        </w:rPr>
        <w:t>قول الإمام عليه‌السلام في حقّ كتب بني فضّال الذي رواه الشيخ المزبور ، فيسقط الإيراد من رأسه</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مجتهده فقلّد في مسألة البقاء والعدول مجتهدا قائلا بالبقاء والعدول ، ثم إذا مات مجتهده فقلّد في مسألة البقاء والعدول مجتهدا قائلا بالبقاء والعدول ، ثمّ إذا مات أيضا ذلك المجتهد ، فإن رجع إلى من يوافقه في الفتوى فيهما فهو ، وإن رجع إلى من يخالفه ، فإن كان مختار الثاني البقاء ومختار الثالث العدول ، عدل إلى تقليد الميّت في جميع المسائل الفرعيّة التي كان بانيا فيها على تقليد الأوّل بحكم الثاني ، وهذا واضح لا إشكال فيه ، وإن كان العكس ، بأن كان مختار الثاني العدول ومختار الثالث البقاء ، ففي رجوع الأمر بالبقاء إلى خصوص المسألة الأصولية التي كان مختار الثاني فيها هو العدول ولازمه العدول في جميع المسائل الفرعيّة التي عدل فيها من تقليد الأوّل إلى الثاني أو إلى الثالث </w:t>
      </w:r>
    </w:p>
    <w:p>
      <w:pPr>
        <w:pStyle w:val="BookText"/>
        <w:rPr/>
      </w:pPr>
      <w:r>
        <w:rPr>
          <w:rFonts w:ascii="Amiri" w:hAnsi="Amiri" w:eastAsia="Amiri" w:cs="Amiri"/>
          <w:color w:val="111111"/>
          <w:sz w:val="28"/>
          <w:sz w:val="28"/>
          <w:szCs w:val="28"/>
          <w:rtl w:val="true"/>
          <w:lang w:bidi="ar-SA"/>
        </w:rPr>
        <w:t xml:space="preserve">ثانيا ، أو إلى ما عداها خاصّة من تلك المسائل الفرعيّة وقضيّة البقاء فيها خاصّة دون المسألة الأصوليّة ، إشكال ، من حيث امتناع رجوع الأمر بالبقاء إليهما معا ؛ للتناقض وعدم وجود ما يرجّح أحدهما على الآخر ، لكنّ الذي يقوى في النظر ويقتضيه البداهة بعد التأمل إرجاع الأمر بالبقاء إلى خصوص المسائل الفرعيّة ، حذرا من لزوم تخصيص الأكثر اللازم على تقدير رجوعه إلى خصوص مسألة البقاء والحدوث ، فإذا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بالبقاء يرجع إلى ما قلّده فيه في هذه المسألة الأصولية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اختصاص إطلاق الأمر بالبقاء بمسألة واحدة وخروج بقيّة المسائل عن تحته ، واستهجان هذا القسم من التخصيص واضح ؛ لأنّ العام إذا كان بينه وبين بعض أفراده مضادّة ومناقضة ، فمن دخوله تحته يلزم اجتماع 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دلّ الدليل على أنّ كلّ خبر عدل حجّة ، فدلّ بعض الأخبار على عدم حجّية الأخبار ، فمن دخول هذا الخبر تحت عموم ذلك الدليل يلزم أن يكون هذا الخبر حجّة ولا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جهة كونه مشمولا للدليل الدالّ على حجّية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جهة كونه نافيا لحجّيته مطلقا التي هي من جزئيّاتها ، فهو حجّة من حيث كونه خبرا ، وغير حجّة من هذه الحيثية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إخراج هذا الخبر عن تحت ذلك الدليل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لا خفاء في أنّ مراد من يأمر بالبقاء ، هو البقاء على كيفيّات ما صدر عنه من الأعمال ، لا البقاء على ما يلزم منه تغيير تلك الكيفيات</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الباب ما يجاب به عن الإشكال في دلالة الآية على حجّية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يلزم من حجّيتها عدم الحجّية ؛ لصدق النبأ على دعوى الإجماع الذي ادّعي على عدم حجّيتها ، كما عن السيّد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أو في حجّية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حجّيتها توجب عدم حجّيتها ؛ لقيام الشهرة على 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في حجّية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ظاهر جملة من الآيات حرمة العمل بالظن ، فيلزم من حجّيتها عدم حجّية الظنون الكتابيّة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نظائر المقام ، التي يلزم من الحكم باندراج بعض أفراده فيها خروج بقيّة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الفرد ممّا ينبغي القطع بعدم اندراجه تحت إطلاقه أو عمومه ، فالظاهر أنّ البقاء على تقليد المجتهد الثاني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 صدر المسألة أنّ الأردبيلي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جواز تقليد الميّت مع فقدان الحي مطلقا أو في ذلك الأفق ، واستدلّ في محكي مجمع الفائدة </w:t>
      </w:r>
      <w:r>
        <w:rPr>
          <w:rStyle w:val="FootnoteAnchor"/>
          <w:rtl w:val="true"/>
        </w:rPr>
        <w:footnoteReference w:id="1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بالضيق والحرج ، والاستصحاب ، وبحصول الحكم من الاستدلال ولم يتغير بموت المستدل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الخلاف ظاهر كما صرّح به في الذكرى والجعفرية وكتب الأصول ، وليس بمعلوم كون المخالف مخالفا ؛ لبعد ذلك عن الذكرى المخصوص ببيان مسائل الأصحاب ، وعدم اختصاص دليل الطرفين بالمخالف ، ولكن مع ذلك لا يحصل الراحة به ، انتهى</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وظيفة المقلّد بعد العجز عن الأخذ بقول الحي هو الاحتياط ؛ لأنّه طريق القطع بالبراءة بعد انسداد باب العلم وتعذّر العمل بالظنّ الخاص الذي هو قول الحيّ ، فإنّ أدلّة اشتراط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الأصل ، وإطلاق الإجماعات ، وغيرها من الوجوه المتقدّم إليها الإشارة كما يقتضي عدم الفرق بين الابتدائي والاستمراري ، كذلك يقتضي عدم الفرق بين صورتي الاختيار والاضطرار من غير فرق أصلا ، مضافا إلى اقتضاء قاعدة الشرطيّة ذلك ، </w:t>
      </w:r>
    </w:p>
    <w:p>
      <w:pPr>
        <w:pStyle w:val="BookText"/>
        <w:rPr/>
      </w:pPr>
      <w:r>
        <w:rPr>
          <w:rFonts w:ascii="Amiri" w:hAnsi="Amiri" w:eastAsia="Amiri" w:cs="Amiri"/>
          <w:color w:val="111111"/>
          <w:sz w:val="28"/>
          <w:sz w:val="28"/>
          <w:szCs w:val="28"/>
          <w:rtl w:val="true"/>
          <w:lang w:bidi="ar-SA"/>
        </w:rPr>
        <w:t xml:space="preserve">فإن امتنع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لدوران الأمر بين المتباينين ونحوه كالحرج الشديد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بالشهرة المحقّقة ، ثمّ بالشهرة المحكيّة ، ثمّ بما دونها من الأمارات الظنّية مراعاة للأقوى فالأقوى ، حتى إذا انحصر أمره في العمل بقول الأموات لزم اتباع أعلم الأموات ؛ لأنّ وظيفة المقلّد حينئذ الاجتهاد ؛ لقضية الانسداد ، وبقاء التكليف بالبداهة ، كما اعترف به المولى البهبهاني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بالأقوى ما حكم مجتهده بكونه أقوى ، لا ما هو أقوى في نظره ؛ لأنّه ليس له أهليّة لمعرفة أقوى الأمارات بحسب النوع ، فإن كان قد سأل عن مجتهده قبل أوان الاضطرار من حكم حالتها وأخذ منه 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الاحتياط ، أو الشهرة ، ونحوها ، لم يتعدّ عنه ولو كان الظنّ الشخصي الحاصل في المسألة على خلافه ؛ لأنّ الظنون الخارجيّة المستندة إلى امور أخر خارجيّة اتفاقيّة ، التي تحصل للمقلّد قبال ما جعله المرجع لمجتهده من الأمارات المفيدة للظنون نوعا وبحسب الذات لا عبرة بها جدا ، كما يأتي توضيحه في تقليد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قد سأل مجتهده قبل عروض الاضطرار عن حكمها ، ولم يكن في يده شيء من الأمارات التي عيّنه مجتهده في تلك الحالة ، فلا محيص له عن الاعتماد على ظنونه الشخصيّة بحكم العقل</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المقلّد في حال الاضطرار هو العمل بأقوى الأمارات في نظر المجتهد من الشهرة المحققة ، ثم الإجماع المنقول ، ثمّ الشهرة المحكيّة ، ثمّ أعلم الأموات ، حافظا للترتيب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اقتدر على تعيينه بأن كان قد سأله قبل الاضطرار أو تمكّن من السؤال عن تشخيص أقواها لم تبعد عنها جدّا وإن ظنّ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عجز عن تعيين ذلك ، فالمتّبع هو الظنّ الشخصي من أي شيء حصل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وجوب الأخذ بأقوى الأمارات على العامي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ينتفع به المجتهد إذا سأله العامي عن حال العجز من الأخذ بقول الحيّ ، وأمّا العامي فلا ينفع </w:t>
      </w:r>
      <w:r>
        <w:rPr>
          <w:rStyle w:val="FootnoteAnchor"/>
          <w:rtl w:val="true"/>
        </w:rPr>
        <w:footnoteReference w:id="1581"/>
      </w:r>
      <w:r>
        <w:rPr>
          <w:rFonts w:ascii="Amiri" w:hAnsi="Amiri" w:eastAsia="Amiri" w:cs="Amiri"/>
          <w:color w:val="111111"/>
          <w:sz w:val="28"/>
          <w:sz w:val="28"/>
          <w:szCs w:val="28"/>
          <w:rtl w:val="true"/>
          <w:lang w:bidi="ar-SA"/>
        </w:rPr>
        <w:t xml:space="preserve">بهذا ؛ لعدم تمكّنه من تميز </w:t>
      </w:r>
      <w:r>
        <w:rPr>
          <w:rStyle w:val="FootnoteAnchor"/>
          <w:rtl w:val="true"/>
        </w:rPr>
        <w:footnoteReference w:id="1582"/>
      </w:r>
      <w:r>
        <w:rPr>
          <w:rFonts w:ascii="Amiri" w:hAnsi="Amiri" w:eastAsia="Amiri" w:cs="Amiri"/>
          <w:color w:val="111111"/>
          <w:sz w:val="28"/>
          <w:sz w:val="28"/>
          <w:szCs w:val="28"/>
          <w:rtl w:val="true"/>
          <w:lang w:bidi="ar-SA"/>
        </w:rPr>
        <w:t>أقوى الأمارات الفرعيّة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اعترف المحقّق الثاني والمولى البهبهاني بأكثر ما عيّنا من الأمارات عند فقد الحي على ما حكاه عنه صاحب المفاتيح </w:t>
      </w:r>
      <w:r>
        <w:rPr>
          <w:rStyle w:val="FootnoteAnchor"/>
          <w:rtl w:val="true"/>
        </w:rPr>
        <w:footnoteReference w:id="1583"/>
      </w:r>
      <w:r>
        <w:rPr>
          <w:rFonts w:ascii="IRNazanin" w:hAnsi="IRNazanin" w:eastAsia="IRNazanin"/>
          <w:color w:val="111111"/>
          <w:sz w:val="28"/>
          <w:sz w:val="28"/>
          <w:szCs w:val="28"/>
          <w:rtl w:val="true"/>
          <w:lang w:bidi="fa-IR"/>
        </w:rPr>
        <w:t>، فراجع وتأمّل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الرجوع إلى الفاسق ، أو الكافر ، أو العامي المسبوق بالاجتهاد عند فقد المستجمع للشرائط ؛ للأصل وإطلاق كلام الأصحاب الشامل لحالتي الاختيار والاضطرار ؛ ولأنّ قضيّة الشرطيّة ذلك ، بل يجب عليه الاحتياط ، ثمّ العمل بالشهرة المحقّقة أو المحكيّة على قياس ما عرفت في تقليد الميّت عند تعذّر الأخذ من الحيّ ، لكن إن أدّى الأمر إلى العمل بقول أحدهم ففي تقديم قول الميّت ، أو تقديم قول الفاسق ، أو العامي المسبوق بالاجتهاد ، احتمالات ليس عندي ما يرجّح إحداها على الآخر ، إلاّ أنّ إطلاق النواهي الدالّة على عدم الأخذ بقول الفاسق والمخالف من الأخبار يقتضي تعيين قول الميّت أو العامي ، وأمّا بالنسبة إليهما فالمتّبع هو الظنّ الشخصي إن كان ، وإلاّ فالتخيير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 الأحياء في العلم والفضيلة فهل يتعيّن تقليد الأفضل أو يتخيّر بينه وبين تقليد المفضول؟ حدث لجماعة ممّن تأخّر عن الشهيد الثاني قول بالتخيير بعد اتفاق من تقدّم عنه ظاهرا على تعيين الفاضل ، وهو خيرة </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المعارج </w:t>
      </w:r>
      <w:r>
        <w:rPr>
          <w:rStyle w:val="FootnoteAnchor"/>
          <w:rtl w:val="true"/>
        </w:rPr>
        <w:footnoteReference w:id="1584"/>
      </w:r>
      <w:r>
        <w:rPr>
          <w:rFonts w:ascii="IRNazanin" w:hAnsi="IRNazanin" w:eastAsia="IRNazanin"/>
          <w:color w:val="111111"/>
          <w:sz w:val="28"/>
          <w:sz w:val="28"/>
          <w:szCs w:val="28"/>
          <w:rtl w:val="true"/>
          <w:lang w:bidi="fa-IR"/>
        </w:rPr>
        <w:t xml:space="preserve">والإرشاد </w:t>
      </w:r>
      <w:r>
        <w:rPr>
          <w:rStyle w:val="FootnoteAnchor"/>
          <w:rtl w:val="true"/>
        </w:rPr>
        <w:footnoteReference w:id="1585"/>
      </w:r>
      <w:r>
        <w:rPr>
          <w:rFonts w:ascii="Amiri" w:hAnsi="Amiri" w:eastAsia="Amiri" w:cs="Amiri"/>
          <w:color w:val="111111"/>
          <w:sz w:val="28"/>
          <w:sz w:val="28"/>
          <w:szCs w:val="28"/>
          <w:rtl w:val="true"/>
          <w:lang w:bidi="ar-SA"/>
        </w:rPr>
        <w:t xml:space="preserve">ونهاية الاصول </w:t>
      </w:r>
      <w:r>
        <w:rPr>
          <w:rStyle w:val="FootnoteAnchor"/>
          <w:rtl w:val="true"/>
        </w:rPr>
        <w:footnoteReference w:id="1586"/>
      </w:r>
      <w:r>
        <w:rPr>
          <w:rFonts w:ascii="Amiri" w:hAnsi="Amiri" w:eastAsia="Amiri" w:cs="Amiri"/>
          <w:color w:val="111111"/>
          <w:sz w:val="28"/>
          <w:sz w:val="28"/>
          <w:szCs w:val="28"/>
          <w:rtl w:val="true"/>
          <w:lang w:bidi="ar-SA"/>
        </w:rPr>
        <w:t xml:space="preserve">والتهذيب </w:t>
      </w:r>
      <w:r>
        <w:rPr>
          <w:rStyle w:val="FootnoteAnchor"/>
          <w:rtl w:val="true"/>
        </w:rPr>
        <w:footnoteReference w:id="1587"/>
      </w:r>
      <w:r>
        <w:rPr>
          <w:rFonts w:ascii="Amiri" w:hAnsi="Amiri" w:eastAsia="Amiri" w:cs="Amiri"/>
          <w:color w:val="111111"/>
          <w:sz w:val="28"/>
          <w:sz w:val="28"/>
          <w:szCs w:val="28"/>
          <w:rtl w:val="true"/>
          <w:lang w:bidi="ar-SA"/>
        </w:rPr>
        <w:t xml:space="preserve">والمنية </w:t>
      </w:r>
      <w:r>
        <w:rPr>
          <w:rStyle w:val="FootnoteAnchor"/>
          <w:rtl w:val="true"/>
        </w:rPr>
        <w:footnoteReference w:id="1588"/>
      </w:r>
      <w:r>
        <w:rPr>
          <w:rFonts w:ascii="Amiri" w:hAnsi="Amiri" w:eastAsia="Amiri" w:cs="Amiri"/>
          <w:color w:val="111111"/>
          <w:sz w:val="28"/>
          <w:sz w:val="28"/>
          <w:szCs w:val="28"/>
          <w:rtl w:val="true"/>
          <w:lang w:bidi="ar-SA"/>
        </w:rPr>
        <w:t xml:space="preserve">للعميدي والدروس </w:t>
      </w:r>
      <w:r>
        <w:rPr>
          <w:rStyle w:val="FootnoteAnchor"/>
          <w:rtl w:val="true"/>
        </w:rPr>
        <w:footnoteReference w:id="1589"/>
      </w:r>
      <w:r>
        <w:rPr>
          <w:rFonts w:ascii="IRNazanin" w:hAnsi="IRNazanin" w:eastAsia="IRNazanin"/>
          <w:color w:val="111111"/>
          <w:sz w:val="28"/>
          <w:sz w:val="28"/>
          <w:szCs w:val="28"/>
          <w:rtl w:val="true"/>
          <w:lang w:bidi="fa-IR"/>
        </w:rPr>
        <w:t xml:space="preserve">والقواعد </w:t>
      </w:r>
      <w:r>
        <w:rPr>
          <w:rStyle w:val="FootnoteAnchor"/>
          <w:rtl w:val="true"/>
        </w:rPr>
        <w:footnoteReference w:id="1590"/>
      </w:r>
      <w:r>
        <w:rPr>
          <w:rFonts w:ascii="Amiri" w:hAnsi="Amiri" w:eastAsia="Amiri" w:cs="Amiri"/>
          <w:color w:val="111111"/>
          <w:sz w:val="28"/>
          <w:sz w:val="28"/>
          <w:szCs w:val="28"/>
          <w:rtl w:val="true"/>
          <w:lang w:bidi="ar-SA"/>
        </w:rPr>
        <w:t xml:space="preserve">والذكرى </w:t>
      </w:r>
      <w:r>
        <w:rPr>
          <w:rStyle w:val="FootnoteAnchor"/>
          <w:rtl w:val="true"/>
        </w:rPr>
        <w:footnoteReference w:id="1591"/>
      </w:r>
      <w:r>
        <w:rPr>
          <w:rFonts w:ascii="Amiri" w:hAnsi="Amiri" w:eastAsia="Amiri" w:cs="Amiri"/>
          <w:color w:val="111111"/>
          <w:sz w:val="28"/>
          <w:sz w:val="28"/>
          <w:szCs w:val="28"/>
          <w:rtl w:val="true"/>
          <w:lang w:bidi="ar-SA"/>
        </w:rPr>
        <w:t xml:space="preserve">والجعفريّة </w:t>
      </w:r>
      <w:r>
        <w:rPr>
          <w:rStyle w:val="FootnoteAnchor"/>
          <w:rtl w:val="true"/>
        </w:rPr>
        <w:footnoteReference w:id="1592"/>
      </w:r>
      <w:r>
        <w:rPr>
          <w:rFonts w:ascii="Amiri" w:hAnsi="Amiri" w:eastAsia="Amiri" w:cs="Amiri"/>
          <w:color w:val="111111"/>
          <w:sz w:val="28"/>
          <w:sz w:val="28"/>
          <w:szCs w:val="28"/>
          <w:rtl w:val="true"/>
          <w:lang w:bidi="ar-SA"/>
        </w:rPr>
        <w:t xml:space="preserve">للمحقق الثاني وجامع المقاصد </w:t>
      </w:r>
      <w:r>
        <w:rPr>
          <w:rStyle w:val="FootnoteAnchor"/>
          <w:rtl w:val="true"/>
        </w:rPr>
        <w:footnoteReference w:id="1593"/>
      </w:r>
      <w:r>
        <w:rPr>
          <w:rFonts w:ascii="Amiri" w:hAnsi="Amiri" w:eastAsia="Amiri" w:cs="Amiri"/>
          <w:color w:val="111111"/>
          <w:sz w:val="28"/>
          <w:sz w:val="28"/>
          <w:szCs w:val="28"/>
          <w:rtl w:val="true"/>
          <w:lang w:bidi="ar-SA"/>
        </w:rPr>
        <w:t xml:space="preserve">وتمهيد الشهيد الثاني </w:t>
      </w:r>
      <w:r>
        <w:rPr>
          <w:rStyle w:val="FootnoteAnchor"/>
          <w:rtl w:val="true"/>
        </w:rPr>
        <w:footnoteReference w:id="1594"/>
      </w:r>
      <w:r>
        <w:rPr>
          <w:rFonts w:ascii="IRNazanin" w:hAnsi="IRNazanin" w:eastAsia="IRNazanin"/>
          <w:color w:val="111111"/>
          <w:sz w:val="28"/>
          <w:sz w:val="28"/>
          <w:szCs w:val="28"/>
          <w:rtl w:val="true"/>
          <w:lang w:bidi="fa-IR"/>
        </w:rPr>
        <w:t xml:space="preserve">والمعالم </w:t>
      </w:r>
      <w:r>
        <w:rPr>
          <w:rStyle w:val="FootnoteAnchor"/>
          <w:rtl w:val="true"/>
        </w:rPr>
        <w:footnoteReference w:id="1595"/>
      </w:r>
      <w:r>
        <w:rPr>
          <w:rFonts w:ascii="Amiri" w:hAnsi="Amiri" w:eastAsia="Amiri" w:cs="Amiri"/>
          <w:color w:val="111111"/>
          <w:sz w:val="28"/>
          <w:sz w:val="28"/>
          <w:szCs w:val="28"/>
          <w:rtl w:val="true"/>
          <w:lang w:bidi="ar-SA"/>
        </w:rPr>
        <w:t xml:space="preserve">والزبدة </w:t>
      </w:r>
      <w:r>
        <w:rPr>
          <w:rStyle w:val="FootnoteAnchor"/>
          <w:rtl w:val="true"/>
        </w:rPr>
        <w:footnoteReference w:id="1596"/>
      </w:r>
      <w:r>
        <w:rPr>
          <w:rFonts w:ascii="Amiri" w:hAnsi="Amiri" w:eastAsia="Amiri" w:cs="Amiri"/>
          <w:color w:val="111111"/>
          <w:sz w:val="28"/>
          <w:sz w:val="28"/>
          <w:szCs w:val="28"/>
          <w:rtl w:val="true"/>
          <w:lang w:bidi="ar-SA"/>
        </w:rPr>
        <w:t xml:space="preserve">وحاشية المعالم للفاضل المازندراني </w:t>
      </w:r>
      <w:r>
        <w:rPr>
          <w:rStyle w:val="FootnoteAnchor"/>
          <w:rtl w:val="true"/>
        </w:rPr>
        <w:footnoteReference w:id="1597"/>
      </w:r>
      <w:r>
        <w:rPr>
          <w:rFonts w:ascii="Amiri" w:hAnsi="Amiri" w:eastAsia="Amiri" w:cs="Amiri"/>
          <w:color w:val="111111"/>
          <w:sz w:val="28"/>
          <w:sz w:val="28"/>
          <w:szCs w:val="28"/>
          <w:rtl w:val="true"/>
          <w:lang w:bidi="ar-SA"/>
        </w:rPr>
        <w:t xml:space="preserve">، وإليه ذهب صاحب الرياض </w:t>
      </w:r>
      <w:r>
        <w:rPr>
          <w:rStyle w:val="FootnoteAnchor"/>
          <w:rtl w:val="true"/>
        </w:rPr>
        <w:footnoteReference w:id="1598"/>
      </w:r>
      <w:r>
        <w:rPr>
          <w:rFonts w:ascii="Amiri" w:hAnsi="Amiri" w:eastAsia="Amiri" w:cs="Amiri"/>
          <w:color w:val="111111"/>
          <w:sz w:val="28"/>
          <w:sz w:val="28"/>
          <w:szCs w:val="28"/>
          <w:rtl w:val="true"/>
          <w:lang w:bidi="ar-SA"/>
        </w:rPr>
        <w:t xml:space="preserve">فيما حكي عنهم جميعا ووافقنا في ذلك جماعة من العامة </w:t>
      </w:r>
      <w:r>
        <w:rPr>
          <w:rStyle w:val="FootnoteAnchor"/>
          <w:rtl w:val="true"/>
        </w:rPr>
        <w:footnoteReference w:id="1599"/>
      </w:r>
      <w:r>
        <w:rPr>
          <w:rFonts w:ascii="Amiri" w:hAnsi="Amiri" w:eastAsia="Amiri" w:cs="Amiri"/>
          <w:color w:val="111111"/>
          <w:sz w:val="28"/>
          <w:sz w:val="28"/>
          <w:szCs w:val="28"/>
          <w:rtl w:val="true"/>
          <w:lang w:bidi="ar-SA"/>
        </w:rPr>
        <w:t xml:space="preserve">ونسبه في محكي المسالك </w:t>
      </w:r>
      <w:r>
        <w:rPr>
          <w:rStyle w:val="FootnoteAnchor"/>
          <w:rtl w:val="true"/>
        </w:rPr>
        <w:footnoteReference w:id="1600"/>
      </w:r>
      <w:r>
        <w:rPr>
          <w:rFonts w:ascii="Amiri" w:hAnsi="Amiri" w:eastAsia="Amiri" w:cs="Amiri"/>
          <w:color w:val="111111"/>
          <w:sz w:val="28"/>
          <w:sz w:val="28"/>
          <w:szCs w:val="28"/>
          <w:rtl w:val="true"/>
          <w:lang w:bidi="ar-SA"/>
        </w:rPr>
        <w:t xml:space="preserve">إلى الأشهر بين أصحابنا ، </w:t>
      </w:r>
      <w:bookmarkStart w:id="389" w:name="pg16264_169945"/>
    </w:p>
    <w:p>
      <w:pPr>
        <w:pStyle w:val="BookText"/>
        <w:rPr/>
      </w:pPr>
      <w:bookmarkEnd w:id="389"/>
      <w:r>
        <w:rPr>
          <w:rFonts w:ascii="Amiri" w:hAnsi="Amiri" w:eastAsia="Amiri" w:cs="Amiri"/>
          <w:color w:val="111111"/>
          <w:sz w:val="28"/>
          <w:sz w:val="28"/>
          <w:szCs w:val="28"/>
          <w:rtl w:val="true"/>
          <w:lang w:bidi="ar-SA"/>
        </w:rPr>
        <w:t xml:space="preserve">وجعله في محكي التمهيد </w:t>
      </w:r>
      <w:r>
        <w:rPr>
          <w:rStyle w:val="FootnoteAnchor"/>
          <w:rtl w:val="true"/>
        </w:rPr>
        <w:footnoteReference w:id="1601"/>
      </w:r>
      <w:r>
        <w:rPr>
          <w:rFonts w:ascii="Amiri" w:hAnsi="Amiri" w:eastAsia="Amiri" w:cs="Amiri"/>
          <w:color w:val="111111"/>
          <w:sz w:val="28"/>
          <w:sz w:val="28"/>
          <w:szCs w:val="28"/>
          <w:rtl w:val="true"/>
          <w:lang w:bidi="ar-SA"/>
        </w:rPr>
        <w:t xml:space="preserve">هو الحق عندنا ، وفي المعالم </w:t>
      </w:r>
      <w:r>
        <w:rPr>
          <w:rStyle w:val="FootnoteAnchor"/>
          <w:rtl w:val="true"/>
        </w:rPr>
        <w:footnoteReference w:id="1602"/>
      </w:r>
      <w:r>
        <w:rPr>
          <w:rFonts w:ascii="Amiri" w:hAnsi="Amiri" w:eastAsia="Amiri" w:cs="Amiri"/>
          <w:color w:val="111111"/>
          <w:sz w:val="28"/>
          <w:sz w:val="28"/>
          <w:szCs w:val="28"/>
          <w:rtl w:val="true"/>
          <w:lang w:bidi="ar-SA"/>
        </w:rPr>
        <w:t xml:space="preserve">هو قول الأصحاب الذين وصل إلينا كلامهم ، وادّعى على ذلك الإجماع صريحا المحقق الثاني في محكي حاشية الشرائع </w:t>
      </w:r>
      <w:r>
        <w:rPr>
          <w:rStyle w:val="FootnoteAnchor"/>
          <w:rtl w:val="true"/>
        </w:rPr>
        <w:footnoteReference w:id="1603"/>
      </w:r>
      <w:r>
        <w:rPr>
          <w:rFonts w:ascii="Amiri" w:hAnsi="Amiri" w:eastAsia="Amiri" w:cs="Amiri"/>
          <w:color w:val="111111"/>
          <w:sz w:val="28"/>
          <w:sz w:val="28"/>
          <w:szCs w:val="28"/>
          <w:rtl w:val="true"/>
          <w:lang w:bidi="ar-SA"/>
        </w:rPr>
        <w:t xml:space="preserve">، وكذا علم الهدى في محكي الذريعة </w:t>
      </w:r>
      <w:r>
        <w:rPr>
          <w:rStyle w:val="FootnoteAnchor"/>
          <w:rtl w:val="true"/>
        </w:rPr>
        <w:footnoteReference w:id="1604"/>
      </w:r>
      <w:r>
        <w:rPr>
          <w:rFonts w:ascii="Amiri" w:hAnsi="Amiri" w:eastAsia="Amiri" w:cs="Amiri"/>
          <w:color w:val="111111"/>
          <w:sz w:val="28"/>
          <w:sz w:val="28"/>
          <w:szCs w:val="28"/>
          <w:rtl w:val="true"/>
          <w:lang w:bidi="ar-SA"/>
        </w:rPr>
        <w:t xml:space="preserve">بناء على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من مثله في دعوى الإجماع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وذهب صاحب الفصول </w:t>
      </w:r>
      <w:r>
        <w:rPr>
          <w:rStyle w:val="FootnoteAnchor"/>
          <w:rtl w:val="true"/>
        </w:rPr>
        <w:footnoteReference w:id="1605"/>
      </w:r>
      <w:r>
        <w:rPr>
          <w:rFonts w:ascii="Amiri" w:hAnsi="Amiri" w:eastAsia="Amiri" w:cs="Amiri"/>
          <w:color w:val="111111"/>
          <w:sz w:val="28"/>
          <w:sz w:val="28"/>
          <w:szCs w:val="28"/>
          <w:rtl w:val="true"/>
          <w:lang w:bidi="ar-SA"/>
        </w:rPr>
        <w:t xml:space="preserve">إلى القول الثاني ، أعني التخيير ، وفاقا للحاجبي </w:t>
      </w:r>
      <w:r>
        <w:rPr>
          <w:rStyle w:val="FootnoteAnchor"/>
          <w:rtl w:val="true"/>
        </w:rPr>
        <w:footnoteReference w:id="1606"/>
      </w:r>
      <w:r>
        <w:rPr>
          <w:rFonts w:ascii="Amiri" w:hAnsi="Amiri" w:eastAsia="Amiri" w:cs="Amiri"/>
          <w:color w:val="111111"/>
          <w:sz w:val="28"/>
          <w:sz w:val="28"/>
          <w:szCs w:val="28"/>
          <w:rtl w:val="true"/>
          <w:lang w:bidi="ar-SA"/>
        </w:rPr>
        <w:t xml:space="preserve">والعضدي </w:t>
      </w:r>
      <w:r>
        <w:rPr>
          <w:rStyle w:val="FootnoteAnchor"/>
          <w:rtl w:val="true"/>
        </w:rPr>
        <w:footnoteReference w:id="1607"/>
      </w:r>
      <w:r>
        <w:rPr>
          <w:rFonts w:ascii="Amiri" w:hAnsi="Amiri" w:eastAsia="Amiri" w:cs="Amiri"/>
          <w:color w:val="111111"/>
          <w:sz w:val="28"/>
          <w:sz w:val="28"/>
          <w:szCs w:val="28"/>
          <w:rtl w:val="true"/>
          <w:lang w:bidi="ar-SA"/>
        </w:rPr>
        <w:t xml:space="preserve">والقاضي </w:t>
      </w:r>
      <w:r>
        <w:rPr>
          <w:rStyle w:val="FootnoteAnchor"/>
          <w:rtl w:val="true"/>
        </w:rPr>
        <w:footnoteReference w:id="1608"/>
      </w:r>
      <w:r>
        <w:rPr>
          <w:rFonts w:ascii="Amiri" w:hAnsi="Amiri" w:eastAsia="Amiri" w:cs="Amiri"/>
          <w:color w:val="111111"/>
          <w:sz w:val="28"/>
          <w:sz w:val="28"/>
          <w:szCs w:val="28"/>
          <w:rtl w:val="true"/>
          <w:lang w:bidi="ar-SA"/>
        </w:rPr>
        <w:t xml:space="preserve">وجماعة من الاصوليين والفقهاء على ما حكي عنهم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والحقّ الذي لا ينبغي الارتياب فيه هو الأوّل </w:t>
      </w:r>
      <w:r>
        <w:rPr>
          <w:rStyle w:val="FootnoteAnchor"/>
          <w:rtl w:val="true"/>
        </w:rPr>
        <w:footnoteReference w:id="1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لزوم تقليد الأفضل ، لكن العنوان الذي يتكلّم فيه الآن هو ما إذا علم اختلاف الفاضل والمفضول ، ثمّ التكلّم بعد الفراغ عن المسألة في أطرافها التي منها صورة الجهل بالاختلاف</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4588778_1280447820"/>
      <w:bookmarkStart w:id="391" w:name="_Toc121"/>
      <w:bookmarkEnd w:id="390"/>
      <w:r>
        <w:rPr>
          <w:rtl w:val="true"/>
        </w:rPr>
        <w:t xml:space="preserve">[ </w:t>
      </w:r>
      <w:r>
        <w:rPr>
          <w:rtl w:val="true"/>
        </w:rPr>
        <w:t xml:space="preserve">تقرير الأصل في المسألة </w:t>
      </w:r>
      <w:r>
        <w:rPr>
          <w:rtl w:val="true"/>
        </w:rPr>
        <w:t>] :</w:t>
      </w:r>
      <w:bookmarkEnd w:id="391"/>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أوّلا تقرير الأصل في المسألة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أنّ المسألة اصوليّة يبحث فيها عن الطريق الموصل إلى الأحكام الشرعيّة في حقّ المقلّد ، </w:t>
      </w:r>
    </w:p>
    <w:p>
      <w:pPr>
        <w:pStyle w:val="BookText"/>
        <w:rPr/>
      </w:pPr>
      <w:r>
        <w:rPr>
          <w:rFonts w:ascii="Amiri" w:hAnsi="Amiri" w:eastAsia="Amiri" w:cs="Amiri"/>
          <w:color w:val="111111"/>
          <w:sz w:val="28"/>
          <w:sz w:val="28"/>
          <w:szCs w:val="28"/>
          <w:rtl w:val="true"/>
          <w:lang w:bidi="ar-SA"/>
        </w:rPr>
        <w:t xml:space="preserve">فإنّ كون التقليد من الامور التعبّدية كما حقّقناه قبال من أنكره وجعل قول المجتهد واجب العمل باعتبار كونه أحد الامور المفيدة </w:t>
      </w:r>
      <w:r>
        <w:rPr>
          <w:rStyle w:val="FootnoteAnchor"/>
          <w:rtl w:val="true"/>
        </w:rPr>
        <w:footnoteReference w:id="1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كالفاضل القمّي لا ينافي كونه جعليّا إلى الواقع ، ولا ريب أنّ مرجع الطريق التعبّدي إلى العمل بما وراء العلم وترك تحصيل اليقين بالبراءة عن الشغل الثابت ، فإذا شككنا في أنّ هذا الشيء طريق تعبّديّ أم لا؟ كان قضيّة الأصل الأوّلي فيه العدم ، وقد أشرنا إلى ذلك في صدر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الأصل اتّفاقيّ بين الأصحاب كما اعترف به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أجد نكيرا له ، غير أنّ الفاضل القمّي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أجاب عن الدليل العقلي الذي استدل به على تعيين الأعلم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الظن الحاصل من قوله أقوى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مدار التقليد إن كان على الظنّ ، فيدور مداره من قول أيّ شخص حصل ، وإن كان مبناه على التعبّد ، فلا معنى لملاحظة الأقوائيّة من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اعترض على القول بالتخيير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الأصل حرمة العمل بالظنّ خرج الأقوى بالإجماع ولا دليل على العمل بالأضعف ، ثمّ 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قد بيّنا سابقا أنّه لا أصل لهذا الأصل ، واشتغال الذمّة أيضا لا يثبت إلاّ بالقدر المشترك المتحقّق في ضمن الأدون ، والأصل عدم لزوم الزيادة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الكلام لعلّه من متفرداته رحمه‌اللّه إذ لم أجد على </w:t>
      </w:r>
      <w:r>
        <w:rPr>
          <w:rStyle w:val="FootnoteAnchor"/>
          <w:rtl w:val="true"/>
        </w:rPr>
        <w:footnoteReference w:id="1613"/>
      </w:r>
      <w:r>
        <w:rPr>
          <w:rFonts w:ascii="Amiri" w:hAnsi="Amiri" w:eastAsia="Amiri" w:cs="Amiri"/>
          <w:color w:val="111111"/>
          <w:sz w:val="28"/>
          <w:sz w:val="28"/>
          <w:szCs w:val="28"/>
          <w:rtl w:val="true"/>
          <w:lang w:bidi="ar-SA"/>
        </w:rPr>
        <w:t xml:space="preserve">من يقول بكون مقتضى الأصل الأوّلي جواز العمل بمطلق الاعتماد الشامل للظن ، فإنّ كلّ من دخل في المسألة ذكر الأصل الذي قرّرنا ، مرسلا إرسال المسلّمات ، ولم يناقش أحد من </w:t>
      </w:r>
      <w:bookmarkStart w:id="392" w:name="pg16264_169947"/>
    </w:p>
    <w:p>
      <w:pPr>
        <w:pStyle w:val="BookText"/>
        <w:rPr/>
      </w:pPr>
      <w:bookmarkEnd w:id="392"/>
      <w:r>
        <w:rPr>
          <w:rFonts w:ascii="Amiri" w:hAnsi="Amiri" w:eastAsia="Amiri" w:cs="Amiri"/>
          <w:color w:val="111111"/>
          <w:sz w:val="28"/>
          <w:sz w:val="28"/>
          <w:szCs w:val="28"/>
          <w:rtl w:val="true"/>
          <w:lang w:bidi="ar-SA"/>
        </w:rPr>
        <w:t xml:space="preserve">المجوّزين في هذا الأصل ، بل ادّعوا قيام الدليل الشرعي على خلافه ، ولعلّه رحمه‌اللّه أراد به الأصل الثانوي المستفاد من دليل الانسداد ، وقد عرفت في تقليد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مقدّماته مثل انتفاء الظن الخاص في حق المقلّد ممنوع ، وأمّا ما ذكره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الاشتغال لم يثبت إلاّ بالقدر المشترك المتحقّق في ضمن الأدون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ابتنائه على كون التقليد حكما تعبّديا ثابتا من الأدلّة الشرعيّة مخالفا للأصل ، وهو مناف لما توهّمه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الأصل هو جواز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جوابه من الجواب عن الأصل الثاني من الاصول التي قد يتمسّك بها في إثبات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يتوهّم أنّ الاحتياط في هذه المسألة الاصولية ربما يعارض بالاحتياط في المسألة الفرعيّة ، كما إذا كان قول المفضول موافقا للاحتياط ؛ لأنّ الاحتياط في المسألة الاصولية مقدّم على الاحتياط في المسألة الفرعيّة بقاعدة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المزيل والمزال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ذلك فاعلم أنّ للقائلين بالتخيير وجوه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3" w:name="__RefHeading___Toc4588780_1280447820"/>
      <w:bookmarkStart w:id="394" w:name="_Toc122"/>
      <w:bookmarkEnd w:id="393"/>
      <w:r>
        <w:rPr>
          <w:rtl w:val="true"/>
        </w:rPr>
        <w:t xml:space="preserve">[ </w:t>
      </w:r>
      <w:r>
        <w:rPr>
          <w:rtl w:val="true"/>
        </w:rPr>
        <w:t xml:space="preserve">وجوه القائلين بالتخيير </w:t>
      </w:r>
      <w:r>
        <w:rPr>
          <w:rtl w:val="true"/>
        </w:rPr>
        <w:t>] :</w:t>
      </w:r>
      <w:bookmarkEnd w:id="394"/>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المقرّر تارة باستصحاب التخيير الثابت فيما إذا كانا متساويين في العلم أوّلا ثمّ فضل أحدهما على الآخر ، فإنّ زوال ذلك التخيير بحدوث الفضل في أحدهما غير معلوم فيستصحب</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واخرى بأنّ الشكّ في المسألة دائر بين التخيير والتعيين فيما علم وجوبه في الجملة ، أعني التقليد ، فيرجع إلى أصالة البراءة على القول بها في أمثال ذلك ، مثل ما إذا ثبت وجوب عتق الرقبة في الجملة وشكّ في وجوب عتق المؤمنة عينا ، أو التخيير بينها وبين الكافرة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المرجحيّة أمر توقيفيّ كالحجيّة ، فلا بدّ في ثبوتها لشيء من قيام دليل شرعيّ عليها ، فمقتضى الأصل عدمها حتى ثبت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إذا تأمّلت في الأصل الذي قرّرنا علمت أنّ هذه الاصول ممّا ليس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 فلأنّ التخيير الثابت في حال التساوي إنّما كان باعتبار القطع بعدم ترجيح أحدهما على الآخر في العلم ، ونحوه مما يشكّ في كونه مرجّحا ، فحيث زال القطع بعدم ترجيح أحدهما على الآخر في العلم ونحوه ممّا يشكّ في كونه مرجّحا ، فحيث زال القطع المزبور بحدوث ما يحتمل كونه مرجّحا ، أعني الفضل في أحدهما ، امتنع الاستصحاب ، نظير الحكم بنجاسة الحيوان المشكوك في طهارته ونجاسته شرعا باعتبار استصحاب النجاسة الحاصلة له حين التولّد بملاقاة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نستصحب التخيير ، بل نستصحب جواز الرجوع إلى المفضول الثابت له قبل حدوث الفضل للآخر ، فإنّ هذا الجواز كان مناطه صفة الاجتهاد والعلم القائمين به ، وهما باقيان بعد حدوثه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الجواز الإباحي المقابل للأحكام الأربعة </w:t>
      </w:r>
      <w:r>
        <w:rPr>
          <w:rStyle w:val="FootnoteAnchor"/>
          <w:rtl w:val="true"/>
        </w:rPr>
        <w:footnoteReference w:id="1616"/>
      </w:r>
      <w:r>
        <w:rPr>
          <w:rFonts w:ascii="Amiri" w:hAnsi="Amiri" w:eastAsia="Amiri" w:cs="Amiri"/>
          <w:color w:val="111111"/>
          <w:sz w:val="28"/>
          <w:sz w:val="28"/>
          <w:szCs w:val="28"/>
          <w:rtl w:val="true"/>
          <w:lang w:bidi="ar-SA"/>
        </w:rPr>
        <w:t>، بل المراد به الوجوب التخييري ، وتسميته جوازا إنّما هو باعتبار الرخصة في تركه إلى بدل ، فالمحذور باق بحاله كما لا يخفى</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 فلأنّ الشك في التعيين والتخيير يتصوّر في 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التخيير المشكوك فيه التخيير العقلي العارض للأفراد عند </w:t>
      </w:r>
    </w:p>
    <w:p>
      <w:pPr>
        <w:pStyle w:val="BookText"/>
        <w:rPr/>
      </w:pPr>
      <w:r>
        <w:rPr>
          <w:rFonts w:ascii="Amiri" w:hAnsi="Amiri" w:eastAsia="Amiri" w:cs="Amiri"/>
          <w:color w:val="111111"/>
          <w:sz w:val="28"/>
          <w:sz w:val="28"/>
          <w:szCs w:val="28"/>
          <w:rtl w:val="true"/>
          <w:lang w:bidi="ar-SA"/>
        </w:rPr>
        <w:t>تعلّق التكليف بالطبيعة ، ومرجعه إلى الشك في الإطلاق والتقييد ، مثل ما إذا ثبت وجوب طبيعة العتق وشكّ في تقييدها بالمؤمنة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التخيير شرعيّا مثل ما في الصوم والعتق والكفّارات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التخيير عقليّا ناشئا من جهة تزاحم الواجبين العينيّين </w:t>
      </w:r>
      <w:r>
        <w:rPr>
          <w:rStyle w:val="FootnoteAnchor"/>
          <w:rtl w:val="true"/>
        </w:rPr>
        <w:footnoteReference w:id="1617"/>
      </w:r>
      <w:r>
        <w:rPr>
          <w:rFonts w:ascii="Amiri" w:hAnsi="Amiri" w:eastAsia="Amiri" w:cs="Amiri"/>
          <w:color w:val="111111"/>
          <w:sz w:val="28"/>
          <w:sz w:val="28"/>
          <w:szCs w:val="28"/>
          <w:rtl w:val="true"/>
          <w:lang w:bidi="ar-SA"/>
        </w:rPr>
        <w:t xml:space="preserve">، ومرجع الشك في التعيين والتخيير حينئذ الشك في ترجيح أحد المتزاحمين على الآخر وعدمه بعد القطع باشتمالها </w:t>
      </w:r>
      <w:r>
        <w:rPr>
          <w:rStyle w:val="FootnoteAnchor"/>
          <w:rtl w:val="true"/>
        </w:rPr>
        <w:footnoteReference w:id="1618"/>
      </w:r>
      <w:r>
        <w:rPr>
          <w:rFonts w:ascii="Amiri" w:hAnsi="Amiri" w:eastAsia="Amiri" w:cs="Amiri"/>
          <w:color w:val="111111"/>
          <w:sz w:val="28"/>
          <w:sz w:val="28"/>
          <w:szCs w:val="28"/>
          <w:rtl w:val="true"/>
          <w:lang w:bidi="ar-SA"/>
        </w:rPr>
        <w:t>على مصلحة الوجوب العيني لو خلا عن المعارضة والمزاحمة</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والبناء على التخيير للأصل على القول به ، إنّما هو في القسمين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القسم الثالث ، فأصالة الاشتغال فيه محكّمة ، فإذا وجب انقاذ كلّ غريق عينا ودار الأمر بين إنقاذ العالم والجاهل وشكّ في رجحان العالم لم يكن الرجوع إلى أصل البراءة بالنسبة إلى تعيين العالم ؛ لأنّ الشك ليس في وجوبه العيني حتى يدفع بالأصل كما في عتق المؤمنة أو الصوم مثلا ؛ إذ المفروض أنّه لا شبهة في كونه واجبا عينيّا مثل إنقاذ الجاهل ، بل في ترجيح أحد العينيين على الآخر باعتبار تضمّنه شيئا يحتمل المرجحية ، فالمرجع حينئذ إلى الاحتياط أو التخيير العقلي الناشئ من جهة التساوي ، وحيث لا سبيل إلى التخيير لعدم حكم العقل به مع احتمال وجود المرجّح في أحد الجانبين تعين الاحتياط المبرئ للذمّة الحاصل في ضمن الأخذ بواحد </w:t>
      </w:r>
      <w:r>
        <w:rPr>
          <w:rStyle w:val="FootnoteAnchor"/>
          <w:rtl w:val="true"/>
        </w:rPr>
        <w:footnoteReference w:id="1619"/>
      </w:r>
      <w:r>
        <w:rPr>
          <w:rFonts w:ascii="Amiri" w:hAnsi="Amiri" w:eastAsia="Amiri" w:cs="Amiri"/>
          <w:color w:val="111111"/>
          <w:sz w:val="28"/>
          <w:sz w:val="28"/>
          <w:szCs w:val="28"/>
          <w:rtl w:val="true"/>
          <w:lang w:bidi="ar-SA"/>
        </w:rPr>
        <w:t>الاحتمالين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الشكّ في التعيين والتخيير قد يرجع أيضا إلى الشكّ في ترجيح أحد الاحتمالين اللذين لا ثالث لهما على الآخر إذا لم يوافق أحدهما أصلا من الاصول ، مثل ما إذا دار حكم الشيء من </w:t>
      </w:r>
      <w:r>
        <w:rPr>
          <w:rStyle w:val="FootnoteAnchor"/>
          <w:rtl w:val="true"/>
        </w:rPr>
        <w:footnoteReference w:id="1620"/>
      </w:r>
      <w:r>
        <w:rPr>
          <w:rFonts w:ascii="Amiri" w:hAnsi="Amiri" w:eastAsia="Amiri" w:cs="Amiri"/>
          <w:color w:val="111111"/>
          <w:sz w:val="28"/>
          <w:sz w:val="28"/>
          <w:szCs w:val="28"/>
          <w:rtl w:val="true"/>
          <w:lang w:bidi="ar-SA"/>
        </w:rPr>
        <w:t xml:space="preserve">الوجوب والحرمة ، وكان في أحد الاحتمالين ما يحتمل كونه مرجّحا مثل موافقة الشهرة ، وهذا غير الشك في التعيين والتخيير الناشئ من التزاحم ، وعدم جريان أصل البراءة هنا أوضح من عدم جريانه في باب التزاحم ؛ لإمكان القول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الواجب بعد تزاحم الواجبين إنّما هو القدر المشترك بينهما ؛ لعدم إمكان الجمع ولا الطرح وانتفاء ما ثبت كونه مرجّحا في أحدهما ؛ بخلاف المقام ؛ فإنّ إرجاع التكليف إلى القدر الجامع بين الاحتمالين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القدر المشترك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ممتنع ، فلا بدّ حينئذ من الأخذ بالقدر المتيقّن في مقام الامتثال بالحكم الظاهري الذي هو التخيير النقلي ، أعني اختيار ما يحتمل ترجيحه لموافقة الشهرة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 فاعلم أنّ الشك في التخيير والتعيين في مسألتنا هذه ليس من القسم الأول الراجع إلى الإطلاق والتقييد ، ولا من القسم الثاني الراجع إلى التخيير الشرعي ؛ لأنّ ثبوت الحكم ولو شأنا ليس مقطوعا به لكلّ واحد من الفردين المحتمل تعيين أحدهما في هذين القسمين ، بخلاف المقام فإنّ الحجّة الشأنيّة مقطوع ثبوتها لقول كلّ من المتعارضين</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أنّا نعلم قطعا أنّ غير محتمل التعيين فيهما كالكافرة ليس بواجب عيني ، وقول كلّ واحد من المجتهدين المتخالفين مما يحتمل كونه هو الواقع </w:t>
      </w:r>
    </w:p>
    <w:p>
      <w:pPr>
        <w:pStyle w:val="BookText"/>
        <w:rPr/>
      </w:pPr>
      <w:r>
        <w:rPr>
          <w:rFonts w:ascii="Amiri" w:hAnsi="Amiri" w:eastAsia="Amiri" w:cs="Amiri"/>
          <w:color w:val="111111"/>
          <w:sz w:val="28"/>
          <w:sz w:val="28"/>
          <w:szCs w:val="28"/>
          <w:rtl w:val="true"/>
          <w:lang w:bidi="ar-SA"/>
        </w:rPr>
        <w:t xml:space="preserve">المفروض وجوبه عينا ، فتعيّن كونه من أحد القسمين الأخيرين اللذين عرفت اقتضاء الأصل منهما </w:t>
      </w:r>
      <w:r>
        <w:rPr>
          <w:rStyle w:val="FootnoteAnchor"/>
          <w:rtl w:val="true"/>
        </w:rPr>
        <w:footnoteReference w:id="1621"/>
      </w:r>
      <w:r>
        <w:rPr>
          <w:rFonts w:ascii="Amiri" w:hAnsi="Amiri" w:eastAsia="Amiri" w:cs="Amiri"/>
          <w:color w:val="111111"/>
          <w:sz w:val="28"/>
          <w:sz w:val="28"/>
          <w:szCs w:val="28"/>
          <w:rtl w:val="true"/>
          <w:lang w:bidi="ar-SA"/>
        </w:rPr>
        <w:t>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هو من القسم الراجع إلى التزاحم أو القسم الراجع إلى تعارض الاحتمالين؟ والظاهر هو الأخير ؛ لأنّ حقيقة التقليد عبارة عن انجعال قول المجتهد طريقا تعبديّا للمقلّد إلى الواقع ، فعند اختلاف المجتهدين يقع المعارضة بين الطريقين ، فأحدهما يعيّن الواقع في الوجوب والآخر في الحرمة ، فالتخيير الذي يحكم به العقل حينئذ ليس من باب التخيير الناشئ من اشتمال كلّ من المتزاحمين لمصلحة التكليف ، كإنجاء النفس من الهلاك ؛ للقطع باختصاص المصلحة المقتضية لجعل الطريق أعني إصابة الواقع بأحدهما ، بل هو من باب التخيير الناشئ من تعارض احتمال مؤدّى أحد الطريقين كالوجوب لاحتمال مؤدى الآخر كالحرمة ، فالتخيير الذي يضطرّ إليه العقل بعد اليأس عن التوقّف الذي كان على وفق القاعدة في تعارض الأمارات والحجج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قيام الإجماع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التخيير الذي يحكم عند دوران الأمر بين مؤداهما مع عدم موافقة الأصل لشيء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القاعدة تقتضي في المسألة </w:t>
      </w:r>
      <w:r>
        <w:rPr>
          <w:rStyle w:val="FootnoteAnchor"/>
          <w:rtl w:val="true"/>
        </w:rPr>
        <w:footnoteReference w:id="1622"/>
      </w:r>
      <w:r>
        <w:rPr>
          <w:rFonts w:ascii="Amiri" w:hAnsi="Amiri" w:eastAsia="Amiri" w:cs="Amiri"/>
          <w:color w:val="111111"/>
          <w:sz w:val="28"/>
          <w:sz w:val="28"/>
          <w:szCs w:val="28"/>
          <w:rtl w:val="true"/>
          <w:lang w:bidi="ar-SA"/>
        </w:rPr>
        <w:t>الوقوف على ما يحتمل فيه الترجيح</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تعارض الحجّتان علم بأنّ الطريق أحدهما ليس إلاّ ؛ لأنّ الطريق عبارة عمّا يجب الأخذ به فعلا ، ولا يمكن الاتّصاف بالوجوب الفعلي إلاّ أحد </w:t>
      </w:r>
      <w:r>
        <w:rPr>
          <w:rStyle w:val="FootnoteAnchor"/>
          <w:rtl w:val="true"/>
        </w:rPr>
        <w:footnoteReference w:id="1623"/>
      </w:r>
      <w:r>
        <w:rPr>
          <w:rFonts w:ascii="Amiri" w:hAnsi="Amiri" w:eastAsia="Amiri" w:cs="Amiri"/>
          <w:color w:val="111111"/>
          <w:sz w:val="28"/>
          <w:sz w:val="28"/>
          <w:szCs w:val="28"/>
          <w:rtl w:val="true"/>
          <w:lang w:bidi="ar-SA"/>
        </w:rPr>
        <w:t xml:space="preserve">المتعارضين ، وحيث لا سبيل للعقل إلى تعيينه فيتخيّر بينهما عند القطع </w:t>
      </w:r>
    </w:p>
    <w:p>
      <w:pPr>
        <w:pStyle w:val="BookText"/>
        <w:rPr/>
      </w:pPr>
      <w:r>
        <w:rPr>
          <w:rFonts w:ascii="Amiri" w:hAnsi="Amiri" w:eastAsia="Amiri" w:cs="Amiri"/>
          <w:color w:val="111111"/>
          <w:sz w:val="28"/>
          <w:sz w:val="28"/>
          <w:szCs w:val="28"/>
          <w:rtl w:val="true"/>
          <w:lang w:bidi="ar-SA"/>
        </w:rPr>
        <w:t xml:space="preserve">بالتساوي ، فإذا قام احتمال الترجيح في أحدهما وقف عنده فلا يحكم بالتخيير ؛ لأنّه طريق للقطع بالبراءة عن التكليف الظاهري ؛ نظرا إلى عدم منافاة الأخذ به التخيير </w:t>
      </w:r>
      <w:r>
        <w:rPr>
          <w:rStyle w:val="FootnoteAnchor"/>
          <w:rtl w:val="true"/>
        </w:rPr>
        <w:footnoteReference w:id="1624"/>
      </w:r>
      <w:r>
        <w:rPr>
          <w:rFonts w:ascii="Amiri" w:hAnsi="Amiri" w:eastAsia="Amiri" w:cs="Amiri"/>
          <w:color w:val="111111"/>
          <w:sz w:val="28"/>
          <w:sz w:val="28"/>
          <w:szCs w:val="28"/>
          <w:rtl w:val="true"/>
          <w:lang w:bidi="ar-SA"/>
        </w:rPr>
        <w:t>، ولا يجوز له البناء على البراءة كما بيّنا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هو الوجه في اتّفاق ظاهر الأصحاب على أنّ الأصل الأوّلي هنا يقتضي الأخذ بقول الأفضل مع أنّ جماعة من المحقّقين ذهبوا في مسألة دوران الأمر بين الإطلاق والتقييد ، أو التخيير والتعيين إلى الإطلاق والتخيير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من الشواهد الواضحة على خروج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وجوب تقليد الأعلم وجوازه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تحت المقامين ، فإنّ قضيّة الاندراج تحتهما حكمهم بأنّ قضيّة الأصل هنا الجواز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ظهر ما في كلام الفاضل القمّي رحمه‌اللّه المتقدّم إليه الإشارة </w:t>
      </w:r>
      <w:r>
        <w:rPr>
          <w:rStyle w:val="FootnoteAnchor"/>
          <w:rtl w:val="true"/>
        </w:rPr>
        <w:footnoteReference w:id="1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الاشتغال لم يثبت إلاّ بالقدر المشترك ، أو الوجود في ضمن الأدون ؛ ضرورة انتفاء القدر المشترك هنا بحيث يكون جعله موضوعا للحجيّة نظير انتفائه في دوران الأمر</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نظره في هذا الكلام إلى إرجاع التقليد إلى أمر تعبّدي غير مربوط الحجّية </w:t>
      </w:r>
      <w:r>
        <w:rPr>
          <w:rStyle w:val="FootnoteAnchor"/>
          <w:rtl w:val="true"/>
        </w:rPr>
        <w:footnoteReference w:id="1626"/>
      </w:r>
      <w:r>
        <w:rPr>
          <w:rFonts w:ascii="Amiri" w:hAnsi="Amiri" w:eastAsia="Amiri" w:cs="Amiri"/>
          <w:color w:val="111111"/>
          <w:sz w:val="28"/>
          <w:sz w:val="28"/>
          <w:szCs w:val="28"/>
          <w:rtl w:val="true"/>
          <w:lang w:bidi="ar-SA"/>
        </w:rPr>
        <w:t xml:space="preserve">والطريقية ، كمتابعة قول العالم من حيث هو من حيث كونه طريقا إلى الواقع ، فزعم أنّ التقليد حينئذ واجب من الواجبات التعبديّة المحضة مثل إكرام العالم والإعانة عليه </w:t>
      </w:r>
      <w:r>
        <w:rPr>
          <w:rStyle w:val="FootnoteAnchor"/>
          <w:rtl w:val="true"/>
        </w:rPr>
        <w:footnoteReference w:id="1627"/>
      </w:r>
      <w:r>
        <w:rPr>
          <w:rFonts w:ascii="Amiri" w:hAnsi="Amiri" w:eastAsia="Amiri" w:cs="Amiri"/>
          <w:color w:val="111111"/>
          <w:sz w:val="28"/>
          <w:sz w:val="28"/>
          <w:szCs w:val="28"/>
          <w:rtl w:val="true"/>
          <w:lang w:bidi="ar-SA"/>
        </w:rPr>
        <w:t>، وأنّ الشك في وجوب متابعة الفاضل عينا أو مخيّرا بينه وبين المفضول مثل الشك في وجوب عتق المؤمنة عينا أو مخيّرا بينها وبين الكافرة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سهو بيّن ؛ لأنّ متابعة المقلّد للمجتهد ليست إلاّ كمتابعة المجتهد للراوي في الرواية ، فالفتوى والرواية طريقان للواقع الذي هو المطلوب من انجعالها طريقا ، فإذا تعارض الفتويان اشتبه الطريق والحجّية بغيره ، وقضيّته القياس حينئذ على ما قدّمناه في التعادل والتراجيح عند تعارض الطريقين هو التوقف ، لكن قام الإجماع على بطلانه فانحصر المناص في مطالبة الترجيح ثمّ الأخذ ولو احتمالا ، وإلاّ فالتخيير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الجواب عن الأصل المزبور إنّما يناسب مذهب من يعتمد على كلّ ظنّ في مقام ترجيح أحد الاحتمالين ولو لم يعتمد عليه في مقام ترجيح أحد الخبرين في التخيير الشرعي ، فمن أبى عن ذلك فليس في محلّه ، فالجواب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البناء على التخيير لأصالة البراءة إنّما يتّجه عند الشك في ثبوت التكليف ، وأمّا إذا كان الشك في ارتفاع التكليف الثابت باعتبار الشك في طروّ التخصيص على دليل ذلك التكليف انعكس الأصل فيقتضي التعيين ، والكلام في وجوب تقليد الأعلم عينا أو تخييرا كلام في قدر الخارج عن تحت ما دلّ على عدم جواز العمل بما وراء العلم ، فالقدر المتيقّن الذي يجب الاقتصار عليه ليس إلاّ العمل بقول الأعلم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الأصل الثالث فقد ظهر ضعفه أيضا ممّا بيّنا ؛ لأنّ الشكّ في ترجيح إحدى الحجّتين المتعارضتين على الاخرى شكّ في حجّية المرجع فعلا ، وأصالة عدم الحجّية حينئذ محكّمة بعد عدم قيام دليل عليها من نقل أو عقل</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النقل ؛ فلأنّ الدليل الدالّ على حجّية العالم لا يمكن تناله لصورة التعارض ؛ للقطع بمخالفة أحد المتعارضين للواقع وتعيين أحدهما دون الآخر ترجيح بلا مرجّح ، فلولا قيام الاتّفاق على بطلان الطرح والتوقّف لكان مقتضى القاعدة ذلك ، لكن بعد ملاحظة ذلك الاتّفاق فالعقل قاض بالتخيير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العقل ، فلأنّ العقل لا يذهب إلى جواز الأخذ بالمرجوح مع وجود الراجح الظنّي في التخييرات التي تستند إلى حكمها لأجل التخيير ، خصوصا فيما كان الشكّ في ارتفاع التكليف الثابت بالأصل والعمومات ، أعني حرمة العمل بقول الغير وما قرع سمعك من أنّ المرجحيّة كالحجّية محتاجة إلى الدليل فإنّما هو في التخيير الشرعي الثابت بالدليل ، وستعرف أنّ مثل هذا الدليل موقوف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وبالإحاطة بما ذكر تقدر إبطال كلّ أصل يتمسّك به في المقام على حجّية المفضول</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أدلة المثبتين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إطلاقات الكتاب والسنّة الواردتين في مشروعيّة التقليد ؛ بناء على دلالتها عليها ، مثل آية السؤال ، وآية النفر ، وآية الكتمان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العلم </w:t>
      </w:r>
      <w:r>
        <w:rPr>
          <w:rFonts w:eastAsia="Amiri" w:cs="Amiri" w:ascii="Amiri" w:hAnsi="Amiri"/>
          <w:color w:val="111111"/>
          <w:sz w:val="28"/>
          <w:szCs w:val="28"/>
          <w:rtl w:val="true"/>
          <w:lang w:bidi="ar-SA"/>
        </w:rPr>
        <w:t xml:space="preserve">» </w:t>
      </w:r>
      <w:r>
        <w:rPr>
          <w:rStyle w:val="FootnoteAnchor"/>
          <w:rtl w:val="true"/>
        </w:rPr>
        <w:footnoteReference w:id="1628"/>
      </w:r>
      <w:r>
        <w:rPr>
          <w:rFonts w:ascii="Amiri" w:hAnsi="Amiri" w:eastAsia="Amiri" w:cs="Amiri"/>
          <w:color w:val="111111"/>
          <w:sz w:val="28"/>
          <w:sz w:val="28"/>
          <w:szCs w:val="28"/>
          <w:rtl w:val="true"/>
          <w:lang w:bidi="ar-SA"/>
        </w:rPr>
        <w:t xml:space="preserve">عام يتناول الفاضل والمفضول ، فالأمر بالسؤال منهم يدلّ على وجوب قبول كلّ واحد على حدّ سواء خصوصا بعد ملاحظة غلبة تفاوت مراتب العلم وندرة مساواة أهله فيه وشيوع الاختلاف بينهم ؛ فإنّ الأمر بالرجوع إلى الطائفة المختلفين في الآراء والعلم دليلا </w:t>
      </w:r>
      <w:r>
        <w:rPr>
          <w:rStyle w:val="FootnoteAnchor"/>
          <w:rtl w:val="true"/>
        </w:rPr>
        <w:footnoteReference w:id="1629"/>
      </w:r>
      <w:r>
        <w:rPr>
          <w:rFonts w:ascii="Amiri" w:hAnsi="Amiri" w:eastAsia="Amiri" w:cs="Amiri"/>
          <w:color w:val="111111"/>
          <w:sz w:val="28"/>
          <w:sz w:val="28"/>
          <w:szCs w:val="28"/>
          <w:rtl w:val="true"/>
          <w:lang w:bidi="ar-SA"/>
        </w:rPr>
        <w:t>آخر على اشتراك الجمع في مصلحة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آية النفر ؛ فإن إيجاب الحذر عقيب الإنذار المتفقين من دون ما يدلّ على اختصاصه بإنذار الأفقه مع جريان العادة بتفاوت مراتبهم يفيد حجّية إنذار كلّ منذر سواء كان أفضل أو مفضولا ، وهكذا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w:t>
      </w:r>
      <w:r>
        <w:rPr>
          <w:rFonts w:eastAsia="Amiri" w:cs="Amiri" w:ascii="Amiri" w:hAnsi="Amiri"/>
          <w:color w:val="111111"/>
          <w:sz w:val="28"/>
          <w:szCs w:val="28"/>
          <w:rtl w:val="true"/>
          <w:lang w:bidi="ar-SA"/>
        </w:rPr>
        <w:t>]</w:t>
      </w:r>
      <w:r>
        <w:rPr>
          <w:rStyle w:val="FootnoteAnchor"/>
          <w:rtl w:val="true"/>
        </w:rPr>
        <w:footnoteReference w:id="1630"/>
      </w:r>
      <w:r>
        <w:rPr>
          <w:rFonts w:ascii="Amiri" w:hAnsi="Amiri" w:eastAsia="Amiri" w:cs="Amiri"/>
          <w:color w:val="111111"/>
          <w:sz w:val="28"/>
          <w:sz w:val="28"/>
          <w:szCs w:val="28"/>
          <w:rtl w:val="true"/>
          <w:lang w:bidi="ar-SA"/>
        </w:rPr>
        <w:t xml:space="preserve">إلى سائر ما سمعت في تقليد الميّت من الأخبار ، كرواية الاحتجاج ، والتوقيع </w:t>
      </w:r>
    </w:p>
    <w:p>
      <w:pPr>
        <w:pStyle w:val="BookText"/>
        <w:rPr/>
      </w:pPr>
      <w:r>
        <w:rPr>
          <w:rFonts w:ascii="Amiri" w:hAnsi="Amiri" w:eastAsia="Amiri" w:cs="Amiri"/>
          <w:color w:val="111111"/>
          <w:sz w:val="28"/>
          <w:sz w:val="28"/>
          <w:szCs w:val="28"/>
          <w:rtl w:val="true"/>
          <w:lang w:bidi="ar-SA"/>
        </w:rPr>
        <w:t xml:space="preserve">الشريف ، وروايات الحكومة ، وخصوص ما ورد في حق زرارة وأبان والثقفي والعميري ويونس وأمثالهم ؛ فإنّ المستفاد منها وغيرها مما ورد في حجّية العلماء كقوله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علماء أمتي كأنبياء بني إسرائيل </w:t>
      </w:r>
      <w:r>
        <w:rPr>
          <w:rFonts w:eastAsia="Amiri" w:cs="Amiri" w:ascii="Amiri" w:hAnsi="Amiri"/>
          <w:color w:val="111111"/>
          <w:sz w:val="28"/>
          <w:szCs w:val="28"/>
          <w:rtl w:val="true"/>
          <w:lang w:bidi="ar-SA"/>
        </w:rPr>
        <w:t xml:space="preserve">» </w:t>
      </w:r>
      <w:r>
        <w:rPr>
          <w:rStyle w:val="FootnoteAnchor"/>
          <w:rtl w:val="true"/>
        </w:rPr>
        <w:footnoteReference w:id="1631"/>
      </w:r>
      <w:r>
        <w:rPr>
          <w:rFonts w:ascii="Amiri" w:hAnsi="Amiri" w:eastAsia="Amiri" w:cs="Amiri"/>
          <w:color w:val="111111"/>
          <w:sz w:val="28"/>
          <w:sz w:val="28"/>
          <w:szCs w:val="28"/>
          <w:rtl w:val="true"/>
          <w:lang w:bidi="ar-SA"/>
        </w:rPr>
        <w:t xml:space="preserve">وقوله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أصحابي كالنجوم بأيّهم اقتديتم اهتديتم </w:t>
      </w:r>
      <w:r>
        <w:rPr>
          <w:rFonts w:eastAsia="Amiri" w:cs="Amiri" w:ascii="Amiri" w:hAnsi="Amiri"/>
          <w:color w:val="111111"/>
          <w:sz w:val="28"/>
          <w:szCs w:val="28"/>
          <w:rtl w:val="true"/>
          <w:lang w:bidi="ar-SA"/>
        </w:rPr>
        <w:t xml:space="preserve">» </w:t>
      </w:r>
      <w:r>
        <w:rPr>
          <w:rStyle w:val="FootnoteAnchor"/>
          <w:rtl w:val="true"/>
        </w:rPr>
        <w:footnoteReference w:id="1632"/>
      </w:r>
      <w:r>
        <w:rPr>
          <w:rFonts w:ascii="Amiri" w:hAnsi="Amiri" w:eastAsia="Amiri" w:cs="Amiri"/>
          <w:color w:val="111111"/>
          <w:sz w:val="28"/>
          <w:sz w:val="28"/>
          <w:szCs w:val="28"/>
          <w:rtl w:val="true"/>
          <w:lang w:bidi="ar-SA"/>
        </w:rPr>
        <w:t xml:space="preserve">عدم تعيين الأفضل ، فتخيّر </w:t>
      </w:r>
      <w:r>
        <w:rPr>
          <w:rStyle w:val="FootnoteAnchor"/>
          <w:rtl w:val="true"/>
        </w:rPr>
        <w:footnoteReference w:id="1633"/>
      </w:r>
      <w:r>
        <w:rPr>
          <w:rFonts w:ascii="Amiri" w:hAnsi="Amiri" w:eastAsia="Amiri" w:cs="Amiri"/>
          <w:color w:val="111111"/>
          <w:sz w:val="28"/>
          <w:sz w:val="28"/>
          <w:szCs w:val="28"/>
          <w:rtl w:val="true"/>
          <w:lang w:bidi="ar-SA"/>
        </w:rPr>
        <w:t>بينه وبين المفضول ، وبها يخرج عن حكم الأصل القاضي بالاقتصار على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الغضّ عمّا في دلالتها على جواز أصل التقليد من المناقشات الواضحة المتقدم إلى جملة منها الإشارة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ليس في شيء منها دلالة على مساواة الأفضل والمفضول عند اختلافهما في حكم المسألة ، لا من حيث الإطلاق ولا من حيث العموم ، ولا من حيثيّات اخرى ؛ فإنّ منها ما ورد في مقام جعل طائفة من العلماء مرجعا للجهّال القاصرين عن إدراك معالم الدين بأنفسهم ، فلا يدلّ إلاّ على انحصار الحجّة في هذه الطائفة وعدم جواز الرجوع إلى غيرهم ، وأمّا أنّ كلّ واحد منهم حجّة مطلقا أو عند فقد المعارض ، فهو بمعزل عن بيان ذلك</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القبيل قول اللّه عزّ 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 xml:space="preserve">) </w:t>
      </w:r>
      <w:r>
        <w:rPr>
          <w:rStyle w:val="FootnoteAnchor"/>
          <w:rtl w:val="true"/>
        </w:rPr>
        <w:footnoteReference w:id="16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Style w:val="FootnoteAnchor"/>
          <w:rtl w:val="true"/>
        </w:rPr>
        <w:footnoteReference w:id="1635"/>
      </w:r>
      <w:r>
        <w:rPr>
          <w:rFonts w:ascii="Amiri" w:hAnsi="Amiri" w:eastAsia="Amiri" w:cs="Amiri"/>
          <w:color w:val="111111"/>
          <w:sz w:val="28"/>
          <w:sz w:val="28"/>
          <w:szCs w:val="28"/>
          <w:rtl w:val="true"/>
          <w:lang w:bidi="ar-SA"/>
        </w:rPr>
        <w:t xml:space="preserve">إضافة اسم الجمع إلى الجمع لا يفيد إلاّ تعلّق الحكم بجنس الجمع ، فلا يستفاد منها إلاّ ثبوت الحجّية لجنس العلماء ، حتّى لو احتملنا اشتراط اتّفاقهم في أصل المرجعيّة وأنّهم إذا اختلفوا كان المرجع غيرهم لم يكن دفع هذا </w:t>
      </w:r>
    </w:p>
    <w:p>
      <w:pPr>
        <w:pStyle w:val="BookText"/>
        <w:rPr/>
      </w:pPr>
      <w:r>
        <w:rPr>
          <w:rFonts w:ascii="Amiri" w:hAnsi="Amiri" w:eastAsia="Amiri" w:cs="Amiri"/>
          <w:color w:val="111111"/>
          <w:sz w:val="28"/>
          <w:sz w:val="28"/>
          <w:szCs w:val="28"/>
          <w:rtl w:val="true"/>
          <w:lang w:bidi="ar-SA"/>
        </w:rPr>
        <w:t xml:space="preserve">الاحتمال بالإطلاق أو العموم فضلا عمّا لو التزمنا بالحجّية عند الاختلاف واحتملنا ترجيع أحد المتخالفين على الآخر باعتبار ما فيه من المزيّة التي ليست في الآخر ، ألا ترى أنّه إذا قيل للمرضى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إلى أهل الطبّ في مقام بيان المرجع لم يستفد منه إلاّ عدم جواز الاستعلاج من غير هذا الجنس ، بحيث لو اختلف الأطبّاء في المعالجة فربما يتوقّف حينئذ في أصل مرجعيتهم رأسا ، فضلا عن مرجعيّة كلّ واحد على سبيل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مثل المطلقات الواردة في بيان حكم آخر التي لا يرتفع منها شيء من جهات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السؤال ثانيا عن حكم اختلاف المرجع حينئذ ليس ممّا علم جوابه من الحكم الأوّل ، بحيث لو حكم بعدم كونهم مرجعا رأسا أو بمرجعيّة خصوص أحد المتخالفين عينا لم يكن منافيا لما تقدّم من الأمر بالرجوع إليهم كما لا يخفى</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وجوب الرجوع إلى كلّ واحد واحد عينا على قيام العام الاصولي ، فيستفاد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واحد من العلماء حجيّته شأنيّة لو لا المعارض ، وأمّا معه فلا دلالة فيه أيضا على حكم ؛ لأنّ الحكم بدخول المتعارضين معا تحته ممتنع ، وتعيّن أحدهما دون الآخر ترجيح بلا مرجّح ، مثل ما إذا وجب إنقاذ كلّ غريق عينا ووقع المزاحمة بين الإنقاذين ، فإنّ الدليل الدالّ على إنقاذ الغرقى ممّا لا سبيل إلى تناوله لهما معا ، ولا لأحدهما المعيّن ، بل الغير المعيّن ، فيرجع الأمر في الترجيح أو التخيير إلى ما رآه العقل ، وقد عرفت فيما تقدّم آنفا أنّ شغل العقل في مثل هذا التخيير الوقوف عند ما يحتمل رجحانه على الآخر ، ولو سلّم حكمه بالتخيير حينئذ فهذا خروج عن الاحتجاج بالإطلاقات كما لا يخفى ، ومن هذا الباب آية النفر </w:t>
      </w:r>
      <w:r>
        <w:rPr>
          <w:rStyle w:val="FootnoteAnchor"/>
          <w:rtl w:val="true"/>
        </w:rPr>
        <w:footnoteReference w:id="1636"/>
      </w:r>
      <w:r>
        <w:rPr>
          <w:rFonts w:ascii="Amiri" w:hAnsi="Amiri" w:eastAsia="Amiri" w:cs="Amiri"/>
          <w:color w:val="111111"/>
          <w:sz w:val="28"/>
          <w:sz w:val="28"/>
          <w:szCs w:val="28"/>
          <w:rtl w:val="true"/>
          <w:lang w:bidi="ar-SA"/>
        </w:rPr>
        <w:t xml:space="preserve">وآية الكتمان </w:t>
      </w:r>
      <w:r>
        <w:rPr>
          <w:rStyle w:val="FootnoteAnchor"/>
          <w:rtl w:val="true"/>
        </w:rPr>
        <w:footnoteReference w:id="1637"/>
      </w:r>
      <w:r>
        <w:rPr>
          <w:rFonts w:ascii="Amiri" w:hAnsi="Amiri" w:eastAsia="Amiri" w:cs="Amiri"/>
          <w:color w:val="111111"/>
          <w:sz w:val="28"/>
          <w:sz w:val="28"/>
          <w:szCs w:val="28"/>
          <w:rtl w:val="true"/>
          <w:lang w:bidi="ar-SA"/>
        </w:rPr>
        <w:t xml:space="preserve">وقول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w:t>
      </w:r>
    </w:p>
    <w:p>
      <w:pPr>
        <w:pStyle w:val="BookText"/>
        <w:rPr/>
      </w:pPr>
      <w:r>
        <w:rPr>
          <w:rFonts w:ascii="Amiri" w:hAnsi="Amiri" w:eastAsia="Amiri" w:cs="Amiri"/>
          <w:color w:val="111111"/>
          <w:sz w:val="28"/>
          <w:sz w:val="28"/>
          <w:szCs w:val="28"/>
          <w:rtl w:val="true"/>
          <w:lang w:bidi="ar-SA"/>
        </w:rPr>
        <w:t xml:space="preserve">عليه وعجّل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التوقيع الشريف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فارجعوا إلى رواة أحاديثنا فإنّهم حجّتي عليكم وأنا حجّة اللّه </w:t>
      </w:r>
      <w:r>
        <w:rPr>
          <w:rFonts w:eastAsia="Amiri" w:cs="Amiri" w:ascii="Amiri" w:hAnsi="Amiri"/>
          <w:color w:val="111111"/>
          <w:sz w:val="28"/>
          <w:szCs w:val="28"/>
          <w:rtl w:val="true"/>
          <w:lang w:bidi="ar-SA"/>
        </w:rPr>
        <w:t xml:space="preserve">» </w:t>
      </w:r>
      <w:r>
        <w:rPr>
          <w:rStyle w:val="FootnoteAnchor"/>
          <w:rtl w:val="true"/>
        </w:rPr>
        <w:footnoteReference w:id="1638"/>
      </w:r>
      <w:r>
        <w:rPr>
          <w:rFonts w:ascii="Amiri" w:hAnsi="Amiri" w:eastAsia="Amiri" w:cs="Amiri"/>
          <w:color w:val="111111"/>
          <w:sz w:val="28"/>
          <w:sz w:val="28"/>
          <w:szCs w:val="28"/>
          <w:rtl w:val="true"/>
          <w:lang w:bidi="ar-SA"/>
        </w:rPr>
        <w:t xml:space="preserve">؛ فإنّ قضيّة الآيتين وجوب الحذر والقبول عقيب كلّ إنذار وإظهار ، وكذا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فإنّهم حجّتي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حجّية كلّ واحد من الرواة عينا بحسب الشأن الملحوظ فيه عدم المعارض ، وأمّا معا فلا يستفاد حجّية أحد المتعارضين منه تعيينا ولا تخييرا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يحكم العقل فيه بالتخيير إذا علم بالتساوي في الاهتمام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القسم والقسم الأوّل لا يتفاوتان في إفادة التخيير الشرعي بين الحجّتين المتعارضتين حتى يتناولا بإطلاقهما موضع النزاع ، أعني تعارض الفاضل والمفضول</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يأبى عن الدلالة على التخيير الشرعي بينهما في نفسه لو لم يكن قد ورد في مقام بيان حكم آخر ، فالفرق بينه وبين الاولتين أنّهما قاصرتان عن إفادة التخيير شأنا بخلاف هذا القسم ؛ فإنّ له أهلية لذلك لو كان المقام مقتضيا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القبيل قوله عليه‌السلام في خبر أبي خديجة المتقدم إليه الإشارة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انظروا إلى رجل منكم يعلم شيئا من قضايانا </w:t>
      </w:r>
      <w:r>
        <w:rPr>
          <w:rFonts w:eastAsia="Amiri" w:cs="Amiri" w:ascii="Amiri" w:hAnsi="Amiri"/>
          <w:color w:val="111111"/>
          <w:sz w:val="28"/>
          <w:szCs w:val="28"/>
          <w:rtl w:val="true"/>
          <w:lang w:bidi="ar-SA"/>
        </w:rPr>
        <w:t xml:space="preserve">... » </w:t>
      </w:r>
      <w:r>
        <w:rPr>
          <w:rStyle w:val="FootnoteAnchor"/>
          <w:rtl w:val="true"/>
        </w:rPr>
        <w:footnoteReference w:id="1639"/>
      </w:r>
      <w:r>
        <w:rPr>
          <w:rFonts w:ascii="Amiri" w:hAnsi="Amiri" w:eastAsia="Amiri" w:cs="Amiri"/>
          <w:color w:val="111111"/>
          <w:sz w:val="28"/>
          <w:sz w:val="28"/>
          <w:szCs w:val="28"/>
          <w:rtl w:val="true"/>
          <w:lang w:bidi="ar-SA"/>
        </w:rPr>
        <w:t xml:space="preserve">فإنّ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يتناول كلّ واحد من المتعارضين ، فيكون دليلا على التخيير الشرعي ؛ فإنّ امتثال الأوامر المطلقة يحصل بإتيان بعض الأفراد مخيّرا بينهما ؛ لأنّ قاعدة الإطلاق وقبح الإغراء بالجهل يقتضيان البناء على التخيير في مقام الامتثال ، ولا ينافي كونه تخييرا شرعيّا تسميته تخييرا عقليّا أيضا ؛ لأنّ المراد به استناد التخيير إلى حكم العقل المستند إلى الإطلاق وقبح الإغراء بالجهل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ومثله ما في مقبولة عمر بن حنظلة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انظروا إلى من كان منكم قد روى حديثنا </w:t>
      </w:r>
      <w:r>
        <w:rPr>
          <w:rFonts w:eastAsia="Amiri" w:cs="Amiri" w:ascii="Amiri" w:hAnsi="Amiri"/>
          <w:color w:val="111111"/>
          <w:sz w:val="28"/>
          <w:szCs w:val="28"/>
          <w:rtl w:val="true"/>
          <w:lang w:bidi="ar-SA"/>
        </w:rPr>
        <w:t xml:space="preserve">... » </w:t>
      </w:r>
      <w:r>
        <w:rPr>
          <w:rStyle w:val="FootnoteAnchor"/>
          <w:rtl w:val="true"/>
        </w:rPr>
        <w:footnoteReference w:id="1640"/>
      </w:r>
      <w:r>
        <w:rPr>
          <w:rFonts w:ascii="Amiri" w:hAnsi="Amiri" w:eastAsia="Amiri" w:cs="Amiri"/>
          <w:color w:val="111111"/>
          <w:sz w:val="28"/>
          <w:sz w:val="28"/>
          <w:szCs w:val="28"/>
          <w:rtl w:val="true"/>
          <w:lang w:bidi="ar-SA"/>
        </w:rPr>
        <w:t xml:space="preserve">وقول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الاحتجاج المرويّة عن تفسيره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من كان من الفقهاء صائنا لدينه وحافظا لنفسه كاسرا لهواه تابعا لأمر مولاه فللعوام أن يقلّدوه </w:t>
      </w:r>
      <w:r>
        <w:rPr>
          <w:rFonts w:eastAsia="Amiri" w:cs="Amiri" w:ascii="Amiri" w:hAnsi="Amiri"/>
          <w:color w:val="111111"/>
          <w:sz w:val="28"/>
          <w:szCs w:val="28"/>
          <w:rtl w:val="true"/>
          <w:lang w:bidi="ar-SA"/>
        </w:rPr>
        <w:t xml:space="preserve">» </w:t>
      </w:r>
      <w:r>
        <w:rPr>
          <w:rStyle w:val="FootnoteAnchor"/>
          <w:rtl w:val="true"/>
        </w:rPr>
        <w:footnoteReference w:id="1641"/>
      </w:r>
      <w:r>
        <w:rPr>
          <w:rFonts w:ascii="Amiri" w:hAnsi="Amiri" w:eastAsia="Amiri" w:cs="Amiri"/>
          <w:color w:val="111111"/>
          <w:sz w:val="28"/>
          <w:sz w:val="28"/>
          <w:szCs w:val="28"/>
          <w:rtl w:val="true"/>
          <w:lang w:bidi="ar-SA"/>
        </w:rPr>
        <w:t>فإنّ الظاهر من الموصول جنس للفرد دون الجمع والاستغراق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للعوام تقليد أحد من الفقهاء الموصوفين بالأوصاف المزبورة ، وهذا يشمل بإطلاقه صورة الاختلاف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الحسن عليه‌السلام كتب جوابا عن السؤال عمّن يعتمد عليه في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اعتمدا في دينكما على كلّ مسنّ في حبّنا كثير القدم في أمرنا </w:t>
      </w:r>
      <w:r>
        <w:rPr>
          <w:rFonts w:eastAsia="Amiri" w:cs="Amiri" w:ascii="Amiri" w:hAnsi="Amiri"/>
          <w:color w:val="111111"/>
          <w:sz w:val="28"/>
          <w:szCs w:val="28"/>
          <w:rtl w:val="true"/>
          <w:lang w:bidi="ar-SA"/>
        </w:rPr>
        <w:t xml:space="preserve">» </w:t>
      </w:r>
      <w:r>
        <w:rPr>
          <w:rStyle w:val="FootnoteAnchor"/>
          <w:rtl w:val="true"/>
        </w:rPr>
        <w:footnoteReference w:id="1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يدلّ على التخيير ،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انظروا إلى 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لأن الاعتماد على كلّ واحد من 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لا يجوز الأمر به جدّا ، فينزّل على التخيير</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هذه الأخبار ونحوها مما يشاركها في إفادة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قد وردت نهيا عن الرجوع إلى فقهاء المخالفين ورواتهم وحكّامهم ، فلا يستفاد منها سوى جعل فقهاء الشيعة مرجعا لعوامهم ؛ لعدم ورودها على هذا التقدير في مقام بيان الحجّية العقليّة حتى يتمسّك بإطلاقها ، بل في مقام تشخيص طائفة المرجع من غيرها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حنظلة سأل ثانيا عن حكم صورة الاختلاف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اختار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المتحاكمين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رجلا من أصحابكم فاختلفا في حكمكم </w:t>
      </w:r>
      <w:r>
        <w:rPr>
          <w:rFonts w:eastAsia="Amiri" w:cs="Amiri" w:ascii="Amiri" w:hAnsi="Amiri"/>
          <w:color w:val="111111"/>
          <w:sz w:val="28"/>
          <w:szCs w:val="28"/>
          <w:rtl w:val="true"/>
          <w:lang w:bidi="ar-SA"/>
        </w:rPr>
        <w:t xml:space="preserve">... » </w:t>
      </w:r>
      <w:r>
        <w:rPr>
          <w:rStyle w:val="FootnoteAnchor"/>
          <w:rtl w:val="true"/>
        </w:rPr>
        <w:footnoteReference w:id="1643"/>
      </w:r>
      <w:r>
        <w:rPr>
          <w:rFonts w:ascii="Amiri" w:hAnsi="Amiri" w:eastAsia="Amiri" w:cs="Amiri"/>
          <w:color w:val="111111"/>
          <w:sz w:val="28"/>
          <w:sz w:val="28"/>
          <w:szCs w:val="28"/>
          <w:rtl w:val="true"/>
          <w:lang w:bidi="ar-SA"/>
        </w:rPr>
        <w:t xml:space="preserve">؛ إذ لو كان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انظروا إلى من كان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متناول لصورة التعارض ، لم يكن لهذا السؤال ثانيا وجه ، ولكان تعيين الإمام عليه‌السلام الأعدل والأفقه عند المعارضة مخصّصا ، ولا يذهب إليه 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وأولى بعدم الإطلاق من الجميع ما في رواية الاحتجاج الواردة في مقام بيان الفرق بين علماء اليهود وعلمائنا ، لا في مقام بيان التكليف الفعلي المحتاج إليه ؛ لأنّ الرجل السائل كان يعلم أنّ تكليف عوامنا هو الرجوع إلى علمائنا ، أشكل عليه ذمّ اللّه تعالى عوام اليهود على الرجوع إلى علمائهم ، فلا شيء فيه يقتضي الأخذ بإطلاق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من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وروده في ذاك المقام</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الإنصاف أنّ الاستناد في حكم مخالف للأصل وللإجماعات المعتضدة بالشهرة إلى مثل هذه الإطلاقات التي كانت بمرأى من أصحابنا السابقين القائلين بعدم التخيير في غاية الإشكال ، خصوصا مع عدم اجتماعها لشرائط الحجيّة ؛ فإنّ رواية أبي خديجة 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بسببه ، وعمر بن حنظلة لم يصرّح بكونه ثقة غير الشهيد الثاني </w:t>
      </w:r>
      <w:r>
        <w:rPr>
          <w:rStyle w:val="FootnoteAnchor"/>
          <w:rtl w:val="true"/>
        </w:rPr>
        <w:footnoteReference w:id="1644"/>
      </w:r>
      <w:r>
        <w:rPr>
          <w:rFonts w:ascii="Amiri" w:hAnsi="Amiri" w:eastAsia="Amiri" w:cs="Amiri"/>
          <w:color w:val="111111"/>
          <w:sz w:val="28"/>
          <w:sz w:val="28"/>
          <w:szCs w:val="28"/>
          <w:rtl w:val="true"/>
          <w:lang w:bidi="ar-SA"/>
        </w:rPr>
        <w:t>آخذا وثاقته من مكان آخر غير كتب الرجال ، ورواية الاحتجاج في أعلى مراتب الضعف ؛ لكونها من تفسير العسكري عليه‌السلام الذي لا يعمل بما فيه الأخباريّون ، وإن كان فيها شواهد الصدق موجودة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ذكرنا ظهر الجواب عن الأخبار الواردة في نقل العلماء مثل النبوي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علماء امّتي كأنبياء بني إسرائيل </w:t>
      </w:r>
      <w:r>
        <w:rPr>
          <w:rFonts w:eastAsia="Amiri" w:cs="Amiri" w:ascii="Amiri" w:hAnsi="Amiri"/>
          <w:color w:val="111111"/>
          <w:sz w:val="28"/>
          <w:szCs w:val="28"/>
          <w:rtl w:val="true"/>
          <w:lang w:bidi="ar-SA"/>
        </w:rPr>
        <w:t xml:space="preserve">» </w:t>
      </w:r>
      <w:r>
        <w:rPr>
          <w:rStyle w:val="FootnoteAnchor"/>
          <w:rtl w:val="true"/>
        </w:rPr>
        <w:footnoteReference w:id="1645"/>
      </w:r>
      <w:r>
        <w:rPr>
          <w:rFonts w:ascii="Amiri" w:hAnsi="Amiri" w:eastAsia="Amiri" w:cs="Amiri"/>
          <w:color w:val="111111"/>
          <w:sz w:val="28"/>
          <w:sz w:val="28"/>
          <w:szCs w:val="28"/>
          <w:rtl w:val="true"/>
          <w:lang w:bidi="ar-SA"/>
        </w:rPr>
        <w:t xml:space="preserve">وأما النبوي المروي عن طرق العامة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أصحابي كالنجوم بأيّهم اقتديتم اهتديتم </w:t>
      </w:r>
      <w:r>
        <w:rPr>
          <w:rFonts w:eastAsia="Amiri" w:cs="Amiri" w:ascii="Amiri" w:hAnsi="Amiri"/>
          <w:color w:val="111111"/>
          <w:sz w:val="28"/>
          <w:szCs w:val="28"/>
          <w:rtl w:val="true"/>
          <w:lang w:bidi="ar-SA"/>
        </w:rPr>
        <w:t xml:space="preserve">» </w:t>
      </w:r>
      <w:r>
        <w:rPr>
          <w:rStyle w:val="FootnoteAnchor"/>
          <w:rtl w:val="true"/>
        </w:rPr>
        <w:footnoteReference w:id="1646"/>
      </w:r>
      <w:r>
        <w:rPr>
          <w:rFonts w:ascii="Amiri" w:hAnsi="Amiri" w:eastAsia="Amiri" w:cs="Amiri"/>
          <w:color w:val="111111"/>
          <w:sz w:val="28"/>
          <w:sz w:val="28"/>
          <w:szCs w:val="28"/>
          <w:rtl w:val="true"/>
          <w:lang w:bidi="ar-SA"/>
        </w:rPr>
        <w:t xml:space="preserve">، فالاستدلال به بعد فرض حجّيته موقوف على العلم باختلاف أصحابه صلى‌اللّه‌عليه‌وآله في حكم المسألة ، وأنّى للمستدل بإثباته مع إمكان دعوى العلم أو الظنّ القوي بعدم الاختلاف ، كما هو الشأن في حقّ كلّ جماعة يأخذون معالم دينهم من شخص واحد سماعا من نبيّ أو وصيّ أو مجتهد ، بل في موضعين منه دلالة على اتفاق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الاهتداء إلى الحق والصواب عند اختلاف المعتمد عليهم لا يتيسّر إلاّ في متابعة أحدهم ، مع أنّه صلى‌اللّه‌عليه‌وآله أخبر بحصول الاهتداء بمتابعة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التشبيه بالنجوم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فإنّها طرق قطعيّة يتوصّل بكلّ واحد منها السالك إلى المقصد ، فكما أنّ الوصول إلى الموضع المقصود ممكن في متابعة كلّ واحد من النجوم ، كذلك ينبغي أن يكون شأن الصحابة أيضا كذلك ، وإلاّ لعرى التشبيه عن المعنى فضلا عن الفائدة ، ولا ريب أنّ ذلك لا يتصوّر ولا يتعقّل عند اختلافهم في الأحكام ، وهذا واضح</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الأخبار الخاصة الواردة في حقّ المعدومين من أصحاب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ذكرنا ظهر الجواب عنها أيضا ؛ إذ لم يثبت أنّ معاصري الثقفي مثلا من أصحاب الأئمة عليهم‌السلام كان فيهم من يخالف قوله قول الثقفي فيما يفتي به من المسائل ، وكان أعلم وأفقه ، حتّى يثمر إطلاق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 بالثقفي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الاعتماد على قوله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الكلام في سائر </w:t>
      </w:r>
    </w:p>
    <w:p>
      <w:pPr>
        <w:pStyle w:val="BookText"/>
        <w:rPr/>
      </w:pPr>
      <w:r>
        <w:rPr>
          <w:rFonts w:ascii="Amiri" w:hAnsi="Amiri" w:eastAsia="Amiri" w:cs="Amiri"/>
          <w:color w:val="111111"/>
          <w:sz w:val="28"/>
          <w:sz w:val="28"/>
          <w:szCs w:val="28"/>
          <w:rtl w:val="true"/>
          <w:lang w:bidi="ar-SA"/>
        </w:rPr>
        <w:t>أصحابهم المأمور بالرجوع إليهم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 وزرارة ، وزكريّا ، وعمري ، ويونس ونحوهم ، بل الظاهر من وثاقتهم واعتماد الإمام عليه‌السلام عليهم وتعيينهم المرجع كونهم أفضل من غيرهم أو مطابقة قولهم للواقع ، ومن هنا قال في الشرائع </w:t>
      </w:r>
      <w:r>
        <w:rPr>
          <w:rStyle w:val="FootnoteAnchor"/>
          <w:rtl w:val="true"/>
        </w:rPr>
        <w:footnoteReference w:id="1647"/>
      </w:r>
      <w:r>
        <w:rPr>
          <w:rFonts w:ascii="Amiri" w:hAnsi="Amiri" w:eastAsia="Amiri" w:cs="Amiri"/>
          <w:color w:val="111111"/>
          <w:sz w:val="28"/>
          <w:sz w:val="28"/>
          <w:szCs w:val="28"/>
          <w:rtl w:val="true"/>
          <w:lang w:bidi="ar-SA"/>
        </w:rPr>
        <w:t xml:space="preserve">وغيرها </w:t>
      </w:r>
      <w:r>
        <w:rPr>
          <w:rStyle w:val="FootnoteAnchor"/>
          <w:rtl w:val="true"/>
        </w:rPr>
        <w:footnoteReference w:id="1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نصب المفضول للقضاء جاز من الإمام عليه‌السلام ؛ لأن نقصانه مجبور بنظره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وروح العالمين له الفداء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أيضا دلالة واضحة على أنّ المفضول من حيث هو لا يليق بشيء من مراتب القضاء والفتوى مع وجود الأفضل</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أصحاب الأئمة وإن لم يكونوا كأصحاب النبي في اتّفاق الكلمة واتّحاد القول ؛ نظرا إلى مساس الحاجة أحيانا إلى اختلافهم لتقيّة ونحوها دون اختلاف أصحابه صلى‌اللّه‌عليه‌وآله ، إلاّ أنّه كان في غاية القلّة ، فلو سلّمنا حينئذ مخالفة بعض هؤلاء المرجع لغيره الأفضل من الصحابة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مجرّد المخالفة الواقعيّة لا يكفي في التمسّك بإطلاق الأمر لإثبات حجّية قوله عند علم المستفتي بالخلاف ، بل لا بدّ مع ذلك من ثبوت العلم بالخلاف ، لأنّا لا نقول بتعيين الأعلم عند الجهل بالخلاف كما ستعرف ، فحيث لم يثبت علم مقلّدي </w:t>
      </w:r>
      <w:r>
        <w:rPr>
          <w:rStyle w:val="FootnoteAnchor"/>
          <w:rtl w:val="true"/>
        </w:rPr>
        <w:footnoteReference w:id="1649"/>
      </w:r>
      <w:r>
        <w:rPr>
          <w:rFonts w:ascii="Amiri" w:hAnsi="Amiri" w:eastAsia="Amiri" w:cs="Amiri"/>
          <w:color w:val="111111"/>
          <w:sz w:val="28"/>
          <w:sz w:val="28"/>
          <w:szCs w:val="28"/>
          <w:rtl w:val="true"/>
          <w:lang w:bidi="ar-SA"/>
        </w:rPr>
        <w:t>لأن مثلا بالاختلاف بينه وبين غيره لم ينفع الإطلاق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لمّا كان صورة الجهل بالاختلاف في الجملة مقطوعا بها ، كما يشهد به عدم جريان عادات المقلّدين بالفحص والبحث عن المعارض ، فلا جرم من دلالة هذه الأوامر على جواز تقليد المفضول عند الجهل بالاختلاف 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أدلة المثبتين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إذا لم يكن المفضول قابلا للتقليد كان مساويا للجاهل ، وقد دلّ الاعتبار والآثار في غير موضع من الكتاب على نفي الاستواء ، واجيب بأنّها بالدلالة على العكس أولى ؛ لأنّ المفضول جاهل في مقابل الأفضل في مقدار من العلم ، فلو جاز تقليده كما يجوز تقليد الأفضل ، كانا متساويين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هَلْ يَسْتَوِي الَّذِينَ يَعْلَمُونَ وَالَّذِينَ لا يَعْلَمُونَ </w:t>
      </w:r>
      <w:r>
        <w:rPr>
          <w:rFonts w:eastAsia="Amiri" w:cs="Amiri" w:ascii="Amiri" w:hAnsi="Amiri"/>
          <w:color w:val="111111"/>
          <w:sz w:val="28"/>
          <w:szCs w:val="28"/>
          <w:rtl w:val="true"/>
          <w:lang w:bidi="ar-SA"/>
        </w:rPr>
        <w:t xml:space="preserve">... ) </w:t>
      </w:r>
      <w:r>
        <w:rPr>
          <w:rStyle w:val="FootnoteAnchor"/>
          <w:rtl w:val="true"/>
        </w:rPr>
        <w:footnoteReference w:id="1650"/>
      </w:r>
      <w:r>
        <w:rPr>
          <w:rFonts w:ascii="Amiri" w:hAnsi="Amiri" w:eastAsia="Amiri" w:cs="Amiri"/>
          <w:color w:val="111111"/>
          <w:sz w:val="28"/>
          <w:sz w:val="28"/>
          <w:szCs w:val="28"/>
          <w:rtl w:val="true"/>
          <w:lang w:bidi="ar-SA"/>
        </w:rPr>
        <w:t xml:space="preserve">نفي مساواة العالم بكلّ شيء والجاهل عن كلّ شيء ، فلا ينفي مساواة العالم بالكلّ والجاهل بالبعض ؛ لأنّ سلب العلم بالكل تارة يتحقّق في ضمن السلب الكلّي واخرى في ضمن السلب الجزئي ، فالمراد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العلم بما يعلمه العالمون بالكلّ سواء حصل العلم بالبعض أيضا أم لا ، مع أنّ العلم المطلق والجهل المطلق ممّا لا يكاد يوجد في شخصين من المكلّفين ، وتنزيل الآية على نفي المساواة بينهما تنزيل على الفرض المعدوم والنادر ، فالظاهر إرادة العلم والجهل الإضافيين ، وعليه يتمّ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عدم تماميّة شيء من الاستدلالين ؛ لأنّ الظاهر كون المراد بنفي السماوات نفيها من جميع الجهات ؛ لا من كلّ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تفاوت العالم والجاهل في كلّ شيء ، بل يكفي اختلافهما في بعض الأشياء كالفضل والمرتبة أو أكثرها ، فليتدبّر في المقام</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صاحب الفصول </w:t>
      </w:r>
      <w:r>
        <w:rPr>
          <w:rStyle w:val="FootnoteAnchor"/>
          <w:rtl w:val="true"/>
        </w:rPr>
        <w:footnoteReference w:id="1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تقليد المفضول لو لم يكن جائزا لما جاز لمعاصري الإمام عليه‌السلام تقليد أصحابه ، بل كان عليهم الأخذ منه عليه‌السلام </w:t>
      </w:r>
    </w:p>
    <w:p>
      <w:pPr>
        <w:pStyle w:val="BookText"/>
        <w:rPr/>
      </w:pPr>
      <w:r>
        <w:rPr>
          <w:rFonts w:ascii="Amiri" w:hAnsi="Amiri" w:eastAsia="Amiri" w:cs="Amiri"/>
          <w:color w:val="111111"/>
          <w:sz w:val="28"/>
          <w:sz w:val="28"/>
          <w:szCs w:val="28"/>
          <w:rtl w:val="true"/>
          <w:lang w:bidi="ar-SA"/>
        </w:rPr>
        <w:t>بلا واسطة أو العمل برواياته ؛ لأنّ القائلين بوجوب تقليد الأعلم يوجبون الرجوع إلى الرواية عنه أيضا ، أمّا الملازمة فثابتة بالأولويّة ؛ لأنّ الإمام أولى بالاتباع عينا عن المجتهد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بطلان التالي بالضرورة والبداهة ؛ لأن عوام زمن الإمام عليه‌السلام كانوا يأخذون معالم دينهم من الصحابة ولم يكونوا مقتصرين على الأخذ عن الإمام عليه‌السلام ، ورواية أبان بن تغلب كالصريحة في نفي ذلك والسيرة المستمرّة شاهدة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رجوعهم إلى الصحابة في الجملة مسلّم لكنّه غير مجد وإنّما المجدي الرجوع إليهم مع العلم بالاختلاف ، وهذا غير معلوم ، بل معلوم عدمه ، كيف لا مع أنّ مخالفة الإمام عليه‌السلام توجب القطع ببطلان الفتوى ، ولم نسمع أحدا يدّعي جواز التقليد مع العلم بالبطلان فضلا عن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قياس المجتهد الأعلم بالإمام عليه‌السلام فيه ممّا يشمئز منه النفس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كان عليهم العمل بالرواية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المقلّد ليس له أهلية لذلك ، ولو فرض الكلام فيمن كان له التقليد والعمل بالرواية بناء على جوازهما في حقّ أصحاب الأئمة ؛ لعدم الفرق بين الفتوى والرواية في ذلك الزمان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الأخذ بالفتوى المعارضة بالرواية حينئذ أخذ بأحد المتعارضين ، وهذا غير مربوط بالمقام كما لا يخفى</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المستمرّة بين أهل التقليد من السلف إلى هذا الآن ، إذ 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عوام كلّ عصر في كلّ مصر من يومنا هذا إلى زمن الأئمة عليهم‌السلام لم يكونوا ينادي </w:t>
      </w:r>
      <w:r>
        <w:rPr>
          <w:rStyle w:val="FootnoteAnchor"/>
          <w:rtl w:val="true"/>
        </w:rPr>
        <w:footnoteReference w:id="1652"/>
      </w:r>
      <w:r>
        <w:rPr>
          <w:rFonts w:ascii="Amiri" w:hAnsi="Amiri" w:eastAsia="Amiri" w:cs="Amiri"/>
          <w:color w:val="111111"/>
          <w:sz w:val="28"/>
          <w:sz w:val="28"/>
          <w:szCs w:val="28"/>
          <w:rtl w:val="true"/>
          <w:lang w:bidi="ar-SA"/>
        </w:rPr>
        <w:t xml:space="preserve">الرجل في طلب المجتهد الأعلم إلى الأطراف والجوانب ، بل </w:t>
      </w:r>
    </w:p>
    <w:p>
      <w:pPr>
        <w:pStyle w:val="BookText"/>
        <w:rPr/>
      </w:pPr>
      <w:r>
        <w:rPr>
          <w:rFonts w:ascii="Amiri" w:hAnsi="Amiri" w:eastAsia="Amiri" w:cs="Amiri"/>
          <w:color w:val="111111"/>
          <w:sz w:val="28"/>
          <w:sz w:val="28"/>
          <w:szCs w:val="28"/>
          <w:rtl w:val="true"/>
          <w:lang w:bidi="ar-SA"/>
        </w:rPr>
        <w:t>كانوا يعتمدون على قول كلّ فقيه جامع لشرائط الفتوى واختلاف مراتب العلم والآراء في طائفة الفقهاء والمجتهدين والرواة والمحدّثين لا يزال كان ثابتا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إفتاء المفضولين من الصحابة ، ولم نسمع أنّ أحدا من الأئمة والصحابة منع من الأخذ بقول الفقيه وألزمهم بالرجوع إلى الأعلم ، مع أنّ التقليد من الامور المهمّة التي ينبغي كمال الاهتمام بشأنها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تمسّك بها الحاجبي </w:t>
      </w:r>
      <w:r>
        <w:rPr>
          <w:rStyle w:val="FootnoteAnchor"/>
          <w:rtl w:val="true"/>
        </w:rPr>
        <w:footnoteReference w:id="1653"/>
      </w:r>
      <w:r>
        <w:rPr>
          <w:rFonts w:ascii="Amiri" w:hAnsi="Amiri" w:eastAsia="Amiri" w:cs="Amiri"/>
          <w:color w:val="111111"/>
          <w:sz w:val="28"/>
          <w:sz w:val="28"/>
          <w:szCs w:val="28"/>
          <w:rtl w:val="true"/>
          <w:lang w:bidi="ar-SA"/>
        </w:rPr>
        <w:t xml:space="preserve">والعضدي </w:t>
      </w:r>
      <w:r>
        <w:rPr>
          <w:rStyle w:val="FootnoteAnchor"/>
          <w:rtl w:val="true"/>
        </w:rPr>
        <w:footnoteReference w:id="1654"/>
      </w:r>
      <w:r>
        <w:rPr>
          <w:rFonts w:ascii="Amiri" w:hAnsi="Amiri" w:eastAsia="Amiri" w:cs="Amiri"/>
          <w:color w:val="111111"/>
          <w:sz w:val="28"/>
          <w:sz w:val="28"/>
          <w:szCs w:val="28"/>
          <w:rtl w:val="true"/>
          <w:lang w:bidi="ar-SA"/>
        </w:rPr>
        <w:t xml:space="preserve">وجماعة على ما حكي عنهم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وجوابه أيضا يظهر ممّا قدّمنا في الأخبار الخاصّة </w:t>
      </w:r>
      <w:r>
        <w:rPr>
          <w:rStyle w:val="FootnoteAnchor"/>
          <w:rtl w:val="true"/>
        </w:rPr>
        <w:footnoteReference w:id="1656"/>
      </w:r>
      <w:r>
        <w:rPr>
          <w:rFonts w:ascii="Amiri" w:hAnsi="Amiri" w:eastAsia="Amiri" w:cs="Amiri"/>
          <w:color w:val="111111"/>
          <w:sz w:val="28"/>
          <w:sz w:val="28"/>
          <w:szCs w:val="28"/>
          <w:rtl w:val="true"/>
          <w:lang w:bidi="ar-SA"/>
        </w:rPr>
        <w:t xml:space="preserve">؛ لأنّ اختلاف صحابة النبي صلى‌اللّه‌عليه‌وآله والأئمة عليهم‌السلام كان نادرا في الغاية ، ومع ذلك فصورة العلم بالاختلاف كان أندر ، ومن أين ثبت أنّ الإمام عليه‌السلام أو بعض أصحابه قد علم بتقليد المفضول مع علم المقلّد بمعارضة قوله مع قول الأفضل منه ، ولم يمنعه كيف؟ مع أنّ العلم بذلك في زماننا مشكل ؛ فإنّا لم نجد أحدا يقلّد فقيها مع اعترافه وعلمه بأنّ غيره الأفقه مخالف له في الفتوى ؛ إذ الغالب الشائع في تقليد المفضول إنكار مقلّده أفضلية غيره عنه ، أو عدم اختلافهما فيما يفتيان لمقلّديهم ، أو عدم علمهم باختلافهما ، وإلى ما ذكرنا يشير ما عن النهاية </w:t>
      </w:r>
      <w:r>
        <w:rPr>
          <w:rStyle w:val="FootnoteAnchor"/>
          <w:rtl w:val="true"/>
        </w:rPr>
        <w:footnoteReference w:id="1657"/>
      </w:r>
      <w:r>
        <w:rPr>
          <w:rFonts w:ascii="Amiri" w:hAnsi="Amiri" w:eastAsia="Amiri" w:cs="Amiri"/>
          <w:color w:val="111111"/>
          <w:sz w:val="28"/>
          <w:sz w:val="28"/>
          <w:szCs w:val="28"/>
          <w:rtl w:val="true"/>
          <w:lang w:bidi="ar-SA"/>
        </w:rPr>
        <w:t xml:space="preserve">والمنية </w:t>
      </w:r>
      <w:r>
        <w:rPr>
          <w:rStyle w:val="FootnoteAnchor"/>
          <w:rtl w:val="true"/>
        </w:rPr>
        <w:footnoteReference w:id="1658"/>
      </w:r>
      <w:r>
        <w:rPr>
          <w:rFonts w:ascii="Amiri" w:hAnsi="Amiri" w:eastAsia="Amiri" w:cs="Amiri"/>
          <w:color w:val="111111"/>
          <w:sz w:val="28"/>
          <w:sz w:val="28"/>
          <w:szCs w:val="28"/>
          <w:rtl w:val="true"/>
          <w:lang w:bidi="ar-SA"/>
        </w:rPr>
        <w:t>من منع السيرة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العسر والحرج في الاقتصار على تقليد الأفضل ، خصوصا إذا كان المراد به من كان أفضل عصره ، كما لعلّه الظاهر من كلام المانعين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العسر المدعى به إمّا أن يكون في تشخيص الأعلم ، أو في الرجوع إليه من البلدان النائية ، أو في العمل بفتاويهم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والجميع كما ترى قول ظاهريّ غير أصيل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 فلأنّ تشخيص الأعلم ليس إلاّ كتشخيص أصل المجتهد ، فكما أنّ معرفة أصل الاجتهاد في تشخيص المجتهد ليس فيها العسر والحرج ، كذلك معرفة أعلميّته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الأعلميّة موضوعة </w:t>
      </w:r>
      <w:r>
        <w:rPr>
          <w:rStyle w:val="FootnoteAnchor"/>
          <w:rtl w:val="true"/>
        </w:rPr>
        <w:footnoteReference w:id="1659"/>
      </w:r>
      <w:r>
        <w:rPr>
          <w:rFonts w:ascii="Amiri" w:hAnsi="Amiri" w:eastAsia="Amiri" w:cs="Amiri"/>
          <w:color w:val="111111"/>
          <w:sz w:val="28"/>
          <w:sz w:val="28"/>
          <w:szCs w:val="28"/>
          <w:rtl w:val="true"/>
          <w:lang w:bidi="ar-SA"/>
        </w:rPr>
        <w:t>من الموضوعات المعروفة كالاجتهاد ، يمكن إحرازها بالرجوع إلى أهل الخبرة ، خصوصا بعد ملاحظة اعتبار مطلق الظن في تشخيص الأعلميّة دون الاجتهاد ،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 فلأنّ الرجوع إلى الأعلم يتقدّر بقدر الإمكان الغير البالغ حدّ العسر والحرج ، فإن اقتدر على أخذ فتاوى الأعلم المطلق من غير عسر بلا واسطة الرسالة أو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بعد فتح باب تأليف الرسائل وإيصالها إلى البلدان النائية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الأخذ بها ، وإلاّ تعيّن الرجوع إلى غيره مراعاة للأفضل فالأفضل</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بالأفضل وإن كان أفضل أهل عصره إلاّ أنّ المناط مطّرد في الأفضل الإضافي بعد تعذّر الأخذ من المطلق ، فلا حرج حينئذ في شيء</w:t>
      </w:r>
      <w:r>
        <w:rPr>
          <w:rFonts w:eastAsia="Amiri" w:cs="Amiri" w:ascii="Amiri" w:hAnsi="Amiri"/>
          <w:color w:val="111111"/>
          <w:sz w:val="28"/>
          <w:szCs w:val="28"/>
          <w:rtl w:val="true"/>
          <w:lang w:bidi="ar-SA"/>
        </w:rPr>
        <w:t xml:space="preserve">. </w:t>
      </w:r>
      <w:bookmarkStart w:id="395" w:name="pg16264_169966"/>
    </w:p>
    <w:p>
      <w:pPr>
        <w:pStyle w:val="BookText"/>
        <w:rPr/>
      </w:pPr>
      <w:bookmarkEnd w:id="395"/>
      <w:r>
        <w:rPr>
          <w:rFonts w:ascii="Amiri" w:hAnsi="Amiri" w:eastAsia="Amiri" w:cs="Amiri"/>
          <w:color w:val="111111"/>
          <w:sz w:val="28"/>
          <w:sz w:val="28"/>
          <w:szCs w:val="28"/>
          <w:rtl w:val="true"/>
          <w:lang w:bidi="ar-SA"/>
        </w:rPr>
        <w:t>وأمّا الثالث ، فلأنّ الأعلميّة لا تقتضي صعوبة العمل بالفتوى ، بل ربّما يكون العمل بفتاوى غير الأعلم أصعب ، لكثرة إفتائه بالاحتياط باعتبار عدم اقتداره على استخراج حكم المسألة مثل الأعلم ، خصوصا إذا كان خائضا في بحر التقوى والورع ،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على الجواز بوجوه أخر ضعيفة أعرضنا عنها ؛ لأنّ فيما ذكرنا غنية عن غيره</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4588782_1280447820"/>
      <w:bookmarkStart w:id="397" w:name="_Toc123"/>
      <w:bookmarkEnd w:id="396"/>
      <w:r>
        <w:rPr>
          <w:rtl w:val="true"/>
        </w:rPr>
        <w:t xml:space="preserve">[ </w:t>
      </w:r>
      <w:r>
        <w:rPr>
          <w:rtl w:val="true"/>
        </w:rPr>
        <w:t xml:space="preserve">وجوه القول بوجوب تقليد الأفضل </w:t>
      </w:r>
      <w:r>
        <w:rPr>
          <w:rtl w:val="true"/>
        </w:rPr>
        <w:t>] :</w:t>
      </w:r>
      <w:bookmarkEnd w:id="397"/>
    </w:p>
    <w:p>
      <w:pPr>
        <w:pStyle w:val="BookText"/>
        <w:rPr/>
      </w:pPr>
      <w:r>
        <w:rPr>
          <w:rFonts w:ascii="Amiri" w:hAnsi="Amiri" w:eastAsia="Amiri" w:cs="Amiri"/>
          <w:color w:val="111111"/>
          <w:sz w:val="28"/>
          <w:sz w:val="28"/>
          <w:szCs w:val="28"/>
          <w:rtl w:val="true"/>
          <w:lang w:bidi="ar-SA"/>
        </w:rPr>
        <w:t xml:space="preserve">حجّة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عمّا سمعت من الأصل السالم عن المعارض ، والإجماعات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والاعتبار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مقبولة عمر بن حنظلة التي رواها المشايخ الثلاثة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رجلين من أصحابنا بينهما منازعة في دين أو 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كلّ واحد منها اختار رجلا من أصحابنا فتراضيا أن يكونا ناظرين في حقّهما ، فاختلفا فيما حكما ، وكلاهما اختلفا في حديثكم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ما حكم به أعدلهما وأفقههما وأصدقهما في الحديث وأورعهما ، ولا يلتفت إلى ما حكم به الآخر </w:t>
      </w:r>
      <w:r>
        <w:rPr>
          <w:rFonts w:eastAsia="Amiri" w:cs="Amiri" w:ascii="Amiri" w:hAnsi="Amiri"/>
          <w:color w:val="111111"/>
          <w:sz w:val="28"/>
          <w:szCs w:val="28"/>
          <w:rtl w:val="true"/>
          <w:lang w:bidi="ar-SA"/>
        </w:rPr>
        <w:t xml:space="preserve">... »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دلّت على تقديم قول الأفقه والأصدق في الحديث على قول غيرهما عند الاختلاف في حكم اللّه تعالى</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بالحكم هو فصل الخصومة بقرينة السؤال في منازعة الرجلين في دين أو ميراث ، فلا دلالة لها على تقديم فتوى الأفقه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عدم القول بالفصل بين الحكم والفتوى ، فكلّ من قال بتقديم حكم الأعلم قال بتقديم فتواه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اعترف بهذا الإجماع صاحب المفاتيح </w:t>
      </w:r>
      <w:r>
        <w:rPr>
          <w:rStyle w:val="FootnoteAnchor"/>
          <w:rtl w:val="true"/>
        </w:rPr>
        <w:footnoteReference w:id="1661"/>
      </w:r>
      <w:r>
        <w:rPr>
          <w:rFonts w:ascii="Amiri" w:hAnsi="Amiri" w:eastAsia="Amiri" w:cs="Amiri"/>
          <w:color w:val="111111"/>
          <w:sz w:val="28"/>
          <w:sz w:val="28"/>
          <w:szCs w:val="28"/>
          <w:rtl w:val="true"/>
          <w:lang w:bidi="ar-SA"/>
        </w:rPr>
        <w:t xml:space="preserve">في ظاهر كلامه ؛ لأنّه اقتصر في المناقشة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لا تناول </w:t>
      </w:r>
      <w:r>
        <w:rPr>
          <w:rStyle w:val="FootnoteAnchor"/>
          <w:rtl w:val="true"/>
        </w:rPr>
        <w:footnoteReference w:id="1662"/>
      </w:r>
      <w:r>
        <w:rPr>
          <w:rFonts w:ascii="Amiri" w:hAnsi="Amiri" w:eastAsia="Amiri" w:cs="Amiri"/>
          <w:color w:val="111111"/>
          <w:sz w:val="28"/>
          <w:sz w:val="28"/>
          <w:szCs w:val="28"/>
          <w:rtl w:val="true"/>
          <w:lang w:bidi="ar-SA"/>
        </w:rPr>
        <w:t>غير صورة اختلاف الحكمين فلا بدّ من ضميمة الإجماع المركّب ، وهو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التفصيل بين الفتوى والحكم ممكنا عنده لكان منع دلالتها على المدّعى في اختلاف الفتوى أولى بالمناقشة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الحكم المشتمل عليه الرواية عنده أعمّ من الفتوى ، فالمسألتان حينئذ من باب واحد متساويتا الأقدام في الاندراج تحت الحديث ، غير أنّ صورة عدم الاختلاف في الحكم الأعم من الفتوى يحتاج في ثبوت الحكم فيه إلى الإجماع المركّب الذي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ظاهر صاحب الإشارات </w:t>
      </w:r>
      <w:r>
        <w:rPr>
          <w:rStyle w:val="FootnoteAnchor"/>
          <w:rtl w:val="true"/>
        </w:rPr>
        <w:footnoteReference w:id="1663"/>
      </w:r>
      <w:r>
        <w:rPr>
          <w:rFonts w:ascii="Amiri" w:hAnsi="Amiri" w:eastAsia="Amiri" w:cs="Amiri"/>
          <w:color w:val="111111"/>
          <w:sz w:val="28"/>
          <w:sz w:val="28"/>
          <w:szCs w:val="28"/>
          <w:rtl w:val="true"/>
          <w:lang w:bidi="ar-SA"/>
        </w:rPr>
        <w:t>عدم ثبوت الاجماع المركّب ، حيث حمل الحكم على الحكم المصطلح أعني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استدلّ في تعارض الفتوى بالفحوى وتنقيح المناط ، وفي غير هذه الصورة لعدم </w:t>
      </w:r>
      <w:r>
        <w:rPr>
          <w:rStyle w:val="FootnoteAnchor"/>
          <w:rtl w:val="true"/>
        </w:rPr>
        <w:footnoteReference w:id="1664"/>
      </w:r>
      <w:r>
        <w:rPr>
          <w:rFonts w:ascii="IRNazanin" w:hAnsi="IRNazanin" w:eastAsia="IRNazanin"/>
          <w:color w:val="111111"/>
          <w:sz w:val="28"/>
          <w:sz w:val="28"/>
          <w:szCs w:val="28"/>
          <w:rtl w:val="true"/>
          <w:lang w:bidi="fa-IR"/>
        </w:rPr>
        <w:t>القول بالفصل</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فالظاهر أنّ إنكار هذا الإجماع مكابرة واضحة اعترف به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الظاهر أنّه لا عكس ، فإنّ من يقول بوجوب تقليد الأعلم لعلّه لا يقول بوجوب المرافعة عند الأعلم وإن كان الحق خلافه كما ستعرف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بالحكم في الرواية ليس ما هو المصطلح عليه عند الفقهاء أعني القضاء ، بل الظاهر أنّ المراد به المعنى اللغوي المتناول للفتوى مثل قوله تعالى في غير موضع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لَمْ يَحْكُمْ بِما أَنْزَلَ اللّهُ </w:t>
      </w:r>
      <w:r>
        <w:rPr>
          <w:rFonts w:eastAsia="Amiri" w:cs="Amiri" w:ascii="Amiri" w:hAnsi="Amiri"/>
          <w:color w:val="111111"/>
          <w:sz w:val="28"/>
          <w:szCs w:val="28"/>
          <w:rtl w:val="true"/>
          <w:lang w:bidi="ar-SA"/>
        </w:rPr>
        <w:t xml:space="preserve">) </w:t>
      </w:r>
      <w:r>
        <w:rPr>
          <w:rStyle w:val="FootnoteAnchor"/>
          <w:rtl w:val="true"/>
        </w:rPr>
        <w:footnoteReference w:id="166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عدم ثبوت الحقيقة الشرعيّة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قول الراوي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وكلاهما اختلفا في حديثكم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المتبادر كونه بيانا لاختلاف الحكم ، ومن الوضح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الاختلاف في نفس القضاء ليس اختلافا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الاختلاف في فتوى رواة عصر الإمام اختلاف في الحديث ؛ نظرا إلى اشتراك الفتاوى ورواياتهم في الاستناد إلى السماع عن الإمام عليه‌السلام عموما أو خصوصا ، فيكون الاختلاف في الفتوى اختلافا في الحديث ، وكذا يدلّ عليه قول الإمام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ما حكم به أصدقهما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صدق الحديث إنّما يناسب ترجيح الفتوى التي هي بمنزلة الحديث ، دون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ودلالة في منازعة المتحاكمين على كون المراد به القضاء ؛ لأنّ المتنازعين ربما ينشأ نزاعهما من جهة الاشتباه في الحكم المشروع ، فيرجعان إلى من يحكم بينهما بالفتوى دون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نزاع الرجلين كان من هذه الجهة ، لا من جهة الاختلاف في الموضوع ومرجعه إلى الادّعاء والإنكار ، وإلاّ لما كان لاختيار كلّ منهما حكما وجه ؛ فإنّ فصل الخصومة حينئذ يحصل من حكم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جمع الحكمين والحكّام في مسألة أو نزاع يتصوّر على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المقصود من اجتماعهم صدور الحكم منهم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المقصود صدور الحكم من أحدهم ، ويكون المقصود من حضور الباقين إعانتهم للحاكم في مقدّمات الحكم لئلاّ يخطأ</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الحكم مقصود الصدور من بعض ، ومن الباقين إنفاذ </w:t>
      </w:r>
    </w:p>
    <w:p>
      <w:pPr>
        <w:pStyle w:val="BookText"/>
        <w:rPr/>
      </w:pPr>
      <w:r>
        <w:rPr>
          <w:rFonts w:ascii="Amiri" w:hAnsi="Amiri" w:eastAsia="Amiri" w:cs="Amiri"/>
          <w:color w:val="111111"/>
          <w:sz w:val="28"/>
          <w:sz w:val="28"/>
          <w:szCs w:val="28"/>
          <w:rtl w:val="true"/>
          <w:lang w:bidi="ar-SA"/>
        </w:rPr>
        <w:t>حكمه وإمضائه ، ولا ريب أنّ الفرض الغالب المتعارف من جميع الحكّام دائر بين الصورتين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الاولى فبعيدة في الغاية ، ولم نسمع وقوع ذلك في شيء من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جهلنا الحكم في الرواية على الحكم المصطلح لم تكد تنطبق على شيء من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الأخيرتين فواضح ؛ لأنّ صريح الرواية صدور الحكم من كلّ من الحكمين والمفروض في هاتين الصورتين عدم صدور الحكم إلاّ من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الصورة الاولى ، فمع ما فيه من تنزيل الرواية على فرض نادر ، ينافيه ما فيها بعد ذكر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عدلان مرضيّان عند أصحابنا ، لا يفضل واحد منهما على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إلى ما كان من روايتهم عنّا في ذلك الذي حكما به ، المجمع عليه عند أصحابك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الأمر بالنظر إلى مدرك الحكمين من الروايات والأخذ بالمشهور لا يلائم تعارض الحكم المصطلح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شغل المترافعين ليس النظر في مدرك الحكمين ، والاجتهاد في ترجيح أحدهما على الآخر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تعارض الحكمان ولم يكن في أحد الحاكمين مزيّة على الآخر في شيء من الأوصاف المزبورة ، فالمرجع حينئذ هو أسبق الحكمين ، بل لا يبقى في صدور الحكم من أحد الحكّام محلّ لحكم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حمل الرواية على ما إذا كان الحكمان يتساقطان حينئذ فلا وجه للأخذ بالمرجّحات</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ظهر أنّ ما حكاه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الرواية على هذه الصورة إنكارا على من تمسّك بها لتقديم حكم الأعلم والأورع </w:t>
      </w:r>
    </w:p>
    <w:p>
      <w:pPr>
        <w:pStyle w:val="BookText"/>
        <w:rPr/>
      </w:pPr>
      <w:r>
        <w:rPr>
          <w:rFonts w:ascii="Amiri" w:hAnsi="Amiri" w:eastAsia="Amiri" w:cs="Amiri"/>
          <w:color w:val="111111"/>
          <w:sz w:val="28"/>
          <w:sz w:val="28"/>
          <w:szCs w:val="28"/>
          <w:rtl w:val="true"/>
          <w:lang w:bidi="ar-SA"/>
        </w:rPr>
        <w:t xml:space="preserve">ليس في محلّه مع أنّه قدس‌سره اعترف في محكي المسالك </w:t>
      </w:r>
      <w:r>
        <w:rPr>
          <w:rStyle w:val="FootnoteAnchor"/>
          <w:rtl w:val="true"/>
        </w:rPr>
        <w:footnoteReference w:id="1666"/>
      </w:r>
      <w:r>
        <w:rPr>
          <w:rFonts w:ascii="Amiri" w:hAnsi="Amiri" w:eastAsia="Amiri" w:cs="Amiri"/>
          <w:color w:val="111111"/>
          <w:sz w:val="28"/>
          <w:sz w:val="28"/>
          <w:szCs w:val="28"/>
          <w:rtl w:val="true"/>
          <w:lang w:bidi="ar-SA"/>
        </w:rPr>
        <w:t xml:space="preserve">بدلالة الرواية نصّا على تقديم الأعلم في الفتوى لا بدّ من حمل الحكم المذكور على المعنى اللغوي ، أي الحكم بما أنزل اللّه ، وهو الفتوى ؛ فإنّها تنطبق على جميع الصور المزبورة في غاية الوضوح ، فإنّ اختلاف الفتاوى لا ينافي شيئا من المقاصد الثلاثة ، كما أنّ السبق واللحق في الفتاوى المتعارضة لا عبرة بهما جدّا ؛ ولذا تمسّك بهذه الرواية غير واحد من الأعاظم على تعيين الأعلم ، مثل الفاضل الهندي </w:t>
      </w:r>
      <w:r>
        <w:rPr>
          <w:rStyle w:val="FootnoteAnchor"/>
          <w:rtl w:val="true"/>
        </w:rPr>
        <w:footnoteReference w:id="1667"/>
      </w:r>
      <w:r>
        <w:rPr>
          <w:rFonts w:ascii="Amiri" w:hAnsi="Amiri" w:eastAsia="Amiri" w:cs="Amiri"/>
          <w:color w:val="111111"/>
          <w:sz w:val="28"/>
          <w:sz w:val="28"/>
          <w:szCs w:val="28"/>
          <w:rtl w:val="true"/>
          <w:lang w:bidi="ar-SA"/>
        </w:rPr>
        <w:t xml:space="preserve">والفاضل المازندراني </w:t>
      </w:r>
      <w:r>
        <w:rPr>
          <w:rStyle w:val="FootnoteAnchor"/>
          <w:rtl w:val="true"/>
        </w:rPr>
        <w:footnoteReference w:id="1668"/>
      </w:r>
      <w:r>
        <w:rPr>
          <w:rFonts w:ascii="Amiri" w:hAnsi="Amiri" w:eastAsia="Amiri" w:cs="Amiri"/>
          <w:color w:val="111111"/>
          <w:sz w:val="28"/>
          <w:sz w:val="28"/>
          <w:szCs w:val="28"/>
          <w:rtl w:val="true"/>
          <w:lang w:bidi="ar-SA"/>
        </w:rPr>
        <w:t xml:space="preserve">على ما حكي عنهما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داود بن حصين عن 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رجلين اتّفقا على عدلين جعلاهما في حكم وقع بينهما فيه خلاف ، فرضيا بالعدلين فاختلف العدلان بينهما ، عن قول أيّهما يمضي الحكم؟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إلى قول أفقههما وأعلمهما بأحاديثنا ، وأورعهما فينفذ حكمه ولا يلتفت إلى الآخر </w:t>
      </w:r>
      <w:r>
        <w:rPr>
          <w:rFonts w:eastAsia="Amiri" w:cs="Amiri" w:ascii="Amiri" w:hAnsi="Amiri"/>
          <w:color w:val="111111"/>
          <w:sz w:val="28"/>
          <w:szCs w:val="28"/>
          <w:rtl w:val="true"/>
          <w:lang w:bidi="ar-SA"/>
        </w:rPr>
        <w:t xml:space="preserve">»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موسى بن أكيل عن 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رجل يكون بينه وبين آخر منازعة في حقّ فيتّفقان على رجلين يكونان بينهما ، فحكما فاختلفا فيما حكما؟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يختلفان؟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منهما الذي اختاره الخصمان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إلى أعدلهما وأفقههما في دين اللّه فيمضي حكمه </w:t>
      </w:r>
      <w:r>
        <w:rPr>
          <w:rFonts w:eastAsia="Amiri" w:cs="Amiri" w:ascii="Amiri" w:hAnsi="Amiri"/>
          <w:color w:val="111111"/>
          <w:sz w:val="28"/>
          <w:szCs w:val="28"/>
          <w:rtl w:val="true"/>
          <w:lang w:bidi="ar-SA"/>
        </w:rPr>
        <w:t xml:space="preserve">»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والتقريب منهما ما قدّمناه في المقبولة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نهج البلاغة </w:t>
      </w:r>
      <w:r>
        <w:rPr>
          <w:rStyle w:val="FootnoteAnchor"/>
          <w:rtl w:val="true"/>
        </w:rPr>
        <w:footnoteReference w:id="1672"/>
      </w:r>
      <w:r>
        <w:rPr>
          <w:rFonts w:ascii="Amiri" w:hAnsi="Amiri" w:eastAsia="Amiri" w:cs="Amiri"/>
          <w:color w:val="111111"/>
          <w:sz w:val="28"/>
          <w:sz w:val="28"/>
          <w:szCs w:val="28"/>
          <w:rtl w:val="true"/>
          <w:lang w:bidi="ar-SA"/>
        </w:rPr>
        <w:t xml:space="preserve">عن مولانا أمير المؤمنين عليه‌السلام في كتابته </w:t>
      </w:r>
      <w:r>
        <w:rPr>
          <w:rStyle w:val="FootnoteAnchor"/>
          <w:rtl w:val="true"/>
        </w:rPr>
        <w:footnoteReference w:id="1673"/>
      </w:r>
      <w:r>
        <w:rPr>
          <w:rFonts w:ascii="Amiri" w:hAnsi="Amiri" w:eastAsia="Amiri" w:cs="Amiri"/>
          <w:color w:val="111111"/>
          <w:sz w:val="28"/>
          <w:sz w:val="28"/>
          <w:szCs w:val="28"/>
          <w:rtl w:val="true"/>
          <w:lang w:bidi="ar-SA"/>
        </w:rPr>
        <w:t xml:space="preserve">إلى مالك الأشتر ، نقله صاحب المفاتيح وكان الذي يحضرني من نسخته مغلوطا ؛ ولذا أعرضنا عن ذكره ، والقدر المعلوم منه أمر المالك </w:t>
      </w:r>
      <w:r>
        <w:rPr>
          <w:rStyle w:val="FootnoteAnchor"/>
          <w:rtl w:val="true"/>
        </w:rPr>
        <w:footnoteReference w:id="1674"/>
      </w:r>
      <w:r>
        <w:rPr>
          <w:rFonts w:ascii="Amiri" w:hAnsi="Amiri" w:eastAsia="Amiri" w:cs="Amiri"/>
          <w:color w:val="111111"/>
          <w:sz w:val="28"/>
          <w:sz w:val="28"/>
          <w:szCs w:val="28"/>
          <w:rtl w:val="true"/>
          <w:lang w:bidi="ar-SA"/>
        </w:rPr>
        <w:t>باختيار الأبصر والأفضل للحكم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الدليل الاعتباري العقلي ، فهو أنّ الظنّ الحاصل من قول الأعلم أقوى من قول غيره ، فيجب العمل به عينا ؛ لأنّ العدول من أقوى الأمارتين إلى أضعفهما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 فوجدانيّة ؛ لأنّ لزيادة العلم تأثيرا آخر في إصابة الواقع</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الكبرى ، فمع إمكان دعوى الاتّفاق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تتبع أقوال العلماء في تعارض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بها بداهة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يتمسّك بهذه الحجّة في محكي النهاية </w:t>
      </w:r>
      <w:r>
        <w:rPr>
          <w:rStyle w:val="FootnoteAnchor"/>
          <w:rtl w:val="true"/>
        </w:rPr>
        <w:footnoteReference w:id="1675"/>
      </w:r>
      <w:r>
        <w:rPr>
          <w:rFonts w:ascii="Amiri" w:hAnsi="Amiri" w:eastAsia="Amiri" w:cs="Amiri"/>
          <w:color w:val="111111"/>
          <w:sz w:val="28"/>
          <w:sz w:val="28"/>
          <w:szCs w:val="28"/>
          <w:rtl w:val="true"/>
          <w:lang w:bidi="ar-SA"/>
        </w:rPr>
        <w:t xml:space="preserve">والتهذيب </w:t>
      </w:r>
      <w:r>
        <w:rPr>
          <w:rStyle w:val="FootnoteAnchor"/>
          <w:rtl w:val="true"/>
        </w:rPr>
        <w:footnoteReference w:id="1676"/>
      </w:r>
      <w:r>
        <w:rPr>
          <w:rFonts w:ascii="Amiri" w:hAnsi="Amiri" w:eastAsia="Amiri" w:cs="Amiri"/>
          <w:color w:val="111111"/>
          <w:sz w:val="28"/>
          <w:sz w:val="28"/>
          <w:szCs w:val="28"/>
          <w:rtl w:val="true"/>
          <w:lang w:bidi="ar-SA"/>
        </w:rPr>
        <w:t xml:space="preserve">والمنية </w:t>
      </w:r>
      <w:r>
        <w:rPr>
          <w:rStyle w:val="FootnoteAnchor"/>
          <w:rtl w:val="true"/>
        </w:rPr>
        <w:footnoteReference w:id="1677"/>
      </w:r>
      <w:r>
        <w:rPr>
          <w:rFonts w:ascii="IRNazanin" w:hAnsi="IRNazanin" w:eastAsia="IRNazanin"/>
          <w:color w:val="111111"/>
          <w:sz w:val="28"/>
          <w:sz w:val="28"/>
          <w:szCs w:val="28"/>
          <w:rtl w:val="true"/>
          <w:lang w:bidi="fa-IR"/>
        </w:rPr>
        <w:t xml:space="preserve">والمعالم </w:t>
      </w:r>
      <w:r>
        <w:rPr>
          <w:rStyle w:val="FootnoteAnchor"/>
          <w:rtl w:val="true"/>
        </w:rPr>
        <w:footnoteReference w:id="1678"/>
      </w:r>
      <w:r>
        <w:rPr>
          <w:rFonts w:ascii="Amiri" w:hAnsi="Amiri" w:eastAsia="Amiri" w:cs="Amiri"/>
          <w:color w:val="111111"/>
          <w:sz w:val="28"/>
          <w:sz w:val="28"/>
          <w:szCs w:val="28"/>
          <w:rtl w:val="true"/>
          <w:lang w:bidi="ar-SA"/>
        </w:rPr>
        <w:t xml:space="preserve">وكشف اللثام </w:t>
      </w:r>
      <w:r>
        <w:rPr>
          <w:rStyle w:val="FootnoteAnchor"/>
          <w:rtl w:val="true"/>
        </w:rPr>
        <w:footnoteReference w:id="1679"/>
      </w:r>
      <w:r>
        <w:rPr>
          <w:rFonts w:ascii="Amiri" w:hAnsi="Amiri" w:eastAsia="Amiri" w:cs="Amiri"/>
          <w:color w:val="111111"/>
          <w:sz w:val="28"/>
          <w:sz w:val="28"/>
          <w:szCs w:val="28"/>
          <w:rtl w:val="true"/>
          <w:lang w:bidi="ar-SA"/>
        </w:rPr>
        <w:t xml:space="preserve">وشرح الزبدة للفاضل المازندراني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واورد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بمنع الصغرى ، واخرى بمنع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منع الصغرى ، فقد صدر عن جماعة من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كالنراقي </w:t>
      </w:r>
      <w:r>
        <w:rPr>
          <w:rStyle w:val="FootnoteAnchor"/>
          <w:rtl w:val="true"/>
        </w:rPr>
        <w:footnoteReference w:id="1681"/>
      </w:r>
      <w:r>
        <w:rPr>
          <w:rFonts w:ascii="Amiri" w:hAnsi="Amiri" w:eastAsia="Amiri" w:cs="Amiri"/>
          <w:color w:val="111111"/>
          <w:sz w:val="28"/>
          <w:sz w:val="28"/>
          <w:szCs w:val="28"/>
          <w:rtl w:val="true"/>
          <w:lang w:bidi="ar-SA"/>
        </w:rPr>
        <w:t xml:space="preserve">، والقمّي </w:t>
      </w:r>
      <w:r>
        <w:rPr>
          <w:rStyle w:val="FootnoteAnchor"/>
          <w:rtl w:val="true"/>
        </w:rPr>
        <w:footnoteReference w:id="1682"/>
      </w:r>
      <w:r>
        <w:rPr>
          <w:rFonts w:ascii="Amiri" w:hAnsi="Amiri" w:eastAsia="Amiri" w:cs="Amiri"/>
          <w:color w:val="111111"/>
          <w:sz w:val="28"/>
          <w:sz w:val="28"/>
          <w:szCs w:val="28"/>
          <w:rtl w:val="true"/>
          <w:lang w:bidi="ar-SA"/>
        </w:rPr>
        <w:t xml:space="preserve">، وصاحب المفاتيح </w:t>
      </w:r>
      <w:r>
        <w:rPr>
          <w:rStyle w:val="FootnoteAnchor"/>
          <w:rtl w:val="true"/>
        </w:rPr>
        <w:footnoteReference w:id="1683"/>
      </w:r>
      <w:r>
        <w:rPr>
          <w:rFonts w:ascii="IRNazanin" w:hAnsi="IRNazanin" w:eastAsia="IRNazanin"/>
          <w:color w:val="111111"/>
          <w:sz w:val="28"/>
          <w:sz w:val="28"/>
          <w:szCs w:val="28"/>
          <w:rtl w:val="true"/>
          <w:lang w:bidi="fa-IR"/>
        </w:rPr>
        <w:t xml:space="preserve">، والفصول </w:t>
      </w:r>
      <w:r>
        <w:rPr>
          <w:rStyle w:val="FootnoteAnchor"/>
          <w:rtl w:val="true"/>
        </w:rPr>
        <w:footnoteReference w:id="1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سبقهم على ذلك الشهيد الثاني في محكي المسالك </w:t>
      </w:r>
      <w:r>
        <w:rPr>
          <w:rStyle w:val="FootnoteAnchor"/>
          <w:rtl w:val="true"/>
        </w:rPr>
        <w:footnoteReference w:id="1685"/>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تقرير الدليل المزبور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وفيه نظر ؛ لمنع كون الظن بقول الأعلم مطلقا أقوى ؛ فإنّ مدارك الظن لا تنضبط ؛ خصوصا في المسائل الشرعيّة ، فكثيرا ما يظهر رجحان ظنّ المفضول على ظنّ الفاضل في كثير من المسائل الاجتهادية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 بين أقوال المفتين وأدلّة المستدل ؛ لأنّ المستدلّ يمكنه ترجيح بعض الأدلّة على بعض ، بخلاف العامي بالنسبة إلى الأقوال ، انتهى</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يلوح ذلك من الأردبيلي أيضا في محكي مجمع البرهان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أنّه لو قطع النظر عن جميع الامور الخارجيّة يحصل الظن بقول الأعلم </w:t>
      </w:r>
      <w:r>
        <w:rPr>
          <w:rStyle w:val="FootnoteAnchor"/>
          <w:rtl w:val="true"/>
        </w:rPr>
        <w:footnoteReference w:id="1686"/>
      </w:r>
      <w:r>
        <w:rPr>
          <w:rFonts w:ascii="Amiri" w:hAnsi="Amiri" w:eastAsia="Amiri" w:cs="Amiri"/>
          <w:color w:val="111111"/>
          <w:sz w:val="28"/>
          <w:sz w:val="28"/>
          <w:szCs w:val="28"/>
          <w:rtl w:val="true"/>
          <w:lang w:bidi="ar-SA"/>
        </w:rPr>
        <w:t xml:space="preserve">؛ فإنّ التقييد بقطع النظر عن الامور الخارجيّة يدلّ على أنّه بملاحظتها ربّما يتعاكس الأمر فيحصل القوّة في الظنّ الحاصل من قول غير الأعلم ، ولعلّ هذا مراد غيره من النافين أيضا ، فإنّهم لا ينكرون كون الأعلميّة مستلزمة للظن الأقوى في ذاتها </w:t>
      </w:r>
    </w:p>
    <w:p>
      <w:pPr>
        <w:pStyle w:val="BookText"/>
        <w:rPr/>
      </w:pPr>
      <w:r>
        <w:rPr>
          <w:rFonts w:ascii="Amiri" w:hAnsi="Amiri" w:eastAsia="Amiri" w:cs="Amiri"/>
          <w:color w:val="111111"/>
          <w:sz w:val="28"/>
          <w:sz w:val="28"/>
          <w:szCs w:val="28"/>
          <w:rtl w:val="true"/>
          <w:lang w:bidi="ar-SA"/>
        </w:rPr>
        <w:t xml:space="preserve">مع قطع النظر عن الامور الخارجيّة ، قال في محكي المفاتيح </w:t>
      </w:r>
      <w:r>
        <w:rPr>
          <w:rStyle w:val="FootnoteAnchor"/>
          <w:rtl w:val="true"/>
        </w:rPr>
        <w:footnoteReference w:id="1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كون الظنّ بقول الأعلم ممنوع إذ مع كون قول غير الأعلم موافقا لقول مجتهد آخر حيّ أو ميّت أو أكثر سيّما إذا زعمهم المقلّد أعلم ، فكيف يحصل الظنّ الأقوى من قول الأعلم ، بل مع تجويزه موافقة بعض المجتهدين للأدون لا يصير الظنّ بقوله أدون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لم يكن ذلك الموافق للأدون أعلم من الأعلم ، بل ولا المتساوي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يظهر عدم ترتّب فائدة على التمسّك بعدم أعلميّة الغير ، مع أنّه لا يمكن هذه الدعوى إذا لوحظت فتاوى الأموات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ويقرب منه ما ذكره رحمه‌اللّه في القوانين </w:t>
      </w:r>
      <w:r>
        <w:rPr>
          <w:rStyle w:val="FootnoteAnchor"/>
          <w:rtl w:val="true"/>
        </w:rPr>
        <w:footnoteReference w:id="1688"/>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الدليل المزبور وادّعى كون تشبيههم المقام بأمارتي المجتهد قياسا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إن أرادوا أنّ عمل المقلّد بظنّ مجتهده إنّما هو لأجل أنّه محصّل للظن بحكم اللّه الواقعي ، والمجتهدان المختلفان أمارتان على ذلك الحكم كأمارتي المجتهد عليه</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يتمّ على الإطلاق ؛ فإنّ مقلّدا كان في بلده مجتهدان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أعلم من الآخر وهما مختلفان في الفتوى وفرض في عصره وجود مجتهدين آخرين في بلاد آخر ، فكيف يحصل الظنّ بأنّ قول أعلم المجتهدين في بلده هو حكم اللّه الواقعي دون من هو أدون منه؟ مع احتمال أن يكون بعض المجتهدين الذين في البلاد الآخر مخالفا لذلك الأعلم وموافقا للأدون مع كونه مساويا للأعلم </w:t>
      </w:r>
    </w:p>
    <w:p>
      <w:pPr>
        <w:pStyle w:val="BookText"/>
        <w:rPr/>
      </w:pPr>
      <w:r>
        <w:rPr>
          <w:rFonts w:ascii="Amiri" w:hAnsi="Amiri" w:eastAsia="Amiri" w:cs="Amiri"/>
          <w:color w:val="111111"/>
          <w:sz w:val="28"/>
          <w:sz w:val="28"/>
          <w:szCs w:val="28"/>
          <w:rtl w:val="true"/>
          <w:lang w:bidi="ar-SA"/>
        </w:rPr>
        <w:t xml:space="preserve">في العلم ، أو أعلم منه؟ إلى آخر ما قال وأطال في إثبات هذا المرام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حصول الظنّ الأقوى من قول الأدون بملاحظة المرجّحات الخارجيّة ، كموافقة أعلم آخر ، أو المشهور ،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المقلّد قد يقف على مدارك الفريقين فيترجّح في نظره فتوى المفضول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إن أرادوا من منع الصغرى إثبات التسوية بين الأعلم والأدون من حيث الظنّ في حدّ ذاتهما مع قطع النظر عن الامور الخارجيّة ، فهذه مكابرة واضحة تشهد بخلافها البداهة والوجدان ؛ إذ لا شكّ في أنّ لزيادة العلم والبصيرة بمدرك المسألة ومعارضاتها وطريق الاستنباط زيادة تأثير في إصابة الواقع ، كما اعترف به المولى الأردبيلي ، وإلاّ لم يتفاوت بين العالم والجاهل أيضا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أرادوا أنّ قول الأدون ربما ينضمّ إلى الظنّ الحاصل منه بعض الظنون الاخرى المستندة إلى امور خارجيّة فيقوى لأجل ذلك ، بحيث يفوق على الظنّ الحاصل من قول الأعلم ويساويه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الظنون التي تحصل للمقلّد بملاحظة الامور الخارجيّة ممّا لا عبرة به أصلا على القول بكون التقليد من الظنون الخاصّة الثابت حجّيتها من الأدلّة الشرعيّة ؛ وذلك لوجوه </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دليل على اعتبار هذه الظنون في مقام تقوية الأمارة وترجيحها على معارضها بعد أن كان مقتضى الأصل عدم الاعتبار ؛ فإنّ قوة </w:t>
      </w:r>
    </w:p>
    <w:p>
      <w:pPr>
        <w:pStyle w:val="BookText"/>
        <w:rPr/>
      </w:pPr>
      <w:r>
        <w:rPr>
          <w:rFonts w:ascii="Amiri" w:hAnsi="Amiri" w:eastAsia="Amiri" w:cs="Amiri"/>
          <w:color w:val="111111"/>
          <w:sz w:val="28"/>
          <w:sz w:val="28"/>
          <w:szCs w:val="28"/>
          <w:rtl w:val="true"/>
          <w:lang w:bidi="ar-SA"/>
        </w:rPr>
        <w:t>الأمارة إمّا تحصل باعتبار ما فيها نفسها من الأوصاف المقربة للواقع كالأعلميّة والأورعيّة والأوثقيّة ونحوها من المرجّحات الداخليّة والمفروض عدم كون هذه الظنون كذلك ، أو باعتبار تعاضدها بمثلها ، أو بأقواها من الأمارات المعتبرة الثابت حجّيتها بدليل قاطع ، والمفروض عدم كونها كذلك أيضا ؛ فإنّ الشهرة مثلا على القول بأنّ وظيفة المقلّد هو التقليد دون العمل بمطلق الظنّ ، ليس من الأمارات المعتبرة في حقّ المقلّد فمن أين يحصل بسببها قوّة في قول الأدون تتكافأ قوّة الظنّ الموجودة في قول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الفاضلان النراقي </w:t>
      </w:r>
      <w:r>
        <w:rPr>
          <w:rStyle w:val="FootnoteAnchor"/>
          <w:rtl w:val="true"/>
        </w:rPr>
        <w:footnoteReference w:id="1690"/>
      </w:r>
      <w:r>
        <w:rPr>
          <w:rFonts w:ascii="Amiri" w:hAnsi="Amiri" w:eastAsia="Amiri" w:cs="Amiri"/>
          <w:color w:val="111111"/>
          <w:sz w:val="28"/>
          <w:sz w:val="28"/>
          <w:szCs w:val="28"/>
          <w:rtl w:val="true"/>
          <w:lang w:bidi="ar-SA"/>
        </w:rPr>
        <w:t xml:space="preserve">والقمّي </w:t>
      </w:r>
      <w:r>
        <w:rPr>
          <w:rStyle w:val="FootnoteAnchor"/>
          <w:rtl w:val="true"/>
        </w:rPr>
        <w:footnoteReference w:id="1691"/>
      </w:r>
      <w:r>
        <w:rPr>
          <w:rFonts w:ascii="Amiri" w:hAnsi="Amiri" w:eastAsia="Amiri" w:cs="Amiri"/>
          <w:color w:val="111111"/>
          <w:sz w:val="28"/>
          <w:sz w:val="28"/>
          <w:szCs w:val="28"/>
          <w:rtl w:val="true"/>
          <w:lang w:bidi="ar-SA"/>
        </w:rPr>
        <w:t xml:space="preserve">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موافقة قول المفضول أحيانا لقول المجتهدين الآخر ربّما توجب القوّة في الظنّ الحاصل من قوله</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المجتهد المفروض موافقة قوله لقول الأدون إن كان أعلم ممّن فرض أعلميّته عن الأدون أو لا تعيّن عليه العمل بقوله ، وإلاّ فلا أثر في موافقته جدّا ؛ لأنّ توافق أقوال المجتهدين ليس كتعارض الأخبار في الغلبة على المعارض ؛ لأنّ مناط القوّة والضعف في كلّ منهما شيء وراء المناط في الآخر ، فالمدار في قوّة الأقوال حسن نظر صاحبها ومهارته في تميّز </w:t>
      </w:r>
      <w:r>
        <w:rPr>
          <w:rStyle w:val="FootnoteAnchor"/>
          <w:rtl w:val="true"/>
        </w:rPr>
        <w:footnoteReference w:id="1692"/>
      </w:r>
      <w:r>
        <w:rPr>
          <w:rFonts w:ascii="Amiri" w:hAnsi="Amiri" w:eastAsia="Amiri" w:cs="Amiri"/>
          <w:color w:val="111111"/>
          <w:sz w:val="28"/>
          <w:sz w:val="28"/>
          <w:szCs w:val="28"/>
          <w:rtl w:val="true"/>
          <w:lang w:bidi="ar-SA"/>
        </w:rPr>
        <w:t xml:space="preserve">الصواب والخطأ في الامور الاجتهادية ، ومناط قوّة الرواية تحرّز الراوي عن الكذب واكتناف الرواية بما يؤكّد الظنّ بصدورها ، فإذا توافق الأدونان لم يترتّب على موافقتهما شيء لا يترتّب على صورة المخالفة ، فالظنّ الحاصل من قول الأعلم المعارض </w:t>
      </w:r>
    </w:p>
    <w:p>
      <w:pPr>
        <w:pStyle w:val="BookText"/>
        <w:rPr/>
      </w:pPr>
      <w:r>
        <w:rPr>
          <w:rFonts w:ascii="Amiri" w:hAnsi="Amiri" w:eastAsia="Amiri" w:cs="Amiri"/>
          <w:color w:val="111111"/>
          <w:sz w:val="28"/>
          <w:sz w:val="28"/>
          <w:szCs w:val="28"/>
          <w:rtl w:val="true"/>
          <w:lang w:bidi="ar-SA"/>
        </w:rPr>
        <w:t xml:space="preserve">لهما حينئذ باقى أيضا على قوته الشأنية الذاتية 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الأنظار المتقاربة والأفهام المتشابهة لا يحصل من توافقها ظنّ يترجّح على الظنّ الحاصل من قول أصوبهم في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انقدح الفرق بين تعاضد الأخبار وتوافق الأقوال ؛ فإنّ الأوّل ربّما يوجب تقديم المتعاضدين على معارضهما الأصحّ ، بخلاف الثاني ؛ فإنّ وجوده وعدمه سيّان في وجوب الأخذ بغيرهما إذا كان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ذكرت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التخييرات العقليّة الأخذ بكلّ ما يحتمل كونه مرجّحا وإن لم يقم دليل دلّ على مرجّحيته ، وعليه بنيت تقديم قول الأعلم ، ولا ريب أنّ موافقة قول الأدون ؛ للامور الخارجيّة المفيدة للظنّ ممّا يحتمل كونه مرجّحا ، فلا وجه لعدم الأخذ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إنّما هو فيما إذا دار الأمر بين التخيير والتعيين ، لا بين المتباينين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الأصحاب في التعادل والتراجيح على ترجيح الأخبار بالمرجّحات الخارجيّة التي لم يقم دليل على حجّيتها إذا لم يكن قد قام الدليل على عدم اعتباره كالقياس ، وقول المجتهد أيضا طريق ظنّيّ للمقلّد ، فما الفارق بينهما؟</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ترجيح الأخبار بمطلق المرجّحات أمر مستفاد من إشارات أخبار التراجيح وتلويحاتها ، ومثل هذه الأخبار مفقودة في المقام</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حجّية الأخبار إنّما هي لأجل إفادتها الظنّ في نظر العاملين بها كالمجتهدين ، وحيث اعتبر نظرهم في جعل الطريق الظنّي اعتبر نظرهم في طلب المرجّحات عند التعارض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حجيّة أقوال العلماء للعوام فليست لأجل إفادتها الظنّ في نظر القاصرين ، بل لأجل غلبة مصادفتها للواقع نوعا ، فلا وجه لاعتبار نظرهم في طلب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لمّا وجد العوام قاصري النظر في الامور العلميّة جعل لهم أقوال العلماء طريقا تعبّديا باعتبار ما فيها من غلبة المطابقة للواقع وأمرهم بالرجوع إليهم من غير النظر والفحص عن شيء ، فكأنّه صار نظرهم عنده ساقطا عن الاعتبار في جميع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ظنون المقلّد التي تحصل له من غير الطريق الشرعي المعيّن له ممّا لا يكاد ينضبط بضابط ، فربما يحصل له الظنّ من قول عاميّ آخر ، أو من الرمل والجفر والنجوم ونحوها ، وربّما يترجّح في نظره المفضول بملاحظة حسبه ونسبه واشتهاره بين العوام ، فإما نجوّز له الاعتماد على كلّ ظنّ خارج عن الطريق المخصوص في مقام الترجيح ، أو نمنع عن الاعتماد عليها مطلقا ؛ لأنّ المناط منقّح ، والفارق مفقود ولا سبيل إلى الأوّل لأدائه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Style w:val="FootnoteAnchor"/>
          <w:rtl w:val="true"/>
        </w:rPr>
        <w:footnoteReference w:id="1693"/>
      </w:r>
      <w:r>
        <w:rPr>
          <w:rFonts w:ascii="Amiri" w:hAnsi="Amiri" w:eastAsia="Amiri" w:cs="Amiri"/>
          <w:color w:val="111111"/>
          <w:sz w:val="28"/>
          <w:sz w:val="28"/>
          <w:szCs w:val="28"/>
          <w:rtl w:val="true"/>
          <w:lang w:bidi="ar-SA"/>
        </w:rPr>
        <w:t>مفاسد عظيمة في هذا الدين ، وإلى الهرج والمرج كما لا يخفى على المنصف فتعيّن الثاني</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تأكّد الظن الموجود في طرف الأعلم لا يعارضه شيء من الظنون الداخليّة ؛ لأنّ الكلام إنّما هو بعد فرض تساوي الفاضل والمفضول في جميع الجهات غير الفضل ، فيجب اتباعه بحكم العقل القاطع بوجوب العمل بأقوى الأمارتين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دعوى الاتّفاق على سقوط إنكار العوام والمقلّدين عن درجة الاعتبار في جميع المقامات ، حتّى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قضية ما أسّسه الفاضل القمّي رحمه‌اللّه من الأصل كون المقلّد كالمجتهد في الأخذ بالأمارات كائنا ما كان ، ولكنّه لم أجد موافقا له في ذلك ، كما مرّ غير مرّة ؛ فإنّ كلّ من أجاز التقليد جعله من الظنون الخاصّة الثابت حجيتها بالدليل ، لا من الظنون المطلقة الناشئة من الدليل الرابع في حق المقلد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ما ذكره الجماعة في منع صغرى الدليل المزبور بعد تسليمه مما لا يقدح في تماميّته ؛ لأنّ حصول الأقوى من الأدون بملاحظة موافقته لبعض الامور وعدمه سيّان في عدم مصادمته ومقاومته لقول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يمكن المناقشة في الصغرى بوجه آخر ؛ لأنّ قول المفضول ربما يكون مفيدا للظنّ الأقوى من حيث الأمور الداخلية ، مثل أن يكون قوّة الظن مستندة إلى فحصه وبذل جهده زيادة عمّا يعتبر في اجتهاد المجتهدين من الفحص ؛ فإنّ هذا الظن مستند إلى قول المفضول نفسه ، فيكون معتبرا لحصوله من الطريق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الأعلميّة تنافي نقصان فحص الأعلم عن فحص المفضول ؛ لأنّ التعدّي عن المقدار المعتبر من الفحص ليس بواجب على المجتهد ؛ فقد يقتصر الأعلم على ذلك المقدار ويتعدّى المفضول عنه فيحصل الظن من قوله أقوى من الظن الحاصل من قول الأعلم المقتصر على القدر الواجب من الفحص ؛ لأنّ ذلك غير مناف أيضا للأعلميّة ؛ فإنّ زيادة العلم إنّما تجدي عند التساوي من جميع الجهات الداخلية المفيدة للظن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وستعرف الكلام في هذا الفرض وأنّه يحتمل فيه وجوه ثلاثة</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اجيب عن منع الصغرى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فرض حصول الظن من قول الأدون نادر في الغاية وإن كان ممكنا سيّما في حقّ المتجزّي ومن دونه من المحصلين البالغين رتبة من العلم ، وبناء الشرع على الغالب ، فينزل عليه ما دلّ على وجوب الأخذ بأقوى الأمارتين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دليله المعتمد عليه إنّما هو العقل ، وهو غير فارق بين الغالب والنادر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ثبت وجوب تقليد الأعلم يحصل الظنّ الأقوى من قوله ، فيثبت فيما عداه من الصور ؛ لعدم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معارضة هذا بمثله فيما لو حصل الظنّ الأقوى من قول المفضول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حسن لو لم ينعقد الإجماع على عدم تعيين تقليد المفضول مطلقا ، وأمّا معه كما هو الظاهر ،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سلّمنا ، 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حصل التعارض وجب الرجوع إلى الترجيح ، ومعلوم أنّه </w:t>
      </w:r>
      <w:r>
        <w:rPr>
          <w:rStyle w:val="FootnoteAnchor"/>
          <w:rtl w:val="true"/>
        </w:rPr>
        <w:footnoteReference w:id="1694"/>
      </w:r>
      <w:r>
        <w:rPr>
          <w:rFonts w:ascii="IRNazanin" w:hAnsi="IRNazanin" w:eastAsia="IRNazanin"/>
          <w:color w:val="111111"/>
          <w:sz w:val="28"/>
          <w:sz w:val="28"/>
          <w:szCs w:val="28"/>
          <w:rtl w:val="true"/>
          <w:lang w:bidi="fa-IR"/>
        </w:rPr>
        <w:t>مع ما دلّ على وجوب العمل بقول الأعلم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منع الكبرى ، فهو صريح القوانين والمفاتيح ، وربّما نقل عن مناهج النراقي </w:t>
      </w:r>
      <w:r>
        <w:rPr>
          <w:rStyle w:val="FootnoteAnchor"/>
          <w:rtl w:val="true"/>
        </w:rPr>
        <w:footnoteReference w:id="1695"/>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تعيين الأعلم لقوّة الظنّ الحاصل من قوله ، إنّما يتمّ إذا كان المناط في التقليد حصول الظنّ لا التعبّد ، فعلى تقدير كونه تعبّدا محضا راجعا إلى نحو من السببيّة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كالعمل بالبيّنة عند القائلين بها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لملاحظة قوّة الظن وضعفه ، بل بحسب الاعتماد على أحدهما تخييرا كما في البيّنة </w:t>
      </w:r>
    </w:p>
    <w:p>
      <w:pPr>
        <w:pStyle w:val="BookText"/>
        <w:rPr/>
      </w:pPr>
      <w:r>
        <w:rPr>
          <w:rFonts w:ascii="Amiri" w:hAnsi="Amiri" w:eastAsia="Amiri" w:cs="Amiri"/>
          <w:color w:val="111111"/>
          <w:sz w:val="28"/>
          <w:sz w:val="28"/>
          <w:szCs w:val="28"/>
          <w:rtl w:val="true"/>
          <w:lang w:bidi="ar-SA"/>
        </w:rPr>
        <w:t>المتعارضة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أشار في القوانين حيث قال بعد منع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كون المدار على ظنّ المقلّد الحاصل من أيّ شيء وإن أرادوا 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 </w:t>
      </w:r>
      <w:r>
        <w:rPr>
          <w:rStyle w:val="FootnoteAnchor"/>
          <w:rtl w:val="true"/>
        </w:rPr>
        <w:footnoteReference w:id="1696"/>
      </w:r>
      <w:r>
        <w:rPr>
          <w:rFonts w:ascii="Amiri" w:hAnsi="Amiri" w:eastAsia="Amiri" w:cs="Amiri"/>
          <w:color w:val="111111"/>
          <w:sz w:val="28"/>
          <w:sz w:val="28"/>
          <w:szCs w:val="28"/>
          <w:rtl w:val="true"/>
          <w:lang w:bidi="ar-SA"/>
        </w:rPr>
        <w:t xml:space="preserve">إلى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آخر ينوب مناب الحكم الواقعي تجوّز العمل بالظنّ وإن لم يحصل الظن بالحكم الواقعي كالتقيّة النائية عن مرّ الحق ، فلا دليل على وجوب الترجيح ؛ فإنّ الذي ثبت من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لم يكن للمقلّد العلم بحكم اللّه الواقعي يجوز العمل بظن كلّ من تمكّن من استنباط الحكم من هذه الأدلّة ، وأمّا إن ظنّ هذا الشخص هل هو كاشف عن الواقع أم لا فلا يحتاج إليه على هذا الفرض ، وحينئذ فلا دليل على اعتبار الأقوى ، بل لا معنى لاعتبار الأقوى والأقرب والأرجح ؛ لأنّ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اللّه الظاهري هو ما كان أرجح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له من متعلّق ومن بيان أرجحيّته في أيّ شيء </w:t>
      </w:r>
      <w:r>
        <w:rPr>
          <w:rStyle w:val="FootnoteAnchor"/>
          <w:rtl w:val="true"/>
        </w:rPr>
        <w:footnoteReference w:id="1697"/>
      </w:r>
      <w:r>
        <w:rPr>
          <w:rFonts w:ascii="Amiri" w:hAnsi="Amiri" w:eastAsia="Amiri" w:cs="Amiri"/>
          <w:color w:val="111111"/>
          <w:sz w:val="28"/>
          <w:sz w:val="28"/>
          <w:szCs w:val="28"/>
          <w:rtl w:val="true"/>
          <w:lang w:bidi="ar-SA"/>
        </w:rPr>
        <w:t>، انتهى كلامه رفع اللّه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الواسطة بين ما زعموه من الظنّ الشخصي والتعبّد المحض ؛ لأنّ حجّية الأمارات تارة تناط بحصول الظنّ الشخصي واخرى بحصول الظنّ النوعي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أنّ كلّ الأمارات الشرعيّة أو جلّها حجّيتها إنّما هي من أجل إفادتها الظنّ شأنا ونوعا ، لا شخصا وفعلا ، ولا تعبّدا محضا ، يدلّ على ذلك في المقام </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المقرّر في نظائر المقام ، كما مرّ غير مرّة ؛ لأنّ البناء على التعبّد المحض يقتضي البناء على التخيير فيما إذا اختلفت الأمارتان بحسب الظنّ النوعي ؛ بخلاف البناء على كون حجّيتها من جهة الظن النوعي ؛ فإنّ مقتضاه متابعة الأقوى خاصّة اقتصارا فيما خالف الأصل على القدر المتيقّن ، كما ظهر وجهه غير 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 جملة من الأخبار الخاصة التي هي عمدة أدلة شرعيّة التقليد على قدح المفتي بالوثاقة وصدق الحديث ، وهذا يفصح عن كون اعتبار الفتوى من جهة إفادتها الظنّ نوعا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إشكال في أنّ بناء التقليد ليس على السببية المحضة والتعبّد المحض ، وما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ملاحظة مراتب الظنون ، إنّما يتّجه في الامور التعبّدية المحضة الراجعة إلى السببية المطلقة ، وأمّا في الطرق المعتبرة من حيث إفادتها الظنّ نوعا لا شخصا ؛ فلا ضرورة قضاء بداهة العقول بمراعاة أقوى الأمارتين التي حجّيتهما من جهة الظن النوعي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الأمر كما توهّمه الفاضل القمّي رحمه‌اللّه من كون التقليد أحد الظنون المطلقة الشخصيّة حتّى يتّجه الأخذ بقول الميّت والمفضول إذا كان الظن الحاصل منه أقوى من الحيّ الأعلم ، ولا كما زعمه المانعون عن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تعبّدا محضا حتّى ينهدم أساس الأخذ بأقوى الأقوال نوعا ؛ بل أمر بين الأمرين ، وقصد بين الإفراط والتفريط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استدلّ على وجوب تقليد الأعلم بأمور أخر زيادة عمّا ذكرنا </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كشف اللثام وشرح الزبدة للفاضل الصالح </w:t>
      </w:r>
      <w:r>
        <w:rPr>
          <w:rStyle w:val="FootnoteAnchor"/>
          <w:rtl w:val="true"/>
        </w:rPr>
        <w:footnoteReference w:id="1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تقليد المفضول مع وجود الأفضل يستلزم ترجيح المرجوح على الراجح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في الحقيقة دليل من الأدلّة المستدل بها على كبرى القياس المزبور ، ويحتاج في تقريبه إلى فرض سقوط الظنون الخارجيّة التي تحصل للمقلد عن الاعتبار ، كما هو الحقّ ، وإلاّ فمن الواضح عدم جريانه إذا تساوى الظنّان أو كان الظنّ الحاصل </w:t>
      </w:r>
    </w:p>
    <w:p>
      <w:pPr>
        <w:pStyle w:val="BookText"/>
        <w:rPr/>
      </w:pPr>
      <w:r>
        <w:rPr>
          <w:rFonts w:ascii="Amiri" w:hAnsi="Amiri" w:eastAsia="Amiri" w:cs="Amiri"/>
          <w:color w:val="111111"/>
          <w:sz w:val="28"/>
          <w:sz w:val="28"/>
          <w:szCs w:val="28"/>
          <w:rtl w:val="true"/>
          <w:lang w:bidi="ar-SA"/>
        </w:rPr>
        <w:t xml:space="preserve">من قول الأدون أقوى ؛ لأنّ المناط في الرجحان والمرجوحيّة في حكم العقل هو الرجحان الشخصي متى لم يقم دليل قطعي عنده على عدم الاعتداد به ، ومن ذلك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منع الأردبيلي في محكي المجمع </w:t>
      </w:r>
      <w:r>
        <w:rPr>
          <w:rStyle w:val="FootnoteAnchor"/>
          <w:rtl w:val="true"/>
        </w:rPr>
        <w:footnoteReference w:id="1699"/>
      </w:r>
      <w:r>
        <w:rPr>
          <w:rFonts w:ascii="Amiri" w:hAnsi="Amiri" w:eastAsia="Amiri" w:cs="Amiri"/>
          <w:color w:val="111111"/>
          <w:sz w:val="28"/>
          <w:sz w:val="28"/>
          <w:szCs w:val="28"/>
          <w:rtl w:val="true"/>
          <w:lang w:bidi="ar-SA"/>
        </w:rPr>
        <w:t>عن الملازمة المزبورة استنادا إلى إمكان وجود الرجحان في قول المفضول أحيانا ليس بقادح في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الفاضل في النهاية </w:t>
      </w:r>
      <w:r>
        <w:rPr>
          <w:rStyle w:val="FootnoteAnchor"/>
          <w:rtl w:val="true"/>
        </w:rPr>
        <w:footnoteReference w:id="1700"/>
      </w:r>
      <w:r>
        <w:rPr>
          <w:rFonts w:ascii="Amiri" w:hAnsi="Amiri" w:eastAsia="Amiri" w:cs="Amiri"/>
          <w:color w:val="111111"/>
          <w:sz w:val="28"/>
          <w:sz w:val="28"/>
          <w:szCs w:val="28"/>
          <w:rtl w:val="true"/>
          <w:lang w:bidi="ar-SA"/>
        </w:rPr>
        <w:t>من أنّ الأعلم له مزية ورجحان على الأدون ، فيقدّم كما قدّم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إن رجع إلى قاعدة الأخذ بأقوى الأمارتين فهو ،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من التنظير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نرى له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فلا يفيد إلاّ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مكان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قدم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 في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تجويز تقليد المفضول تسوية بينه وبين الأفضل وينفيها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هَلْ يَسْتَوِي الَّذِينَ يَعْلَمُونَ وَالَّذِينَ لا يَعْلَمُونَ </w:t>
      </w:r>
      <w:r>
        <w:rPr>
          <w:rFonts w:eastAsia="Amiri" w:cs="Amiri" w:ascii="Amiri" w:hAnsi="Amiri"/>
          <w:color w:val="111111"/>
          <w:sz w:val="28"/>
          <w:szCs w:val="28"/>
          <w:rtl w:val="true"/>
          <w:lang w:bidi="ar-SA"/>
        </w:rPr>
        <w:t xml:space="preserve">... ) </w:t>
      </w:r>
      <w:r>
        <w:rPr>
          <w:rStyle w:val="FootnoteAnchor"/>
          <w:rtl w:val="true"/>
        </w:rPr>
        <w:footnoteReference w:id="1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عكس الاستدلال به على الجواز ، كما أشرنا إليه في ذكر حجج المثبتين ، وإلى ما فيه من 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ختم الكلام في تنقيح أصل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الكلام في أطرافها ويتمّ في بيان امور </w:t>
      </w:r>
      <w:r>
        <w:rPr>
          <w:rFonts w:eastAsia="Amiri" w:cs="Amiri" w:ascii="Amiri" w:hAnsi="Amiri"/>
          <w:color w:val="111111"/>
          <w:sz w:val="28"/>
          <w:szCs w:val="28"/>
          <w:rtl w:val="true"/>
          <w:lang w:bidi="ar-SA"/>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يذهب عليك أنّه على فرض تماميّة أدلّة المجوّزين يجوز للعامي الرجوع إلى الأدون ابتداء من دون الرجوع إلى الأعلم ؛ لأنّ المسألة من الخلافيّات التي وظيفتها الاجتهاد أو التقليد ، ولا سبيل للمقلّد إلى الأوّل ؛ </w:t>
      </w:r>
    </w:p>
    <w:p>
      <w:pPr>
        <w:pStyle w:val="BookText"/>
        <w:rPr/>
      </w:pPr>
      <w:r>
        <w:rPr>
          <w:rFonts w:ascii="Amiri" w:hAnsi="Amiri" w:eastAsia="Amiri" w:cs="Amiri"/>
          <w:color w:val="111111"/>
          <w:sz w:val="28"/>
          <w:sz w:val="28"/>
          <w:szCs w:val="28"/>
          <w:rtl w:val="true"/>
          <w:lang w:bidi="ar-SA"/>
        </w:rPr>
        <w:t>لقصوره عن فهم أدلّة القولين ، فتعيّن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وتقليد أحد المفضولين بتقليد المفضول الآخر يؤدّي إلى الدور والتسلسل كما لا يخفى ، فثمرة البحث في تقليد الأعلم إنّما تعود إلى المجتهد إذا سأله العامي عن جواز تقليد المفضول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إذا كان المقلّد غافلا عن الخلاف في المسألة فيرجع </w:t>
      </w:r>
      <w:r>
        <w:rPr>
          <w:rStyle w:val="FootnoteAnchor"/>
          <w:rtl w:val="true"/>
        </w:rPr>
        <w:footnoteReference w:id="1702"/>
      </w:r>
      <w:r>
        <w:rPr>
          <w:rFonts w:ascii="IRNazanin" w:hAnsi="IRNazanin" w:eastAsia="IRNazanin"/>
          <w:color w:val="111111"/>
          <w:sz w:val="28"/>
          <w:sz w:val="28"/>
          <w:szCs w:val="28"/>
          <w:rtl w:val="true"/>
          <w:lang w:bidi="fa-IR"/>
        </w:rPr>
        <w:t xml:space="preserve">إلى الأدون ، صح </w:t>
      </w:r>
      <w:r>
        <w:rPr>
          <w:rStyle w:val="FootnoteAnchor"/>
          <w:rtl w:val="true"/>
        </w:rPr>
        <w:footnoteReference w:id="1703"/>
      </w:r>
      <w:r>
        <w:rPr>
          <w:rFonts w:ascii="Amiri" w:hAnsi="Amiri" w:eastAsia="Amiri" w:cs="Amiri"/>
          <w:color w:val="111111"/>
          <w:sz w:val="28"/>
          <w:sz w:val="28"/>
          <w:szCs w:val="28"/>
          <w:rtl w:val="true"/>
          <w:lang w:bidi="ar-SA"/>
        </w:rPr>
        <w:t>عمله على القول بجواز تقليده ؛ بناء على صحة عبادات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من تمكّن عن نيّة القربة في العبادات من الملتفتين إلاّ أنّه فرض لم نتحقّق إمكانه ؛ فإنّ الالتفات إلى الخلاف يستلزم الشكّ في صحّة العبادة التي قلّد فيها الأدون ، فكيف يتحقّق الجزم بالقربة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الأعلم من كان أقوى ملكة وأشدّ استنباطا بحسب القواعد المقرّرة ، ونعني به من أجاد في فهم الأخبار مطابقة والتزاما إشارة وتلويحا ، وفي فهم أنواع التعارض وتميّز </w:t>
      </w:r>
      <w:r>
        <w:rPr>
          <w:rStyle w:val="FootnoteAnchor"/>
          <w:rtl w:val="true"/>
        </w:rPr>
        <w:footnoteReference w:id="1704"/>
      </w:r>
      <w:r>
        <w:rPr>
          <w:rFonts w:ascii="Amiri" w:hAnsi="Amiri" w:eastAsia="Amiri" w:cs="Amiri"/>
          <w:color w:val="111111"/>
          <w:sz w:val="28"/>
          <w:sz w:val="28"/>
          <w:szCs w:val="28"/>
          <w:rtl w:val="true"/>
          <w:lang w:bidi="ar-SA"/>
        </w:rPr>
        <w:t xml:space="preserve">بعضها عن بعض ، وفي الجمع بينهما بإعمال القواعد المقرّرة لذلك مراعيا للتقريبات العرفيّة ونكاتها ، وفي تشخيص مظانّ الاصول اللفظية والعمليّة ، وهكذا إلى سائر وجوه الاجتهاد وأمّا أكثر </w:t>
      </w:r>
      <w:r>
        <w:rPr>
          <w:rStyle w:val="FootnoteAnchor"/>
          <w:rtl w:val="true"/>
        </w:rPr>
        <w:footnoteReference w:id="1705"/>
      </w:r>
      <w:r>
        <w:rPr>
          <w:rFonts w:ascii="Amiri" w:hAnsi="Amiri" w:eastAsia="Amiri" w:cs="Amiri"/>
          <w:color w:val="111111"/>
          <w:sz w:val="28"/>
          <w:sz w:val="28"/>
          <w:szCs w:val="28"/>
          <w:rtl w:val="true"/>
          <w:lang w:bidi="ar-SA"/>
        </w:rPr>
        <w:t>الاستنباط وزيادة الاستخراج الفعلي مما لا مدخليّة له</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كتبه العبد الحقير الفقير زين العابدين بن محمّد شريف القزويني في دار الخلافة طهران ، في شهر رجب المرجب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قد يرجى من الناظرين أن يطلبوا المغفرة لباني هذا الكتاب وكاتبيه ووالديهم</w:t>
      </w:r>
      <w:r>
        <w:rPr>
          <w:rFonts w:eastAsia="Amiri" w:cs="Amiri" w:ascii="Amiri" w:hAnsi="Amiri"/>
          <w:color w:val="111111"/>
          <w:sz w:val="28"/>
          <w:szCs w:val="28"/>
          <w:rtl w:val="true"/>
          <w:lang w:bidi="ar-SA"/>
        </w:rPr>
        <w:t xml:space="preserve">. </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8" w:name="pg16264_169985"/>
      <w:bookmarkStart w:id="399" w:name="pg16264_169985"/>
      <w:bookmarkEnd w:id="399"/>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00" w:name="pg16264_169985"/>
      <w:bookmarkStart w:id="401" w:name="__RefHeading___Toc4588784_1280447820"/>
      <w:bookmarkStart w:id="402" w:name="_Toc124"/>
      <w:bookmarkEnd w:id="400"/>
      <w:bookmarkEnd w:id="401"/>
      <w:r>
        <w:rPr>
          <w:rtl w:val="true"/>
        </w:rPr>
        <w:t>الفهرس</w:t>
      </w:r>
      <w:bookmarkEnd w:id="402"/>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الفهرس</w:t>
      </w:r>
    </w:p>
    <w:p>
      <w:pPr>
        <w:pStyle w:val="BookText"/>
        <w:rPr/>
      </w:pPr>
      <w:r>
        <w:rPr>
          <w:rFonts w:ascii="Amiri" w:hAnsi="Amiri" w:eastAsia="Amiri" w:cs="Amiri"/>
          <w:color w:val="111111"/>
          <w:sz w:val="28"/>
          <w:sz w:val="28"/>
          <w:szCs w:val="28"/>
          <w:rtl w:val="true"/>
          <w:lang w:bidi="ar-SA"/>
        </w:rPr>
        <w:t>القول في المفهوم والمنطوق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126</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امور ترتبط بالمقام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المفهوم والمنطوق وصفان منتزعان من المدلول من حيث هو مدلول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المدلول منحصر في المفهوم والمنطوق أو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يدخل المدلولات الثلاث في المنطوق أو المفهوم؟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المنطوق والمفهوم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المنطوق إلى صريح وغيره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مفهوم الجملة الشرطية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ذكر احتجاج القائلين بالمفهوم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احتجاج منكري المفهوم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النزاع في ثبوت المفهوم مختص بموارد الوصايا والأوقاف والأقارير أو يشمل الأعمّ منها؟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تطابق المفهوم والمنطوق في جميع القيود المعتبرة في الكلام والاعتبارات اللاحقة له ، إلاّ في النفي والاثبات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تعدّد الشرط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تعدّد الأسباب واتحاد الجزاء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وجه القول بعدم التداخل والتفصّي عمّا يرد على مقدمات هذا الوجه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فائدتان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تعدّد الفعل في الخارج في التداخل السببي أو المسبّبي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توارد الأسباب الشرعية على مسبّب واحد غير الفعل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مفهوم الوصف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ذكر احتجاج منكري المفهوم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ذكر احتجاج المثبتين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ثبوت المفهوم عدم كون الوصف واردا مورد الغالب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في أخذ المفهوم الأخذ بجميع مجامع الكلام وقيوده سوى النفي والإثبات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ما كان الوصف علّة وبين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مفهوم الغاية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تدخل الغاية في المغيّا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ينتفي الحكم المغيّا بعد حصول الغاية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مفهوم ما يفيد الحصر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مفهوم اللقب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مفهوم العدد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أخذ العدد في متعلق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القول في العموم والخصوص</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238</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حجية العام المخصّص في الباقي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التعويل على العام عند عروض الاشتباه في أفراد المخصّص لو أخذ عنوانا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التعويل على العام عند عروض الاشتباه في أفراد المخصص لو لم يؤخذ عنوانا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تسرية إجمال المخصّص إلى العام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الأخذ بالعام قبل الفحص عن المخصّص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احتجاج القائلين بعدم جواز الأخذ بالعام قبل الفحص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احتجاج المجوّزين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مقدار الفحص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شمول الخطاب للمعدومين على وجه الحقيقة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توضيح المرام بعد رسم امور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العنوان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النزاع عقليّ أو لغويّ؟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الأقوال في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هل تشمل الخطابات القرآنية المعدومين والغائبين؟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بين المعدوم والغائب عن مجلس الخطاب في عدم تحقّق المخاطبة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تترتّب ثمرة عملية على هذه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شرطية اتحاد الصنفين في اشتراك المشافهين وغيرهم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اشتراك كل الامّة في الخطابات الشرعية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تعقّب العام بضمير يرجع إلى بعض أفراده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العام بمفهوم الموافقة وبلحن الخطاب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الكتاب بالخبر الواحد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المخالف لحكم العام قد يكون بيانا له وقد يكون ناسخا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التنبيه على امور مهمّة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القول في المطلق والمقيّد</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291</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المطلق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التقييد يوجب مجازا في المطلق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بين تعلّق الأمر بالطبيعة أو النهي بها في تشخيص مداليل اللفظ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إثبات الشياع والسريان في معنى اللفظ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حمل المطلق على الإطلاق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حمل المطلق على المقيّد وعدمه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استفادة اتحاد التكليف في المطلق والمقيد وتعدّده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تذنيبان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دعوى انصراف المطلق إلى بعض الأفراد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الفرق بين الواجب والمستحبّ في حمل المطلق على المقيّد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المطلق والمقيّد في الأحكام الوضعيّة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تذنيب يشتمل على فوائد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القول في المجمل والمبيّن</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315</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المجمل والمبيّن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تقسيمات المجمل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الإجمال في آية السرقة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التحليل والتحريم المضافين إلى الأعيان يلازم الاجمال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أن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مجمل أم 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تذنيبان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الإشكال في بيان خصوص 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التصرّف في ما لو تعذّر الحمل على نفي الذات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في الأدلّة العقليّة</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427</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الدليل العقلي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حجية الحكم العقلي المبنيّ على القول بالحسن والقبح العقليين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تنقيح البحث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إدراك العقل الحسن والقبح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الملازمة بين حكم العقل وحكم الشرع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المراد من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حكم به العقل حكم به الشرع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أدلّة صاحب الفصول على نفي الملازمة الواقعيّة بين حكم العقل والشرع والتفصّي عنها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بيان أدلّة صاحب الفصول في إثبات الملازمة الظاهريّة وما يرد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الوجوه الدالّة على الملازمة الواقعيّة بين حكمي العقل والشرع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التحقيق في الكلّية القائلة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حكم به الشرع حكم به العقل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الاستدلال بآية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نفي الملازمة والجواب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الحسن والقبح ذاتيّان أو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الأقوال والمختار في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تنبيهان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النزاع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النزاع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أنّ الأصل في الأفعال الاختياريّة عقلا هل هو الإباحة الخطر أو الحظر؟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ينبغي رسم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هذه المسألة ومسألة أنّ الأصل العملي في مقام الشكّ في التكليف هو البراءة أو الاحتياط؟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محلّ النزاع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الأقوال في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حجج المبيحين وما يرد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حجج القائلين بالحظر وما يرد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تحقيق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القول بحجّية أصالة الاباحة موقوف على اعتبار الظن؟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الكلام في اشتراط الحياة في المفتي</w:t>
      </w:r>
    </w:p>
    <w:p>
      <w:pPr>
        <w:pStyle w:val="BookText"/>
        <w:rPr/>
      </w:pP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521</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يشترط الحياة في المفتي؟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احتجاج القائلين بعدم جواز تقليد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احتجاجات المجوّزين وما يرد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التفصيل المنسوب إلى الفاضل التوني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تفصيل الجرجاني في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التفصيل بين الاستدامة والابتداء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احتجاجات القائلين بهذا التفصيل وما يرد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المجتهد ولم يكن في الأحياء من يجوز التعويل على قوله فهل الحجّة قول الميّت أو لا؟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تنبيهان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التقليد من الفقيه الذي عرض له الفسق 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قلّد في مسألة البقاء والعدول مجتهدا فعمل على مقتضاه ثم مات مجتهده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الكلام في اشتراط الأعلمية في المفتي</w:t>
      </w:r>
    </w:p>
    <w:p>
      <w:pPr>
        <w:pStyle w:val="BookText"/>
        <w:rPr/>
      </w:pP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556</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الأخذ بفتوى الفاضل أو يجوز العمل بفتوى المفضول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ينبغي رسم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مقتضى الأدلة الشرعيّة لا في وجوب رجوع العامي إلى الأعلم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الأصل في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احتجاج القائلين بالجواز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احتجاج المانعين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547</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اللازم هو الأخذ بالأورع عند تساويهما في العلم والفضيلة؟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بالأعلم تفصيلا وبالاختلاف إجمالا هل يجب تمييز المسائل المختلف فيها؟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قلّد أحد المجتهدين بواسطة التفاضل ثم تعاكست النسبة بينهما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الترافع إلى المفضول مع وجود الفاضل؟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المقلّد في ما لو اطلع على فتوى الفاضل بالظن المطلق وعلى فتوى المفضول بالعلم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أفتى الأعلم بجواز تقليده فهل للمقلّد الرجوع إلى غيره أو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وجوب تعيين المجتهدين في العمل بقولهم إذا كانوا متوافقين في الفتوى وإن كان بينهم تفاضل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يعتبر في الفحص عن حال العلماء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مسألتان ملحقتان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تقليد الميت وتقليد الأعلم</w:t>
      </w:r>
    </w:p>
    <w:p>
      <w:pPr>
        <w:pStyle w:val="BookText"/>
        <w:rPr/>
      </w:pPr>
      <w:r>
        <w:rPr>
          <w:rFonts w:eastAsia="Times New Roman" w:cs="Times New Roman" w:ascii="Times New Roman" w:hAnsi="Times New Roman"/>
          <w:color w:val="111111"/>
          <w:sz w:val="28"/>
          <w:szCs w:val="28"/>
          <w:lang w:val="en-US" w:bidi="en-US"/>
        </w:rPr>
        <w:t>557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679</w:t>
      </w:r>
    </w:p>
    <w:p>
      <w:pPr>
        <w:pStyle w:val="BookText"/>
        <w:rPr/>
      </w:pPr>
      <w:r>
        <w:rPr>
          <w:rFonts w:ascii="Amiri" w:hAnsi="Amiri" w:eastAsia="Amiri" w:cs="Amiri"/>
          <w:color w:val="111111"/>
          <w:sz w:val="28"/>
          <w:sz w:val="28"/>
          <w:szCs w:val="28"/>
          <w:rtl w:val="true"/>
          <w:lang w:bidi="ar-SA"/>
        </w:rPr>
        <w:t xml:space="preserve">الأقوال في اشتراط الحياة في المفتي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وجوه القول بعدم جواز تقليد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 xml:space="preserve">وجوه القول بجواز تقليد الميّت ومناقشتها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التفصيل بين التقليد الابتدائي والاستمراري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كون ساير شروط الإفتاء أيضا شرطا في الابتداء والاستدامة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من مات مجتهده فقلّد في مسألة البقاء والعدول مجتهدا فمات ذلك المجتهد أيضا </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الاردبيلي في جواز تقليد الميّت مع فقدان الحيّ مطلقا أو في ذلك الافق </w:t>
      </w:r>
      <w:r>
        <w:rPr>
          <w:rFonts w:eastAsia="Amiri" w:cs="Amiri" w:ascii="Amiri" w:hAnsi="Amiri"/>
          <w:color w:val="111111"/>
          <w:sz w:val="28"/>
          <w:szCs w:val="28"/>
          <w:lang w:bidi="ar-SA"/>
        </w:rPr>
        <w:t>637</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الرجوع إلى الفاسق أو الكافر ، أو العامي المسبوق بالاجتهاد عند فقد المستجمع للشرائط </w:t>
      </w:r>
      <w:r>
        <w:rPr>
          <w:rFonts w:eastAsia="Amiri" w:cs="Amiri" w:ascii="Amiri" w:hAnsi="Amiri"/>
          <w:color w:val="111111"/>
          <w:sz w:val="28"/>
          <w:szCs w:val="28"/>
          <w:lang w:bidi="ar-SA"/>
        </w:rPr>
        <w:t>639</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الأحياء في العلم والفضيلة فهل يتعيّن تقليد الأفضل؟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639</w:t>
      </w:r>
    </w:p>
    <w:p>
      <w:pPr>
        <w:pStyle w:val="BookText"/>
        <w:rPr/>
      </w:pPr>
      <w:r>
        <w:rPr>
          <w:rFonts w:ascii="Amiri" w:hAnsi="Amiri" w:eastAsia="Amiri" w:cs="Amiri"/>
          <w:color w:val="111111"/>
          <w:sz w:val="28"/>
          <w:sz w:val="28"/>
          <w:szCs w:val="28"/>
          <w:rtl w:val="true"/>
          <w:lang w:bidi="ar-SA"/>
        </w:rPr>
        <w:t xml:space="preserve">تقرير الاصل في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p>
    <w:p>
      <w:pPr>
        <w:pStyle w:val="BookText"/>
        <w:rPr/>
      </w:pPr>
      <w:r>
        <w:rPr>
          <w:rFonts w:ascii="Amiri" w:hAnsi="Amiri" w:eastAsia="Amiri" w:cs="Amiri"/>
          <w:color w:val="111111"/>
          <w:sz w:val="28"/>
          <w:sz w:val="28"/>
          <w:szCs w:val="28"/>
          <w:rtl w:val="true"/>
          <w:lang w:bidi="ar-SA"/>
        </w:rPr>
        <w:t xml:space="preserve">وجوه القائلين بالتخيير بين تقليد الفاضل والمفضول والكلام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p>
    <w:p>
      <w:pPr>
        <w:pStyle w:val="BookText"/>
        <w:rPr/>
      </w:pPr>
      <w:r>
        <w:rPr>
          <w:rFonts w:ascii="Amiri" w:hAnsi="Amiri" w:eastAsia="Amiri" w:cs="Amiri"/>
          <w:color w:val="111111"/>
          <w:sz w:val="28"/>
          <w:sz w:val="28"/>
          <w:szCs w:val="28"/>
          <w:rtl w:val="true"/>
          <w:lang w:bidi="ar-SA"/>
        </w:rPr>
        <w:t xml:space="preserve">وجوه القول بوجوب تقليد الأفضل وهو المختار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مختصر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مختصر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عنه وعمّا قبله في إشارات الاصول ، الورقة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ثبوت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التفتازاني المطبوع مع شرح العضدي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وإشارات الاصول ، الورقة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المحقّق النراقي في المناهج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البيضاوي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مختصر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والمناسب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عن مفهوم اللقب فبأنّ الموضوع في المفهوم 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ليس مذكورا وإن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مذكورا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اصول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يتصوّر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إشارات الاصول ، الورقة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مختصر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29615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الأبواب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مستعملة في التسوية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39976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بطريق أولى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ونقلا عن التفتازاني أيضا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عدم تنافي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أفرادها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إذ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عرفت في المورد الثاني</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بعينه ، نعم في القوانين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يفيد هذا المعنى</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 الأحاديث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مناهج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ومفاتيح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وأزيد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معنى قول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الأوّل ، والوسائل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إشارات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الذريعة إنكار مفهوم العدد ، انظر 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نعثر على الحاكي</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بالتقيّد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 البياض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نظره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المختلفة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ومناهج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ويرد على الأوّل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دلالتهما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الصفة والشرط</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التخصيص</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انتفاء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ضوابط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الوحيد البهبهاني في حاشية المدارك كما نقله عنه في 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حاشية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قول الشارح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لفقد الشرط</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 الأحاديث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مفهوم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اللام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غالبا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الاعتبار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بعينه ، نعم يوجد ما يدلّ عليه ، راجع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بعينه أيضا ، ويدلّ عليه ما في المصدر المتقدم ، الحديث الأوّل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الثالثة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في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نسبه في 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إليهما وإلى أكثر المتأخّرين ، ومنهم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في الذكرى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عن جماعة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والمناسب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الكلام في الضمائر الآتية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بعينه ، ولعلّه يدلّ عليه ما في 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والعناوين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ينتزع عمّا جعله الشارع سببا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وينتزع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الواو</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وجه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المحقّق النراقي في العوائد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وجودات خاصّة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السيّد الطباطبائي بحر العلوم في فوائده المطبوعة بالطبعة الحجريّة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بمنع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السبب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المصدر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تمّ كلام شارح المقاصد ، راجع شرح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التفتازاني في شرح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الفصول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السبب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المصدر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يقتضي الكاشفيّة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أولهما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موضوع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التأكيد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صاحب هداية المسترشدين كما سيجيء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العائدة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من بعض الأعلام هو صاحب هداية المسترشدين ، كما عبّر عنه في الصفحة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 ولكن لم نعثر على العبارة بعينها في الهداية ، نعم يوجد ما يفيد ذلك ، راجع هداية المسترشدين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المحقّق النراقي المتقدّم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يثمر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الفعل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 الحديث الأوّل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الاصوليّة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اصول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صاحب 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مناهج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صاحب 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بالعدد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تخريج أحاديث اللمع في اصول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أصحابنا 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نفيها عمّا عداها في جميع الأجناس</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والمفاتيح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مناهج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بعض مشايخه المحقّق الكلباسي في إشارات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المحقّق الكلباسي في الإشارات ، الورقة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النراقي في مناهج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والآمدي في الإحكام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 به صاحب الفصول في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النراقي في المناهج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يقتضي ثبوته في الوصف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بالوصف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النافي</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اعترض عليه السيّد المجاهد في المفاتيح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النراقي في المناهج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على تفصيل ذلك ، راجع الإحكام إلى اصول الأحكام للآمدي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روح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 وروح المعاني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 ومجمع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الآية أيضا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فالنكتة في الذكر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السيّد المجاهد في 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التلويح على التوضيح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 النراقي في المناهج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القائل ، وقال السيّد المجاهد في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والقول بالدخول مطلقا شاذّ لا يعرف قائله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ابن هشام في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شهاب الدين القرافي</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في إشارات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المبرّد ، ومثله في 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الأدوات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صاحب الفصول</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ثبوتها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صاحب الفصول في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الكلباسي في الإشارات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الآمدي في الإحكام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القمّي في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المستصفى من علم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ونهاية الوصول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مختصر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 الصواب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بقيّة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مختصر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 في شرح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والبهجة المرضيّة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المستصفى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والبهجة المرضيّة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محمولي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 الكلباسي في إشارات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 وراجع شرح الأنموذج من كتاب جامع المقدمات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التلويح على التوضيح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هو الكلباسي صاحب إشارات الاصول ، فراجع</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الآمدي في الإحكام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النراقي في المناهج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لما احتجّوا به ولما حكي عن الأزهري ، 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وإشارات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الطريحي في 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المحقّق الكلباسي في الإشارات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 ، الحديث الأوّل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ثابت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حيث نقله عن الچلبي في حاشية المطوّل</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المبتدأ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الفاضل النراقي في المناهج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كذلك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المطوّل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حيث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الاعتبارين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البهجة المرضيّة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أشباههما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محتمل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حينئذ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أيّ حال ، العبارة لا تخلو عن إشكال</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اليهما المحقّق الكلباسي في الإشارات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الإحكام في اصول الأحكام للآمدي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الإحكام في اصول الأحكام للآمدي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مختصر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ادّعاه المحقّق الكلباسي في الإشارات ، الورقة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المحقّق النراقي في المناهج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حجة مطلقا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اصول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المحقّق الكلباسي في الإشارات إلى بعض الأواخر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أجاب بذلك السيّد المجاهد في المفاتيح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الإحكام في أصول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والمختصر وشرحه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الآمدي في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المختصر وشرحه للعضدي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الحاجب ، انظر المختصر وشرحه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الفرائد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حدّ المرتدّ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عند عدم العلم باستنادها إلى العلل الواقعيّة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كلمة غير واضحة 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أوّلا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 في زيارة عاشوراء ، انظر البحار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وضوابط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بعد الفحص التام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لموجب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والعبارة على كلا التقديرين مشكلة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المحقّق القمّي في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الفصول في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والكلباسي في الإشارات ، الورقة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والقزويني في ضوابط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ادّعاه الكلباسي في الإشارات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به المحقّق القمّي في القوانين ، ومثله صاحب الفصول والضوابط</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وهو وجوب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اختيار الحجّية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تقرير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يوجبه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فكما إذا قامت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مختلّة غير واضحة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والمناهج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يجب في الاستدلال بالعام استقصاء البحث في طلب المخصص</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منية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النراقي والسيّد المجاهد في المناهج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والمفاتيح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حاشيته على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حاشيته المطبوعة في هامش المعالم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الوافية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المناهج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مذهب أبي حنيفة والكرخي</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ممّن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غيره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بعينه ، نعم قال الكلباسي في الإشارات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الفحص في المضيّق قبل الحكم ، ونقل مثله السيّد المجاهد في المفاتيح عن جدّه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المناهج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عدم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المناهج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صاحب الفصول في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كلّ شيء لك حلال حتّى تعلم أنّه 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والأشياء كلّها على هذا حتّى يستبين لك غير هذا ، 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قصد بذلك الروايات العلاجية ، انظر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 الحديث الأول</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تشخيص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أنّ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التخصيص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فيهما زائدة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 يكون مشافها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عنهم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يقل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النسختين ، والعبارة لا تخلو من تشويش</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الآمدي في الإحكام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المحقّق النراقي في المناهج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حاشيته المطبوعة ضمن جمع الجوامع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السيّد المجاهد في المفاتيح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جماعة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المحقّق الشيرواني في حاشيته على المعالم ، وسيجيء كلامه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الشيرواني المطبوعة في هامش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عنه السيّد المجاهد في المفاتيح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المحقّق الشيرواني ، انظر حاشيته المطبوعة في المعالم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عنه في المفاتيح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المحقّق النراقي في المناهج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انتهى كلام النراقي مع إضافات لم ترد في المناهج الموجودة عندنا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المحقّق النراقي في المناهج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الفاضل المذكور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الاستدلال أيضا من الفاضل المذكور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الفاضل المذكور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صفة العلم وفضله وفضل العلماء</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الآمدي في الإحكام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الفصول في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الإحكام للآمدي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السيّد المجاهد في المفاتيح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حاشية المعالم المطبوعة في هامشه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المعارض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المخاطب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إشارات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به هو الكلباسي صاحب إشارات الاصول ، انظر 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النراقي في المناهج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والقزويني في ضوابط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الكلباسي في الإشارات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إشارات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المختصر وشرحه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والمناهج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الوجه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المناهج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أن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الامتناع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جعلناه بين المعقوفتين غير ملائم لنظم الكلام ، وقوله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النزاع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خبر لقوله قبله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وصريح عنوان بعضهم </w:t>
      </w:r>
      <w:r>
        <w:rPr>
          <w:rFonts w:eastAsia="IRNazanin" w:cs="IRNazanin"/>
          <w:b w:val="false"/>
          <w:bCs w:val="false"/>
          <w:i w:val="false"/>
          <w:iCs w:val="false"/>
          <w:color w:val="333333"/>
          <w:sz w:val="20"/>
          <w:szCs w:val="20"/>
          <w:rtl w:val="true"/>
        </w:rPr>
        <w:t>...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كاشف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المناهج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والده في الأنيس</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أيضا في المناهج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التجريد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المناهج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القائل</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المراتب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المناهج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أيّ حال فالعبارة مختلّة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هو السيّد الصدر في شرح 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قد عرفت أنّ بعد تسليم جواز الاستعمال لا ثمرة للاصولي</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بل ولا يبعد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 ل</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القبيح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فعلى الأوّل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صورة الشكّ في الاختلاف والوفاق</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 فقد تقدّم التنبيه الثاني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بدعوى القطع</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القيد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التقيد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والصواب ما أثبتناه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الأوّل من أبواب نواقض الوضوء ، الحديث الأوّل</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والصواب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أعتق رقبة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هلكت وأهلكت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 السائل ، راجع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الفوائد المدنية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تهذيب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القمي في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والكلباسي في الإشارات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العيون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عنهما المحقّق القمّي في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النراقي في المناهج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الظاهر من المدارك في بحث اعتداد الرجل بأذان المرأة وفي بحث الصلاة في الحرير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العبارة أنّ الناسب هو صاحب المدارك ، ولم نعثر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في المناهج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ويظهر فيه أنّه المشهور ، ونسبه هو إلى الأكثر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ونحوه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فيما بأيدينا من كتبه ولا على من نسب إليه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مع شرحه للعضدي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والعميدي في شرحه على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وإمام الحرمين والبصري ، انظر المختصر وشرحه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كالسيّد في 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في معارج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المعالم في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والنراقي في المناهج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المعالم في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السلطان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قول الماتن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فالتعارض إنّما هو بين التخصيص والمجاز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ولعلّ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يتبعه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اللفظ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السيّد المجاهد في المناهل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سلطان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قول الماتن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التحقيق أن أغلب صور المفهوم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تهذيب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ونهاية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المعالم في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القمي في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والمناهج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كلامه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الجواز مطلقا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عيسى بن أبان كما في المناهج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ومفاتيح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 في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والمناهج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المحقّق القمّي في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انتهى التوجيه ، والموجّه هو المحقّق النراقي في المناهج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وغيره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بدّ من حمل تلك الأخبار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ونسبه إليه المحقق الشيرواني في الحاشية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القمي في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وسلطان العلماء في حاشيته على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والنراقي في المناهج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المختصر للحاجبي وشرحه للعضدي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المستدل هو صاحب المعالم في حاشيته عليه كما نسب ذلك إليه أيضا في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وحاشية الشيرواني المطبوعة مع المعالم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المحقق في 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الشيخ ، راجع 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في هامش القوانين إلى السلطان ولكن لم نقف عليه في حاشيته على المعالم والموجود فيها عكس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يطبع بحث التعارض للمؤلف في كتاب مطارح الأنظار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صاحب الفصول قدس‌سره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نقلنا في المقام إنّما هو من نسخة لاحظها نفسه ، وإلاّ ففي بعض النسخ ما لا يليق انتسابه به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المعالم في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الفصول في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والعضدي في شرحه على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ونسبه في ضوابط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المشهور ، وفي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أكثر الأصوليّين</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يحتملها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 تحته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بفرد واحد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المعيّن خاصّة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دلالتها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أنّه مصحّف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يجدي</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عدم تجاوزه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وبعبارة ظاهرة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لما ذكره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الأصفهاني في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المذكّر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ولعلّها بحاجة إلى 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العاقل</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أنّ ذلك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وبالجملة فاعلم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الفرد الشائع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تعرف فساد ما توهّمه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هنا لم يرد في ش</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نهاية الوصول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والذكرى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اللفظ الدالّ على الماهيّة لا بقيد ، وتمهيد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سلطان المحقّقين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لما صرّح به حاشيته المطبوعة في هامش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قول الماتن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فلأنّه جمع بين الدليلين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المحقّق القمي في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إلى هذا التفصيل القزويني في ضوابط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التقييد بالعدم</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لرجوع الضمير إلى الماهيّة ، وإلاّ فلا معنى للعبارة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بنفسه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 يوجب التقييد فيه مجازا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حاشية السلطان المطبوعة في هامش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قول الماتن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فلأنّه جمع بين الدليلين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في الألفاظ ، والعبارة مأخوذة من القوانين ، راجع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صاحب الفصول في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ظهر مع ذلك من بعض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سائر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الانتفاء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سائر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مورد آخر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والمطبوع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البعض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بالمطلق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ضوابط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قيده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المفروض كونها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التي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دفعا للمناقضة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مصلحة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ضوابط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والمطبوع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هو ذلك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كون المتكلّم في مقام بيان تمام المراد ، 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مشوّشة وقاصرة عن إفادة المراد جدّا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انتفاء ما يوجب التقييد داخلا أو خارجا ، 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والمطبوع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الخطوري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خطور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أصالة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التقييد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فاعتماد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في ضوابط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مفاتيح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والمطبوع</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مسائل 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بالأفراد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والمطبوع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جهة ولم يرد فيها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ومنها نقدوا على الشيخ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الصيد والذبائح ، وراجع لما أوردوه عليه ، المسالك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والجواهر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والمستند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فيما بأيدينا من المجاميع الحديثية ، نعم ورد في موثّق عمّار نزح سبعين دلوا لموت الإنسان في البئر ، 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فجميع الصور المذكورة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يقتضي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قتلت</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السيّد المجاهد في المفاتيح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نهاية المأمول</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السيّد المجاهد في المفاتيح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الشافعي وغيره ، وراجع شرح مختصر الأصول للعضدي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منية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وحكى عنه السيّد المجاهد في المفاتيح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البهبهاني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نعرف خلافا في حمل المطلق على المقيد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مختصر الاصول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مختصر الاصول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الزبدة ولا في حواشيه ، نعم حكى في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حواشي الزبدة ما يدل عليه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نفي الوجوب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قائله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بعضهم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المطبوع</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للإطلاق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 يقع فيه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المزاحمة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مسمّى اللفظ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الإطلاق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بالمعسور</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الترتّب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التقييد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التذنيب الثاني</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خمسة جمّة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إذا ورد في حيّز الإباحة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خبر الإباحة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صحّة ما أثبتناه من المطبوس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هو أيضا قاصرا عن إفادة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والمقصود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فرض صحّة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إذا ورد أمر في خبر بزيارة الإمام عليه‌السلام وفي آخر بزيارته يوم 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ورد في خبر أمر بزيارة الحسين عليه‌السلام وفي آخر بزيارة الإمام عليه‌السلام</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كافرة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السيّد المجاهد في المفاتيح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نهاية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نهاية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وإشارات الاصول الورقة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بأن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كما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مختصر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الكافرة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فيما يأتي من المثالين</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والمطبوع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النفي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هداية في ذكر احتجاج المفصل بين العرف والعقل</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بيع العربي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 والعبارة غير تامّة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المحمولات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فينصرف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بشرط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والصواب ما أثبتناه</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كالتستر للصلاة وجعل للمقيّد شرط آخر كالتستّر </w:t>
      </w:r>
      <w:r>
        <w:rPr>
          <w:rFonts w:eastAsia="IRNazanin" w:cs="IRNazanin"/>
          <w:b w:val="false"/>
          <w:bCs w:val="false"/>
          <w:i w:val="false"/>
          <w:iCs w:val="false"/>
          <w:color w:val="333333"/>
          <w:sz w:val="20"/>
          <w:szCs w:val="20"/>
          <w:rtl w:val="true"/>
        </w:rPr>
        <w:t>...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الشياع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لما خارج عنه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تباينهما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إثباتهما</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فلله الحمد تمّه بالخير والسعادة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والحمد لله باطنا وظاهرا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والإحكام للآمدي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والمختصر وشرحه للعضدي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المعالم في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والعضدي في شرحه على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والكلباسي من الإشارات ، الورقة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أيضا</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المعهودة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والمطبوع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محاسن المجاز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ضوابط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المناهج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وفيهما تقسيمه إلى قول وفعل</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 الآتية وما بعدها</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والمطبوع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لها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المجمل المفرد</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 بين اسمي الفاعل والمفعول بعد الإعلال</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في الكتب أنّه قول سبط ابن الجوزي ، راجع رياض الجنة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جزئه الخاصّ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هي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بظهور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مصحّحة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النسخ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لو لا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التنصيف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المطبوع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المتّصف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والمطبوع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المخصوص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مثبتا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والمطبوع</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على ما يراد أنّه منزلة الواقع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الشيخ في العدّة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والآمدي في الإحكام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والعضدي في الشرح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في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الأكثر ، ومثله في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واختاره صاحب المعالم ، وهو مختار الشيخ في العدّة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والمطبوع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أنّ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الملابسة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فعند تعذّره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ممّا ذكرنا يظهر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بين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باحلّ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والمطبوع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بين العين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الأوّل من أبواب الوضوء ، الحديث الأوّل</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كقوله عليه‌السلام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الصغيرة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والمطبوع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الصفة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المعالم في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القمي في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والغروي في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والعضدي في الشرح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 الحديث الأوّل</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يضادّ</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والكلمة مصحّفة قطعا ، ولعلّها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المضرّة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تعاد الصلاة إلاّ من 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أفعال الصلاة ،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 الحديث الأوّل</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والإحكام للآمدي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ونهاية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إقرار لمن أقرّ بالزنا مرة واحدة</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 بعينه في الجوامع الحديثية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العاشر ،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للفاسق غيبة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القراءة ،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والمطبوع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أداة النهي استعمالها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 يحتمل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والمطبوع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 الحديث الأوّل</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 الحديث الأوّل ، ولفظ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مسجده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مع اتّحاد حكم اللغوي بصرف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لدعوى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لعدم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الوضوء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المدينة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نهاية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تحديد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الإحكام للآمدي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الذكرى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عنها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المعهودة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بحكم العقل في حرمة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اتّفاقا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مجرّد الاستنتاج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فصحّ التعريف والتقسيم وما أفاده بأجمعها ، كما لا يخفى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هداية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الشرعيّة العقليّة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ينتهي إلى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نطيل بإعادته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لدينا كتابه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المتدبّر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شرح مختصر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بداية مبحث مبادئ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شرح مختصر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بداية مبحث مبادئ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 فيه هذا القول إلى المذهب</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لدينا</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المطبوع مع شرحه للسيد الشريف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للقوشجي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شرح مختصر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بداية مبحث مبادئ الأحكام</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 ما مرّ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لدينا</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ممّا لا ينبغي أن ينكر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أدلّة الطرفين الواردة على النفي والإثبات فتقضي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فأدلّة المثبتين من لزوم إفحام الأنبياء وعدم وجوب معرفة اللّه لولاه تقضي بما ذكرناه ، لأنّ مجرّد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أدلّة النافين كآية التعذيب فدلالتها على أنّ المراد بالحسن والقبح ما يلازم الثواب والعقاب صريحة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المختصر وشرحه للعضدي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الإحكام للآمدي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النبوّة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توجد هنا اختلافات في النسخ ، وقد أثبتنا ما في المخطوط ، ولم نتعرض للاختلافات ؛ لعدم الفائدة</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بعد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على تركه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 ما كإخباره بذلك</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ما يلي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يعني أنّ ما حكاه صاحب جمع الجوامع عن المعتزلة من إدراك العقل الثواب والعقاب هو المشهور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والعقاب يتوقّف على الشرع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ثاني النزاعين ، وقد تقدّم أوّلهما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 ما حكم عليه العقل بحكم مطابق للواقع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أردت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للسيّد الصدر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فيمكن أن تكون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شرح مختصر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بداية بحث مبادئ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ونقلها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وتوضيحه وتحقيقه أنّ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الفعليّة فيه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يذهبه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لا يخفى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سترة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المختصر وشرحه للعضدي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المواقف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زائدتان ظاهرا</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الشرعي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حكم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خالفهم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القوشجي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المشهور ، وفي الكفاية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المعروف بين الأصحاب</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وجوه النظر فيما أفاده السيّد ، 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المستقلاّت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بعينه ، انظر العدّة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فصول النسخ</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السادس ، المقصد الرابع ، القانون الأوّل</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حكم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مرّ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وتطابقهما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 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حكمه عن حكم</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ادّعاه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على شرح مختصر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مباحث مبادئ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محصّل المعنى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دفعه في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لا يخفى على المتدبّر فيهما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التكاليف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لم يأمر به أو أمر بالثاني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قلنا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الوجوه التي استند إليها صاحب الفصول</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الفعلي</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الفعلي</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الصوارم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والصراط المستقيم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الوجوه التي استند إليها صاحب الفصول</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شطب على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تناقض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ملازمة</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بصدده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مشوّشة جدّا</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المنقذ من التقليد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وإن كان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الوجوه التي استند إليها صاحب الفصول</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قطعا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السواك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 الحديث الأوّل ، 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 الحديث الأوّل 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 الحديث الأول و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في الصفحة السابقة</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أسند</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التفويض إلى رسول اللّه وإلى الأئمة صلوات اللّه عليهم</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اتّصافه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المتصارف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التصارف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بإحضار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الوجوه التي استند إليها صاحب الفصول</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ما تخيّله من أنّ كثيرا من الأحكام فيما يراه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انتزاع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يجدي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الوجوه التي استند إليها صاحب الفصول</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لحسن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عدم ارتباط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أورده القوشجي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بما قبله ، ولذا أفرزناه عنه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المقطور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سقوط بعض الكلمات ، والكلمات الآتية أيضا لا تخلو عن تشويش</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التجريد للقوشجي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المكلّف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ضوابط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القوشجي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عليها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تحصيل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كونها علّة تامّة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بحكمه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حينئذ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الغير الشرعيّة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إلاّ أنّه ليس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الآثار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يرتّبون</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قلنا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الشرعي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فإنّه أصل مثبت ولا ثبات له عندنا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داء يموت أو يفسد به العضو ، أصله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سفاكلوس ، لغة يونانيّة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12644</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عنوان آخر يعارض قبحه حسنه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نبّهنا عليه في بعض المباحث السابقة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وجدان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بالتدبّر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مختصر الاصول في أول مبحث مبادئ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نسب ذلك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المذهب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ترتّب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الإحكام للآمدي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والمختصر وشرحه للعضدي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ومناهج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الفاضل التوني في 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ومن السنّة ، عطف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الأوّل</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 وفيه حديث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يسير</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نفس الإرادة مساواة الفعل بالنسبة إليها أيضا</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المعنى الثاني لقاعدة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حكم به الشرع حكم به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الرسالة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عن أبي عبد اللّه عليه‌السلام</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ومناهج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يقضي بعدم</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الثاني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الحتمي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عرّفه المعتزلة حسب ما نقل عنهم العلاّمة في نهاية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وعرّفه شيخنا البهائي في الزبدة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بأنّه ما يستحق تاركه لا إلى بدل ذمّا</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لا يخفى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ليس على ما ينبغي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 ذكر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إفادة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ونحوه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يحصل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طرفة 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إلاّ للمتخلين عن جلباب البشريّة والمتخلّقين بأخلاق الربوبيّة ، وهم لا يعصون اللّه فيما أمرهم ويفعلون ما يؤمرون به ولو لم يجزهم بالجنة ويعذّبهم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فالعالم بالعفو ممّن له رتبة عالية لا يغترّ بذلك ، والمغترّ لا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والاستناد إلى ما لا يفيد العلم ولا الظنّ في الاغترار إنّما هو كمن يغترّ على اللّه تعالى بلا احتمال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فهنا إنّما يشبه بما أفاده الشيخ في كفاية التقليد في الاعتقادات للعوام بعد ما أورد على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القول به إنّما يوجب اغترار العوّام وعدم الفحص والاجتهاد في العقائد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فأجاب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العلم بالكفاية لا يحصل إلاّ لمن جاس خلال الديار في تحصيل المطالب والأنظار ، وهو مجتهد قطعا فلا غرو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لا يعلم بالكفاية فلا بدّ له من الاجتهاد فلا اغترار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عدّة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وعلى مثل هذا الجواب قد بنينا في دفع الإشكال الوارد على العفو في ثلاثة أيّام في ربيع الأعياد والغدير ونحوه ؛ فتدبّر</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الثالث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التهذيب ولا في غيره ، نعم هو موجود في شرح التهذيب للعميدي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بعدم استقامته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عبارة الفصول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ولهذا يصحّ عقلا أن يقول المولى الحكيم لعبده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تعوّل في معرفة أوامري على ما تقطع به من قبل عقلك أو يؤدّي إليه حدسك ، بل اقتصر في ذلك على ما يصل منّي إليك بطريق المشافهة أو المراسلة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هذا الباب ما أفتى بعض المحقّقين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القطّاع الذي يكثر قطعه من جهة أمارات لا توجبه يرجع عادة إلى المتعارف ولا يعوّل على قطعه الخارج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العقل قد يستقلّ في بعض الموارد بعدم ورود منع شرعي ، وقد لا يستقلّ ولكن يبني على التعويل عليه في الظاهر ما لم يثبت 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والاحتجاج بالآية على تقدير دلالتها إنّما يقتضي منع حجّية القسم الثاني</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وبمكان من الواقع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إثبات الآثار وترتيبها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لا مدخلية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بالبولية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النجاسة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سلب الواقع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صاحب الفصول كما مرّ</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بعد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ممّا لا يصغى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الرابع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القمي في 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والنراقي في المناهج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الخامس</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فيه ذكر الصحيفة والجفر والجامعة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فإنّه ربما يمنع من الإيصال إلى جميع الأشخاص مانع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ولتحقيق المقام محلّ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وتزييفها فتدبّر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يشعر بذلك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الأوّل ، والتوحيد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أنّ الأرض لا تخلو من حجّة</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الشريفة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كُنَّا مُعَذِّبِينَ حَتَّى نَبْعَثَ رَسُولاً </w:t>
      </w:r>
      <w:r>
        <w:rPr>
          <w:rFonts w:eastAsia="IRNazanin" w:cs="IRNazanin"/>
          <w:b w:val="false"/>
          <w:bCs w:val="false"/>
          <w:i w:val="false"/>
          <w:iCs w:val="false"/>
          <w:color w:val="333333"/>
          <w:sz w:val="20"/>
          <w:szCs w:val="20"/>
          <w:rtl w:val="true"/>
        </w:rPr>
        <w:t>) .</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ومناهج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قبيل الإحسان الذي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ذلك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الواجبة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في شرح الوافية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أوائل بحث الأدلة العقلية ذيل قول الماتن ،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عليه الأصحاب والمعتزلة</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بدلها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اللطف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التعليل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هامشها ما يلي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مثّلوا له بمن أراد الضيافة بشخص فلا بدّ له </w:t>
      </w:r>
      <w:r>
        <w:rPr>
          <w:rFonts w:eastAsia="IRNazanin" w:cs="IRNazanin"/>
          <w:b w:val="false"/>
          <w:bCs w:val="false"/>
          <w:i w:val="false"/>
          <w:iCs w:val="false"/>
          <w:color w:val="333333"/>
          <w:sz w:val="20"/>
          <w:szCs w:val="20"/>
          <w:rtl w:val="true"/>
        </w:rPr>
        <w:t>... ».</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يراد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هداية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المحقّق النراقي في المناهج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ظاهر السيّد الداماد في السبع الشداد ، انظر السبع الشداد المطبوع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اثنى عشر رسالة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في 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قدماء المعتزلة ، وانظر المستصفى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والإحكام للآمدي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ونسبه في شرح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المعتزلة والكراميّة والبراهمة</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والمناهج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الإحكام للآمدي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بأنّهما ذاتيّان</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جماعة أخرى من المعتزلة ، انظر الإحكام للآمدي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والمختصر وشرحه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التجريد للقوشجي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وفواتح الرحموت المطبوع ضمن المستصفى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 الجزئيّة أيضا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نفس</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في فواتح الرحموت المطبوع ضمن المستصفى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قوم من المعتزلة ، وانظر الإحكام للآمدي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العضدي في شرح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اللازمة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الجبائيّة كما في المختصر وشرحه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وفواتح الرحموت المطبوع ضمن المستصفى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التعذيب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الإهانة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التعذيب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الإهانة</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ولهذا تراهم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وجماعة من متكلّمي الإمامية كما لا يخفى على المتتبّع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مؤثّرا في قبحه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هذا الوجه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لعلّ منشأ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وفيه أنّ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فحينئذ إنّما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بالأمر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هداية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 الحديث الأوّل والثاني</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مختار الشيخ في العدّة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ونسبه فيه إلى شيخه المفيد قدس‌سره ، وانظر معارج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ومناهج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به السيّد في 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لأدائها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موضع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ضعيفة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كلّها غير وجيهة فلا نطيل بذكرها وتزييفها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أوّلها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بجواز الارتكاب فيهما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كونها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أيضا فيها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لكراهة عقليّة أو حرمة كما لا يخفى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 لا فيه الأمارتين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لا يخفى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الأجلّة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تميّز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بالاستقلال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وشرحه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لوحظ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الوجوه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منية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لا يخفى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المراد منهما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يلحقان بالأفعال</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وإن كان موضوع موضع الجهل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لا يخفى على المتأمّل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اللاحقين بالأفعال</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ثانيها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المرتضى في 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العدّة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أكثر المتكلمين من البصريين وفي المناهج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كثير من الامامية</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كثير من البغداديين وطائفة من أصحاب الامامية إلى انها على الحظر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نسب إليه في المناهج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واختاره الشيخان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مختصر كتاب اصول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في المناهج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الرازي</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فسّر به النراقي في المناهج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المختصر وشرحه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شرح مختصر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قول العضدي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حكم لأفعال العقلاء قبل الشرع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كلامه ، فتدبّر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عن ذلك علوّا كبيرا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 يمكن القول به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لقضاء ضرورة العقل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القمّي في 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وجودها ، وكذا في الموارد الآتية</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ما يلي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قد يمكن الاستشعار من قولهم أصحاب السوداء ، على ما لا يخفى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السوالف ، جمع السالفة ، لغة عاميّة يقصد بها القصص وأمثالها</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ما يلي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هو مشهود من ملاحظة حالهم في أمور معاشهم ، مثلا لو فرضنا نزول بليّة مساوية النسبة في الكلّ فالنفس تحتال في إخراجها منها لا على وجه يكون مردّدا في الواقع ، بل في تحصيل الظنّ بالخروج ، كما لا يخفى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احتجّ بها المحقّق القمّي في 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والمختصر وشرحه للعضدي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 لا يستلزم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 لم يستلزم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وإنّما غاية ما يمكن القول به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طريق العلم بهم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المناهج السوية في شرح الروضة البهية ، ولكن لم نعثر عليه بعد الفحص التام في المواضع المناسبة</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حكاه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الفاضل الهندي</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قبح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أقوى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القواعد والفوائد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القاعدة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ترتّب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المفسدة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 نعم اعترف بالعمل بالظن عند تعذّر العلم ، كما حكى عنه الشيخ في الفرائد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المختلف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آية اللّه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الجهاد ،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ألف ضربة </w:t>
      </w:r>
      <w:r>
        <w:rPr>
          <w:rFonts w:eastAsia="IRNazanin" w:cs="IRNazanin"/>
          <w:b w:val="false"/>
          <w:bCs w:val="false"/>
          <w:i w:val="false"/>
          <w:iCs w:val="false"/>
          <w:color w:val="333333"/>
          <w:sz w:val="20"/>
          <w:szCs w:val="20"/>
          <w:rtl w:val="true"/>
        </w:rPr>
        <w:t>... ».</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ممّا لا يخفى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إرادة لمصلحة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 تشريع منه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والحكم الشرعي المطابق لحكم العقل أيضا هو حكم إرشادي أو حكم تشريعي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يتوهّم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حكم العقل في أمثال المقام وكذا حكم الشرع حكم تشريعيّ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على ما توهّمه ؛ لأنّ المراد بالإرشاد في الأوامر والنواهي المسوقة لبيانه ليص</w:t>
      </w:r>
      <w:r>
        <w:rPr>
          <w:rFonts w:eastAsia="IRNazanin" w:cs="IRNazanin"/>
          <w:b w:val="false"/>
          <w:bCs w:val="false"/>
          <w:i w:val="false"/>
          <w:iCs w:val="false"/>
          <w:color w:val="333333"/>
          <w:sz w:val="20"/>
          <w:szCs w:val="20"/>
          <w:rtl w:val="true"/>
        </w:rPr>
        <w:t>. .. ».</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للإيجاب أو الاستحباب أو التحريم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لا يخفى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بالنسبة </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لسائر الأوامر الشرعيّة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أَقِيمُوا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من التكاليف</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فلا يصلح لأن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وأمّا العقلي فيهما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تقرّر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مطاوي كلماتهم ومجاري استدلالاتهم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خبر الواحد بناء على كونه من الظنّ الخاصّ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لا يخفى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تفصيل المسألة في 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والسلام على من اتّبع الهدى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زيادة ما يلي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لدينا</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النجاة المطبوع ضمن الأصول الأصيلة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المفتاح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عدم اشتراط الحياة</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السيّد الصدر في شرح الوافية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السيّد الصدر في شرح الوافية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الإحكام للآمدي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بعض رسائله ، ولا توجد لدينا كما قاله القمي أيضا في شرح الوافية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الألفية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الكركي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الشهيد الثاني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منية المريد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شارع النجاة ، المطبوع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اثني عشر رسالة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التقليد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الانصاري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الفخر المحقق الثاني في حاشية الشرائع الورقة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ومناهج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الرسائل الفقهية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الرسائل الفقهية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المحقق الكلباسي في الجزء الثاني من إشارات الأصول ، لا يوجد لدينا</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 ولا نعرف القصد من ذلك</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الشهيد الثاني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القول بالجواز المنقول عن العامة ، حيث نسبه إلى الأكثر في المنية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العلية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منه الشهيد الثاني في كلامه المحكي عن الرسالة كما تقدم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 الورقة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المطبوع ما 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مبنيّ على القول بتحقّق الإجماع المركّب على هذه الطريقة بمجرّد انحصار القول في الموجودين ، منه رحمه‌اللّه</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المراد في شرح تجريد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المنظومة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وَاللّهُ أَخْرَجَكُمْ مِنْ بُطُونِ أُمَّهاتِكُمْ لا تَعْلَمُونَ شَيْئاً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الميزان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ما قاله الميرداماد ، انظر شارع النجاة ، المطبوع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اثني عشر رسالة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الرسائل الفقهية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الشهيد الثاني</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الشهيد الثاني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الشهيد الثاني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زهرة في الغنية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وابي الصلاح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والفوائد المدنيّة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مفاتيح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 صار</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المحقّق القمي قدس‌سره ، راجع 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السيد الصدر في شرح 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الفوائد المدنيّة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النسخ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فانه بسيطة الملكية السابقة الفاقة </w:t>
      </w:r>
      <w:r>
        <w:rPr>
          <w:rFonts w:eastAsia="IRNazanin" w:cs="IRNazanin"/>
          <w:b w:val="false"/>
          <w:bCs w:val="false"/>
          <w:i w:val="false"/>
          <w:iCs w:val="false"/>
          <w:color w:val="333333"/>
          <w:sz w:val="20"/>
          <w:szCs w:val="20"/>
          <w:rtl w:val="true"/>
        </w:rPr>
        <w:t>... ».</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من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نور الثقلين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وكنز الدقائق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الآية</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وجوب الحج وشرائطه ،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يجب على الناس عند مضي الإمام</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الآية في سورتي النحل والأنبياء</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أهل الذكر ، والوسائل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الأحاديث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تفاوت يسير</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الأوّل ، والوسائل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 الأول</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صفات القاضي ،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السيد المجاهد في مفاتيح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والمناسب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مترتب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وعنها في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التفسير المنسوب إلى العسكري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يقارفون </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التفسير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آخرين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آخرون</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التفسير والاحتجاج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زادهم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التفسير والاحتجاج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يضيفون أضعافه وأضعاف أضعافه</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 فيقبلوا ، وما أثبتناه من التفسير والاحتجاج</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فانتفعوا ، والمحاسن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الحديث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الأول ، والوسائل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هذا المضمون ، نعم جاء في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علماء امتي كأنبياء بني إسرائيل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المستدرك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فضل كتابة الحديث وروايته</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أنّ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ولعلها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يقولها </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العطش</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سهو</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منتقى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ومنتهى المقال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الرسالة عندنا ولكن حكاه السيد الصدر في شرح 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سلف الاشارة إليه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والمناسب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المنع من انعقاد الاجماع على منع تقليد الميت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كما في الوافية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بعينه ، نعم قال في الرسائل الاصولية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إنّ الأصل عدم حجيّة الظن وهو محلّ اتفاق جميع أرباب المعقول والمنقول</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قول الفاضل التوني في 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الفاضل التوني في 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السيد الصدر في شرح 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المنسوب إلى العلاّمة والمحقّق الأردبيلي ، انظر حاشية الشرائع للمحقق الكركي ، الورقة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ومفاتيح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الفائدة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الرسالة التي لا توجد عندنا ، ونقله منها السيد الصدر في شرح 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في شرح الوافية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الاجتهاد والتقليد ، ذيل الدليل الثامن للمجيزين</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القزويني في ضوابط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الظاهر من المحقق الثاني في حاشية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نسبه في المفاتيح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إليه وإلى والده</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صاحب الجواهر في الجواهر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الأصفهاني في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المجاهد في مفاتيح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النفر</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 وفي العبارة نقص</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الشهيد الثاني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الأنصاري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الشهيد الثاني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 والعبارة ناقصة ظاهرا</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السيّد المجاهد في المفاتيح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الجعفرية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الكركي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والظاهر أن الحديث عن الإمام الكاظم عليه‌السلام</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الكركي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قاعدة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الحاشية</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 جماعة من الأصوليّين</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بل الموجود فيه صريح في وجود الخلاف ، انظر 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الاردبيلي حيث جوز ذلك في المحاكمات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نسب إليه في القوانين ، والمحقق القمي في 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المختصر وشرحه للعضدي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المختصر وشرحه للعضدي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عنهم العلامة في نهاية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عنهم العلامة في نهاية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الاصفهاني في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والنراقي في المناهج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من لا يذعن</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وجوه أصالة جواز تقليد المفضول</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سعة ما لم يعلموا</w:t>
      </w:r>
      <w:r>
        <w:rPr>
          <w:rFonts w:eastAsia="IRNazanin" w:cs="IRNazanin"/>
          <w:b w:val="false"/>
          <w:bCs w:val="false"/>
          <w:i w:val="false"/>
          <w:iCs w:val="false"/>
          <w:color w:val="333333"/>
          <w:sz w:val="20"/>
          <w:szCs w:val="20"/>
          <w:rtl w:val="true"/>
        </w:rPr>
        <w:t>. »</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وجوه أصالة جواز تقليد المفضول</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لهشام</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يتعرض للثاني وهو نفي العسر في الشريعة ؛ لوضوحه</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 الحديث الأول</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يتصدّى</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ثالث حجج القائلين بالجواز</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اقتضاها السياق</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رابع حجج القائلين بالجواز</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منية المريد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بل الموجود فيه صريح في الاختلاف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بعضهم عنده أعلم من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اختلفوا ، انظر 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 الحديث الأوّل</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رسائله عليه‌السلام</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وجوه احتجاج المانعين</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اعترفت</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الحاصل بسبب الملكة</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أفقه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أعلم الناس </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اختلاف </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السيد المجاهد في المفاتيح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الجعفرية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الكركي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العليّة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قاعدة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الزبدة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ينظر</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يظنّ</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وشرحه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والعبارة ناقصة ، ولعلّها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جواز الترافع </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أحببنا </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كرّرته يتضوّع</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حلب</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الإحكام للآمدي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والمعتمد في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الكركي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الشهيد الثاني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شارع النجاة المطبوع ضمن اثني عشر رسالة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رسائل الشهيد الثاني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الأنصاري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الكركي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عنهم 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الشهيد الثاني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تمييز</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لدينا</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المحقّق الثاني في حاشية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المجاهد في 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 في 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مبادئ الوصول الى علم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المحقّق القمي في 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ثالثة</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الأدلة الدالّة على عدم جواز تقليد الميت</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القمي في 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مفاتيح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رسائل المحقّق الكركي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اعتراف المحقّق الثاني ، وانظر حاشية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لإمكان أن يكون</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صاحب الفصول</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الوجوه الدالة على عدم جواز تقليد الميت</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 عنه في 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الشهيد الثاني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رسالة شارع النجاة المطبوعة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اثني عشر رسالة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السيّد المجاهد في مفاتيح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الرسائل الفقهية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المحقّق الداماد</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المحقق الثاني والشهيد الثاني ، كما تقدم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الوحيد البهبهاني ، انظر الرسائل الفقهية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كلام الفصول</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اقتضاها السياق</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الاعتراض الثاني لصاحب الوافية المذكور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 زيادته</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أدلّة منع جواز تقليد الميت</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رسائل الشهيد الثاني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ومناهج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مفاتيح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كذا والعبارة ناقصة ، ولعل سقط منها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مندفعة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ونحوها ، ليقع ما بعدها تعليلا له</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الفضيلة</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السيّد المجاهد في مفاتيح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حاشية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ما في التعبير من الضعف</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الرسائل الفقهية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فضعفه</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في العبارة سقطا وهو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بقاء الموضوع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ليكون اسما 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ويتم المقصود</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حكمين</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دليل قاطع </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الداماد ، انظر 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به النراقي في مناهج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متيقّنين</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اقتضاها السياق</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آيتي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السؤال والنفر ، انظر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ومفاتيح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محبوبيّته</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المنذر </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يؤيد بآية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يؤيّده آية </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وجوب الحجّ وشرائطه ،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 كما في الوسائل</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وعلى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ورد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الناس عند مضيّ الإمام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يشمل</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الآيتين من النحل والأنبياء</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أهل الذكر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الأئمة عليهم‌السلام</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بها في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الحديث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وقد أكثر هذا الاستعمال فيما يأتي ، والصحيح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سعيد العمري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عثمان بن سعيد العمري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رجال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محمد بن عثمان بن سعيد</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سهو</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يشمل</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والصحيح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المهتدي </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والصحيح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للعمري </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 الحديث الأوّل</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مفاتيح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وعنها في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المصدر</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الصراح </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والنسيانات </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لمن </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وظلمهم </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والاحتجاج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هواه </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 </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صلوات اللّه عليهم أجمعين </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لتلك </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نصّابنا </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وهم </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المصدر</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عنه الطبرسي في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اختلاف أشرنا إلى أهمّ موارده</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فانتفعوا </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عليه ما في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العبارة خلل</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بالمعنى</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السعيد في الذكرى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اقتضاها السياق</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حلب</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ومناهج الأحكام والأصول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السيّد الصدر في شرح 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السيّد الصدر في شرح 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أولى </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لدينا</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اقتضاها السياق</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الألفية والنفليّة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الشهيد الثاني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عنه في مفاتيح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والحديث عن الإمام الكاظم عليه‌السلام</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الحديث الأول</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الاشتهار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من سهو النساخ</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رسائل الشريف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الرسائل الفقهيّة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ينتفع</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تمييز</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مفاتيح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والرسائل الفقهيّة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القاعدة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الكركي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القاعدة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الحاشية ، وحكاه في المفاتيح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في فواتح الرحموت المطبوع ذيل المستصفى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أحمد وكثير ممّن بعده</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القاعدة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الورقة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فيه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عندنا </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المختصر وشرحه للعضدي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المختصر وشرحه للعضدي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 الغزالي في المستصفى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وذهب نفسه إلى الأوّل</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عنهم العلاّمة في نهاية الوصول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ما في الكلام من الاختلال ، ولعلّ في الكلام سقطا</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وجود سقط في هذا المورد أيضا ، وفي الأصل على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سقط من المتن لكن لم يذكر المقدار الساقط في الهامش</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من</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وجوها</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يثبت</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المعنى غير مستقيم ، ولعلّه كان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الجواز ليس الإباحي </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والمناسب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التعيينيّين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جرى المقرّر على هذا فيما يأتي كثيرا ، ولذلك لم نشر إلى كل مورد بخصوصه ، وإنما على القارئ الالتفات إليه</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باشتمالهما</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بواحد من </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لأحد</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للتخيير</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بالحجيّة</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وإعانته ، ولعلّ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والإعانة على إكرامه</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الذكر</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اقتضاها السياق</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فيتخيّر</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اقتضاها السياق</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 الحديث الأوّل</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التفسير المنسوب إلى الإمام العسكري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الوسائل هكذا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فإن كان كلّ واحد اختار رجلا من أصحابنا فرضيا أن يكون الناظرين في حقهما ، واختلف فيما حكما وكلاهما اختلفا في حديثكم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 الحديث الأوّل</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الرعاية في علم 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العلاّمة في القواعد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المختصر وشرحه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المختصر وشرحه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العلاّمة في نهاية الوصول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العميدي في المنية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وحكى عنها السيّد المجاهد في 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وعنها في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 الحديث الأوّل</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الصفحة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تتناول</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الزبدة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في 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 ولعلّه اخذ بمعناه الوصفي ، كما هو المألوف في تعبيراتهم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كالتقي والمحسن والمرتضى ، ونحوها</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عنه في المفاتيح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الزبدة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الأحكام والاصول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المفاتيح ، بل هو موجود في مناهج الأحكام والاصول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أنّه سهو القلم ويؤيّد ذلك ما جاء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ما ذكر الفاضلان النراقي والقمّي </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تمييز</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اقتضاها السياق</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الترجيح</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ومفاتيح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ومناهج الأحكام والاصول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مشيرا</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في 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كشف اللثام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وشرح الزبدة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 </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تمييز</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أكثريّة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image" Target="media/image2.jpeg"/><Relationship Id="rId699" Type="http://schemas.openxmlformats.org/officeDocument/2006/relationships/image" Target="media/image2.jpeg"/><Relationship Id="rId700" Type="http://schemas.openxmlformats.org/officeDocument/2006/relationships/footer" Target="footer693.xml"/><Relationship Id="rId701" Type="http://schemas.openxmlformats.org/officeDocument/2006/relationships/footnotes" Target="footnotes.xml"/><Relationship Id="rId702" Type="http://schemas.openxmlformats.org/officeDocument/2006/relationships/numbering" Target="numbering.xml"/><Relationship Id="rId703" Type="http://schemas.openxmlformats.org/officeDocument/2006/relationships/fontTable" Target="fontTable.xml"/><Relationship Id="rId704" Type="http://schemas.openxmlformats.org/officeDocument/2006/relationships/settings" Target="settings.xml"/><Relationship Id="rId7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698</Pages>
  <Words>155624</Words>
  <Characters>618807</Characters>
  <CharactersWithSpaces>771165</CharactersWithSpaces>
  <Paragraphs>5608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2026-08-25T11:20:08Z</dcterms:created>
  <dc:creator>ghaemiyeh.com</dc:creator>
  <dc:description/>
  <dc:language>en-US</dc:language>
  <cp:lastModifiedBy/>
  <dcterms:modified xsi:type="dcterms:W3CDTF">2026-08-25T14:50:32Z</dcterms:modified>
  <cp:revision>1</cp:revision>
  <dc:subject/>
  <dc:title>مطارح الأنظار جلد 2</dc:title>
</cp:coreProperties>
</file>

<file path=docProps/custom.xml><?xml version="1.0" encoding="utf-8"?>
<Properties xmlns="http://schemas.openxmlformats.org/officeDocument/2006/custom-properties" xmlns:vt="http://schemas.openxmlformats.org/officeDocument/2006/docPropsVTypes"/>
</file>