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3.xml" ContentType="application/vnd.openxmlformats-officedocument.wordprocessingml.footer+xml"/>
  <Override PartName="/word/theme/theme1.xml" ContentType="application/vnd.openxmlformats-officedocument.theme+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استقصاء الإعتبار فی شرح الإستبصار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886_2142443653">
            <w:r>
              <w:rPr>
                <w:webHidden/>
                <w:rStyle w:val="IndexLink"/>
                <w:rtl w:val="true"/>
              </w:rPr>
              <w:t>هویة الکتاب</w:t>
            </w:r>
            <w:r>
              <w:rPr>
                <w:rStyle w:val="IndexLink"/>
                <w:rtl w:val="true"/>
              </w:rPr>
              <w:tab/>
            </w:r>
            <w:r>
              <w:rPr>
                <w:rStyle w:val="IndexLink"/>
              </w:rPr>
              <w:t>15</w:t>
            </w:r>
          </w:hyperlink>
        </w:p>
        <w:p>
          <w:pPr>
            <w:pStyle w:val="Contents2"/>
            <w:tabs>
              <w:tab w:val="clear" w:pos="8743"/>
              <w:tab w:val="right" w:pos="9026" w:leader="dot"/>
            </w:tabs>
            <w:rPr/>
          </w:pPr>
          <w:hyperlink w:anchor="__RefHeading___Toc38888_2142443653">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38890_2142443653">
            <w:r>
              <w:rPr>
                <w:webHidden/>
                <w:rStyle w:val="IndexLink"/>
                <w:rtl w:val="true"/>
              </w:rPr>
              <w:t>أبواب ما ینقض الوضوء وما لا ینقضه</w:t>
            </w:r>
            <w:r>
              <w:rPr>
                <w:rStyle w:val="IndexLink"/>
                <w:rtl w:val="true"/>
              </w:rPr>
              <w:tab/>
            </w:r>
            <w:r>
              <w:rPr>
                <w:rStyle w:val="IndexLink"/>
              </w:rPr>
              <w:t>19</w:t>
            </w:r>
          </w:hyperlink>
        </w:p>
        <w:p>
          <w:pPr>
            <w:pStyle w:val="Contents3"/>
            <w:tabs>
              <w:tab w:val="clear" w:pos="8459"/>
              <w:tab w:val="right" w:pos="9026" w:leader="dot"/>
            </w:tabs>
            <w:rPr/>
          </w:pPr>
          <w:hyperlink w:anchor="__RefHeading___Toc38892_2142443653">
            <w:r>
              <w:rPr>
                <w:webHidden/>
                <w:rStyle w:val="IndexLink"/>
                <w:rtl w:val="true"/>
              </w:rPr>
              <w:t>النوم</w:t>
            </w:r>
            <w:r>
              <w:rPr>
                <w:rStyle w:val="IndexLink"/>
                <w:rtl w:val="true"/>
              </w:rPr>
              <w:tab/>
            </w:r>
            <w:r>
              <w:rPr>
                <w:rStyle w:val="IndexLink"/>
              </w:rPr>
              <w:t>19</w:t>
            </w:r>
          </w:hyperlink>
        </w:p>
        <w:p>
          <w:pPr>
            <w:pStyle w:val="Contents4"/>
            <w:tabs>
              <w:tab w:val="clear" w:pos="8176"/>
              <w:tab w:val="right" w:pos="9026" w:leader="dot"/>
            </w:tabs>
            <w:rPr/>
          </w:pPr>
          <w:hyperlink w:anchor="__RefHeading___Toc38894_2142443653">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38896_2142443653">
            <w:r>
              <w:rPr>
                <w:webHidden/>
                <w:rStyle w:val="IndexLink"/>
                <w:rtl w:val="true"/>
              </w:rPr>
              <w:t>إشارة إلی أنّ محمد بن قولویه فیه تأمّل</w:t>
            </w:r>
            <w:r>
              <w:rPr>
                <w:rStyle w:val="IndexLink"/>
                <w:rtl w:val="true"/>
              </w:rPr>
              <w:tab/>
            </w:r>
            <w:r>
              <w:rPr>
                <w:rStyle w:val="IndexLink"/>
              </w:rPr>
              <w:t>20</w:t>
            </w:r>
          </w:hyperlink>
        </w:p>
        <w:p>
          <w:pPr>
            <w:pStyle w:val="Contents4"/>
            <w:tabs>
              <w:tab w:val="clear" w:pos="8176"/>
              <w:tab w:val="right" w:pos="9026" w:leader="dot"/>
            </w:tabs>
            <w:rPr/>
          </w:pPr>
          <w:hyperlink w:anchor="__RefHeading___Toc38898_2142443653">
            <w:r>
              <w:rPr>
                <w:webHidden/>
                <w:rStyle w:val="IndexLink"/>
                <w:rtl w:val="true"/>
              </w:rPr>
              <w:t>محمد بن عبیدالله لا یخلو من اشتباه</w:t>
            </w:r>
            <w:r>
              <w:rPr>
                <w:rStyle w:val="IndexLink"/>
                <w:rtl w:val="true"/>
              </w:rPr>
              <w:tab/>
            </w:r>
            <w:r>
              <w:rPr>
                <w:rStyle w:val="IndexLink"/>
              </w:rPr>
              <w:t>20</w:t>
            </w:r>
          </w:hyperlink>
        </w:p>
        <w:p>
          <w:pPr>
            <w:pStyle w:val="Contents4"/>
            <w:tabs>
              <w:tab w:val="clear" w:pos="8176"/>
              <w:tab w:val="right" w:pos="9026" w:leader="dot"/>
            </w:tabs>
            <w:rPr/>
          </w:pPr>
          <w:hyperlink w:anchor="__RefHeading___Toc38900_2142443653">
            <w:r>
              <w:rPr>
                <w:webHidden/>
                <w:rStyle w:val="IndexLink"/>
                <w:rtl w:val="true"/>
              </w:rPr>
              <w:t>کلمة حول تحقق الإجماع مع وجود المخالف</w:t>
            </w:r>
            <w:r>
              <w:rPr>
                <w:rStyle w:val="IndexLink"/>
                <w:rtl w:val="true"/>
              </w:rPr>
              <w:tab/>
            </w:r>
            <w:r>
              <w:rPr>
                <w:rStyle w:val="IndexLink"/>
              </w:rPr>
              <w:t>20</w:t>
            </w:r>
          </w:hyperlink>
        </w:p>
        <w:p>
          <w:pPr>
            <w:pStyle w:val="Contents4"/>
            <w:tabs>
              <w:tab w:val="clear" w:pos="8176"/>
              <w:tab w:val="right" w:pos="9026" w:leader="dot"/>
            </w:tabs>
            <w:rPr/>
          </w:pPr>
          <w:hyperlink w:anchor="__RefHeading___Toc38902_2142443653">
            <w:r>
              <w:rPr>
                <w:webHidden/>
                <w:rStyle w:val="IndexLink"/>
                <w:rtl w:val="true"/>
              </w:rPr>
              <w:t>ما اُورد علی حدیث زرارة فی حصر الناقض فی الخارج من الطرفین والنوم</w:t>
            </w:r>
            <w:r>
              <w:rPr>
                <w:rStyle w:val="IndexLink"/>
                <w:rtl w:val="true"/>
              </w:rPr>
              <w:tab/>
            </w:r>
            <w:r>
              <w:rPr>
                <w:rStyle w:val="IndexLink"/>
              </w:rPr>
              <w:t>20</w:t>
            </w:r>
          </w:hyperlink>
        </w:p>
        <w:p>
          <w:pPr>
            <w:pStyle w:val="Contents4"/>
            <w:tabs>
              <w:tab w:val="clear" w:pos="8176"/>
              <w:tab w:val="right" w:pos="9026" w:leader="dot"/>
            </w:tabs>
            <w:rPr/>
          </w:pPr>
          <w:hyperlink w:anchor="__RefHeading___Toc38904_2142443653">
            <w:r>
              <w:rPr>
                <w:webHidden/>
                <w:rStyle w:val="IndexLink"/>
                <w:rtl w:val="true"/>
              </w:rPr>
              <w:t>ما أُجیب عن الإیرادات والمناقشة فی الأجوبة</w:t>
            </w:r>
            <w:r>
              <w:rPr>
                <w:rStyle w:val="IndexLink"/>
                <w:rtl w:val="true"/>
              </w:rPr>
              <w:tab/>
            </w:r>
            <w:r>
              <w:rPr>
                <w:rStyle w:val="IndexLink"/>
              </w:rPr>
              <w:t>21</w:t>
            </w:r>
          </w:hyperlink>
        </w:p>
        <w:p>
          <w:pPr>
            <w:pStyle w:val="Contents4"/>
            <w:tabs>
              <w:tab w:val="clear" w:pos="8176"/>
              <w:tab w:val="right" w:pos="9026" w:leader="dot"/>
            </w:tabs>
            <w:rPr/>
          </w:pPr>
          <w:hyperlink w:anchor="__RefHeading___Toc38906_2142443653">
            <w:r>
              <w:rPr>
                <w:webHidden/>
                <w:rStyle w:val="IndexLink"/>
                <w:rtl w:val="true"/>
              </w:rPr>
              <w:t>ناقضیة کلّ ما یذهب العقل</w:t>
            </w:r>
            <w:r>
              <w:rPr>
                <w:rStyle w:val="IndexLink"/>
                <w:rtl w:val="true"/>
              </w:rPr>
              <w:tab/>
            </w:r>
            <w:r>
              <w:rPr>
                <w:rStyle w:val="IndexLink"/>
              </w:rPr>
              <w:t>22</w:t>
            </w:r>
          </w:hyperlink>
        </w:p>
        <w:p>
          <w:pPr>
            <w:pStyle w:val="Contents4"/>
            <w:tabs>
              <w:tab w:val="clear" w:pos="8176"/>
              <w:tab w:val="right" w:pos="9026" w:leader="dot"/>
            </w:tabs>
            <w:rPr/>
          </w:pPr>
          <w:hyperlink w:anchor="__RefHeading___Toc38908_2142443653">
            <w:r>
              <w:rPr>
                <w:webHidden/>
                <w:rStyle w:val="IndexLink"/>
                <w:rtl w:val="true"/>
              </w:rPr>
              <w:t>هل الخارج من غیر الطرفین ناقض؟</w:t>
            </w:r>
            <w:r>
              <w:rPr>
                <w:rStyle w:val="IndexLink"/>
                <w:rtl w:val="true"/>
              </w:rPr>
              <w:tab/>
            </w:r>
            <w:r>
              <w:rPr>
                <w:rStyle w:val="IndexLink"/>
              </w:rPr>
              <w:t>22</w:t>
            </w:r>
          </w:hyperlink>
        </w:p>
        <w:p>
          <w:pPr>
            <w:pStyle w:val="Contents4"/>
            <w:tabs>
              <w:tab w:val="clear" w:pos="8176"/>
              <w:tab w:val="right" w:pos="9026" w:leader="dot"/>
            </w:tabs>
            <w:rPr/>
          </w:pPr>
          <w:hyperlink w:anchor="__RefHeading___Toc38910_2142443653">
            <w:r>
              <w:rPr>
                <w:webHidden/>
                <w:rStyle w:val="IndexLink"/>
                <w:rtl w:val="true"/>
              </w:rPr>
              <w:t>روایة أحمد بن محمد بن عیسی عن ابن أبی عمیر مستبعدة</w:t>
            </w:r>
            <w:r>
              <w:rPr>
                <w:rStyle w:val="IndexLink"/>
                <w:rtl w:val="true"/>
              </w:rPr>
              <w:tab/>
            </w:r>
            <w:r>
              <w:rPr>
                <w:rStyle w:val="IndexLink"/>
              </w:rPr>
              <w:t>23</w:t>
            </w:r>
          </w:hyperlink>
        </w:p>
        <w:p>
          <w:pPr>
            <w:pStyle w:val="Contents4"/>
            <w:tabs>
              <w:tab w:val="clear" w:pos="8176"/>
              <w:tab w:val="right" w:pos="9026" w:leader="dot"/>
            </w:tabs>
            <w:rPr/>
          </w:pPr>
          <w:hyperlink w:anchor="__RefHeading___Toc38912_2142443653">
            <w:r>
              <w:rPr>
                <w:webHidden/>
                <w:rStyle w:val="IndexLink"/>
                <w:rtl w:val="true"/>
              </w:rPr>
              <w:t>عمران بن موسی ثقة</w:t>
            </w:r>
            <w:r>
              <w:rPr>
                <w:rStyle w:val="IndexLink"/>
                <w:rtl w:val="true"/>
              </w:rPr>
              <w:tab/>
            </w:r>
            <w:r>
              <w:rPr>
                <w:rStyle w:val="IndexLink"/>
              </w:rPr>
              <w:t>23</w:t>
            </w:r>
          </w:hyperlink>
        </w:p>
        <w:p>
          <w:pPr>
            <w:pStyle w:val="Contents4"/>
            <w:tabs>
              <w:tab w:val="clear" w:pos="8176"/>
              <w:tab w:val="right" w:pos="9026" w:leader="dot"/>
            </w:tabs>
            <w:rPr/>
          </w:pPr>
          <w:hyperlink w:anchor="__RefHeading___Toc38914_2142443653">
            <w:r>
              <w:rPr>
                <w:webHidden/>
                <w:rStyle w:val="IndexLink"/>
                <w:rtl w:val="true"/>
              </w:rPr>
              <w:t>بحث حول الحسن بن علی بن النعمان</w:t>
            </w:r>
            <w:r>
              <w:rPr>
                <w:rStyle w:val="IndexLink"/>
                <w:rtl w:val="true"/>
              </w:rPr>
              <w:tab/>
            </w:r>
            <w:r>
              <w:rPr>
                <w:rStyle w:val="IndexLink"/>
              </w:rPr>
              <w:t>23</w:t>
            </w:r>
          </w:hyperlink>
        </w:p>
        <w:p>
          <w:pPr>
            <w:pStyle w:val="Contents4"/>
            <w:tabs>
              <w:tab w:val="clear" w:pos="8176"/>
              <w:tab w:val="right" w:pos="9026" w:leader="dot"/>
            </w:tabs>
            <w:rPr/>
          </w:pPr>
          <w:hyperlink w:anchor="__RefHeading___Toc38916_2142443653">
            <w:r>
              <w:rPr>
                <w:webHidden/>
                <w:rStyle w:val="IndexLink"/>
                <w:rtl w:val="true"/>
              </w:rPr>
              <w:t>بحث حول عبدالحمید بن عواض</w:t>
            </w:r>
            <w:r>
              <w:rPr>
                <w:rStyle w:val="IndexLink"/>
                <w:rtl w:val="true"/>
              </w:rPr>
              <w:tab/>
            </w:r>
            <w:r>
              <w:rPr>
                <w:rStyle w:val="IndexLink"/>
              </w:rPr>
              <w:t>24</w:t>
            </w:r>
          </w:hyperlink>
        </w:p>
        <w:p>
          <w:pPr>
            <w:pStyle w:val="Contents4"/>
            <w:tabs>
              <w:tab w:val="clear" w:pos="8176"/>
              <w:tab w:val="right" w:pos="9026" w:leader="dot"/>
            </w:tabs>
            <w:rPr/>
          </w:pPr>
          <w:hyperlink w:anchor="__RefHeading___Toc38918_2142443653">
            <w:r>
              <w:rPr>
                <w:webHidden/>
                <w:rStyle w:val="IndexLink"/>
                <w:rtl w:val="true"/>
              </w:rPr>
              <w:t xml:space="preserve">تحقیق منطقی فی قوله علیه السلام </w:t>
            </w:r>
            <w:r>
              <w:rPr>
                <w:rStyle w:val="IndexLink"/>
                <w:rtl w:val="true"/>
              </w:rPr>
              <w:t xml:space="preserve">: « </w:t>
            </w:r>
            <w:r>
              <w:rPr>
                <w:rStyle w:val="IndexLink"/>
                <w:rtl w:val="true"/>
              </w:rPr>
              <w:t xml:space="preserve">لا ینقض الوضوء إلّا حدث والنوم حدث </w:t>
            </w:r>
            <w:r>
              <w:rPr>
                <w:rStyle w:val="IndexLink"/>
                <w:rtl w:val="true"/>
              </w:rPr>
              <w:t>»</w:t>
              <w:tab/>
            </w:r>
            <w:r>
              <w:rPr>
                <w:rStyle w:val="IndexLink"/>
              </w:rPr>
              <w:t>24</w:t>
            </w:r>
          </w:hyperlink>
        </w:p>
        <w:p>
          <w:pPr>
            <w:pStyle w:val="Contents4"/>
            <w:tabs>
              <w:tab w:val="clear" w:pos="8176"/>
              <w:tab w:val="right" w:pos="9026" w:leader="dot"/>
            </w:tabs>
            <w:rPr/>
          </w:pPr>
          <w:hyperlink w:anchor="__RefHeading___Toc38920_2142443653">
            <w:r>
              <w:rPr>
                <w:webHidden/>
                <w:rStyle w:val="IndexLink"/>
                <w:rtl w:val="true"/>
              </w:rPr>
              <w:t>هل النوم ناقض فی جمیع الأحوال؟</w:t>
            </w:r>
            <w:r>
              <w:rPr>
                <w:rStyle w:val="IndexLink"/>
                <w:rtl w:val="true"/>
              </w:rPr>
              <w:tab/>
            </w:r>
            <w:r>
              <w:rPr>
                <w:rStyle w:val="IndexLink"/>
              </w:rPr>
              <w:t>27</w:t>
            </w:r>
          </w:hyperlink>
        </w:p>
        <w:p>
          <w:pPr>
            <w:pStyle w:val="Contents4"/>
            <w:tabs>
              <w:tab w:val="clear" w:pos="8176"/>
              <w:tab w:val="right" w:pos="9026" w:leader="dot"/>
            </w:tabs>
            <w:rPr/>
          </w:pPr>
          <w:hyperlink w:anchor="__RefHeading___Toc38922_2142443653">
            <w:r>
              <w:rPr>
                <w:webHidden/>
                <w:rStyle w:val="IndexLink"/>
                <w:rtl w:val="true"/>
              </w:rPr>
              <w:t>شعیب مشترک</w:t>
            </w:r>
            <w:r>
              <w:rPr>
                <w:rStyle w:val="IndexLink"/>
                <w:rtl w:val="true"/>
              </w:rPr>
              <w:tab/>
            </w:r>
            <w:r>
              <w:rPr>
                <w:rStyle w:val="IndexLink"/>
              </w:rPr>
              <w:t>29</w:t>
            </w:r>
          </w:hyperlink>
        </w:p>
        <w:p>
          <w:pPr>
            <w:pStyle w:val="Contents4"/>
            <w:tabs>
              <w:tab w:val="clear" w:pos="8176"/>
              <w:tab w:val="right" w:pos="9026" w:leader="dot"/>
            </w:tabs>
            <w:rPr/>
          </w:pPr>
          <w:hyperlink w:anchor="__RefHeading___Toc38924_2142443653">
            <w:r>
              <w:rPr>
                <w:webHidden/>
                <w:rStyle w:val="IndexLink"/>
                <w:rtl w:val="true"/>
              </w:rPr>
              <w:t>عمران بن حمران مهمل</w:t>
            </w:r>
            <w:r>
              <w:rPr>
                <w:rStyle w:val="IndexLink"/>
                <w:rtl w:val="true"/>
              </w:rPr>
              <w:tab/>
            </w:r>
            <w:r>
              <w:rPr>
                <w:rStyle w:val="IndexLink"/>
              </w:rPr>
              <w:t>29</w:t>
            </w:r>
          </w:hyperlink>
        </w:p>
        <w:p>
          <w:pPr>
            <w:pStyle w:val="Contents4"/>
            <w:tabs>
              <w:tab w:val="clear" w:pos="8176"/>
              <w:tab w:val="right" w:pos="9026" w:leader="dot"/>
            </w:tabs>
            <w:rPr/>
          </w:pPr>
          <w:hyperlink w:anchor="__RefHeading___Toc38926_2142443653">
            <w:r>
              <w:rPr>
                <w:webHidden/>
                <w:rStyle w:val="IndexLink"/>
                <w:rtl w:val="true"/>
              </w:rPr>
              <w:t>بکر بن أبی بکر الحضرمی مهمل</w:t>
            </w:r>
            <w:r>
              <w:rPr>
                <w:rStyle w:val="IndexLink"/>
                <w:rtl w:val="true"/>
              </w:rPr>
              <w:tab/>
            </w:r>
            <w:r>
              <w:rPr>
                <w:rStyle w:val="IndexLink"/>
              </w:rPr>
              <w:t>29</w:t>
            </w:r>
          </w:hyperlink>
        </w:p>
        <w:p>
          <w:pPr>
            <w:pStyle w:val="Contents4"/>
            <w:tabs>
              <w:tab w:val="clear" w:pos="8176"/>
              <w:tab w:val="right" w:pos="9026" w:leader="dot"/>
            </w:tabs>
            <w:rPr/>
          </w:pPr>
          <w:hyperlink w:anchor="__RefHeading___Toc38928_2142443653">
            <w:r>
              <w:rPr>
                <w:webHidden/>
                <w:rStyle w:val="IndexLink"/>
                <w:rtl w:val="true"/>
              </w:rPr>
              <w:t>علی بن الحکم هو الثقة إذا روی عنه أحمد بن محمد بن عیسی</w:t>
            </w:r>
            <w:r>
              <w:rPr>
                <w:rStyle w:val="IndexLink"/>
                <w:rtl w:val="true"/>
              </w:rPr>
              <w:tab/>
            </w:r>
            <w:r>
              <w:rPr>
                <w:rStyle w:val="IndexLink"/>
              </w:rPr>
              <w:t>29</w:t>
            </w:r>
          </w:hyperlink>
        </w:p>
        <w:p>
          <w:pPr>
            <w:pStyle w:val="Contents4"/>
            <w:tabs>
              <w:tab w:val="clear" w:pos="8176"/>
              <w:tab w:val="right" w:pos="9026" w:leader="dot"/>
            </w:tabs>
            <w:rPr/>
          </w:pPr>
          <w:hyperlink w:anchor="__RefHeading___Toc38930_2142443653">
            <w:r>
              <w:rPr>
                <w:webHidden/>
                <w:rStyle w:val="IndexLink"/>
                <w:rtl w:val="true"/>
              </w:rPr>
              <w:t>بحث حول محمد بن الفضل ومحمد بن الفضیل</w:t>
            </w:r>
            <w:r>
              <w:rPr>
                <w:rStyle w:val="IndexLink"/>
                <w:rtl w:val="true"/>
              </w:rPr>
              <w:tab/>
            </w:r>
            <w:r>
              <w:rPr>
                <w:rStyle w:val="IndexLink"/>
              </w:rPr>
              <w:t>29</w:t>
            </w:r>
          </w:hyperlink>
        </w:p>
        <w:p>
          <w:pPr>
            <w:pStyle w:val="Contents4"/>
            <w:tabs>
              <w:tab w:val="clear" w:pos="8176"/>
              <w:tab w:val="right" w:pos="9026" w:leader="dot"/>
            </w:tabs>
            <w:rPr/>
          </w:pPr>
          <w:hyperlink w:anchor="__RefHeading___Toc38932_2142443653">
            <w:r>
              <w:rPr>
                <w:webHidden/>
                <w:rStyle w:val="IndexLink"/>
                <w:rtl w:val="true"/>
              </w:rPr>
              <w:t>معنی الخفق</w:t>
            </w:r>
            <w:r>
              <w:rPr>
                <w:rStyle w:val="IndexLink"/>
                <w:rtl w:val="true"/>
              </w:rPr>
              <w:tab/>
            </w:r>
            <w:r>
              <w:rPr>
                <w:rStyle w:val="IndexLink"/>
              </w:rPr>
              <w:t>30</w:t>
            </w:r>
          </w:hyperlink>
        </w:p>
        <w:p>
          <w:pPr>
            <w:pStyle w:val="Contents4"/>
            <w:tabs>
              <w:tab w:val="clear" w:pos="8176"/>
              <w:tab w:val="right" w:pos="9026" w:leader="dot"/>
            </w:tabs>
            <w:rPr/>
          </w:pPr>
          <w:hyperlink w:anchor="__RefHeading___Toc38934_2142443653">
            <w:r>
              <w:rPr>
                <w:webHidden/>
                <w:rStyle w:val="IndexLink"/>
                <w:rtl w:val="true"/>
              </w:rPr>
              <w:t>عبدالله بن بکیر ثقة فطحی</w:t>
            </w:r>
            <w:r>
              <w:rPr>
                <w:rStyle w:val="IndexLink"/>
                <w:rtl w:val="true"/>
              </w:rPr>
              <w:tab/>
            </w:r>
            <w:r>
              <w:rPr>
                <w:rStyle w:val="IndexLink"/>
              </w:rPr>
              <w:t>31</w:t>
            </w:r>
          </w:hyperlink>
        </w:p>
        <w:p>
          <w:pPr>
            <w:pStyle w:val="Contents4"/>
            <w:tabs>
              <w:tab w:val="clear" w:pos="8176"/>
              <w:tab w:val="right" w:pos="9026" w:leader="dot"/>
            </w:tabs>
            <w:rPr/>
          </w:pPr>
          <w:hyperlink w:anchor="__RefHeading___Toc38936_2142443653">
            <w:r>
              <w:rPr>
                <w:webHidden/>
                <w:rStyle w:val="IndexLink"/>
                <w:rtl w:val="true"/>
              </w:rPr>
              <w:t xml:space="preserve">ما المراد بالقیام فی قوله تعالی </w:t>
            </w:r>
            <w:r>
              <w:rPr>
                <w:rStyle w:val="IndexLink"/>
                <w:rtl w:val="true"/>
              </w:rPr>
              <w:t xml:space="preserve">: « </w:t>
            </w:r>
            <w:r>
              <w:rPr>
                <w:rStyle w:val="IndexLink"/>
                <w:rtl w:val="true"/>
              </w:rPr>
              <w:t xml:space="preserve">إذا قمتم إلی الصلاة </w:t>
            </w:r>
            <w:r>
              <w:rPr>
                <w:rStyle w:val="IndexLink"/>
                <w:rtl w:val="true"/>
              </w:rPr>
              <w:t>»</w:t>
            </w:r>
            <w:r>
              <w:rPr>
                <w:rStyle w:val="IndexLink"/>
                <w:rtl w:val="true"/>
              </w:rPr>
              <w:t>؟</w:t>
            </w:r>
            <w:r>
              <w:rPr>
                <w:rStyle w:val="IndexLink"/>
                <w:rtl w:val="true"/>
              </w:rPr>
              <w:tab/>
            </w:r>
            <w:r>
              <w:rPr>
                <w:rStyle w:val="IndexLink"/>
              </w:rPr>
              <w:t>31</w:t>
            </w:r>
          </w:hyperlink>
        </w:p>
        <w:p>
          <w:pPr>
            <w:pStyle w:val="Contents4"/>
            <w:tabs>
              <w:tab w:val="clear" w:pos="8176"/>
              <w:tab w:val="right" w:pos="9026" w:leader="dot"/>
            </w:tabs>
            <w:rPr/>
          </w:pPr>
          <w:hyperlink w:anchor="__RefHeading___Toc38938_2142443653">
            <w:r>
              <w:rPr>
                <w:webHidden/>
                <w:rStyle w:val="IndexLink"/>
                <w:rtl w:val="true"/>
              </w:rPr>
              <w:t>هل الوضوء واجب نفسی؟</w:t>
            </w:r>
            <w:r>
              <w:rPr>
                <w:rStyle w:val="IndexLink"/>
                <w:rtl w:val="true"/>
              </w:rPr>
              <w:tab/>
            </w:r>
            <w:r>
              <w:rPr>
                <w:rStyle w:val="IndexLink"/>
              </w:rPr>
              <w:t>32</w:t>
            </w:r>
          </w:hyperlink>
        </w:p>
        <w:p>
          <w:pPr>
            <w:pStyle w:val="Contents4"/>
            <w:tabs>
              <w:tab w:val="clear" w:pos="8176"/>
              <w:tab w:val="right" w:pos="9026" w:leader="dot"/>
            </w:tabs>
            <w:rPr/>
          </w:pPr>
          <w:hyperlink w:anchor="__RefHeading___Toc38940_2142443653">
            <w:r>
              <w:rPr>
                <w:webHidden/>
                <w:rStyle w:val="IndexLink"/>
                <w:rtl w:val="true"/>
              </w:rPr>
              <w:t>محمّد بن اسماعیل إذا روی عن محمد بن عذافر فهو ابن بزیع</w:t>
            </w:r>
            <w:r>
              <w:rPr>
                <w:rStyle w:val="IndexLink"/>
                <w:rtl w:val="true"/>
              </w:rPr>
              <w:tab/>
            </w:r>
            <w:r>
              <w:rPr>
                <w:rStyle w:val="IndexLink"/>
              </w:rPr>
              <w:t>34</w:t>
            </w:r>
          </w:hyperlink>
        </w:p>
        <w:p>
          <w:pPr>
            <w:pStyle w:val="Contents4"/>
            <w:tabs>
              <w:tab w:val="clear" w:pos="8176"/>
              <w:tab w:val="right" w:pos="9026" w:leader="dot"/>
            </w:tabs>
            <w:rPr/>
          </w:pPr>
          <w:hyperlink w:anchor="__RefHeading___Toc38942_2142443653">
            <w:r>
              <w:rPr>
                <w:webHidden/>
                <w:rStyle w:val="IndexLink"/>
                <w:rtl w:val="true"/>
              </w:rPr>
              <w:t xml:space="preserve">معنی قوله علیه السلام </w:t>
            </w:r>
            <w:r>
              <w:rPr>
                <w:rStyle w:val="IndexLink"/>
                <w:rtl w:val="true"/>
              </w:rPr>
              <w:t xml:space="preserve">: « </w:t>
            </w:r>
            <w:r>
              <w:rPr>
                <w:rStyle w:val="IndexLink"/>
                <w:rtl w:val="true"/>
              </w:rPr>
              <w:t xml:space="preserve">إذا کان یوم الجمعة فلا وضوء علیه </w:t>
            </w:r>
            <w:r>
              <w:rPr>
                <w:rStyle w:val="IndexLink"/>
                <w:rtl w:val="true"/>
              </w:rPr>
              <w:t>»</w:t>
              <w:tab/>
            </w:r>
            <w:r>
              <w:rPr>
                <w:rStyle w:val="IndexLink"/>
              </w:rPr>
              <w:t>34</w:t>
            </w:r>
          </w:hyperlink>
        </w:p>
        <w:p>
          <w:pPr>
            <w:pStyle w:val="Contents3"/>
            <w:tabs>
              <w:tab w:val="clear" w:pos="8459"/>
              <w:tab w:val="right" w:pos="9026" w:leader="dot"/>
            </w:tabs>
            <w:rPr/>
          </w:pPr>
          <w:hyperlink w:anchor="__RefHeading___Toc38944_2142443653">
            <w:r>
              <w:rPr>
                <w:webHidden/>
                <w:rStyle w:val="IndexLink"/>
                <w:rtl w:val="true"/>
              </w:rPr>
              <w:t>الدیدان</w:t>
            </w:r>
            <w:r>
              <w:rPr>
                <w:rStyle w:val="IndexLink"/>
                <w:rtl w:val="true"/>
              </w:rPr>
              <w:tab/>
            </w:r>
            <w:r>
              <w:rPr>
                <w:rStyle w:val="IndexLink"/>
              </w:rPr>
              <w:t>36</w:t>
            </w:r>
          </w:hyperlink>
        </w:p>
        <w:p>
          <w:pPr>
            <w:pStyle w:val="Contents4"/>
            <w:tabs>
              <w:tab w:val="clear" w:pos="8176"/>
              <w:tab w:val="right" w:pos="9026" w:leader="dot"/>
            </w:tabs>
            <w:rPr/>
          </w:pPr>
          <w:hyperlink w:anchor="__RefHeading___Toc38946_2142443653">
            <w:r>
              <w:rPr>
                <w:webHidden/>
                <w:rStyle w:val="IndexLink"/>
                <w:rtl w:val="true"/>
              </w:rPr>
              <w:t>عبدالله بن یزید مشترک بین مهملین</w:t>
            </w:r>
            <w:r>
              <w:rPr>
                <w:rStyle w:val="IndexLink"/>
                <w:rtl w:val="true"/>
              </w:rPr>
              <w:tab/>
            </w:r>
            <w:r>
              <w:rPr>
                <w:rStyle w:val="IndexLink"/>
              </w:rPr>
              <w:t>36</w:t>
            </w:r>
          </w:hyperlink>
        </w:p>
        <w:p>
          <w:pPr>
            <w:pStyle w:val="Contents4"/>
            <w:tabs>
              <w:tab w:val="clear" w:pos="8176"/>
              <w:tab w:val="right" w:pos="9026" w:leader="dot"/>
            </w:tabs>
            <w:rPr/>
          </w:pPr>
          <w:hyperlink w:anchor="__RefHeading___Toc38948_2142443653">
            <w:r>
              <w:rPr>
                <w:webHidden/>
                <w:rStyle w:val="IndexLink"/>
                <w:rtl w:val="true"/>
              </w:rPr>
              <w:t xml:space="preserve">معنی </w:t>
            </w:r>
            <w:r>
              <w:rPr>
                <w:rStyle w:val="IndexLink"/>
                <w:rtl w:val="true"/>
              </w:rPr>
              <w:t xml:space="preserve">: </w:t>
            </w:r>
            <w:r>
              <w:rPr>
                <w:rStyle w:val="IndexLink"/>
                <w:rtl w:val="true"/>
              </w:rPr>
              <w:t>حَبّ القَرَع</w:t>
            </w:r>
            <w:r>
              <w:rPr>
                <w:rStyle w:val="IndexLink"/>
                <w:rtl w:val="true"/>
              </w:rPr>
              <w:tab/>
            </w:r>
            <w:r>
              <w:rPr>
                <w:rStyle w:val="IndexLink"/>
              </w:rPr>
              <w:t>37</w:t>
            </w:r>
          </w:hyperlink>
        </w:p>
        <w:p>
          <w:pPr>
            <w:pStyle w:val="Contents3"/>
            <w:tabs>
              <w:tab w:val="clear" w:pos="8459"/>
              <w:tab w:val="right" w:pos="9026" w:leader="dot"/>
            </w:tabs>
            <w:rPr/>
          </w:pPr>
          <w:hyperlink w:anchor="__RefHeading___Toc38950_2142443653">
            <w:r>
              <w:rPr>
                <w:webHidden/>
                <w:rStyle w:val="IndexLink"/>
                <w:rtl w:val="true"/>
              </w:rPr>
              <w:t>القی‌ء</w:t>
            </w:r>
            <w:r>
              <w:rPr>
                <w:rStyle w:val="IndexLink"/>
                <w:rtl w:val="true"/>
              </w:rPr>
              <w:tab/>
            </w:r>
            <w:r>
              <w:rPr>
                <w:rStyle w:val="IndexLink"/>
              </w:rPr>
              <w:t>38</w:t>
            </w:r>
          </w:hyperlink>
        </w:p>
        <w:p>
          <w:pPr>
            <w:pStyle w:val="Contents4"/>
            <w:tabs>
              <w:tab w:val="clear" w:pos="8176"/>
              <w:tab w:val="right" w:pos="9026" w:leader="dot"/>
            </w:tabs>
            <w:rPr/>
          </w:pPr>
          <w:hyperlink w:anchor="__RefHeading___Toc38952_2142443653">
            <w:r>
              <w:rPr>
                <w:webHidden/>
                <w:rStyle w:val="IndexLink"/>
                <w:rtl w:val="true"/>
              </w:rPr>
              <w:t>بحث حول غالب بن عثمان</w:t>
            </w:r>
            <w:r>
              <w:rPr>
                <w:rStyle w:val="IndexLink"/>
                <w:rtl w:val="true"/>
              </w:rPr>
              <w:tab/>
            </w:r>
            <w:r>
              <w:rPr>
                <w:rStyle w:val="IndexLink"/>
              </w:rPr>
              <w:t>38</w:t>
            </w:r>
          </w:hyperlink>
        </w:p>
        <w:p>
          <w:pPr>
            <w:pStyle w:val="Contents4"/>
            <w:tabs>
              <w:tab w:val="clear" w:pos="8176"/>
              <w:tab w:val="right" w:pos="9026" w:leader="dot"/>
            </w:tabs>
            <w:rPr/>
          </w:pPr>
          <w:hyperlink w:anchor="__RefHeading___Toc38954_2142443653">
            <w:r>
              <w:rPr>
                <w:webHidden/>
                <w:rStyle w:val="IndexLink"/>
                <w:rtl w:val="true"/>
              </w:rPr>
              <w:t>روح بن عبد الرحیم ثقة</w:t>
            </w:r>
            <w:r>
              <w:rPr>
                <w:rStyle w:val="IndexLink"/>
                <w:rtl w:val="true"/>
              </w:rPr>
              <w:tab/>
            </w:r>
            <w:r>
              <w:rPr>
                <w:rStyle w:val="IndexLink"/>
              </w:rPr>
              <w:t>40</w:t>
            </w:r>
          </w:hyperlink>
        </w:p>
        <w:p>
          <w:pPr>
            <w:pStyle w:val="Contents4"/>
            <w:tabs>
              <w:tab w:val="clear" w:pos="8176"/>
              <w:tab w:val="right" w:pos="9026" w:leader="dot"/>
            </w:tabs>
            <w:rPr/>
          </w:pPr>
          <w:hyperlink w:anchor="__RefHeading___Toc38956_2142443653">
            <w:r>
              <w:rPr>
                <w:webHidden/>
                <w:rStyle w:val="IndexLink"/>
                <w:rtl w:val="true"/>
              </w:rPr>
              <w:t>الحسن بن علی الکوفی هو ابن عبدالله بن المغیرة ثقة</w:t>
            </w:r>
            <w:r>
              <w:rPr>
                <w:rStyle w:val="IndexLink"/>
                <w:rtl w:val="true"/>
              </w:rPr>
              <w:tab/>
            </w:r>
            <w:r>
              <w:rPr>
                <w:rStyle w:val="IndexLink"/>
              </w:rPr>
              <w:t>40</w:t>
            </w:r>
          </w:hyperlink>
        </w:p>
        <w:p>
          <w:pPr>
            <w:pStyle w:val="Contents4"/>
            <w:tabs>
              <w:tab w:val="clear" w:pos="8176"/>
              <w:tab w:val="right" w:pos="9026" w:leader="dot"/>
            </w:tabs>
            <w:rPr/>
          </w:pPr>
          <w:hyperlink w:anchor="__RefHeading___Toc38958_2142443653">
            <w:r>
              <w:rPr>
                <w:webHidden/>
                <w:rStyle w:val="IndexLink"/>
                <w:rtl w:val="true"/>
              </w:rPr>
              <w:t xml:space="preserve">بحث حول ابن مسکان </w:t>
            </w:r>
            <w:r>
              <w:rPr>
                <w:rStyle w:val="IndexLink"/>
                <w:rtl w:val="true"/>
              </w:rPr>
              <w:t xml:space="preserve">« </w:t>
            </w:r>
            <w:r>
              <w:rPr>
                <w:rStyle w:val="IndexLink"/>
                <w:rtl w:val="true"/>
              </w:rPr>
              <w:t xml:space="preserve">عبدالله </w:t>
            </w:r>
            <w:r>
              <w:rPr>
                <w:rStyle w:val="IndexLink"/>
                <w:rtl w:val="true"/>
              </w:rPr>
              <w:t xml:space="preserve">» « </w:t>
            </w:r>
            <w:r>
              <w:rPr>
                <w:rStyle w:val="IndexLink"/>
                <w:rtl w:val="true"/>
              </w:rPr>
              <w:t xml:space="preserve">محمد </w:t>
            </w:r>
            <w:r>
              <w:rPr>
                <w:rStyle w:val="IndexLink"/>
                <w:rtl w:val="true"/>
              </w:rPr>
              <w:t xml:space="preserve">» « </w:t>
            </w:r>
            <w:r>
              <w:rPr>
                <w:rStyle w:val="IndexLink"/>
                <w:rtl w:val="true"/>
              </w:rPr>
              <w:t xml:space="preserve">الحسن </w:t>
            </w:r>
            <w:r>
              <w:rPr>
                <w:rStyle w:val="IndexLink"/>
                <w:rtl w:val="true"/>
              </w:rPr>
              <w:t xml:space="preserve">» « </w:t>
            </w:r>
            <w:r>
              <w:rPr>
                <w:rStyle w:val="IndexLink"/>
                <w:rtl w:val="true"/>
              </w:rPr>
              <w:t xml:space="preserve">الحسین </w:t>
            </w:r>
            <w:r>
              <w:rPr>
                <w:rStyle w:val="IndexLink"/>
                <w:rtl w:val="true"/>
              </w:rPr>
              <w:t>»</w:t>
            </w:r>
            <w:r>
              <w:rPr>
                <w:rStyle w:val="IndexLink"/>
                <w:rtl w:val="true"/>
              </w:rPr>
              <w:t>ُ</w:t>
            </w:r>
            <w:r>
              <w:rPr>
                <w:rStyle w:val="IndexLink"/>
                <w:rtl w:val="true"/>
              </w:rPr>
              <w:tab/>
            </w:r>
            <w:r>
              <w:rPr>
                <w:rStyle w:val="IndexLink"/>
              </w:rPr>
              <w:t>40</w:t>
            </w:r>
          </w:hyperlink>
        </w:p>
        <w:p>
          <w:pPr>
            <w:pStyle w:val="Contents4"/>
            <w:tabs>
              <w:tab w:val="clear" w:pos="8176"/>
              <w:tab w:val="right" w:pos="9026" w:leader="dot"/>
            </w:tabs>
            <w:rPr/>
          </w:pPr>
          <w:hyperlink w:anchor="__RefHeading___Toc38960_2142443653">
            <w:r>
              <w:rPr>
                <w:webHidden/>
                <w:rStyle w:val="IndexLink"/>
                <w:rtl w:val="true"/>
              </w:rPr>
              <w:t>حکم القرقرة فی البطن</w:t>
            </w:r>
            <w:r>
              <w:rPr>
                <w:rStyle w:val="IndexLink"/>
                <w:rtl w:val="true"/>
              </w:rPr>
              <w:tab/>
            </w:r>
            <w:r>
              <w:rPr>
                <w:rStyle w:val="IndexLink"/>
              </w:rPr>
              <w:t>42</w:t>
            </w:r>
          </w:hyperlink>
        </w:p>
        <w:p>
          <w:pPr>
            <w:pStyle w:val="Contents4"/>
            <w:tabs>
              <w:tab w:val="clear" w:pos="8176"/>
              <w:tab w:val="right" w:pos="9026" w:leader="dot"/>
            </w:tabs>
            <w:rPr/>
          </w:pPr>
          <w:hyperlink w:anchor="__RefHeading___Toc38962_2142443653">
            <w:r>
              <w:rPr>
                <w:webHidden/>
                <w:rStyle w:val="IndexLink"/>
                <w:rtl w:val="true"/>
              </w:rPr>
              <w:t>عدم ناقضیة الضحک للوضوء</w:t>
            </w:r>
            <w:r>
              <w:rPr>
                <w:rStyle w:val="IndexLink"/>
                <w:rtl w:val="true"/>
              </w:rPr>
              <w:tab/>
            </w:r>
            <w:r>
              <w:rPr>
                <w:rStyle w:val="IndexLink"/>
              </w:rPr>
              <w:t>42</w:t>
            </w:r>
          </w:hyperlink>
        </w:p>
        <w:p>
          <w:pPr>
            <w:pStyle w:val="Contents4"/>
            <w:tabs>
              <w:tab w:val="clear" w:pos="8176"/>
              <w:tab w:val="right" w:pos="9026" w:leader="dot"/>
            </w:tabs>
            <w:rPr/>
          </w:pPr>
          <w:hyperlink w:anchor="__RefHeading___Toc38964_2142443653">
            <w:r>
              <w:rPr>
                <w:webHidden/>
                <w:rStyle w:val="IndexLink"/>
                <w:rtl w:val="true"/>
              </w:rPr>
              <w:t>قول ابن الجنید بناقضیة الضحک</w:t>
            </w:r>
            <w:r>
              <w:rPr>
                <w:rStyle w:val="IndexLink"/>
                <w:rtl w:val="true"/>
              </w:rPr>
              <w:tab/>
            </w:r>
            <w:r>
              <w:rPr>
                <w:rStyle w:val="IndexLink"/>
              </w:rPr>
              <w:t>44</w:t>
            </w:r>
          </w:hyperlink>
        </w:p>
        <w:p>
          <w:pPr>
            <w:pStyle w:val="Contents3"/>
            <w:tabs>
              <w:tab w:val="clear" w:pos="8459"/>
              <w:tab w:val="right" w:pos="9026" w:leader="dot"/>
            </w:tabs>
            <w:rPr/>
          </w:pPr>
          <w:hyperlink w:anchor="__RefHeading___Toc38966_2142443653">
            <w:r>
              <w:rPr>
                <w:webHidden/>
                <w:rStyle w:val="IndexLink"/>
                <w:rtl w:val="true"/>
              </w:rPr>
              <w:t>الرعاف</w:t>
            </w:r>
            <w:r>
              <w:rPr>
                <w:rStyle w:val="IndexLink"/>
                <w:rtl w:val="true"/>
              </w:rPr>
              <w:tab/>
            </w:r>
            <w:r>
              <w:rPr>
                <w:rStyle w:val="IndexLink"/>
              </w:rPr>
              <w:t>44</w:t>
            </w:r>
          </w:hyperlink>
        </w:p>
        <w:p>
          <w:pPr>
            <w:pStyle w:val="Contents4"/>
            <w:tabs>
              <w:tab w:val="clear" w:pos="8176"/>
              <w:tab w:val="right" w:pos="9026" w:leader="dot"/>
            </w:tabs>
            <w:rPr/>
          </w:pPr>
          <w:hyperlink w:anchor="__RefHeading___Toc38968_2142443653">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38970_2142443653">
            <w:r>
              <w:rPr>
                <w:webHidden/>
                <w:rStyle w:val="IndexLink"/>
                <w:rtl w:val="true"/>
              </w:rPr>
              <w:t>عمرو بن شمر ضعیف</w:t>
            </w:r>
            <w:r>
              <w:rPr>
                <w:rStyle w:val="IndexLink"/>
                <w:rtl w:val="true"/>
              </w:rPr>
              <w:tab/>
            </w:r>
            <w:r>
              <w:rPr>
                <w:rStyle w:val="IndexLink"/>
              </w:rPr>
              <w:t>45</w:t>
            </w:r>
          </w:hyperlink>
        </w:p>
        <w:p>
          <w:pPr>
            <w:pStyle w:val="Contents4"/>
            <w:tabs>
              <w:tab w:val="clear" w:pos="8176"/>
              <w:tab w:val="right" w:pos="9026" w:leader="dot"/>
            </w:tabs>
            <w:rPr/>
          </w:pPr>
          <w:hyperlink w:anchor="__RefHeading___Toc38972_2142443653">
            <w:r>
              <w:rPr>
                <w:webHidden/>
                <w:rStyle w:val="IndexLink"/>
                <w:rtl w:val="true"/>
              </w:rPr>
              <w:t>بحث حول جابر بن یزید</w:t>
            </w:r>
            <w:r>
              <w:rPr>
                <w:rStyle w:val="IndexLink"/>
                <w:rtl w:val="true"/>
              </w:rPr>
              <w:tab/>
            </w:r>
            <w:r>
              <w:rPr>
                <w:rStyle w:val="IndexLink"/>
              </w:rPr>
              <w:t>45</w:t>
            </w:r>
          </w:hyperlink>
        </w:p>
        <w:p>
          <w:pPr>
            <w:pStyle w:val="Contents4"/>
            <w:tabs>
              <w:tab w:val="clear" w:pos="8176"/>
              <w:tab w:val="right" w:pos="9026" w:leader="dot"/>
            </w:tabs>
            <w:rPr/>
          </w:pPr>
          <w:hyperlink w:anchor="__RefHeading___Toc38974_2142443653">
            <w:r>
              <w:rPr>
                <w:webHidden/>
                <w:rStyle w:val="IndexLink"/>
                <w:rtl w:val="true"/>
              </w:rPr>
              <w:t>معنی الدورق</w:t>
            </w:r>
            <w:r>
              <w:rPr>
                <w:rStyle w:val="IndexLink"/>
                <w:rtl w:val="true"/>
              </w:rPr>
              <w:tab/>
            </w:r>
            <w:r>
              <w:rPr>
                <w:rStyle w:val="IndexLink"/>
              </w:rPr>
              <w:t>47</w:t>
            </w:r>
          </w:hyperlink>
        </w:p>
        <w:p>
          <w:pPr>
            <w:pStyle w:val="Contents4"/>
            <w:tabs>
              <w:tab w:val="clear" w:pos="8176"/>
              <w:tab w:val="right" w:pos="9026" w:leader="dot"/>
            </w:tabs>
            <w:rPr/>
          </w:pPr>
          <w:hyperlink w:anchor="__RefHeading___Toc38976_2142443653">
            <w:r>
              <w:rPr>
                <w:webHidden/>
                <w:rStyle w:val="IndexLink"/>
                <w:rtl w:val="true"/>
              </w:rPr>
              <w:t>معنی المدّة</w:t>
            </w:r>
            <w:r>
              <w:rPr>
                <w:rStyle w:val="IndexLink"/>
                <w:rtl w:val="true"/>
              </w:rPr>
              <w:tab/>
            </w:r>
            <w:r>
              <w:rPr>
                <w:rStyle w:val="IndexLink"/>
              </w:rPr>
              <w:t>47</w:t>
            </w:r>
          </w:hyperlink>
        </w:p>
        <w:p>
          <w:pPr>
            <w:pStyle w:val="Contents4"/>
            <w:tabs>
              <w:tab w:val="clear" w:pos="8176"/>
              <w:tab w:val="right" w:pos="9026" w:leader="dot"/>
            </w:tabs>
            <w:rPr/>
          </w:pPr>
          <w:hyperlink w:anchor="__RefHeading___Toc38978_2142443653">
            <w:r>
              <w:rPr>
                <w:webHidden/>
                <w:rStyle w:val="IndexLink"/>
                <w:rtl w:val="true"/>
              </w:rPr>
              <w:t>طریق الشیخ فی الفهرست إلی کتاب أیوب بن الحر غیر سلیم</w:t>
            </w:r>
            <w:r>
              <w:rPr>
                <w:rStyle w:val="IndexLink"/>
                <w:rtl w:val="true"/>
              </w:rPr>
              <w:tab/>
            </w:r>
            <w:r>
              <w:rPr>
                <w:rStyle w:val="IndexLink"/>
              </w:rPr>
              <w:t>49</w:t>
            </w:r>
          </w:hyperlink>
        </w:p>
        <w:p>
          <w:pPr>
            <w:pStyle w:val="Contents4"/>
            <w:tabs>
              <w:tab w:val="clear" w:pos="8176"/>
              <w:tab w:val="right" w:pos="9026" w:leader="dot"/>
            </w:tabs>
            <w:rPr/>
          </w:pPr>
          <w:hyperlink w:anchor="__RefHeading___Toc38980_2142443653">
            <w:r>
              <w:rPr>
                <w:webHidden/>
                <w:rStyle w:val="IndexLink"/>
                <w:rtl w:val="true"/>
              </w:rPr>
              <w:t>طرق الشیخ فی الفهرست إلی کتب الرواة غیر شاملة لسائر روایاتهم</w:t>
            </w:r>
            <w:r>
              <w:rPr>
                <w:rStyle w:val="IndexLink"/>
                <w:rtl w:val="true"/>
              </w:rPr>
              <w:tab/>
            </w:r>
            <w:r>
              <w:rPr>
                <w:rStyle w:val="IndexLink"/>
              </w:rPr>
              <w:t>49</w:t>
            </w:r>
          </w:hyperlink>
        </w:p>
        <w:p>
          <w:pPr>
            <w:pStyle w:val="Contents4"/>
            <w:tabs>
              <w:tab w:val="clear" w:pos="8176"/>
              <w:tab w:val="right" w:pos="9026" w:leader="dot"/>
            </w:tabs>
            <w:rPr/>
          </w:pPr>
          <w:hyperlink w:anchor="__RefHeading___Toc38982_2142443653">
            <w:r>
              <w:rPr>
                <w:webHidden/>
                <w:rStyle w:val="IndexLink"/>
                <w:rtl w:val="true"/>
              </w:rPr>
              <w:t>الحسن بن علی بن بنت إلیاس حسن</w:t>
            </w:r>
            <w:r>
              <w:rPr>
                <w:rStyle w:val="IndexLink"/>
                <w:rtl w:val="true"/>
              </w:rPr>
              <w:tab/>
            </w:r>
            <w:r>
              <w:rPr>
                <w:rStyle w:val="IndexLink"/>
              </w:rPr>
              <w:t>50</w:t>
            </w:r>
          </w:hyperlink>
        </w:p>
        <w:p>
          <w:pPr>
            <w:pStyle w:val="Contents4"/>
            <w:tabs>
              <w:tab w:val="clear" w:pos="8176"/>
              <w:tab w:val="right" w:pos="9026" w:leader="dot"/>
            </w:tabs>
            <w:rPr/>
          </w:pPr>
          <w:hyperlink w:anchor="__RefHeading___Toc38984_2142443653">
            <w:r>
              <w:rPr>
                <w:webHidden/>
                <w:rStyle w:val="IndexLink"/>
                <w:rtl w:val="true"/>
              </w:rPr>
              <w:t>ابو حبیب الأسدی مجهول</w:t>
            </w:r>
            <w:r>
              <w:rPr>
                <w:rStyle w:val="IndexLink"/>
                <w:rtl w:val="true"/>
              </w:rPr>
              <w:tab/>
            </w:r>
            <w:r>
              <w:rPr>
                <w:rStyle w:val="IndexLink"/>
              </w:rPr>
              <w:t>50</w:t>
            </w:r>
          </w:hyperlink>
        </w:p>
        <w:p>
          <w:pPr>
            <w:pStyle w:val="Contents3"/>
            <w:tabs>
              <w:tab w:val="clear" w:pos="8459"/>
              <w:tab w:val="right" w:pos="9026" w:leader="dot"/>
            </w:tabs>
            <w:rPr/>
          </w:pPr>
          <w:hyperlink w:anchor="__RefHeading___Toc38986_2142443653">
            <w:r>
              <w:rPr>
                <w:webHidden/>
                <w:rStyle w:val="IndexLink"/>
                <w:rtl w:val="true"/>
              </w:rPr>
              <w:t>الضحک والقهقهة</w:t>
            </w:r>
            <w:r>
              <w:rPr>
                <w:rStyle w:val="IndexLink"/>
                <w:rtl w:val="true"/>
              </w:rPr>
              <w:tab/>
            </w:r>
            <w:r>
              <w:rPr>
                <w:rStyle w:val="IndexLink"/>
              </w:rPr>
              <w:t>52</w:t>
            </w:r>
          </w:hyperlink>
        </w:p>
        <w:p>
          <w:pPr>
            <w:pStyle w:val="Contents4"/>
            <w:tabs>
              <w:tab w:val="clear" w:pos="8176"/>
              <w:tab w:val="right" w:pos="9026" w:leader="dot"/>
            </w:tabs>
            <w:rPr/>
          </w:pPr>
          <w:hyperlink w:anchor="__RefHeading___Toc38988_2142443653">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38990_2142443653">
            <w:r>
              <w:rPr>
                <w:webHidden/>
                <w:rStyle w:val="IndexLink"/>
                <w:rtl w:val="true"/>
              </w:rPr>
              <w:t>بحث حول سالم أبی الفضل</w:t>
            </w:r>
            <w:r>
              <w:rPr>
                <w:rStyle w:val="IndexLink"/>
                <w:rtl w:val="true"/>
              </w:rPr>
              <w:tab/>
            </w:r>
            <w:r>
              <w:rPr>
                <w:rStyle w:val="IndexLink"/>
              </w:rPr>
              <w:t>53</w:t>
            </w:r>
          </w:hyperlink>
        </w:p>
        <w:p>
          <w:pPr>
            <w:pStyle w:val="Contents4"/>
            <w:tabs>
              <w:tab w:val="clear" w:pos="8176"/>
              <w:tab w:val="right" w:pos="9026" w:leader="dot"/>
            </w:tabs>
            <w:rPr/>
          </w:pPr>
          <w:hyperlink w:anchor="__RefHeading___Toc38992_2142443653">
            <w:r>
              <w:rPr>
                <w:webHidden/>
                <w:rStyle w:val="IndexLink"/>
                <w:rtl w:val="true"/>
              </w:rPr>
              <w:t>بحث حول محمد بن سهل بن الیسع</w:t>
            </w:r>
            <w:r>
              <w:rPr>
                <w:rStyle w:val="IndexLink"/>
                <w:rtl w:val="true"/>
              </w:rPr>
              <w:tab/>
            </w:r>
            <w:r>
              <w:rPr>
                <w:rStyle w:val="IndexLink"/>
              </w:rPr>
              <w:t>53</w:t>
            </w:r>
          </w:hyperlink>
        </w:p>
        <w:p>
          <w:pPr>
            <w:pStyle w:val="Contents4"/>
            <w:tabs>
              <w:tab w:val="clear" w:pos="8176"/>
              <w:tab w:val="right" w:pos="9026" w:leader="dot"/>
            </w:tabs>
            <w:rPr/>
          </w:pPr>
          <w:hyperlink w:anchor="__RefHeading___Toc38994_2142443653">
            <w:r>
              <w:rPr>
                <w:webHidden/>
                <w:rStyle w:val="IndexLink"/>
                <w:rtl w:val="true"/>
              </w:rPr>
              <w:t>زکریا بن آدم ثقة</w:t>
            </w:r>
            <w:r>
              <w:rPr>
                <w:rStyle w:val="IndexLink"/>
                <w:rtl w:val="true"/>
              </w:rPr>
              <w:tab/>
            </w:r>
            <w:r>
              <w:rPr>
                <w:rStyle w:val="IndexLink"/>
              </w:rPr>
              <w:t>53</w:t>
            </w:r>
          </w:hyperlink>
        </w:p>
        <w:p>
          <w:pPr>
            <w:pStyle w:val="Contents4"/>
            <w:tabs>
              <w:tab w:val="clear" w:pos="8176"/>
              <w:tab w:val="right" w:pos="9026" w:leader="dot"/>
            </w:tabs>
            <w:rPr/>
          </w:pPr>
          <w:hyperlink w:anchor="__RefHeading___Toc38996_2142443653">
            <w:r>
              <w:rPr>
                <w:webHidden/>
                <w:rStyle w:val="IndexLink"/>
                <w:rtl w:val="true"/>
              </w:rPr>
              <w:t>حصر النواقض فی ما یخرج من الطرفین إضافی لا ینافی نقض غیره</w:t>
            </w:r>
            <w:r>
              <w:rPr>
                <w:rStyle w:val="IndexLink"/>
                <w:rtl w:val="true"/>
              </w:rPr>
              <w:tab/>
            </w:r>
            <w:r>
              <w:rPr>
                <w:rStyle w:val="IndexLink"/>
              </w:rPr>
              <w:t>53</w:t>
            </w:r>
          </w:hyperlink>
        </w:p>
        <w:p>
          <w:pPr>
            <w:pStyle w:val="Contents4"/>
            <w:tabs>
              <w:tab w:val="clear" w:pos="8176"/>
              <w:tab w:val="right" w:pos="9026" w:leader="dot"/>
            </w:tabs>
            <w:rPr/>
          </w:pPr>
          <w:hyperlink w:anchor="__RefHeading___Toc38998_2142443653">
            <w:r>
              <w:rPr>
                <w:webHidden/>
                <w:rStyle w:val="IndexLink"/>
                <w:rtl w:val="true"/>
              </w:rPr>
              <w:t>هل ینقض الوضوء ما یخرج من غیر السبیلین</w:t>
            </w:r>
            <w:r>
              <w:rPr>
                <w:rStyle w:val="IndexLink"/>
                <w:rtl w:val="true"/>
              </w:rPr>
              <w:tab/>
            </w:r>
            <w:r>
              <w:rPr>
                <w:rStyle w:val="IndexLink"/>
              </w:rPr>
              <w:t>54</w:t>
            </w:r>
          </w:hyperlink>
        </w:p>
        <w:p>
          <w:pPr>
            <w:pStyle w:val="Contents4"/>
            <w:tabs>
              <w:tab w:val="clear" w:pos="8176"/>
              <w:tab w:val="right" w:pos="9026" w:leader="dot"/>
            </w:tabs>
            <w:rPr/>
          </w:pPr>
          <w:hyperlink w:anchor="__RefHeading___Toc39000_2142443653">
            <w:r>
              <w:rPr>
                <w:webHidden/>
                <w:rStyle w:val="IndexLink"/>
                <w:rtl w:val="true"/>
              </w:rPr>
              <w:t>اشتراک محمد بن اسماعیل مع غیره من مشایخ الإجازة فی عدم التنصیص بالتوثیق</w:t>
            </w:r>
            <w:r>
              <w:rPr>
                <w:rStyle w:val="IndexLink"/>
                <w:rtl w:val="true"/>
              </w:rPr>
              <w:tab/>
            </w:r>
            <w:r>
              <w:rPr>
                <w:rStyle w:val="IndexLink"/>
              </w:rPr>
              <w:t>54</w:t>
            </w:r>
          </w:hyperlink>
        </w:p>
        <w:p>
          <w:pPr>
            <w:pStyle w:val="Contents4"/>
            <w:tabs>
              <w:tab w:val="clear" w:pos="8176"/>
              <w:tab w:val="right" w:pos="9026" w:leader="dot"/>
            </w:tabs>
            <w:rPr/>
          </w:pPr>
          <w:hyperlink w:anchor="__RefHeading___Toc39002_2142443653">
            <w:r>
              <w:rPr>
                <w:webHidden/>
                <w:rStyle w:val="IndexLink"/>
                <w:rtl w:val="true"/>
              </w:rPr>
              <w:t>معنی الناصور</w:t>
            </w:r>
            <w:r>
              <w:rPr>
                <w:rStyle w:val="IndexLink"/>
                <w:rtl w:val="true"/>
              </w:rPr>
              <w:tab/>
            </w:r>
            <w:r>
              <w:rPr>
                <w:rStyle w:val="IndexLink"/>
              </w:rPr>
              <w:t>56</w:t>
            </w:r>
          </w:hyperlink>
        </w:p>
        <w:p>
          <w:pPr>
            <w:pStyle w:val="Contents4"/>
            <w:tabs>
              <w:tab w:val="clear" w:pos="8176"/>
              <w:tab w:val="right" w:pos="9026" w:leader="dot"/>
            </w:tabs>
            <w:rPr/>
          </w:pPr>
          <w:hyperlink w:anchor="__RefHeading___Toc39004_2142443653">
            <w:r>
              <w:rPr>
                <w:webHidden/>
                <w:rStyle w:val="IndexLink"/>
                <w:rtl w:val="true"/>
              </w:rPr>
              <w:t>توجیه الأخبار الدالّة علی أنّ الضحک ینقض الوضوء</w:t>
            </w:r>
            <w:r>
              <w:rPr>
                <w:rStyle w:val="IndexLink"/>
                <w:rtl w:val="true"/>
              </w:rPr>
              <w:tab/>
            </w:r>
            <w:r>
              <w:rPr>
                <w:rStyle w:val="IndexLink"/>
              </w:rPr>
              <w:t>57</w:t>
            </w:r>
          </w:hyperlink>
        </w:p>
        <w:p>
          <w:pPr>
            <w:pStyle w:val="Contents4"/>
            <w:tabs>
              <w:tab w:val="clear" w:pos="8176"/>
              <w:tab w:val="right" w:pos="9026" w:leader="dot"/>
            </w:tabs>
            <w:rPr/>
          </w:pPr>
          <w:hyperlink w:anchor="__RefHeading___Toc39006_2142443653">
            <w:r>
              <w:rPr>
                <w:webHidden/>
                <w:rStyle w:val="IndexLink"/>
                <w:rtl w:val="true"/>
              </w:rPr>
              <w:t>معنی القهقهة</w:t>
            </w:r>
            <w:r>
              <w:rPr>
                <w:rStyle w:val="IndexLink"/>
                <w:rtl w:val="true"/>
              </w:rPr>
              <w:tab/>
            </w:r>
            <w:r>
              <w:rPr>
                <w:rStyle w:val="IndexLink"/>
              </w:rPr>
              <w:t>57</w:t>
            </w:r>
          </w:hyperlink>
        </w:p>
        <w:p>
          <w:pPr>
            <w:pStyle w:val="Contents3"/>
            <w:tabs>
              <w:tab w:val="clear" w:pos="8459"/>
              <w:tab w:val="right" w:pos="9026" w:leader="dot"/>
            </w:tabs>
            <w:rPr/>
          </w:pPr>
          <w:hyperlink w:anchor="__RefHeading___Toc39008_2142443653">
            <w:r>
              <w:rPr>
                <w:webHidden/>
                <w:rStyle w:val="IndexLink"/>
                <w:rtl w:val="true"/>
              </w:rPr>
              <w:t>إنشاد الشعر</w:t>
            </w:r>
            <w:r>
              <w:rPr>
                <w:rStyle w:val="IndexLink"/>
                <w:rtl w:val="true"/>
              </w:rPr>
              <w:tab/>
            </w:r>
            <w:r>
              <w:rPr>
                <w:rStyle w:val="IndexLink"/>
              </w:rPr>
              <w:t>58</w:t>
            </w:r>
          </w:hyperlink>
        </w:p>
        <w:p>
          <w:pPr>
            <w:pStyle w:val="Contents4"/>
            <w:tabs>
              <w:tab w:val="clear" w:pos="8176"/>
              <w:tab w:val="right" w:pos="9026" w:leader="dot"/>
            </w:tabs>
            <w:rPr/>
          </w:pPr>
          <w:hyperlink w:anchor="__RefHeading___Toc39010_2142443653">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39012_2142443653">
            <w:r>
              <w:rPr>
                <w:webHidden/>
                <w:rStyle w:val="IndexLink"/>
                <w:rtl w:val="true"/>
              </w:rPr>
              <w:t>معاویة بن میسرة مهمل</w:t>
            </w:r>
            <w:r>
              <w:rPr>
                <w:rStyle w:val="IndexLink"/>
                <w:rtl w:val="true"/>
              </w:rPr>
              <w:tab/>
            </w:r>
            <w:r>
              <w:rPr>
                <w:rStyle w:val="IndexLink"/>
              </w:rPr>
              <w:t>59</w:t>
            </w:r>
          </w:hyperlink>
        </w:p>
        <w:p>
          <w:pPr>
            <w:pStyle w:val="Contents3"/>
            <w:tabs>
              <w:tab w:val="clear" w:pos="8459"/>
              <w:tab w:val="right" w:pos="9026" w:leader="dot"/>
            </w:tabs>
            <w:rPr/>
          </w:pPr>
          <w:hyperlink w:anchor="__RefHeading___Toc39014_2142443653">
            <w:r>
              <w:rPr>
                <w:webHidden/>
                <w:rStyle w:val="IndexLink"/>
                <w:rtl w:val="true"/>
              </w:rPr>
              <w:t>القُبلة ومسّ الفرج</w:t>
            </w:r>
            <w:r>
              <w:rPr>
                <w:rStyle w:val="IndexLink"/>
                <w:rtl w:val="true"/>
              </w:rPr>
              <w:tab/>
            </w:r>
            <w:r>
              <w:rPr>
                <w:rStyle w:val="IndexLink"/>
              </w:rPr>
              <w:t>60</w:t>
            </w:r>
          </w:hyperlink>
        </w:p>
        <w:p>
          <w:pPr>
            <w:pStyle w:val="Contents4"/>
            <w:tabs>
              <w:tab w:val="clear" w:pos="8176"/>
              <w:tab w:val="right" w:pos="9026" w:leader="dot"/>
            </w:tabs>
            <w:rPr/>
          </w:pPr>
          <w:hyperlink w:anchor="__RefHeading___Toc39016_2142443653">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39018_2142443653">
            <w:r>
              <w:rPr>
                <w:webHidden/>
                <w:rStyle w:val="IndexLink"/>
                <w:rtl w:val="true"/>
              </w:rPr>
              <w:t>أحمد بن محمد الراوی عن أبان بن عثمان هو ابن أبی نصر</w:t>
            </w:r>
            <w:r>
              <w:rPr>
                <w:rStyle w:val="IndexLink"/>
                <w:rtl w:val="true"/>
              </w:rPr>
              <w:tab/>
            </w:r>
            <w:r>
              <w:rPr>
                <w:rStyle w:val="IndexLink"/>
              </w:rPr>
              <w:t>61</w:t>
            </w:r>
          </w:hyperlink>
        </w:p>
        <w:p>
          <w:pPr>
            <w:pStyle w:val="Contents4"/>
            <w:tabs>
              <w:tab w:val="clear" w:pos="8176"/>
              <w:tab w:val="right" w:pos="9026" w:leader="dot"/>
            </w:tabs>
            <w:rPr/>
          </w:pPr>
          <w:hyperlink w:anchor="__RefHeading___Toc39020_2142443653">
            <w:r>
              <w:rPr>
                <w:webHidden/>
                <w:rStyle w:val="IndexLink"/>
                <w:rtl w:val="true"/>
              </w:rPr>
              <w:t>ابو مریم الأنصاری ثقة</w:t>
            </w:r>
            <w:r>
              <w:rPr>
                <w:rStyle w:val="IndexLink"/>
                <w:rtl w:val="true"/>
              </w:rPr>
              <w:tab/>
            </w:r>
            <w:r>
              <w:rPr>
                <w:rStyle w:val="IndexLink"/>
              </w:rPr>
              <w:t>61</w:t>
            </w:r>
          </w:hyperlink>
        </w:p>
        <w:p>
          <w:pPr>
            <w:pStyle w:val="Contents4"/>
            <w:tabs>
              <w:tab w:val="clear" w:pos="8176"/>
              <w:tab w:val="right" w:pos="9026" w:leader="dot"/>
            </w:tabs>
            <w:rPr/>
          </w:pPr>
          <w:hyperlink w:anchor="__RefHeading___Toc39022_2142443653">
            <w:r>
              <w:rPr>
                <w:webHidden/>
                <w:rStyle w:val="IndexLink"/>
                <w:rtl w:val="true"/>
              </w:rPr>
              <w:t>قول ابن الجنید بناقضیة القبلة ومسّ الفرج للوضوء ، وجوابه</w:t>
            </w:r>
            <w:r>
              <w:rPr>
                <w:rStyle w:val="IndexLink"/>
                <w:rtl w:val="true"/>
              </w:rPr>
              <w:tab/>
            </w:r>
            <w:r>
              <w:rPr>
                <w:rStyle w:val="IndexLink"/>
              </w:rPr>
              <w:t>62</w:t>
            </w:r>
          </w:hyperlink>
        </w:p>
        <w:p>
          <w:pPr>
            <w:pStyle w:val="Contents4"/>
            <w:tabs>
              <w:tab w:val="clear" w:pos="8176"/>
              <w:tab w:val="right" w:pos="9026" w:leader="dot"/>
            </w:tabs>
            <w:rPr/>
          </w:pPr>
          <w:hyperlink w:anchor="__RefHeading___Toc39024_2142443653">
            <w:r>
              <w:rPr>
                <w:webHidden/>
                <w:rStyle w:val="IndexLink"/>
                <w:rtl w:val="true"/>
              </w:rPr>
              <w:t xml:space="preserve">احتمالات فی المراد بقوله علیه السلام فی روایة الحلبی </w:t>
            </w:r>
            <w:r>
              <w:rPr>
                <w:rStyle w:val="IndexLink"/>
                <w:rtl w:val="true"/>
              </w:rPr>
              <w:t xml:space="preserve">: « </w:t>
            </w:r>
            <w:r>
              <w:rPr>
                <w:rStyle w:val="IndexLink"/>
                <w:rtl w:val="true"/>
              </w:rPr>
              <w:t xml:space="preserve">لا بأس </w:t>
            </w:r>
            <w:r>
              <w:rPr>
                <w:rStyle w:val="IndexLink"/>
                <w:rtl w:val="true"/>
              </w:rPr>
              <w:t>»</w:t>
              <w:tab/>
            </w:r>
            <w:r>
              <w:rPr>
                <w:rStyle w:val="IndexLink"/>
              </w:rPr>
              <w:t>62</w:t>
            </w:r>
          </w:hyperlink>
        </w:p>
        <w:p>
          <w:pPr>
            <w:pStyle w:val="Contents4"/>
            <w:tabs>
              <w:tab w:val="clear" w:pos="8176"/>
              <w:tab w:val="right" w:pos="9026" w:leader="dot"/>
            </w:tabs>
            <w:rPr/>
          </w:pPr>
          <w:hyperlink w:anchor="__RefHeading___Toc39026_2142443653">
            <w:r>
              <w:rPr>
                <w:webHidden/>
                <w:rStyle w:val="IndexLink"/>
                <w:rtl w:val="true"/>
              </w:rPr>
              <w:t>مناقشة فی حمل الشیخ الوضوء علی غَسل الید</w:t>
            </w:r>
            <w:r>
              <w:rPr>
                <w:rStyle w:val="IndexLink"/>
                <w:rtl w:val="true"/>
              </w:rPr>
              <w:tab/>
            </w:r>
            <w:r>
              <w:rPr>
                <w:rStyle w:val="IndexLink"/>
              </w:rPr>
              <w:t>64</w:t>
            </w:r>
          </w:hyperlink>
        </w:p>
        <w:p>
          <w:pPr>
            <w:pStyle w:val="Contents4"/>
            <w:tabs>
              <w:tab w:val="clear" w:pos="8176"/>
              <w:tab w:val="right" w:pos="9026" w:leader="dot"/>
            </w:tabs>
            <w:rPr/>
          </w:pPr>
          <w:hyperlink w:anchor="__RefHeading___Toc39028_2142443653">
            <w:r>
              <w:rPr>
                <w:webHidden/>
                <w:rStyle w:val="IndexLink"/>
                <w:rtl w:val="true"/>
              </w:rPr>
              <w:t>قول ابن بابویه بناقضیة مسّ باطن الدبر ، وقول ابن الجنید بناقضیة مسّ ما انضمّ الیه الثقبان ، والجواب عنهما</w:t>
            </w:r>
            <w:r>
              <w:rPr>
                <w:rStyle w:val="IndexLink"/>
                <w:rtl w:val="true"/>
              </w:rPr>
              <w:tab/>
            </w:r>
            <w:r>
              <w:rPr>
                <w:rStyle w:val="IndexLink"/>
              </w:rPr>
              <w:t>65</w:t>
            </w:r>
          </w:hyperlink>
        </w:p>
        <w:p>
          <w:pPr>
            <w:pStyle w:val="Contents4"/>
            <w:tabs>
              <w:tab w:val="clear" w:pos="8176"/>
              <w:tab w:val="right" w:pos="9026" w:leader="dot"/>
            </w:tabs>
            <w:rPr/>
          </w:pPr>
          <w:hyperlink w:anchor="__RefHeading___Toc39030_2142443653">
            <w:r>
              <w:rPr>
                <w:webHidden/>
                <w:rStyle w:val="IndexLink"/>
                <w:rtl w:val="true"/>
              </w:rPr>
              <w:t>حصر النواقض فی الأخبار الدالّة علیه إضافی</w:t>
            </w:r>
            <w:r>
              <w:rPr>
                <w:rStyle w:val="IndexLink"/>
                <w:rtl w:val="true"/>
              </w:rPr>
              <w:tab/>
            </w:r>
            <w:r>
              <w:rPr>
                <w:rStyle w:val="IndexLink"/>
              </w:rPr>
              <w:t>65</w:t>
            </w:r>
          </w:hyperlink>
        </w:p>
        <w:p>
          <w:pPr>
            <w:pStyle w:val="Contents4"/>
            <w:tabs>
              <w:tab w:val="clear" w:pos="8176"/>
              <w:tab w:val="right" w:pos="9026" w:leader="dot"/>
            </w:tabs>
            <w:rPr/>
          </w:pPr>
          <w:hyperlink w:anchor="__RefHeading___Toc39032_2142443653">
            <w:r>
              <w:rPr>
                <w:webHidden/>
                <w:rStyle w:val="IndexLink"/>
                <w:rtl w:val="true"/>
              </w:rPr>
              <w:t>دلالة موثّقة عمار علی قول ابن بابویه ظاهرة</w:t>
            </w:r>
            <w:r>
              <w:rPr>
                <w:rStyle w:val="IndexLink"/>
                <w:rtl w:val="true"/>
              </w:rPr>
              <w:tab/>
            </w:r>
            <w:r>
              <w:rPr>
                <w:rStyle w:val="IndexLink"/>
              </w:rPr>
              <w:t>67</w:t>
            </w:r>
          </w:hyperlink>
        </w:p>
        <w:p>
          <w:pPr>
            <w:pStyle w:val="Contents4"/>
            <w:tabs>
              <w:tab w:val="clear" w:pos="8176"/>
              <w:tab w:val="right" w:pos="9026" w:leader="dot"/>
            </w:tabs>
            <w:rPr/>
          </w:pPr>
          <w:hyperlink w:anchor="__RefHeading___Toc39034_2142443653">
            <w:r>
              <w:rPr>
                <w:webHidden/>
                <w:rStyle w:val="IndexLink"/>
                <w:rtl w:val="true"/>
              </w:rPr>
              <w:t>المناقشة فی جواب العلّامة عن حجّة ابن بابویه وابن الجنید</w:t>
            </w:r>
            <w:r>
              <w:rPr>
                <w:rStyle w:val="IndexLink"/>
                <w:rtl w:val="true"/>
              </w:rPr>
              <w:tab/>
            </w:r>
            <w:r>
              <w:rPr>
                <w:rStyle w:val="IndexLink"/>
              </w:rPr>
              <w:t>68</w:t>
            </w:r>
          </w:hyperlink>
        </w:p>
        <w:p>
          <w:pPr>
            <w:pStyle w:val="Contents3"/>
            <w:tabs>
              <w:tab w:val="clear" w:pos="8459"/>
              <w:tab w:val="right" w:pos="9026" w:leader="dot"/>
            </w:tabs>
            <w:rPr/>
          </w:pPr>
          <w:hyperlink w:anchor="__RefHeading___Toc39036_2142443653">
            <w:r>
              <w:rPr>
                <w:webHidden/>
                <w:rStyle w:val="IndexLink"/>
                <w:rtl w:val="true"/>
              </w:rPr>
              <w:t>مصافحة الکافر ومسّ الکلب</w:t>
            </w:r>
            <w:r>
              <w:rPr>
                <w:rStyle w:val="IndexLink"/>
                <w:rtl w:val="true"/>
              </w:rPr>
              <w:tab/>
            </w:r>
            <w:r>
              <w:rPr>
                <w:rStyle w:val="IndexLink"/>
              </w:rPr>
              <w:t>68</w:t>
            </w:r>
          </w:hyperlink>
        </w:p>
        <w:p>
          <w:pPr>
            <w:pStyle w:val="Contents4"/>
            <w:tabs>
              <w:tab w:val="clear" w:pos="8176"/>
              <w:tab w:val="right" w:pos="9026" w:leader="dot"/>
            </w:tabs>
            <w:rPr/>
          </w:pPr>
          <w:hyperlink w:anchor="__RefHeading___Toc39038_2142443653">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39040_2142443653">
            <w:r>
              <w:rPr>
                <w:webHidden/>
                <w:rStyle w:val="IndexLink"/>
                <w:rtl w:val="true"/>
              </w:rPr>
              <w:t>أبو عبدالله الرازی الجامورانی ضعیف</w:t>
            </w:r>
            <w:r>
              <w:rPr>
                <w:rStyle w:val="IndexLink"/>
                <w:rtl w:val="true"/>
              </w:rPr>
              <w:tab/>
            </w:r>
            <w:r>
              <w:rPr>
                <w:rStyle w:val="IndexLink"/>
              </w:rPr>
              <w:t>69</w:t>
            </w:r>
          </w:hyperlink>
        </w:p>
        <w:p>
          <w:pPr>
            <w:pStyle w:val="Contents4"/>
            <w:tabs>
              <w:tab w:val="clear" w:pos="8176"/>
              <w:tab w:val="right" w:pos="9026" w:leader="dot"/>
            </w:tabs>
            <w:rPr/>
          </w:pPr>
          <w:hyperlink w:anchor="__RefHeading___Toc39042_2142443653">
            <w:r>
              <w:rPr>
                <w:webHidden/>
                <w:rStyle w:val="IndexLink"/>
                <w:rtl w:val="true"/>
              </w:rPr>
              <w:t>الحسن بن علی بن أبی حمزة واقفی رمی بالکذب</w:t>
            </w:r>
            <w:r>
              <w:rPr>
                <w:rStyle w:val="IndexLink"/>
                <w:rtl w:val="true"/>
              </w:rPr>
              <w:tab/>
            </w:r>
            <w:r>
              <w:rPr>
                <w:rStyle w:val="IndexLink"/>
              </w:rPr>
              <w:t>69</w:t>
            </w:r>
          </w:hyperlink>
        </w:p>
        <w:p>
          <w:pPr>
            <w:pStyle w:val="Contents4"/>
            <w:tabs>
              <w:tab w:val="clear" w:pos="8176"/>
              <w:tab w:val="right" w:pos="9026" w:leader="dot"/>
            </w:tabs>
            <w:rPr/>
          </w:pPr>
          <w:hyperlink w:anchor="__RefHeading___Toc39044_2142443653">
            <w:r>
              <w:rPr>
                <w:webHidden/>
                <w:rStyle w:val="IndexLink"/>
                <w:rtl w:val="true"/>
              </w:rPr>
              <w:t>عیسی بن عمر مجهول الحال</w:t>
            </w:r>
            <w:r>
              <w:rPr>
                <w:rStyle w:val="IndexLink"/>
                <w:rtl w:val="true"/>
              </w:rPr>
              <w:tab/>
            </w:r>
            <w:r>
              <w:rPr>
                <w:rStyle w:val="IndexLink"/>
              </w:rPr>
              <w:t>69</w:t>
            </w:r>
          </w:hyperlink>
        </w:p>
        <w:p>
          <w:pPr>
            <w:pStyle w:val="Contents4"/>
            <w:tabs>
              <w:tab w:val="clear" w:pos="8176"/>
              <w:tab w:val="right" w:pos="9026" w:leader="dot"/>
            </w:tabs>
            <w:rPr/>
          </w:pPr>
          <w:hyperlink w:anchor="__RefHeading___Toc39046_2142443653">
            <w:r>
              <w:rPr>
                <w:webHidden/>
                <w:rStyle w:val="IndexLink"/>
                <w:rtl w:val="true"/>
              </w:rPr>
              <w:t>حکم مصافحة الکافر مع الرطوبة والیبوسة</w:t>
            </w:r>
            <w:r>
              <w:rPr>
                <w:rStyle w:val="IndexLink"/>
                <w:rtl w:val="true"/>
              </w:rPr>
              <w:tab/>
            </w:r>
            <w:r>
              <w:rPr>
                <w:rStyle w:val="IndexLink"/>
              </w:rPr>
              <w:t>70</w:t>
            </w:r>
          </w:hyperlink>
        </w:p>
        <w:p>
          <w:pPr>
            <w:pStyle w:val="Contents4"/>
            <w:tabs>
              <w:tab w:val="clear" w:pos="8176"/>
              <w:tab w:val="right" w:pos="9026" w:leader="dot"/>
            </w:tabs>
            <w:rPr/>
          </w:pPr>
          <w:hyperlink w:anchor="__RefHeading___Toc39048_2142443653">
            <w:r>
              <w:rPr>
                <w:webHidden/>
                <w:rStyle w:val="IndexLink"/>
                <w:rtl w:val="true"/>
              </w:rPr>
              <w:t>حکم مسّ الکلب والخنزیر مع الرطوبة والیبوسة</w:t>
            </w:r>
            <w:r>
              <w:rPr>
                <w:rStyle w:val="IndexLink"/>
                <w:rtl w:val="true"/>
              </w:rPr>
              <w:tab/>
            </w:r>
            <w:r>
              <w:rPr>
                <w:rStyle w:val="IndexLink"/>
              </w:rPr>
              <w:t>71</w:t>
            </w:r>
          </w:hyperlink>
        </w:p>
        <w:p>
          <w:pPr>
            <w:pStyle w:val="Contents3"/>
            <w:tabs>
              <w:tab w:val="clear" w:pos="8459"/>
              <w:tab w:val="right" w:pos="9026" w:leader="dot"/>
            </w:tabs>
            <w:rPr/>
          </w:pPr>
          <w:hyperlink w:anchor="__RefHeading___Toc39050_2142443653">
            <w:r>
              <w:rPr>
                <w:webHidden/>
                <w:rStyle w:val="IndexLink"/>
                <w:rtl w:val="true"/>
              </w:rPr>
              <w:t>الریح یجدها الإنسان فی بطنه</w:t>
            </w:r>
            <w:r>
              <w:rPr>
                <w:rStyle w:val="IndexLink"/>
                <w:rtl w:val="true"/>
              </w:rPr>
              <w:tab/>
            </w:r>
            <w:r>
              <w:rPr>
                <w:rStyle w:val="IndexLink"/>
              </w:rPr>
              <w:t>72</w:t>
            </w:r>
          </w:hyperlink>
        </w:p>
        <w:p>
          <w:pPr>
            <w:pStyle w:val="Contents4"/>
            <w:tabs>
              <w:tab w:val="clear" w:pos="8176"/>
              <w:tab w:val="right" w:pos="9026" w:leader="dot"/>
            </w:tabs>
            <w:rPr/>
          </w:pPr>
          <w:hyperlink w:anchor="__RefHeading___Toc39052_2142443653">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39054_2142443653">
            <w:r>
              <w:rPr>
                <w:webHidden/>
                <w:rStyle w:val="IndexLink"/>
                <w:rtl w:val="true"/>
              </w:rPr>
              <w:t>أحمد بن هلال ضعیف</w:t>
            </w:r>
            <w:r>
              <w:rPr>
                <w:rStyle w:val="IndexLink"/>
                <w:rtl w:val="true"/>
              </w:rPr>
              <w:tab/>
            </w:r>
            <w:r>
              <w:rPr>
                <w:rStyle w:val="IndexLink"/>
              </w:rPr>
              <w:t>73</w:t>
            </w:r>
          </w:hyperlink>
        </w:p>
        <w:p>
          <w:pPr>
            <w:pStyle w:val="Contents4"/>
            <w:tabs>
              <w:tab w:val="clear" w:pos="8176"/>
              <w:tab w:val="right" w:pos="9026" w:leader="dot"/>
            </w:tabs>
            <w:rPr/>
          </w:pPr>
          <w:hyperlink w:anchor="__RefHeading___Toc39056_2142443653">
            <w:r>
              <w:rPr>
                <w:webHidden/>
                <w:rStyle w:val="IndexLink"/>
                <w:rtl w:val="true"/>
              </w:rPr>
              <w:t>من هو الحسن بن علی الراوی عن أحمد بن هلال؟</w:t>
            </w:r>
            <w:r>
              <w:rPr>
                <w:rStyle w:val="IndexLink"/>
                <w:rtl w:val="true"/>
              </w:rPr>
              <w:tab/>
            </w:r>
            <w:r>
              <w:rPr>
                <w:rStyle w:val="IndexLink"/>
              </w:rPr>
              <w:t>73</w:t>
            </w:r>
          </w:hyperlink>
        </w:p>
        <w:p>
          <w:pPr>
            <w:pStyle w:val="Contents4"/>
            <w:tabs>
              <w:tab w:val="clear" w:pos="8176"/>
              <w:tab w:val="right" w:pos="9026" w:leader="dot"/>
            </w:tabs>
            <w:rPr/>
          </w:pPr>
          <w:hyperlink w:anchor="__RefHeading___Toc39058_2142443653">
            <w:r>
              <w:rPr>
                <w:webHidden/>
                <w:rStyle w:val="IndexLink"/>
                <w:rtl w:val="true"/>
              </w:rPr>
              <w:t>محمد بن الولید مشترک بین ضعیف ومن فیه کلام</w:t>
            </w:r>
            <w:r>
              <w:rPr>
                <w:rStyle w:val="IndexLink"/>
                <w:rtl w:val="true"/>
              </w:rPr>
              <w:tab/>
            </w:r>
            <w:r>
              <w:rPr>
                <w:rStyle w:val="IndexLink"/>
              </w:rPr>
              <w:t>73</w:t>
            </w:r>
          </w:hyperlink>
        </w:p>
        <w:p>
          <w:pPr>
            <w:pStyle w:val="Contents3"/>
            <w:tabs>
              <w:tab w:val="clear" w:pos="8459"/>
              <w:tab w:val="right" w:pos="9026" w:leader="dot"/>
            </w:tabs>
            <w:rPr/>
          </w:pPr>
          <w:hyperlink w:anchor="__RefHeading___Toc39060_2142443653">
            <w:r>
              <w:rPr>
                <w:webHidden/>
                <w:rStyle w:val="IndexLink"/>
                <w:rtl w:val="true"/>
              </w:rPr>
              <w:t>حکم المذی والوذی</w:t>
            </w:r>
            <w:r>
              <w:rPr>
                <w:rStyle w:val="IndexLink"/>
                <w:rtl w:val="true"/>
              </w:rPr>
              <w:tab/>
            </w:r>
            <w:r>
              <w:rPr>
                <w:rStyle w:val="IndexLink"/>
              </w:rPr>
              <w:t>75</w:t>
            </w:r>
          </w:hyperlink>
        </w:p>
        <w:p>
          <w:pPr>
            <w:pStyle w:val="Contents4"/>
            <w:tabs>
              <w:tab w:val="clear" w:pos="8176"/>
              <w:tab w:val="right" w:pos="9026" w:leader="dot"/>
            </w:tabs>
            <w:rPr/>
          </w:pPr>
          <w:hyperlink w:anchor="__RefHeading___Toc39062_2142443653">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39064_2142443653">
            <w:r>
              <w:rPr>
                <w:webHidden/>
                <w:rStyle w:val="IndexLink"/>
                <w:rtl w:val="true"/>
              </w:rPr>
              <w:t>عمر بن حنظلة غیر معلوم الحال</w:t>
            </w:r>
            <w:r>
              <w:rPr>
                <w:rStyle w:val="IndexLink"/>
                <w:rtl w:val="true"/>
              </w:rPr>
              <w:tab/>
            </w:r>
            <w:r>
              <w:rPr>
                <w:rStyle w:val="IndexLink"/>
              </w:rPr>
              <w:t>76</w:t>
            </w:r>
          </w:hyperlink>
        </w:p>
        <w:p>
          <w:pPr>
            <w:pStyle w:val="Contents4"/>
            <w:tabs>
              <w:tab w:val="clear" w:pos="8176"/>
              <w:tab w:val="right" w:pos="9026" w:leader="dot"/>
            </w:tabs>
            <w:rPr/>
          </w:pPr>
          <w:hyperlink w:anchor="__RefHeading___Toc39066_2142443653">
            <w:r>
              <w:rPr>
                <w:webHidden/>
                <w:rStyle w:val="IndexLink"/>
                <w:rtl w:val="true"/>
              </w:rPr>
              <w:t>محمد بن عیسی الأشعری غیر موثّق</w:t>
            </w:r>
            <w:r>
              <w:rPr>
                <w:rStyle w:val="IndexLink"/>
                <w:rtl w:val="true"/>
              </w:rPr>
              <w:tab/>
            </w:r>
            <w:r>
              <w:rPr>
                <w:rStyle w:val="IndexLink"/>
              </w:rPr>
              <w:t>76</w:t>
            </w:r>
          </w:hyperlink>
        </w:p>
        <w:p>
          <w:pPr>
            <w:pStyle w:val="Contents4"/>
            <w:tabs>
              <w:tab w:val="clear" w:pos="8176"/>
              <w:tab w:val="right" w:pos="9026" w:leader="dot"/>
            </w:tabs>
            <w:rPr/>
          </w:pPr>
          <w:hyperlink w:anchor="__RefHeading___Toc39068_2142443653">
            <w:r>
              <w:rPr>
                <w:webHidden/>
                <w:rStyle w:val="IndexLink"/>
                <w:rtl w:val="true"/>
              </w:rPr>
              <w:t>معلی بن محمد مضطرب الحدیث والمذهب</w:t>
            </w:r>
            <w:r>
              <w:rPr>
                <w:rStyle w:val="IndexLink"/>
                <w:rtl w:val="true"/>
              </w:rPr>
              <w:tab/>
            </w:r>
            <w:r>
              <w:rPr>
                <w:rStyle w:val="IndexLink"/>
              </w:rPr>
              <w:t>77</w:t>
            </w:r>
          </w:hyperlink>
        </w:p>
        <w:p>
          <w:pPr>
            <w:pStyle w:val="Contents4"/>
            <w:tabs>
              <w:tab w:val="clear" w:pos="8176"/>
              <w:tab w:val="right" w:pos="9026" w:leader="dot"/>
            </w:tabs>
            <w:rPr/>
          </w:pPr>
          <w:hyperlink w:anchor="__RefHeading___Toc39070_2142443653">
            <w:r>
              <w:rPr>
                <w:webHidden/>
                <w:rStyle w:val="IndexLink"/>
                <w:rtl w:val="true"/>
              </w:rPr>
              <w:t>عنبسة مشترک بین مهملین وثقة</w:t>
            </w:r>
            <w:r>
              <w:rPr>
                <w:rStyle w:val="IndexLink"/>
                <w:rtl w:val="true"/>
              </w:rPr>
              <w:tab/>
            </w:r>
            <w:r>
              <w:rPr>
                <w:rStyle w:val="IndexLink"/>
              </w:rPr>
              <w:t>77</w:t>
            </w:r>
          </w:hyperlink>
        </w:p>
        <w:p>
          <w:pPr>
            <w:pStyle w:val="Contents4"/>
            <w:tabs>
              <w:tab w:val="clear" w:pos="8176"/>
              <w:tab w:val="right" w:pos="9026" w:leader="dot"/>
            </w:tabs>
            <w:rPr/>
          </w:pPr>
          <w:hyperlink w:anchor="__RefHeading___Toc39072_2142443653">
            <w:r>
              <w:rPr>
                <w:webHidden/>
                <w:rStyle w:val="IndexLink"/>
                <w:rtl w:val="true"/>
              </w:rPr>
              <w:t>هل یستفاد من خبر اسحاق بن عمار أنّ خبر الواحد لا یعوّل علیه؟</w:t>
            </w:r>
            <w:r>
              <w:rPr>
                <w:rStyle w:val="IndexLink"/>
                <w:rtl w:val="true"/>
              </w:rPr>
              <w:tab/>
            </w:r>
            <w:r>
              <w:rPr>
                <w:rStyle w:val="IndexLink"/>
              </w:rPr>
              <w:t>78</w:t>
            </w:r>
          </w:hyperlink>
        </w:p>
        <w:p>
          <w:pPr>
            <w:pStyle w:val="Contents4"/>
            <w:tabs>
              <w:tab w:val="clear" w:pos="8176"/>
              <w:tab w:val="right" w:pos="9026" w:leader="dot"/>
            </w:tabs>
            <w:rPr/>
          </w:pPr>
          <w:hyperlink w:anchor="__RefHeading___Toc39074_2142443653">
            <w:r>
              <w:rPr>
                <w:webHidden/>
                <w:rStyle w:val="IndexLink"/>
                <w:rtl w:val="true"/>
              </w:rPr>
              <w:t>معنی المذی</w:t>
            </w:r>
            <w:r>
              <w:rPr>
                <w:rStyle w:val="IndexLink"/>
                <w:rtl w:val="true"/>
              </w:rPr>
              <w:tab/>
            </w:r>
            <w:r>
              <w:rPr>
                <w:rStyle w:val="IndexLink"/>
              </w:rPr>
              <w:t>78</w:t>
            </w:r>
          </w:hyperlink>
        </w:p>
        <w:p>
          <w:pPr>
            <w:pStyle w:val="Contents4"/>
            <w:tabs>
              <w:tab w:val="clear" w:pos="8176"/>
              <w:tab w:val="right" w:pos="9026" w:leader="dot"/>
            </w:tabs>
            <w:rPr/>
          </w:pPr>
          <w:hyperlink w:anchor="__RefHeading___Toc39076_2142443653">
            <w:r>
              <w:rPr>
                <w:webHidden/>
                <w:rStyle w:val="IndexLink"/>
                <w:rtl w:val="true"/>
              </w:rPr>
              <w:t>روایة أحمد بن محمد عن ابن بزیع بلا واسطة لا مانع منه</w:t>
            </w:r>
            <w:r>
              <w:rPr>
                <w:rStyle w:val="IndexLink"/>
                <w:rtl w:val="true"/>
              </w:rPr>
              <w:tab/>
            </w:r>
            <w:r>
              <w:rPr>
                <w:rStyle w:val="IndexLink"/>
              </w:rPr>
              <w:t>80</w:t>
            </w:r>
          </w:hyperlink>
        </w:p>
        <w:p>
          <w:pPr>
            <w:pStyle w:val="Contents4"/>
            <w:tabs>
              <w:tab w:val="clear" w:pos="8176"/>
              <w:tab w:val="right" w:pos="9026" w:leader="dot"/>
            </w:tabs>
            <w:rPr/>
          </w:pPr>
          <w:hyperlink w:anchor="__RefHeading___Toc39078_2142443653">
            <w:r>
              <w:rPr>
                <w:webHidden/>
                <w:rStyle w:val="IndexLink"/>
                <w:rtl w:val="true"/>
              </w:rPr>
              <w:t>دفع التنافی بین ما دل علی عدم وجوب الوضوء للمذی وما أمر به</w:t>
            </w:r>
            <w:r>
              <w:rPr>
                <w:rStyle w:val="IndexLink"/>
                <w:rtl w:val="true"/>
              </w:rPr>
              <w:tab/>
            </w:r>
            <w:r>
              <w:rPr>
                <w:rStyle w:val="IndexLink"/>
              </w:rPr>
              <w:t>81</w:t>
            </w:r>
          </w:hyperlink>
        </w:p>
        <w:p>
          <w:pPr>
            <w:pStyle w:val="Contents4"/>
            <w:tabs>
              <w:tab w:val="clear" w:pos="8176"/>
              <w:tab w:val="right" w:pos="9026" w:leader="dot"/>
            </w:tabs>
            <w:rPr/>
          </w:pPr>
          <w:hyperlink w:anchor="__RefHeading___Toc39080_2142443653">
            <w:r>
              <w:rPr>
                <w:webHidden/>
                <w:rStyle w:val="IndexLink"/>
                <w:rtl w:val="true"/>
              </w:rPr>
              <w:t>کلام الشیخ البهائی فی أنّ خبر محمد بن اسماعیل یستفاد منه عدم لزوم قصد الوجه فی الوضوء</w:t>
            </w:r>
            <w:r>
              <w:rPr>
                <w:rStyle w:val="IndexLink"/>
                <w:rtl w:val="true"/>
              </w:rPr>
              <w:tab/>
            </w:r>
            <w:r>
              <w:rPr>
                <w:rStyle w:val="IndexLink"/>
              </w:rPr>
              <w:t>82</w:t>
            </w:r>
          </w:hyperlink>
        </w:p>
        <w:p>
          <w:pPr>
            <w:pStyle w:val="Contents4"/>
            <w:tabs>
              <w:tab w:val="clear" w:pos="8176"/>
              <w:tab w:val="right" w:pos="9026" w:leader="dot"/>
            </w:tabs>
            <w:rPr/>
          </w:pPr>
          <w:hyperlink w:anchor="__RefHeading___Toc39082_2142443653">
            <w:r>
              <w:rPr>
                <w:webHidden/>
                <w:rStyle w:val="IndexLink"/>
                <w:rtl w:val="true"/>
              </w:rPr>
              <w:t>هل الأمر فی حدیث محمد بن اسماعیل حقیقة فی الوجوب؟</w:t>
            </w:r>
            <w:r>
              <w:rPr>
                <w:rStyle w:val="IndexLink"/>
                <w:rtl w:val="true"/>
              </w:rPr>
              <w:tab/>
            </w:r>
            <w:r>
              <w:rPr>
                <w:rStyle w:val="IndexLink"/>
              </w:rPr>
              <w:t>83</w:t>
            </w:r>
          </w:hyperlink>
        </w:p>
        <w:p>
          <w:pPr>
            <w:pStyle w:val="Contents4"/>
            <w:tabs>
              <w:tab w:val="clear" w:pos="8176"/>
              <w:tab w:val="right" w:pos="9026" w:leader="dot"/>
            </w:tabs>
            <w:rPr/>
          </w:pPr>
          <w:hyperlink w:anchor="__RefHeading___Toc39084_2142443653">
            <w:r>
              <w:rPr>
                <w:webHidden/>
                <w:rStyle w:val="IndexLink"/>
                <w:rtl w:val="true"/>
              </w:rPr>
              <w:t>موسی بن عمر بن یزید الصیقل غیر ثقة</w:t>
            </w:r>
            <w:r>
              <w:rPr>
                <w:rStyle w:val="IndexLink"/>
                <w:rtl w:val="true"/>
              </w:rPr>
              <w:tab/>
            </w:r>
            <w:r>
              <w:rPr>
                <w:rStyle w:val="IndexLink"/>
              </w:rPr>
              <w:t>86</w:t>
            </w:r>
          </w:hyperlink>
        </w:p>
        <w:p>
          <w:pPr>
            <w:pStyle w:val="Contents4"/>
            <w:tabs>
              <w:tab w:val="clear" w:pos="8176"/>
              <w:tab w:val="right" w:pos="9026" w:leader="dot"/>
            </w:tabs>
            <w:rPr/>
          </w:pPr>
          <w:hyperlink w:anchor="__RefHeading___Toc39086_2142443653">
            <w:r>
              <w:rPr>
                <w:webHidden/>
                <w:rStyle w:val="IndexLink"/>
                <w:rtl w:val="true"/>
              </w:rPr>
              <w:t>طریق الشیخ فی الفهرست إلی موسی بن عمر بن بزیع</w:t>
            </w:r>
            <w:r>
              <w:rPr>
                <w:rStyle w:val="IndexLink"/>
                <w:rtl w:val="true"/>
              </w:rPr>
              <w:tab/>
            </w:r>
            <w:r>
              <w:rPr>
                <w:rStyle w:val="IndexLink"/>
              </w:rPr>
              <w:t>86</w:t>
            </w:r>
          </w:hyperlink>
        </w:p>
        <w:p>
          <w:pPr>
            <w:pStyle w:val="Contents4"/>
            <w:tabs>
              <w:tab w:val="clear" w:pos="8176"/>
              <w:tab w:val="right" w:pos="9026" w:leader="dot"/>
            </w:tabs>
            <w:rPr/>
          </w:pPr>
          <w:hyperlink w:anchor="__RefHeading___Toc39088_2142443653">
            <w:r>
              <w:rPr>
                <w:webHidden/>
                <w:rStyle w:val="IndexLink"/>
                <w:rtl w:val="true"/>
              </w:rPr>
              <w:t>ابو سعید المکاری مهمل</w:t>
            </w:r>
            <w:r>
              <w:rPr>
                <w:rStyle w:val="IndexLink"/>
                <w:rtl w:val="true"/>
              </w:rPr>
              <w:tab/>
            </w:r>
            <w:r>
              <w:rPr>
                <w:rStyle w:val="IndexLink"/>
              </w:rPr>
              <w:t>86</w:t>
            </w:r>
          </w:hyperlink>
        </w:p>
        <w:p>
          <w:pPr>
            <w:pStyle w:val="Contents4"/>
            <w:tabs>
              <w:tab w:val="clear" w:pos="8176"/>
              <w:tab w:val="right" w:pos="9026" w:leader="dot"/>
            </w:tabs>
            <w:rPr/>
          </w:pPr>
          <w:hyperlink w:anchor="__RefHeading___Toc39090_2142443653">
            <w:r>
              <w:rPr>
                <w:webHidden/>
                <w:rStyle w:val="IndexLink"/>
                <w:rtl w:val="true"/>
              </w:rPr>
              <w:t>معاویة بن حکیم ثقة فطحی</w:t>
            </w:r>
            <w:r>
              <w:rPr>
                <w:rStyle w:val="IndexLink"/>
                <w:rtl w:val="true"/>
              </w:rPr>
              <w:tab/>
            </w:r>
            <w:r>
              <w:rPr>
                <w:rStyle w:val="IndexLink"/>
              </w:rPr>
              <w:t>86</w:t>
            </w:r>
          </w:hyperlink>
        </w:p>
        <w:p>
          <w:pPr>
            <w:pStyle w:val="Contents4"/>
            <w:tabs>
              <w:tab w:val="clear" w:pos="8176"/>
              <w:tab w:val="right" w:pos="9026" w:leader="dot"/>
            </w:tabs>
            <w:rPr/>
          </w:pPr>
          <w:hyperlink w:anchor="__RefHeading___Toc39092_2142443653">
            <w:r>
              <w:rPr>
                <w:webHidden/>
                <w:rStyle w:val="IndexLink"/>
                <w:rtl w:val="true"/>
              </w:rPr>
              <w:t>علی بن الحسین بن رباط ثقة</w:t>
            </w:r>
            <w:r>
              <w:rPr>
                <w:rStyle w:val="IndexLink"/>
                <w:rtl w:val="true"/>
              </w:rPr>
              <w:tab/>
            </w:r>
            <w:r>
              <w:rPr>
                <w:rStyle w:val="IndexLink"/>
              </w:rPr>
              <w:t>86</w:t>
            </w:r>
          </w:hyperlink>
        </w:p>
        <w:p>
          <w:pPr>
            <w:pStyle w:val="Contents4"/>
            <w:tabs>
              <w:tab w:val="clear" w:pos="8176"/>
              <w:tab w:val="right" w:pos="9026" w:leader="dot"/>
            </w:tabs>
            <w:rPr/>
          </w:pPr>
          <w:hyperlink w:anchor="__RefHeading___Toc39094_2142443653">
            <w:r>
              <w:rPr>
                <w:webHidden/>
                <w:rStyle w:val="IndexLink"/>
                <w:rtl w:val="true"/>
              </w:rPr>
              <w:t>عبدالله بن یحیی الکاهلی ممدوح</w:t>
            </w:r>
            <w:r>
              <w:rPr>
                <w:rStyle w:val="IndexLink"/>
                <w:rtl w:val="true"/>
              </w:rPr>
              <w:tab/>
            </w:r>
            <w:r>
              <w:rPr>
                <w:rStyle w:val="IndexLink"/>
              </w:rPr>
              <w:t>87</w:t>
            </w:r>
          </w:hyperlink>
        </w:p>
        <w:p>
          <w:pPr>
            <w:pStyle w:val="Contents4"/>
            <w:tabs>
              <w:tab w:val="clear" w:pos="8176"/>
              <w:tab w:val="right" w:pos="9026" w:leader="dot"/>
            </w:tabs>
            <w:rPr/>
          </w:pPr>
          <w:hyperlink w:anchor="__RefHeading___Toc39096_2142443653">
            <w:r>
              <w:rPr>
                <w:webHidden/>
                <w:rStyle w:val="IndexLink"/>
                <w:rtl w:val="true"/>
              </w:rPr>
              <w:t>معنی المذی</w:t>
            </w:r>
            <w:r>
              <w:rPr>
                <w:rStyle w:val="IndexLink"/>
                <w:rtl w:val="true"/>
              </w:rPr>
              <w:tab/>
            </w:r>
            <w:r>
              <w:rPr>
                <w:rStyle w:val="IndexLink"/>
              </w:rPr>
              <w:t>87</w:t>
            </w:r>
          </w:hyperlink>
        </w:p>
        <w:p>
          <w:pPr>
            <w:pStyle w:val="Contents4"/>
            <w:tabs>
              <w:tab w:val="clear" w:pos="8176"/>
              <w:tab w:val="right" w:pos="9026" w:leader="dot"/>
            </w:tabs>
            <w:rPr/>
          </w:pPr>
          <w:hyperlink w:anchor="__RefHeading___Toc39098_2142443653">
            <w:r>
              <w:rPr>
                <w:webHidden/>
                <w:rStyle w:val="IndexLink"/>
                <w:rtl w:val="true"/>
              </w:rPr>
              <w:t>دلائل عدم ناقضیة المذی والمناقشة فیها</w:t>
            </w:r>
            <w:r>
              <w:rPr>
                <w:rStyle w:val="IndexLink"/>
                <w:rtl w:val="true"/>
              </w:rPr>
              <w:tab/>
            </w:r>
            <w:r>
              <w:rPr>
                <w:rStyle w:val="IndexLink"/>
              </w:rPr>
              <w:t>88</w:t>
            </w:r>
          </w:hyperlink>
        </w:p>
        <w:p>
          <w:pPr>
            <w:pStyle w:val="Contents4"/>
            <w:tabs>
              <w:tab w:val="clear" w:pos="8176"/>
              <w:tab w:val="right" w:pos="9026" w:leader="dot"/>
            </w:tabs>
            <w:rPr/>
          </w:pPr>
          <w:hyperlink w:anchor="__RefHeading___Toc39100_2142443653">
            <w:r>
              <w:rPr>
                <w:webHidden/>
                <w:rStyle w:val="IndexLink"/>
                <w:rtl w:val="true"/>
              </w:rPr>
              <w:t xml:space="preserve">قول ابن ابی عمیر </w:t>
            </w:r>
            <w:r>
              <w:rPr>
                <w:rStyle w:val="IndexLink"/>
                <w:rtl w:val="true"/>
              </w:rPr>
              <w:t xml:space="preserve">: </w:t>
            </w:r>
            <w:r>
              <w:rPr>
                <w:rStyle w:val="IndexLink"/>
                <w:rtl w:val="true"/>
              </w:rPr>
              <w:t>عن غیر واحد ، لا یقتضی صحّة المرسلة</w:t>
            </w:r>
            <w:r>
              <w:rPr>
                <w:rStyle w:val="IndexLink"/>
                <w:rtl w:val="true"/>
              </w:rPr>
              <w:tab/>
            </w:r>
            <w:r>
              <w:rPr>
                <w:rStyle w:val="IndexLink"/>
              </w:rPr>
              <w:t>90</w:t>
            </w:r>
          </w:hyperlink>
        </w:p>
        <w:p>
          <w:pPr>
            <w:pStyle w:val="Contents4"/>
            <w:tabs>
              <w:tab w:val="clear" w:pos="8176"/>
              <w:tab w:val="right" w:pos="9026" w:leader="dot"/>
            </w:tabs>
            <w:rPr/>
          </w:pPr>
          <w:hyperlink w:anchor="__RefHeading___Toc39102_2142443653">
            <w:r>
              <w:rPr>
                <w:webHidden/>
                <w:rStyle w:val="IndexLink"/>
                <w:rtl w:val="true"/>
              </w:rPr>
              <w:t>الطاطری ثقة واقفی</w:t>
            </w:r>
            <w:r>
              <w:rPr>
                <w:rStyle w:val="IndexLink"/>
                <w:rtl w:val="true"/>
              </w:rPr>
              <w:tab/>
            </w:r>
            <w:r>
              <w:rPr>
                <w:rStyle w:val="IndexLink"/>
              </w:rPr>
              <w:t>90</w:t>
            </w:r>
          </w:hyperlink>
        </w:p>
        <w:p>
          <w:pPr>
            <w:pStyle w:val="Contents4"/>
            <w:tabs>
              <w:tab w:val="clear" w:pos="8176"/>
              <w:tab w:val="right" w:pos="9026" w:leader="dot"/>
            </w:tabs>
            <w:rPr/>
          </w:pPr>
          <w:hyperlink w:anchor="__RefHeading___Toc39104_2142443653">
            <w:r>
              <w:rPr>
                <w:webHidden/>
                <w:rStyle w:val="IndexLink"/>
                <w:rtl w:val="true"/>
              </w:rPr>
              <w:t>من هو ابن رباط؟</w:t>
            </w:r>
            <w:r>
              <w:rPr>
                <w:rStyle w:val="IndexLink"/>
                <w:rtl w:val="true"/>
              </w:rPr>
              <w:tab/>
            </w:r>
            <w:r>
              <w:rPr>
                <w:rStyle w:val="IndexLink"/>
              </w:rPr>
              <w:t>90</w:t>
            </w:r>
          </w:hyperlink>
        </w:p>
        <w:p>
          <w:pPr>
            <w:pStyle w:val="Contents4"/>
            <w:tabs>
              <w:tab w:val="clear" w:pos="8176"/>
              <w:tab w:val="right" w:pos="9026" w:leader="dot"/>
            </w:tabs>
            <w:rPr/>
          </w:pPr>
          <w:hyperlink w:anchor="__RefHeading___Toc39106_2142443653">
            <w:r>
              <w:rPr>
                <w:webHidden/>
                <w:rStyle w:val="IndexLink"/>
                <w:rtl w:val="true"/>
              </w:rPr>
              <w:t>حکم الودی والوذی</w:t>
            </w:r>
            <w:r>
              <w:rPr>
                <w:rStyle w:val="IndexLink"/>
                <w:rtl w:val="true"/>
              </w:rPr>
              <w:tab/>
            </w:r>
            <w:r>
              <w:rPr>
                <w:rStyle w:val="IndexLink"/>
              </w:rPr>
              <w:t>91</w:t>
            </w:r>
          </w:hyperlink>
        </w:p>
        <w:p>
          <w:pPr>
            <w:pStyle w:val="Contents4"/>
            <w:tabs>
              <w:tab w:val="clear" w:pos="8176"/>
              <w:tab w:val="right" w:pos="9026" w:leader="dot"/>
            </w:tabs>
            <w:rPr/>
          </w:pPr>
          <w:hyperlink w:anchor="__RefHeading___Toc39108_2142443653">
            <w:r>
              <w:rPr>
                <w:webHidden/>
                <w:rStyle w:val="IndexLink"/>
                <w:rtl w:val="true"/>
              </w:rPr>
              <w:t>لیس فی المذی وضوء وإن کان بشهوة</w:t>
            </w:r>
            <w:r>
              <w:rPr>
                <w:rStyle w:val="IndexLink"/>
                <w:rtl w:val="true"/>
              </w:rPr>
              <w:tab/>
            </w:r>
            <w:r>
              <w:rPr>
                <w:rStyle w:val="IndexLink"/>
              </w:rPr>
              <w:t>91</w:t>
            </w:r>
          </w:hyperlink>
        </w:p>
        <w:p>
          <w:pPr>
            <w:pStyle w:val="Contents4"/>
            <w:tabs>
              <w:tab w:val="clear" w:pos="8176"/>
              <w:tab w:val="right" w:pos="9026" w:leader="dot"/>
            </w:tabs>
            <w:rPr/>
          </w:pPr>
          <w:hyperlink w:anchor="__RefHeading___Toc39110_2142443653">
            <w:r>
              <w:rPr>
                <w:webHidden/>
                <w:rStyle w:val="IndexLink"/>
                <w:rtl w:val="true"/>
              </w:rPr>
              <w:t>معنی الوَدی والوَذی</w:t>
            </w:r>
            <w:r>
              <w:rPr>
                <w:rStyle w:val="IndexLink"/>
                <w:rtl w:val="true"/>
              </w:rPr>
              <w:tab/>
            </w:r>
            <w:r>
              <w:rPr>
                <w:rStyle w:val="IndexLink"/>
              </w:rPr>
              <w:t>92</w:t>
            </w:r>
          </w:hyperlink>
        </w:p>
        <w:p>
          <w:pPr>
            <w:pStyle w:val="Contents4"/>
            <w:tabs>
              <w:tab w:val="clear" w:pos="8176"/>
              <w:tab w:val="right" w:pos="9026" w:leader="dot"/>
            </w:tabs>
            <w:rPr/>
          </w:pPr>
          <w:hyperlink w:anchor="__RefHeading___Toc39112_2142443653">
            <w:r>
              <w:rPr>
                <w:webHidden/>
                <w:rStyle w:val="IndexLink"/>
                <w:rtl w:val="true"/>
              </w:rPr>
              <w:t>بحث حول طرق الشیخ إلی الحسن بن محبوب</w:t>
            </w:r>
            <w:r>
              <w:rPr>
                <w:rStyle w:val="IndexLink"/>
                <w:rtl w:val="true"/>
              </w:rPr>
              <w:tab/>
            </w:r>
            <w:r>
              <w:rPr>
                <w:rStyle w:val="IndexLink"/>
              </w:rPr>
              <w:t>93</w:t>
            </w:r>
          </w:hyperlink>
        </w:p>
        <w:p>
          <w:pPr>
            <w:pStyle w:val="Contents4"/>
            <w:tabs>
              <w:tab w:val="clear" w:pos="8176"/>
              <w:tab w:val="right" w:pos="9026" w:leader="dot"/>
            </w:tabs>
            <w:rPr/>
          </w:pPr>
          <w:hyperlink w:anchor="__RefHeading___Toc39114_2142443653">
            <w:r>
              <w:rPr>
                <w:webHidden/>
                <w:rStyle w:val="IndexLink"/>
                <w:rtl w:val="true"/>
              </w:rPr>
              <w:t>ابن سنان الراوی عن أبی عبدالله علیه السلام هو عبدالله</w:t>
            </w:r>
            <w:r>
              <w:rPr>
                <w:rStyle w:val="IndexLink"/>
                <w:rtl w:val="true"/>
              </w:rPr>
              <w:tab/>
            </w:r>
            <w:r>
              <w:rPr>
                <w:rStyle w:val="IndexLink"/>
              </w:rPr>
              <w:t>94</w:t>
            </w:r>
          </w:hyperlink>
        </w:p>
        <w:p>
          <w:pPr>
            <w:pStyle w:val="Contents4"/>
            <w:tabs>
              <w:tab w:val="clear" w:pos="8176"/>
              <w:tab w:val="right" w:pos="9026" w:leader="dot"/>
            </w:tabs>
            <w:rPr/>
          </w:pPr>
          <w:hyperlink w:anchor="__RefHeading___Toc39116_2142443653">
            <w:r>
              <w:rPr>
                <w:webHidden/>
                <w:rStyle w:val="IndexLink"/>
                <w:rtl w:val="true"/>
              </w:rPr>
              <w:t>عبدالملک بن عمرو غیر معلوم التوثیق</w:t>
            </w:r>
            <w:r>
              <w:rPr>
                <w:rStyle w:val="IndexLink"/>
                <w:rtl w:val="true"/>
              </w:rPr>
              <w:tab/>
            </w:r>
            <w:r>
              <w:rPr>
                <w:rStyle w:val="IndexLink"/>
              </w:rPr>
              <w:t>94</w:t>
            </w:r>
          </w:hyperlink>
        </w:p>
        <w:p>
          <w:pPr>
            <w:pStyle w:val="Contents4"/>
            <w:tabs>
              <w:tab w:val="clear" w:pos="8176"/>
              <w:tab w:val="right" w:pos="9026" w:leader="dot"/>
            </w:tabs>
            <w:rPr/>
          </w:pPr>
          <w:hyperlink w:anchor="__RefHeading___Toc39118_2142443653">
            <w:r>
              <w:rPr>
                <w:webHidden/>
                <w:rStyle w:val="IndexLink"/>
                <w:rtl w:val="true"/>
              </w:rPr>
              <w:t>وجه الجمع بین ما دل علی وجوب الوضوء من الودی وما یعارضه</w:t>
            </w:r>
            <w:r>
              <w:rPr>
                <w:rStyle w:val="IndexLink"/>
                <w:rtl w:val="true"/>
              </w:rPr>
              <w:tab/>
            </w:r>
            <w:r>
              <w:rPr>
                <w:rStyle w:val="IndexLink"/>
              </w:rPr>
              <w:t>94</w:t>
            </w:r>
          </w:hyperlink>
        </w:p>
        <w:p>
          <w:pPr>
            <w:pStyle w:val="Contents4"/>
            <w:tabs>
              <w:tab w:val="clear" w:pos="8176"/>
              <w:tab w:val="right" w:pos="9026" w:leader="dot"/>
            </w:tabs>
            <w:rPr/>
          </w:pPr>
          <w:hyperlink w:anchor="__RefHeading___Toc39120_2142443653">
            <w:r>
              <w:rPr>
                <w:webHidden/>
                <w:rStyle w:val="IndexLink"/>
                <w:rtl w:val="true"/>
              </w:rPr>
              <w:t>کیفیة الاستبراء فی خبر عبدالملک بن عمرو مجملة</w:t>
            </w:r>
            <w:r>
              <w:rPr>
                <w:rStyle w:val="IndexLink"/>
                <w:rtl w:val="true"/>
              </w:rPr>
              <w:tab/>
            </w:r>
            <w:r>
              <w:rPr>
                <w:rStyle w:val="IndexLink"/>
              </w:rPr>
              <w:t>95</w:t>
            </w:r>
          </w:hyperlink>
        </w:p>
        <w:p>
          <w:pPr>
            <w:pStyle w:val="Contents4"/>
            <w:tabs>
              <w:tab w:val="clear" w:pos="8176"/>
              <w:tab w:val="right" w:pos="9026" w:leader="dot"/>
            </w:tabs>
            <w:rPr/>
          </w:pPr>
          <w:hyperlink w:anchor="__RefHeading___Toc39122_2142443653">
            <w:r>
              <w:rPr>
                <w:webHidden/>
                <w:rStyle w:val="IndexLink"/>
                <w:rtl w:val="true"/>
              </w:rPr>
              <w:t>معنی الدَرّ والخرط والغمز والسوق</w:t>
            </w:r>
            <w:r>
              <w:rPr>
                <w:rStyle w:val="IndexLink"/>
                <w:rtl w:val="true"/>
              </w:rPr>
              <w:tab/>
            </w:r>
            <w:r>
              <w:rPr>
                <w:rStyle w:val="IndexLink"/>
              </w:rPr>
              <w:t>95</w:t>
            </w:r>
          </w:hyperlink>
        </w:p>
        <w:p>
          <w:pPr>
            <w:pStyle w:val="Contents4"/>
            <w:tabs>
              <w:tab w:val="clear" w:pos="8176"/>
              <w:tab w:val="right" w:pos="9026" w:leader="dot"/>
            </w:tabs>
            <w:rPr/>
          </w:pPr>
          <w:hyperlink w:anchor="__RefHeading___Toc39124_2142443653">
            <w:r>
              <w:rPr>
                <w:webHidden/>
                <w:rStyle w:val="IndexLink"/>
                <w:rtl w:val="true"/>
              </w:rPr>
              <w:t xml:space="preserve">الوَذی مع الاستبراء لا ینقض الوضوء </w:t>
            </w:r>
            <w:r>
              <w:rPr>
                <w:rStyle w:val="IndexLink"/>
                <w:rtl w:val="true"/>
              </w:rPr>
              <w:t>.</w:t>
              <w:tab/>
            </w:r>
            <w:r>
              <w:rPr>
                <w:rStyle w:val="IndexLink"/>
              </w:rPr>
              <w:t>97</w:t>
            </w:r>
          </w:hyperlink>
        </w:p>
        <w:p>
          <w:pPr>
            <w:pStyle w:val="Contents4"/>
            <w:tabs>
              <w:tab w:val="clear" w:pos="8176"/>
              <w:tab w:val="right" w:pos="9026" w:leader="dot"/>
            </w:tabs>
            <w:rPr/>
          </w:pPr>
          <w:hyperlink w:anchor="__RefHeading___Toc39126_2142443653">
            <w:r>
              <w:rPr>
                <w:webHidden/>
                <w:rStyle w:val="IndexLink"/>
                <w:rtl w:val="true"/>
              </w:rPr>
              <w:t>حکم الوَذی من حیث الطهارة والنجاسة</w:t>
            </w:r>
            <w:r>
              <w:rPr>
                <w:rStyle w:val="IndexLink"/>
                <w:rtl w:val="true"/>
              </w:rPr>
              <w:tab/>
            </w:r>
            <w:r>
              <w:rPr>
                <w:rStyle w:val="IndexLink"/>
              </w:rPr>
              <w:t>97</w:t>
            </w:r>
          </w:hyperlink>
        </w:p>
        <w:p>
          <w:pPr>
            <w:pStyle w:val="Contents4"/>
            <w:tabs>
              <w:tab w:val="clear" w:pos="8176"/>
              <w:tab w:val="right" w:pos="9026" w:leader="dot"/>
            </w:tabs>
            <w:rPr/>
          </w:pPr>
          <w:hyperlink w:anchor="__RefHeading___Toc39128_2142443653">
            <w:r>
              <w:rPr>
                <w:webHidden/>
                <w:rStyle w:val="IndexLink"/>
                <w:rtl w:val="true"/>
              </w:rPr>
              <w:t>معنی الحِبال والحبائل</w:t>
            </w:r>
            <w:r>
              <w:rPr>
                <w:rStyle w:val="IndexLink"/>
                <w:rtl w:val="true"/>
              </w:rPr>
              <w:tab/>
            </w:r>
            <w:r>
              <w:rPr>
                <w:rStyle w:val="IndexLink"/>
              </w:rPr>
              <w:t>97</w:t>
            </w:r>
          </w:hyperlink>
        </w:p>
        <w:p>
          <w:pPr>
            <w:pStyle w:val="Contents3"/>
            <w:tabs>
              <w:tab w:val="clear" w:pos="8459"/>
              <w:tab w:val="right" w:pos="9026" w:leader="dot"/>
            </w:tabs>
            <w:rPr/>
          </w:pPr>
          <w:hyperlink w:anchor="__RefHeading___Toc39130_2142443653">
            <w:r>
              <w:rPr>
                <w:webHidden/>
                <w:rStyle w:val="IndexLink"/>
                <w:rtl w:val="true"/>
              </w:rPr>
              <w:t>مسّ الحدید</w:t>
            </w:r>
            <w:r>
              <w:rPr>
                <w:rStyle w:val="IndexLink"/>
                <w:rtl w:val="true"/>
              </w:rPr>
              <w:tab/>
            </w:r>
            <w:r>
              <w:rPr>
                <w:rStyle w:val="IndexLink"/>
              </w:rPr>
              <w:t>98</w:t>
            </w:r>
          </w:hyperlink>
        </w:p>
        <w:p>
          <w:pPr>
            <w:pStyle w:val="Contents4"/>
            <w:tabs>
              <w:tab w:val="clear" w:pos="8176"/>
              <w:tab w:val="right" w:pos="9026" w:leader="dot"/>
            </w:tabs>
            <w:rPr/>
          </w:pPr>
          <w:hyperlink w:anchor="__RefHeading___Toc39132_2142443653">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39134_2142443653">
            <w:r>
              <w:rPr>
                <w:webHidden/>
                <w:rStyle w:val="IndexLink"/>
                <w:rtl w:val="true"/>
              </w:rPr>
              <w:t>من هو محمد بن اسماعیل الذی یروی عنه الکلینی؟</w:t>
            </w:r>
            <w:r>
              <w:rPr>
                <w:rStyle w:val="IndexLink"/>
                <w:rtl w:val="true"/>
              </w:rPr>
              <w:tab/>
            </w:r>
            <w:r>
              <w:rPr>
                <w:rStyle w:val="IndexLink"/>
              </w:rPr>
              <w:t>99</w:t>
            </w:r>
          </w:hyperlink>
        </w:p>
        <w:p>
          <w:pPr>
            <w:pStyle w:val="Contents4"/>
            <w:tabs>
              <w:tab w:val="clear" w:pos="8176"/>
              <w:tab w:val="right" w:pos="9026" w:leader="dot"/>
            </w:tabs>
            <w:rPr/>
          </w:pPr>
          <w:hyperlink w:anchor="__RefHeading___Toc39136_2142443653">
            <w:r>
              <w:rPr>
                <w:webHidden/>
                <w:rStyle w:val="IndexLink"/>
                <w:rtl w:val="true"/>
              </w:rPr>
              <w:t>استحباب مسح الموضع بالماء لمن قصّ أظفاره أو حلق بالحدید</w:t>
            </w:r>
            <w:r>
              <w:rPr>
                <w:rStyle w:val="IndexLink"/>
                <w:rtl w:val="true"/>
              </w:rPr>
              <w:tab/>
            </w:r>
            <w:r>
              <w:rPr>
                <w:rStyle w:val="IndexLink"/>
              </w:rPr>
              <w:t>100</w:t>
            </w:r>
          </w:hyperlink>
        </w:p>
        <w:p>
          <w:pPr>
            <w:pStyle w:val="Contents4"/>
            <w:tabs>
              <w:tab w:val="clear" w:pos="8176"/>
              <w:tab w:val="right" w:pos="9026" w:leader="dot"/>
            </w:tabs>
            <w:rPr/>
          </w:pPr>
          <w:hyperlink w:anchor="__RefHeading___Toc39138_2142443653">
            <w:r>
              <w:rPr>
                <w:webHidden/>
                <w:rStyle w:val="IndexLink"/>
                <w:rtl w:val="true"/>
              </w:rPr>
              <w:t>معنی التقلیم</w:t>
            </w:r>
            <w:r>
              <w:rPr>
                <w:rStyle w:val="IndexLink"/>
                <w:rtl w:val="true"/>
              </w:rPr>
              <w:tab/>
            </w:r>
            <w:r>
              <w:rPr>
                <w:rStyle w:val="IndexLink"/>
              </w:rPr>
              <w:t>102</w:t>
            </w:r>
          </w:hyperlink>
        </w:p>
        <w:p>
          <w:pPr>
            <w:pStyle w:val="Contents4"/>
            <w:tabs>
              <w:tab w:val="clear" w:pos="8176"/>
              <w:tab w:val="right" w:pos="9026" w:leader="dot"/>
            </w:tabs>
            <w:rPr/>
          </w:pPr>
          <w:hyperlink w:anchor="__RefHeading___Toc39140_2142443653">
            <w:r>
              <w:rPr>
                <w:webHidden/>
                <w:rStyle w:val="IndexLink"/>
                <w:rtl w:val="true"/>
              </w:rPr>
              <w:t>معنی الجزّ</w:t>
            </w:r>
            <w:r>
              <w:rPr>
                <w:rStyle w:val="IndexLink"/>
                <w:rtl w:val="true"/>
              </w:rPr>
              <w:tab/>
            </w:r>
            <w:r>
              <w:rPr>
                <w:rStyle w:val="IndexLink"/>
              </w:rPr>
              <w:t>102</w:t>
            </w:r>
          </w:hyperlink>
        </w:p>
        <w:p>
          <w:pPr>
            <w:pStyle w:val="Contents4"/>
            <w:tabs>
              <w:tab w:val="clear" w:pos="8176"/>
              <w:tab w:val="right" w:pos="9026" w:leader="dot"/>
            </w:tabs>
            <w:rPr/>
          </w:pPr>
          <w:hyperlink w:anchor="__RefHeading___Toc39142_2142443653">
            <w:r>
              <w:rPr>
                <w:webHidden/>
                <w:rStyle w:val="IndexLink"/>
                <w:rtl w:val="true"/>
              </w:rPr>
              <w:t>بحث حول شذوذ ما دل علی نجاسة الحدید وإعادة الصلاة من مسّه</w:t>
            </w:r>
            <w:r>
              <w:rPr>
                <w:rStyle w:val="IndexLink"/>
                <w:rtl w:val="true"/>
              </w:rPr>
              <w:tab/>
            </w:r>
            <w:r>
              <w:rPr>
                <w:rStyle w:val="IndexLink"/>
              </w:rPr>
              <w:t>103</w:t>
            </w:r>
          </w:hyperlink>
        </w:p>
        <w:p>
          <w:pPr>
            <w:pStyle w:val="Contents3"/>
            <w:tabs>
              <w:tab w:val="clear" w:pos="8459"/>
              <w:tab w:val="right" w:pos="9026" w:leader="dot"/>
            </w:tabs>
            <w:rPr/>
          </w:pPr>
          <w:hyperlink w:anchor="__RefHeading___Toc39144_2142443653">
            <w:r>
              <w:rPr>
                <w:webHidden/>
                <w:rStyle w:val="IndexLink"/>
                <w:rtl w:val="true"/>
              </w:rPr>
              <w:t>شرب ألبان البقر والإبل وغیرهما</w:t>
            </w:r>
            <w:r>
              <w:rPr>
                <w:rStyle w:val="IndexLink"/>
                <w:rtl w:val="true"/>
              </w:rPr>
              <w:tab/>
            </w:r>
            <w:r>
              <w:rPr>
                <w:rStyle w:val="IndexLink"/>
              </w:rPr>
              <w:t>105</w:t>
            </w:r>
          </w:hyperlink>
        </w:p>
        <w:p>
          <w:pPr>
            <w:pStyle w:val="Contents4"/>
            <w:tabs>
              <w:tab w:val="clear" w:pos="8176"/>
              <w:tab w:val="right" w:pos="9026" w:leader="dot"/>
            </w:tabs>
            <w:rPr/>
          </w:pPr>
          <w:hyperlink w:anchor="__RefHeading___Toc39146_2142443653">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39148_2142443653">
            <w:r>
              <w:rPr>
                <w:webHidden/>
                <w:rStyle w:val="IndexLink"/>
                <w:rtl w:val="true"/>
              </w:rPr>
              <w:t>إشارة إلی حال سلیمان بن خالد</w:t>
            </w:r>
            <w:r>
              <w:rPr>
                <w:rStyle w:val="IndexLink"/>
                <w:rtl w:val="true"/>
              </w:rPr>
              <w:tab/>
            </w:r>
            <w:r>
              <w:rPr>
                <w:rStyle w:val="IndexLink"/>
              </w:rPr>
              <w:t>106</w:t>
            </w:r>
          </w:hyperlink>
        </w:p>
        <w:p>
          <w:pPr>
            <w:pStyle w:val="Contents4"/>
            <w:tabs>
              <w:tab w:val="clear" w:pos="8176"/>
              <w:tab w:val="right" w:pos="9026" w:leader="dot"/>
            </w:tabs>
            <w:rPr/>
          </w:pPr>
          <w:hyperlink w:anchor="__RefHeading___Toc39150_2142443653">
            <w:r>
              <w:rPr>
                <w:webHidden/>
                <w:rStyle w:val="IndexLink"/>
                <w:rtl w:val="true"/>
              </w:rPr>
              <w:t>لا منافاة بین ما دلّ علی نفی الوضوء من شرب اللبن وما أمر بغسل الید منه</w:t>
            </w:r>
            <w:r>
              <w:rPr>
                <w:rStyle w:val="IndexLink"/>
                <w:rtl w:val="true"/>
              </w:rPr>
              <w:tab/>
            </w:r>
            <w:r>
              <w:rPr>
                <w:rStyle w:val="IndexLink"/>
              </w:rPr>
              <w:t>106</w:t>
            </w:r>
          </w:hyperlink>
        </w:p>
        <w:p>
          <w:pPr>
            <w:pStyle w:val="Contents2"/>
            <w:tabs>
              <w:tab w:val="clear" w:pos="8743"/>
              <w:tab w:val="right" w:pos="9026" w:leader="dot"/>
            </w:tabs>
            <w:rPr/>
          </w:pPr>
          <w:hyperlink w:anchor="__RefHeading___Toc39152_2142443653">
            <w:r>
              <w:rPr>
                <w:webHidden/>
                <w:rStyle w:val="IndexLink"/>
                <w:rtl w:val="true"/>
              </w:rPr>
              <w:t>الأغسال المفروضات والمسنونات</w:t>
            </w:r>
            <w:r>
              <w:rPr>
                <w:rStyle w:val="IndexLink"/>
                <w:rtl w:val="true"/>
              </w:rPr>
              <w:tab/>
            </w:r>
            <w:r>
              <w:rPr>
                <w:rStyle w:val="IndexLink"/>
              </w:rPr>
              <w:t>107</w:t>
            </w:r>
          </w:hyperlink>
        </w:p>
        <w:p>
          <w:pPr>
            <w:pStyle w:val="Contents3"/>
            <w:tabs>
              <w:tab w:val="clear" w:pos="8459"/>
              <w:tab w:val="right" w:pos="9026" w:leader="dot"/>
            </w:tabs>
            <w:rPr/>
          </w:pPr>
          <w:hyperlink w:anchor="__RefHeading___Toc39154_2142443653">
            <w:r>
              <w:rPr>
                <w:webHidden/>
                <w:rStyle w:val="IndexLink"/>
                <w:rtl w:val="true"/>
              </w:rPr>
              <w:t>وجوب غسل الجنابة والحیض والاستحاضة والنفاس</w:t>
            </w:r>
            <w:r>
              <w:rPr>
                <w:rStyle w:val="IndexLink"/>
                <w:rtl w:val="true"/>
              </w:rPr>
              <w:tab/>
            </w:r>
            <w:r>
              <w:rPr>
                <w:rStyle w:val="IndexLink"/>
              </w:rPr>
              <w:t>107</w:t>
            </w:r>
          </w:hyperlink>
        </w:p>
        <w:p>
          <w:pPr>
            <w:pStyle w:val="Contents4"/>
            <w:tabs>
              <w:tab w:val="clear" w:pos="8176"/>
              <w:tab w:val="right" w:pos="9026" w:leader="dot"/>
            </w:tabs>
            <w:rPr/>
          </w:pPr>
          <w:hyperlink w:anchor="__RefHeading___Toc39156_2142443653">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39158_2142443653">
            <w:r>
              <w:rPr>
                <w:webHidden/>
                <w:rStyle w:val="IndexLink"/>
                <w:rtl w:val="true"/>
              </w:rPr>
              <w:t>بحث حول أبی بکر الحضرمی</w:t>
            </w:r>
            <w:r>
              <w:rPr>
                <w:rStyle w:val="IndexLink"/>
                <w:rtl w:val="true"/>
              </w:rPr>
              <w:tab/>
            </w:r>
            <w:r>
              <w:rPr>
                <w:rStyle w:val="IndexLink"/>
              </w:rPr>
              <w:t>108</w:t>
            </w:r>
          </w:hyperlink>
        </w:p>
        <w:p>
          <w:pPr>
            <w:pStyle w:val="Contents4"/>
            <w:tabs>
              <w:tab w:val="clear" w:pos="8176"/>
              <w:tab w:val="right" w:pos="9026" w:leader="dot"/>
            </w:tabs>
            <w:rPr/>
          </w:pPr>
          <w:hyperlink w:anchor="__RefHeading___Toc39160_2142443653">
            <w:r>
              <w:rPr>
                <w:webHidden/>
                <w:rStyle w:val="IndexLink"/>
                <w:rtl w:val="true"/>
              </w:rPr>
              <w:t>عمرو بن إلیاس ثقة</w:t>
            </w:r>
            <w:r>
              <w:rPr>
                <w:rStyle w:val="IndexLink"/>
                <w:rtl w:val="true"/>
              </w:rPr>
              <w:tab/>
            </w:r>
            <w:r>
              <w:rPr>
                <w:rStyle w:val="IndexLink"/>
              </w:rPr>
              <w:t>109</w:t>
            </w:r>
          </w:hyperlink>
        </w:p>
        <w:p>
          <w:pPr>
            <w:pStyle w:val="Contents4"/>
            <w:tabs>
              <w:tab w:val="clear" w:pos="8176"/>
              <w:tab w:val="right" w:pos="9026" w:leader="dot"/>
            </w:tabs>
            <w:rPr/>
          </w:pPr>
          <w:hyperlink w:anchor="__RefHeading___Toc39162_2142443653">
            <w:r>
              <w:rPr>
                <w:webHidden/>
                <w:rStyle w:val="IndexLink"/>
                <w:rtl w:val="true"/>
              </w:rPr>
              <w:t>محمد بن شهر آشوب حاله غیر معلوم</w:t>
            </w:r>
            <w:r>
              <w:rPr>
                <w:rStyle w:val="IndexLink"/>
                <w:rtl w:val="true"/>
              </w:rPr>
              <w:tab/>
            </w:r>
            <w:r>
              <w:rPr>
                <w:rStyle w:val="IndexLink"/>
              </w:rPr>
              <w:t>110</w:t>
            </w:r>
          </w:hyperlink>
        </w:p>
        <w:p>
          <w:pPr>
            <w:pStyle w:val="Contents4"/>
            <w:tabs>
              <w:tab w:val="clear" w:pos="8176"/>
              <w:tab w:val="right" w:pos="9026" w:leader="dot"/>
            </w:tabs>
            <w:rPr/>
          </w:pPr>
          <w:hyperlink w:anchor="__RefHeading___Toc39164_2142443653">
            <w:r>
              <w:rPr>
                <w:webHidden/>
                <w:rStyle w:val="IndexLink"/>
                <w:rtl w:val="true"/>
              </w:rPr>
              <w:t xml:space="preserve">ما المراد بالوضوء فی قوله علیه السلام فی خبر أبی بکر الحضرمی </w:t>
            </w:r>
            <w:r>
              <w:rPr>
                <w:rStyle w:val="IndexLink"/>
                <w:rtl w:val="true"/>
              </w:rPr>
              <w:t xml:space="preserve">: « </w:t>
            </w:r>
            <w:r>
              <w:rPr>
                <w:rStyle w:val="IndexLink"/>
                <w:rtl w:val="true"/>
              </w:rPr>
              <w:t xml:space="preserve">توضّأ وضوء الصلاة ثم اغتسل </w:t>
            </w:r>
            <w:r>
              <w:rPr>
                <w:rStyle w:val="IndexLink"/>
                <w:rtl w:val="true"/>
              </w:rPr>
              <w:t>»</w:t>
            </w:r>
            <w:r>
              <w:rPr>
                <w:rStyle w:val="IndexLink"/>
                <w:rtl w:val="true"/>
              </w:rPr>
              <w:t>؟</w:t>
            </w:r>
            <w:r>
              <w:rPr>
                <w:rStyle w:val="IndexLink"/>
                <w:rtl w:val="true"/>
              </w:rPr>
              <w:tab/>
            </w:r>
            <w:r>
              <w:rPr>
                <w:rStyle w:val="IndexLink"/>
              </w:rPr>
              <w:t>111</w:t>
            </w:r>
          </w:hyperlink>
        </w:p>
        <w:p>
          <w:pPr>
            <w:pStyle w:val="Contents4"/>
            <w:tabs>
              <w:tab w:val="clear" w:pos="8176"/>
              <w:tab w:val="right" w:pos="9026" w:leader="dot"/>
            </w:tabs>
            <w:rPr/>
          </w:pPr>
          <w:hyperlink w:anchor="__RefHeading___Toc39166_2142443653">
            <w:r>
              <w:rPr>
                <w:webHidden/>
                <w:rStyle w:val="IndexLink"/>
                <w:rtl w:val="true"/>
              </w:rPr>
              <w:t>الاستدلال بخبر أبی بکر الحضرمی علی أنّ الغسل واجب لنفسه والمناقشة فیه</w:t>
            </w:r>
            <w:r>
              <w:rPr>
                <w:rStyle w:val="IndexLink"/>
                <w:rtl w:val="true"/>
              </w:rPr>
              <w:tab/>
            </w:r>
            <w:r>
              <w:rPr>
                <w:rStyle w:val="IndexLink"/>
              </w:rPr>
              <w:t>112</w:t>
            </w:r>
          </w:hyperlink>
        </w:p>
        <w:p>
          <w:pPr>
            <w:pStyle w:val="Contents4"/>
            <w:tabs>
              <w:tab w:val="clear" w:pos="8176"/>
              <w:tab w:val="right" w:pos="9026" w:leader="dot"/>
            </w:tabs>
            <w:rPr/>
          </w:pPr>
          <w:hyperlink w:anchor="__RefHeading___Toc39168_2142443653">
            <w:r>
              <w:rPr>
                <w:webHidden/>
                <w:rStyle w:val="IndexLink"/>
                <w:rtl w:val="true"/>
              </w:rPr>
              <w:t>الاستدلال بخبر سماعة علی أنّ المستحاضة المتوسطة علیها غسل واحد</w:t>
            </w:r>
            <w:r>
              <w:rPr>
                <w:rStyle w:val="IndexLink"/>
                <w:rtl w:val="true"/>
              </w:rPr>
              <w:tab/>
            </w:r>
            <w:r>
              <w:rPr>
                <w:rStyle w:val="IndexLink"/>
              </w:rPr>
              <w:t>112</w:t>
            </w:r>
          </w:hyperlink>
        </w:p>
        <w:p>
          <w:pPr>
            <w:pStyle w:val="Contents4"/>
            <w:tabs>
              <w:tab w:val="clear" w:pos="8176"/>
              <w:tab w:val="right" w:pos="9026" w:leader="dot"/>
            </w:tabs>
            <w:rPr/>
          </w:pPr>
          <w:hyperlink w:anchor="__RefHeading___Toc39170_2142443653">
            <w:r>
              <w:rPr>
                <w:webHidden/>
                <w:rStyle w:val="IndexLink"/>
                <w:rtl w:val="true"/>
              </w:rPr>
              <w:t>بحث حول محمد بن عبدالله بن زرارة</w:t>
            </w:r>
            <w:r>
              <w:rPr>
                <w:rStyle w:val="IndexLink"/>
                <w:rtl w:val="true"/>
              </w:rPr>
              <w:tab/>
            </w:r>
            <w:r>
              <w:rPr>
                <w:rStyle w:val="IndexLink"/>
              </w:rPr>
              <w:t>114</w:t>
            </w:r>
          </w:hyperlink>
        </w:p>
        <w:p>
          <w:pPr>
            <w:pStyle w:val="Contents4"/>
            <w:tabs>
              <w:tab w:val="clear" w:pos="8176"/>
              <w:tab w:val="right" w:pos="9026" w:leader="dot"/>
            </w:tabs>
            <w:rPr/>
          </w:pPr>
          <w:hyperlink w:anchor="__RefHeading___Toc39172_2142443653">
            <w:r>
              <w:rPr>
                <w:webHidden/>
                <w:rStyle w:val="IndexLink"/>
                <w:rtl w:val="true"/>
              </w:rPr>
              <w:t>بحث حول أبی بصیر</w:t>
            </w:r>
            <w:r>
              <w:rPr>
                <w:rStyle w:val="IndexLink"/>
                <w:rtl w:val="true"/>
              </w:rPr>
              <w:tab/>
            </w:r>
            <w:r>
              <w:rPr>
                <w:rStyle w:val="IndexLink"/>
              </w:rPr>
              <w:t>115</w:t>
            </w:r>
          </w:hyperlink>
        </w:p>
        <w:p>
          <w:pPr>
            <w:pStyle w:val="Contents4"/>
            <w:tabs>
              <w:tab w:val="clear" w:pos="8176"/>
              <w:tab w:val="right" w:pos="9026" w:leader="dot"/>
            </w:tabs>
            <w:rPr/>
          </w:pPr>
          <w:hyperlink w:anchor="__RefHeading___Toc39174_2142443653">
            <w:r>
              <w:rPr>
                <w:webHidden/>
                <w:rStyle w:val="IndexLink"/>
                <w:rtl w:val="true"/>
              </w:rPr>
              <w:t xml:space="preserve">ما المراد بقوله علیه السلام </w:t>
            </w:r>
            <w:r>
              <w:rPr>
                <w:rStyle w:val="IndexLink"/>
                <w:rtl w:val="true"/>
              </w:rPr>
              <w:t xml:space="preserve">: </w:t>
            </w:r>
            <w:r>
              <w:rPr>
                <w:rStyle w:val="IndexLink"/>
                <w:rtl w:val="true"/>
              </w:rPr>
              <w:t>غسل الاحرام فرض؟</w:t>
            </w:r>
            <w:r>
              <w:rPr>
                <w:rStyle w:val="IndexLink"/>
                <w:rtl w:val="true"/>
              </w:rPr>
              <w:tab/>
            </w:r>
            <w:r>
              <w:rPr>
                <w:rStyle w:val="IndexLink"/>
              </w:rPr>
              <w:t>119</w:t>
            </w:r>
          </w:hyperlink>
        </w:p>
        <w:p>
          <w:pPr>
            <w:pStyle w:val="Contents4"/>
            <w:tabs>
              <w:tab w:val="clear" w:pos="8176"/>
              <w:tab w:val="right" w:pos="9026" w:leader="dot"/>
            </w:tabs>
            <w:rPr/>
          </w:pPr>
          <w:hyperlink w:anchor="__RefHeading___Toc39176_2142443653">
            <w:r>
              <w:rPr>
                <w:webHidden/>
                <w:rStyle w:val="IndexLink"/>
                <w:rtl w:val="true"/>
              </w:rPr>
              <w:t>هل یجوز استعمال لفظ الفرض فی الوجوب وغیره؟</w:t>
            </w:r>
            <w:r>
              <w:rPr>
                <w:rStyle w:val="IndexLink"/>
                <w:rtl w:val="true"/>
              </w:rPr>
              <w:tab/>
            </w:r>
            <w:r>
              <w:rPr>
                <w:rStyle w:val="IndexLink"/>
              </w:rPr>
              <w:t>120</w:t>
            </w:r>
          </w:hyperlink>
        </w:p>
        <w:p>
          <w:pPr>
            <w:pStyle w:val="Contents4"/>
            <w:tabs>
              <w:tab w:val="clear" w:pos="8176"/>
              <w:tab w:val="right" w:pos="9026" w:leader="dot"/>
            </w:tabs>
            <w:rPr/>
          </w:pPr>
          <w:hyperlink w:anchor="__RefHeading___Toc39178_2142443653">
            <w:r>
              <w:rPr>
                <w:webHidden/>
                <w:rStyle w:val="IndexLink"/>
                <w:rtl w:val="true"/>
              </w:rPr>
              <w:t>هل السؤال فی قوله</w:t>
            </w:r>
            <w:r>
              <w:rPr>
                <w:rStyle w:val="IndexLink"/>
                <w:rtl w:val="true"/>
              </w:rPr>
              <w:t>:</w:t>
            </w:r>
            <w:r>
              <w:rPr>
                <w:rStyle w:val="IndexLink"/>
                <w:rtl w:val="true"/>
              </w:rPr>
              <w:t>علیها غسل مثل غسل الجنب، عن الوجوب أو الکیفیة؟</w:t>
            </w:r>
            <w:r>
              <w:rPr>
                <w:rStyle w:val="IndexLink"/>
                <w:rtl w:val="true"/>
              </w:rPr>
              <w:tab/>
            </w:r>
            <w:r>
              <w:rPr>
                <w:rStyle w:val="IndexLink"/>
              </w:rPr>
              <w:t>121</w:t>
            </w:r>
          </w:hyperlink>
        </w:p>
        <w:p>
          <w:pPr>
            <w:pStyle w:val="Contents4"/>
            <w:tabs>
              <w:tab w:val="clear" w:pos="8176"/>
              <w:tab w:val="right" w:pos="9026" w:leader="dot"/>
            </w:tabs>
            <w:rPr/>
          </w:pPr>
          <w:hyperlink w:anchor="__RefHeading___Toc39180_2142443653">
            <w:r>
              <w:rPr>
                <w:webHidden/>
                <w:rStyle w:val="IndexLink"/>
                <w:rtl w:val="true"/>
              </w:rPr>
              <w:t>بحث حول الحسن بن الحسین اللؤلؤی</w:t>
            </w:r>
            <w:r>
              <w:rPr>
                <w:rStyle w:val="IndexLink"/>
                <w:rtl w:val="true"/>
              </w:rPr>
              <w:tab/>
            </w:r>
            <w:r>
              <w:rPr>
                <w:rStyle w:val="IndexLink"/>
              </w:rPr>
              <w:t>123</w:t>
            </w:r>
          </w:hyperlink>
        </w:p>
        <w:p>
          <w:pPr>
            <w:pStyle w:val="Contents4"/>
            <w:tabs>
              <w:tab w:val="clear" w:pos="8176"/>
              <w:tab w:val="right" w:pos="9026" w:leader="dot"/>
            </w:tabs>
            <w:rPr/>
          </w:pPr>
          <w:hyperlink w:anchor="__RefHeading___Toc39182_2142443653">
            <w:r>
              <w:rPr>
                <w:webHidden/>
                <w:rStyle w:val="IndexLink"/>
                <w:rtl w:val="true"/>
              </w:rPr>
              <w:t>ما المراد بأحمد بن محمد الراوی عن سعد بن أبی خلف؟</w:t>
            </w:r>
            <w:r>
              <w:rPr>
                <w:rStyle w:val="IndexLink"/>
                <w:rtl w:val="true"/>
              </w:rPr>
              <w:tab/>
            </w:r>
            <w:r>
              <w:rPr>
                <w:rStyle w:val="IndexLink"/>
              </w:rPr>
              <w:t>125</w:t>
            </w:r>
          </w:hyperlink>
        </w:p>
        <w:p>
          <w:pPr>
            <w:pStyle w:val="Contents4"/>
            <w:tabs>
              <w:tab w:val="clear" w:pos="8176"/>
              <w:tab w:val="right" w:pos="9026" w:leader="dot"/>
            </w:tabs>
            <w:rPr/>
          </w:pPr>
          <w:hyperlink w:anchor="__RefHeading___Toc39184_2142443653">
            <w:r>
              <w:rPr>
                <w:webHidden/>
                <w:rStyle w:val="IndexLink"/>
                <w:rtl w:val="true"/>
              </w:rPr>
              <w:t>سعد بن أبی خلف ثقة</w:t>
            </w:r>
            <w:r>
              <w:rPr>
                <w:rStyle w:val="IndexLink"/>
                <w:rtl w:val="true"/>
              </w:rPr>
              <w:tab/>
            </w:r>
            <w:r>
              <w:rPr>
                <w:rStyle w:val="IndexLink"/>
              </w:rPr>
              <w:t>125</w:t>
            </w:r>
          </w:hyperlink>
        </w:p>
        <w:p>
          <w:pPr>
            <w:pStyle w:val="Contents4"/>
            <w:tabs>
              <w:tab w:val="clear" w:pos="8176"/>
              <w:tab w:val="right" w:pos="9026" w:leader="dot"/>
            </w:tabs>
            <w:rPr/>
          </w:pPr>
          <w:hyperlink w:anchor="__RefHeading___Toc39186_2142443653">
            <w:r>
              <w:rPr>
                <w:webHidden/>
                <w:rStyle w:val="IndexLink"/>
                <w:rtl w:val="true"/>
              </w:rPr>
              <w:t>علی بن خالد کان زیدیاً ثم رجع</w:t>
            </w:r>
            <w:r>
              <w:rPr>
                <w:rStyle w:val="IndexLink"/>
                <w:rtl w:val="true"/>
              </w:rPr>
              <w:tab/>
            </w:r>
            <w:r>
              <w:rPr>
                <w:rStyle w:val="IndexLink"/>
              </w:rPr>
              <w:t>125</w:t>
            </w:r>
          </w:hyperlink>
        </w:p>
        <w:p>
          <w:pPr>
            <w:pStyle w:val="Contents4"/>
            <w:tabs>
              <w:tab w:val="clear" w:pos="8176"/>
              <w:tab w:val="right" w:pos="9026" w:leader="dot"/>
            </w:tabs>
            <w:rPr/>
          </w:pPr>
          <w:hyperlink w:anchor="__RefHeading___Toc39188_2142443653">
            <w:r>
              <w:rPr>
                <w:webHidden/>
                <w:rStyle w:val="IndexLink"/>
                <w:rtl w:val="true"/>
              </w:rPr>
              <w:t>بحث حول محمد بن الولید الخزاز</w:t>
            </w:r>
            <w:r>
              <w:rPr>
                <w:rStyle w:val="IndexLink"/>
                <w:rtl w:val="true"/>
              </w:rPr>
              <w:tab/>
            </w:r>
            <w:r>
              <w:rPr>
                <w:rStyle w:val="IndexLink"/>
              </w:rPr>
              <w:t>125</w:t>
            </w:r>
          </w:hyperlink>
        </w:p>
        <w:p>
          <w:pPr>
            <w:pStyle w:val="Contents4"/>
            <w:tabs>
              <w:tab w:val="clear" w:pos="8176"/>
              <w:tab w:val="right" w:pos="9026" w:leader="dot"/>
            </w:tabs>
            <w:rPr/>
          </w:pPr>
          <w:hyperlink w:anchor="__RefHeading___Toc39190_2142443653">
            <w:r>
              <w:rPr>
                <w:webHidden/>
                <w:rStyle w:val="IndexLink"/>
                <w:rtl w:val="true"/>
              </w:rPr>
              <w:t xml:space="preserve">توجیه قوله علیه السلام </w:t>
            </w:r>
            <w:r>
              <w:rPr>
                <w:rStyle w:val="IndexLink"/>
                <w:rtl w:val="true"/>
              </w:rPr>
              <w:t xml:space="preserve">: « </w:t>
            </w:r>
            <w:r>
              <w:rPr>
                <w:rStyle w:val="IndexLink"/>
                <w:rtl w:val="true"/>
              </w:rPr>
              <w:t xml:space="preserve">لیس علی النفساء غسل فی السفر </w:t>
            </w:r>
            <w:r>
              <w:rPr>
                <w:rStyle w:val="IndexLink"/>
                <w:rtl w:val="true"/>
              </w:rPr>
              <w:t>»</w:t>
              <w:tab/>
            </w:r>
            <w:r>
              <w:rPr>
                <w:rStyle w:val="IndexLink"/>
              </w:rPr>
              <w:t>126</w:t>
            </w:r>
          </w:hyperlink>
        </w:p>
        <w:p>
          <w:pPr>
            <w:pStyle w:val="Contents3"/>
            <w:tabs>
              <w:tab w:val="clear" w:pos="8459"/>
              <w:tab w:val="right" w:pos="9026" w:leader="dot"/>
            </w:tabs>
            <w:rPr/>
          </w:pPr>
          <w:hyperlink w:anchor="__RefHeading___Toc39192_2142443653">
            <w:r>
              <w:rPr>
                <w:webHidden/>
                <w:rStyle w:val="IndexLink"/>
                <w:rtl w:val="true"/>
              </w:rPr>
              <w:t>وجوب غسل المیت وغسل من مسّ میتاً</w:t>
            </w:r>
            <w:r>
              <w:rPr>
                <w:rStyle w:val="IndexLink"/>
                <w:rtl w:val="true"/>
              </w:rPr>
              <w:tab/>
            </w:r>
            <w:r>
              <w:rPr>
                <w:rStyle w:val="IndexLink"/>
              </w:rPr>
              <w:t>127</w:t>
            </w:r>
          </w:hyperlink>
        </w:p>
        <w:p>
          <w:pPr>
            <w:pStyle w:val="Contents4"/>
            <w:tabs>
              <w:tab w:val="clear" w:pos="8176"/>
              <w:tab w:val="right" w:pos="9026" w:leader="dot"/>
            </w:tabs>
            <w:rPr/>
          </w:pPr>
          <w:hyperlink w:anchor="__RefHeading___Toc39194_2142443653">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39196_2142443653">
            <w:r>
              <w:rPr>
                <w:webHidden/>
                <w:rStyle w:val="IndexLink"/>
                <w:rtl w:val="true"/>
              </w:rPr>
              <w:t>القاسم الصیقل مهمل</w:t>
            </w:r>
            <w:r>
              <w:rPr>
                <w:rStyle w:val="IndexLink"/>
                <w:rtl w:val="true"/>
              </w:rPr>
              <w:tab/>
            </w:r>
            <w:r>
              <w:rPr>
                <w:rStyle w:val="IndexLink"/>
              </w:rPr>
              <w:t>128</w:t>
            </w:r>
          </w:hyperlink>
        </w:p>
        <w:p>
          <w:pPr>
            <w:pStyle w:val="Contents4"/>
            <w:tabs>
              <w:tab w:val="clear" w:pos="8176"/>
              <w:tab w:val="right" w:pos="9026" w:leader="dot"/>
            </w:tabs>
            <w:rPr/>
          </w:pPr>
          <w:hyperlink w:anchor="__RefHeading___Toc39198_2142443653">
            <w:r>
              <w:rPr>
                <w:webHidden/>
                <w:rStyle w:val="IndexLink"/>
                <w:rtl w:val="true"/>
              </w:rPr>
              <w:t xml:space="preserve">توجیه صاحب المدارک لقوله علیه السلام </w:t>
            </w:r>
            <w:r>
              <w:rPr>
                <w:rStyle w:val="IndexLink"/>
                <w:rtl w:val="true"/>
              </w:rPr>
              <w:t xml:space="preserve">: « </w:t>
            </w:r>
            <w:r>
              <w:rPr>
                <w:rStyle w:val="IndexLink"/>
                <w:rtl w:val="true"/>
              </w:rPr>
              <w:t xml:space="preserve">إنّما یمسّ الثیاب </w:t>
            </w:r>
            <w:r>
              <w:rPr>
                <w:rStyle w:val="IndexLink"/>
                <w:rtl w:val="true"/>
              </w:rPr>
              <w:t xml:space="preserve">» </w:t>
            </w:r>
            <w:r>
              <w:rPr>
                <w:rStyle w:val="IndexLink"/>
                <w:rtl w:val="true"/>
              </w:rPr>
              <w:t>والمناقشة فیه</w:t>
            </w:r>
            <w:r>
              <w:rPr>
                <w:rStyle w:val="IndexLink"/>
                <w:rtl w:val="true"/>
              </w:rPr>
              <w:tab/>
            </w:r>
            <w:r>
              <w:rPr>
                <w:rStyle w:val="IndexLink"/>
              </w:rPr>
              <w:t>129</w:t>
            </w:r>
          </w:hyperlink>
        </w:p>
        <w:p>
          <w:pPr>
            <w:pStyle w:val="Contents4"/>
            <w:tabs>
              <w:tab w:val="clear" w:pos="8176"/>
              <w:tab w:val="right" w:pos="9026" w:leader="dot"/>
            </w:tabs>
            <w:rPr/>
          </w:pPr>
          <w:hyperlink w:anchor="__RefHeading___Toc39200_2142443653">
            <w:r>
              <w:rPr>
                <w:webHidden/>
                <w:rStyle w:val="IndexLink"/>
                <w:rtl w:val="true"/>
              </w:rPr>
              <w:t>استحباب الغسل لتکفین المیت</w:t>
            </w:r>
            <w:r>
              <w:rPr>
                <w:rStyle w:val="IndexLink"/>
                <w:rtl w:val="true"/>
              </w:rPr>
              <w:tab/>
            </w:r>
            <w:r>
              <w:rPr>
                <w:rStyle w:val="IndexLink"/>
              </w:rPr>
              <w:t>129</w:t>
            </w:r>
          </w:hyperlink>
        </w:p>
        <w:p>
          <w:pPr>
            <w:pStyle w:val="Contents4"/>
            <w:tabs>
              <w:tab w:val="clear" w:pos="8176"/>
              <w:tab w:val="right" w:pos="9026" w:leader="dot"/>
            </w:tabs>
            <w:rPr/>
          </w:pPr>
          <w:hyperlink w:anchor="__RefHeading___Toc39202_2142443653">
            <w:r>
              <w:rPr>
                <w:webHidden/>
                <w:rStyle w:val="IndexLink"/>
                <w:rtl w:val="true"/>
              </w:rPr>
              <w:t xml:space="preserve">ما المراد بقوله علیه السلام </w:t>
            </w:r>
            <w:r>
              <w:rPr>
                <w:rStyle w:val="IndexLink"/>
                <w:rtl w:val="true"/>
              </w:rPr>
              <w:t xml:space="preserve">: « </w:t>
            </w:r>
            <w:r>
              <w:rPr>
                <w:rStyle w:val="IndexLink"/>
                <w:rtl w:val="true"/>
              </w:rPr>
              <w:t xml:space="preserve">فعل وجرت به السنّة </w:t>
            </w:r>
            <w:r>
              <w:rPr>
                <w:rStyle w:val="IndexLink"/>
                <w:rtl w:val="true"/>
              </w:rPr>
              <w:t>»</w:t>
            </w:r>
            <w:r>
              <w:rPr>
                <w:rStyle w:val="IndexLink"/>
                <w:rtl w:val="true"/>
              </w:rPr>
              <w:t>؟</w:t>
            </w:r>
            <w:r>
              <w:rPr>
                <w:rStyle w:val="IndexLink"/>
                <w:rtl w:val="true"/>
              </w:rPr>
              <w:tab/>
            </w:r>
            <w:r>
              <w:rPr>
                <w:rStyle w:val="IndexLink"/>
              </w:rPr>
              <w:t>130</w:t>
            </w:r>
          </w:hyperlink>
        </w:p>
        <w:p>
          <w:pPr>
            <w:pStyle w:val="Contents4"/>
            <w:tabs>
              <w:tab w:val="clear" w:pos="8176"/>
              <w:tab w:val="right" w:pos="9026" w:leader="dot"/>
            </w:tabs>
            <w:rPr/>
          </w:pPr>
          <w:hyperlink w:anchor="__RefHeading___Toc39204_2142443653">
            <w:r>
              <w:rPr>
                <w:webHidden/>
                <w:rStyle w:val="IndexLink"/>
                <w:rtl w:val="true"/>
              </w:rPr>
              <w:t>هل ینحصر موجب الغسل فی مسّ جلد المیت؟</w:t>
            </w:r>
            <w:r>
              <w:rPr>
                <w:rStyle w:val="IndexLink"/>
                <w:rtl w:val="true"/>
              </w:rPr>
              <w:tab/>
            </w:r>
            <w:r>
              <w:rPr>
                <w:rStyle w:val="IndexLink"/>
              </w:rPr>
              <w:t>130</w:t>
            </w:r>
          </w:hyperlink>
        </w:p>
        <w:p>
          <w:pPr>
            <w:pStyle w:val="Contents4"/>
            <w:tabs>
              <w:tab w:val="clear" w:pos="8176"/>
              <w:tab w:val="right" w:pos="9026" w:leader="dot"/>
            </w:tabs>
            <w:rPr/>
          </w:pPr>
          <w:hyperlink w:anchor="__RefHeading___Toc39206_2142443653">
            <w:r>
              <w:rPr>
                <w:webHidden/>
                <w:rStyle w:val="IndexLink"/>
                <w:rtl w:val="true"/>
              </w:rPr>
              <w:t>هل یجب الغسل بمسّ القطعة المبانة من المیت؟</w:t>
            </w:r>
            <w:r>
              <w:rPr>
                <w:rStyle w:val="IndexLink"/>
                <w:rtl w:val="true"/>
              </w:rPr>
              <w:tab/>
            </w:r>
            <w:r>
              <w:rPr>
                <w:rStyle w:val="IndexLink"/>
              </w:rPr>
              <w:t>131</w:t>
            </w:r>
          </w:hyperlink>
        </w:p>
        <w:p>
          <w:pPr>
            <w:pStyle w:val="Contents4"/>
            <w:tabs>
              <w:tab w:val="clear" w:pos="8176"/>
              <w:tab w:val="right" w:pos="9026" w:leader="dot"/>
            </w:tabs>
            <w:rPr/>
          </w:pPr>
          <w:hyperlink w:anchor="__RefHeading___Toc39208_2142443653">
            <w:r>
              <w:rPr>
                <w:webHidden/>
                <w:rStyle w:val="IndexLink"/>
                <w:rtl w:val="true"/>
              </w:rPr>
              <w:t>بحث فی أنّ غسل مسّ المیت واجب أو مستحب</w:t>
            </w:r>
            <w:r>
              <w:rPr>
                <w:rStyle w:val="IndexLink"/>
                <w:rtl w:val="true"/>
              </w:rPr>
              <w:tab/>
            </w:r>
            <w:r>
              <w:rPr>
                <w:rStyle w:val="IndexLink"/>
              </w:rPr>
              <w:t>133</w:t>
            </w:r>
          </w:hyperlink>
        </w:p>
        <w:p>
          <w:pPr>
            <w:pStyle w:val="Contents4"/>
            <w:tabs>
              <w:tab w:val="clear" w:pos="8176"/>
              <w:tab w:val="right" w:pos="9026" w:leader="dot"/>
            </w:tabs>
            <w:rPr/>
          </w:pPr>
          <w:hyperlink w:anchor="__RefHeading___Toc39210_2142443653">
            <w:r>
              <w:rPr>
                <w:webHidden/>
                <w:rStyle w:val="IndexLink"/>
                <w:rtl w:val="true"/>
              </w:rPr>
              <w:t>بحث حول السکونی</w:t>
            </w:r>
            <w:r>
              <w:rPr>
                <w:rStyle w:val="IndexLink"/>
                <w:rtl w:val="true"/>
              </w:rPr>
              <w:tab/>
            </w:r>
            <w:r>
              <w:rPr>
                <w:rStyle w:val="IndexLink"/>
              </w:rPr>
              <w:t>135</w:t>
            </w:r>
          </w:hyperlink>
        </w:p>
        <w:p>
          <w:pPr>
            <w:pStyle w:val="Contents4"/>
            <w:tabs>
              <w:tab w:val="clear" w:pos="8176"/>
              <w:tab w:val="right" w:pos="9026" w:leader="dot"/>
            </w:tabs>
            <w:rPr/>
          </w:pPr>
          <w:hyperlink w:anchor="__RefHeading___Toc39212_2142443653">
            <w:r>
              <w:rPr>
                <w:webHidden/>
                <w:rStyle w:val="IndexLink"/>
                <w:rtl w:val="true"/>
              </w:rPr>
              <w:t>بحث حول عبدالرحمان بن أبی نجران</w:t>
            </w:r>
            <w:r>
              <w:rPr>
                <w:rStyle w:val="IndexLink"/>
                <w:rtl w:val="true"/>
              </w:rPr>
              <w:tab/>
            </w:r>
            <w:r>
              <w:rPr>
                <w:rStyle w:val="IndexLink"/>
              </w:rPr>
              <w:t>137</w:t>
            </w:r>
          </w:hyperlink>
        </w:p>
        <w:p>
          <w:pPr>
            <w:pStyle w:val="Contents4"/>
            <w:tabs>
              <w:tab w:val="clear" w:pos="8176"/>
              <w:tab w:val="right" w:pos="9026" w:leader="dot"/>
            </w:tabs>
            <w:rPr/>
          </w:pPr>
          <w:hyperlink w:anchor="__RefHeading___Toc39214_2142443653">
            <w:r>
              <w:rPr>
                <w:webHidden/>
                <w:rStyle w:val="IndexLink"/>
                <w:rtl w:val="true"/>
              </w:rPr>
              <w:t>حکم ما إذا اجتمع میت ومحدث وجنب ومعهم من الماء ما یکفی أحدهم</w:t>
            </w:r>
            <w:r>
              <w:rPr>
                <w:rStyle w:val="IndexLink"/>
                <w:rtl w:val="true"/>
              </w:rPr>
              <w:tab/>
            </w:r>
            <w:r>
              <w:rPr>
                <w:rStyle w:val="IndexLink"/>
              </w:rPr>
              <w:t>138</w:t>
            </w:r>
          </w:hyperlink>
        </w:p>
        <w:p>
          <w:pPr>
            <w:pStyle w:val="Contents4"/>
            <w:tabs>
              <w:tab w:val="clear" w:pos="8176"/>
              <w:tab w:val="right" w:pos="9026" w:leader="dot"/>
            </w:tabs>
            <w:rPr/>
          </w:pPr>
          <w:hyperlink w:anchor="__RefHeading___Toc39216_2142443653">
            <w:r>
              <w:rPr>
                <w:webHidden/>
                <w:rStyle w:val="IndexLink"/>
                <w:rtl w:val="true"/>
              </w:rPr>
              <w:t>الحسن التفلیسی مهمل</w:t>
            </w:r>
            <w:r>
              <w:rPr>
                <w:rStyle w:val="IndexLink"/>
                <w:rtl w:val="true"/>
              </w:rPr>
              <w:tab/>
            </w:r>
            <w:r>
              <w:rPr>
                <w:rStyle w:val="IndexLink"/>
              </w:rPr>
              <w:t>141</w:t>
            </w:r>
          </w:hyperlink>
        </w:p>
        <w:p>
          <w:pPr>
            <w:pStyle w:val="Contents4"/>
            <w:tabs>
              <w:tab w:val="clear" w:pos="8176"/>
              <w:tab w:val="right" w:pos="9026" w:leader="dot"/>
            </w:tabs>
            <w:rPr/>
          </w:pPr>
          <w:hyperlink w:anchor="__RefHeading___Toc39218_2142443653">
            <w:r>
              <w:rPr>
                <w:webHidden/>
                <w:rStyle w:val="IndexLink"/>
                <w:rtl w:val="true"/>
              </w:rPr>
              <w:t>بحث حول الحسن بن النضر الأرمنی</w:t>
            </w:r>
            <w:r>
              <w:rPr>
                <w:rStyle w:val="IndexLink"/>
                <w:rtl w:val="true"/>
              </w:rPr>
              <w:tab/>
            </w:r>
            <w:r>
              <w:rPr>
                <w:rStyle w:val="IndexLink"/>
              </w:rPr>
              <w:t>141</w:t>
            </w:r>
          </w:hyperlink>
        </w:p>
        <w:p>
          <w:pPr>
            <w:pStyle w:val="Contents4"/>
            <w:tabs>
              <w:tab w:val="clear" w:pos="8176"/>
              <w:tab w:val="right" w:pos="9026" w:leader="dot"/>
            </w:tabs>
            <w:rPr/>
          </w:pPr>
          <w:hyperlink w:anchor="__RefHeading___Toc39220_2142443653">
            <w:r>
              <w:rPr>
                <w:webHidden/>
                <w:rStyle w:val="IndexLink"/>
                <w:rtl w:val="true"/>
              </w:rPr>
              <w:t>علی بن محمد القاسانی لیس بثقة</w:t>
            </w:r>
            <w:r>
              <w:rPr>
                <w:rStyle w:val="IndexLink"/>
                <w:rtl w:val="true"/>
              </w:rPr>
              <w:tab/>
            </w:r>
            <w:r>
              <w:rPr>
                <w:rStyle w:val="IndexLink"/>
              </w:rPr>
              <w:t>141</w:t>
            </w:r>
          </w:hyperlink>
        </w:p>
        <w:p>
          <w:pPr>
            <w:pStyle w:val="Contents4"/>
            <w:tabs>
              <w:tab w:val="clear" w:pos="8176"/>
              <w:tab w:val="right" w:pos="9026" w:leader="dot"/>
            </w:tabs>
            <w:rPr/>
          </w:pPr>
          <w:hyperlink w:anchor="__RefHeading___Toc39222_2142443653">
            <w:r>
              <w:rPr>
                <w:webHidden/>
                <w:rStyle w:val="IndexLink"/>
                <w:rtl w:val="true"/>
              </w:rPr>
              <w:t>محمد بن علی مشترک</w:t>
            </w:r>
            <w:r>
              <w:rPr>
                <w:rStyle w:val="IndexLink"/>
                <w:rtl w:val="true"/>
              </w:rPr>
              <w:tab/>
            </w:r>
            <w:r>
              <w:rPr>
                <w:rStyle w:val="IndexLink"/>
              </w:rPr>
              <w:t>141</w:t>
            </w:r>
          </w:hyperlink>
        </w:p>
        <w:p>
          <w:pPr>
            <w:pStyle w:val="Contents4"/>
            <w:tabs>
              <w:tab w:val="clear" w:pos="8176"/>
              <w:tab w:val="right" w:pos="9026" w:leader="dot"/>
            </w:tabs>
            <w:rPr/>
          </w:pPr>
          <w:hyperlink w:anchor="__RefHeading___Toc39224_2142443653">
            <w:r>
              <w:rPr>
                <w:webHidden/>
                <w:rStyle w:val="IndexLink"/>
                <w:rtl w:val="true"/>
              </w:rPr>
              <w:t>مناقشة فی قول الشیخ بالتخییر بین المیت والجنب</w:t>
            </w:r>
            <w:r>
              <w:rPr>
                <w:rStyle w:val="IndexLink"/>
                <w:rtl w:val="true"/>
              </w:rPr>
              <w:tab/>
            </w:r>
            <w:r>
              <w:rPr>
                <w:rStyle w:val="IndexLink"/>
              </w:rPr>
              <w:t>142</w:t>
            </w:r>
          </w:hyperlink>
        </w:p>
        <w:p>
          <w:pPr>
            <w:pStyle w:val="Contents2"/>
            <w:tabs>
              <w:tab w:val="clear" w:pos="8743"/>
              <w:tab w:val="right" w:pos="9026" w:leader="dot"/>
            </w:tabs>
            <w:rPr/>
          </w:pPr>
          <w:hyperlink w:anchor="__RefHeading___Toc39226_2142443653">
            <w:r>
              <w:rPr>
                <w:webHidden/>
                <w:rStyle w:val="IndexLink"/>
                <w:rtl w:val="true"/>
              </w:rPr>
              <w:t>الأغسال المسنونة</w:t>
            </w:r>
            <w:r>
              <w:rPr>
                <w:rStyle w:val="IndexLink"/>
                <w:rtl w:val="true"/>
              </w:rPr>
              <w:tab/>
            </w:r>
            <w:r>
              <w:rPr>
                <w:rStyle w:val="IndexLink"/>
              </w:rPr>
              <w:t>144</w:t>
            </w:r>
          </w:hyperlink>
        </w:p>
        <w:p>
          <w:pPr>
            <w:pStyle w:val="Contents3"/>
            <w:tabs>
              <w:tab w:val="clear" w:pos="8459"/>
              <w:tab w:val="right" w:pos="9026" w:leader="dot"/>
            </w:tabs>
            <w:rPr/>
          </w:pPr>
          <w:hyperlink w:anchor="__RefHeading___Toc39228_2142443653">
            <w:r>
              <w:rPr>
                <w:webHidden/>
                <w:rStyle w:val="IndexLink"/>
                <w:rtl w:val="true"/>
              </w:rPr>
              <w:t>القاسم بن محمد الجوهری واقفی غیر موثق</w:t>
            </w:r>
            <w:r>
              <w:rPr>
                <w:rStyle w:val="IndexLink"/>
                <w:rtl w:val="true"/>
              </w:rPr>
              <w:tab/>
            </w:r>
            <w:r>
              <w:rPr>
                <w:rStyle w:val="IndexLink"/>
              </w:rPr>
              <w:t>144</w:t>
            </w:r>
          </w:hyperlink>
        </w:p>
        <w:p>
          <w:pPr>
            <w:pStyle w:val="Contents3"/>
            <w:tabs>
              <w:tab w:val="clear" w:pos="8459"/>
              <w:tab w:val="right" w:pos="9026" w:leader="dot"/>
            </w:tabs>
            <w:rPr/>
          </w:pPr>
          <w:hyperlink w:anchor="__RefHeading___Toc39230_2142443653">
            <w:r>
              <w:rPr>
                <w:webHidden/>
                <w:rStyle w:val="IndexLink"/>
                <w:rtl w:val="true"/>
              </w:rPr>
              <w:t>علی بن أبی حمزة واقفی</w:t>
            </w:r>
            <w:r>
              <w:rPr>
                <w:rStyle w:val="IndexLink"/>
                <w:rtl w:val="true"/>
              </w:rPr>
              <w:tab/>
            </w:r>
            <w:r>
              <w:rPr>
                <w:rStyle w:val="IndexLink"/>
              </w:rPr>
              <w:t>144</w:t>
            </w:r>
          </w:hyperlink>
        </w:p>
        <w:p>
          <w:pPr>
            <w:pStyle w:val="Contents3"/>
            <w:tabs>
              <w:tab w:val="clear" w:pos="8459"/>
              <w:tab w:val="right" w:pos="9026" w:leader="dot"/>
            </w:tabs>
            <w:rPr/>
          </w:pPr>
          <w:hyperlink w:anchor="__RefHeading___Toc39232_2142443653">
            <w:r>
              <w:rPr>
                <w:webHidden/>
                <w:rStyle w:val="IndexLink"/>
                <w:rtl w:val="true"/>
              </w:rPr>
              <w:t>استحباب غسل الجمعة والفطر والأضحی</w:t>
            </w:r>
            <w:r>
              <w:rPr>
                <w:rStyle w:val="IndexLink"/>
                <w:rtl w:val="true"/>
              </w:rPr>
              <w:tab/>
            </w:r>
            <w:r>
              <w:rPr>
                <w:rStyle w:val="IndexLink"/>
              </w:rPr>
              <w:t>144</w:t>
            </w:r>
          </w:hyperlink>
        </w:p>
        <w:p>
          <w:pPr>
            <w:pStyle w:val="Contents3"/>
            <w:tabs>
              <w:tab w:val="clear" w:pos="8459"/>
              <w:tab w:val="right" w:pos="9026" w:leader="dot"/>
            </w:tabs>
            <w:rPr/>
          </w:pPr>
          <w:hyperlink w:anchor="__RefHeading___Toc39234_2142443653">
            <w:r>
              <w:rPr>
                <w:webHidden/>
                <w:rStyle w:val="IndexLink"/>
                <w:rtl w:val="true"/>
              </w:rPr>
              <w:t>معنی القُرّ</w:t>
            </w:r>
            <w:r>
              <w:rPr>
                <w:rStyle w:val="IndexLink"/>
                <w:rtl w:val="true"/>
              </w:rPr>
              <w:tab/>
            </w:r>
            <w:r>
              <w:rPr>
                <w:rStyle w:val="IndexLink"/>
              </w:rPr>
              <w:t>146</w:t>
            </w:r>
          </w:hyperlink>
        </w:p>
        <w:p>
          <w:pPr>
            <w:pStyle w:val="Contents3"/>
            <w:tabs>
              <w:tab w:val="clear" w:pos="8459"/>
              <w:tab w:val="right" w:pos="9026" w:leader="dot"/>
            </w:tabs>
            <w:rPr/>
          </w:pPr>
          <w:hyperlink w:anchor="__RefHeading___Toc39236_2142443653">
            <w:r>
              <w:rPr>
                <w:webHidden/>
                <w:rStyle w:val="IndexLink"/>
                <w:rtl w:val="true"/>
              </w:rPr>
              <w:t>محمد بن عبدالله مشترک</w:t>
            </w:r>
            <w:r>
              <w:rPr>
                <w:rStyle w:val="IndexLink"/>
                <w:rtl w:val="true"/>
              </w:rPr>
              <w:tab/>
            </w:r>
            <w:r>
              <w:rPr>
                <w:rStyle w:val="IndexLink"/>
              </w:rPr>
              <w:t>147</w:t>
            </w:r>
          </w:hyperlink>
        </w:p>
        <w:p>
          <w:pPr>
            <w:pStyle w:val="Contents3"/>
            <w:tabs>
              <w:tab w:val="clear" w:pos="8459"/>
              <w:tab w:val="right" w:pos="9026" w:leader="dot"/>
            </w:tabs>
            <w:rPr/>
          </w:pPr>
          <w:hyperlink w:anchor="__RefHeading___Toc39238_2142443653">
            <w:r>
              <w:rPr>
                <w:webHidden/>
                <w:rStyle w:val="IndexLink"/>
                <w:rtl w:val="true"/>
              </w:rPr>
              <w:t>وجه إطلاق الوجوب علی غسل الجمعة</w:t>
            </w:r>
            <w:r>
              <w:rPr>
                <w:rStyle w:val="IndexLink"/>
                <w:rtl w:val="true"/>
              </w:rPr>
              <w:tab/>
            </w:r>
            <w:r>
              <w:rPr>
                <w:rStyle w:val="IndexLink"/>
              </w:rPr>
              <w:t>147</w:t>
            </w:r>
          </w:hyperlink>
        </w:p>
        <w:p>
          <w:pPr>
            <w:pStyle w:val="Contents3"/>
            <w:tabs>
              <w:tab w:val="clear" w:pos="8459"/>
              <w:tab w:val="right" w:pos="9026" w:leader="dot"/>
            </w:tabs>
            <w:rPr/>
          </w:pPr>
          <w:hyperlink w:anchor="__RefHeading___Toc39240_2142443653">
            <w:r>
              <w:rPr>
                <w:webHidden/>
                <w:rStyle w:val="IndexLink"/>
                <w:rtl w:val="true"/>
              </w:rPr>
              <w:t>محمّد بن سهل بن الیسع مهمل وأبوه ثقة ثقة</w:t>
            </w:r>
            <w:r>
              <w:rPr>
                <w:rStyle w:val="IndexLink"/>
                <w:rtl w:val="true"/>
              </w:rPr>
              <w:tab/>
            </w:r>
            <w:r>
              <w:rPr>
                <w:rStyle w:val="IndexLink"/>
              </w:rPr>
              <w:t>149</w:t>
            </w:r>
          </w:hyperlink>
        </w:p>
        <w:p>
          <w:pPr>
            <w:pStyle w:val="Contents3"/>
            <w:tabs>
              <w:tab w:val="clear" w:pos="8459"/>
              <w:tab w:val="right" w:pos="9026" w:leader="dot"/>
            </w:tabs>
            <w:rPr/>
          </w:pPr>
          <w:hyperlink w:anchor="__RefHeading___Toc39242_2142443653">
            <w:r>
              <w:rPr>
                <w:webHidden/>
                <w:rStyle w:val="IndexLink"/>
                <w:rtl w:val="true"/>
              </w:rPr>
              <w:t>بحث حول جعفر بن عثمان وأخیه الحسین بن عثمان</w:t>
            </w:r>
            <w:r>
              <w:rPr>
                <w:rStyle w:val="IndexLink"/>
                <w:rtl w:val="true"/>
              </w:rPr>
              <w:tab/>
            </w:r>
            <w:r>
              <w:rPr>
                <w:rStyle w:val="IndexLink"/>
              </w:rPr>
              <w:t>149</w:t>
            </w:r>
          </w:hyperlink>
        </w:p>
        <w:p>
          <w:pPr>
            <w:pStyle w:val="Contents3"/>
            <w:tabs>
              <w:tab w:val="clear" w:pos="8459"/>
              <w:tab w:val="right" w:pos="9026" w:leader="dot"/>
            </w:tabs>
            <w:rPr/>
          </w:pPr>
          <w:hyperlink w:anchor="__RefHeading___Toc39244_2142443653">
            <w:r>
              <w:rPr>
                <w:webHidden/>
                <w:rStyle w:val="IndexLink"/>
                <w:rtl w:val="true"/>
              </w:rPr>
              <w:t>استحباب قضاء غُسل الجمعة بعد مضی وقته</w:t>
            </w:r>
            <w:r>
              <w:rPr>
                <w:rStyle w:val="IndexLink"/>
                <w:rtl w:val="true"/>
              </w:rPr>
              <w:tab/>
            </w:r>
            <w:r>
              <w:rPr>
                <w:rStyle w:val="IndexLink"/>
              </w:rPr>
              <w:t>152</w:t>
            </w:r>
          </w:hyperlink>
        </w:p>
        <w:p>
          <w:pPr>
            <w:pStyle w:val="Contents2"/>
            <w:tabs>
              <w:tab w:val="clear" w:pos="8743"/>
              <w:tab w:val="right" w:pos="9026" w:leader="dot"/>
            </w:tabs>
            <w:rPr/>
          </w:pPr>
          <w:hyperlink w:anchor="__RefHeading___Toc39246_2142443653">
            <w:r>
              <w:rPr>
                <w:webHidden/>
                <w:rStyle w:val="IndexLink"/>
                <w:rtl w:val="true"/>
              </w:rPr>
              <w:t>الجنابة وأحکامها</w:t>
            </w:r>
            <w:r>
              <w:rPr>
                <w:rStyle w:val="IndexLink"/>
                <w:rtl w:val="true"/>
              </w:rPr>
              <w:tab/>
            </w:r>
            <w:r>
              <w:rPr>
                <w:rStyle w:val="IndexLink"/>
              </w:rPr>
              <w:t>153</w:t>
            </w:r>
          </w:hyperlink>
        </w:p>
        <w:p>
          <w:pPr>
            <w:pStyle w:val="Contents3"/>
            <w:tabs>
              <w:tab w:val="clear" w:pos="8459"/>
              <w:tab w:val="right" w:pos="9026" w:leader="dot"/>
            </w:tabs>
            <w:rPr/>
          </w:pPr>
          <w:hyperlink w:anchor="__RefHeading___Toc39248_2142443653">
            <w:r>
              <w:rPr>
                <w:webHidden/>
                <w:rStyle w:val="IndexLink"/>
                <w:rtl w:val="true"/>
              </w:rPr>
              <w:t>خروج المنی یوجب الغسل علی کل حال</w:t>
            </w:r>
            <w:r>
              <w:rPr>
                <w:rStyle w:val="IndexLink"/>
                <w:rtl w:val="true"/>
              </w:rPr>
              <w:tab/>
            </w:r>
            <w:r>
              <w:rPr>
                <w:rStyle w:val="IndexLink"/>
              </w:rPr>
              <w:t>153</w:t>
            </w:r>
          </w:hyperlink>
        </w:p>
        <w:p>
          <w:pPr>
            <w:pStyle w:val="Contents4"/>
            <w:tabs>
              <w:tab w:val="clear" w:pos="8176"/>
              <w:tab w:val="right" w:pos="9026" w:leader="dot"/>
            </w:tabs>
            <w:rPr/>
          </w:pPr>
          <w:hyperlink w:anchor="__RefHeading___Toc39250_2142443653">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39252_2142443653">
            <w:r>
              <w:rPr>
                <w:webHidden/>
                <w:rStyle w:val="IndexLink"/>
                <w:rtl w:val="true"/>
              </w:rPr>
              <w:t>طریق الشیخ إلی علی بن جعفر</w:t>
            </w:r>
            <w:r>
              <w:rPr>
                <w:rStyle w:val="IndexLink"/>
                <w:rtl w:val="true"/>
              </w:rPr>
              <w:tab/>
            </w:r>
            <w:r>
              <w:rPr>
                <w:rStyle w:val="IndexLink"/>
              </w:rPr>
              <w:t>154</w:t>
            </w:r>
          </w:hyperlink>
        </w:p>
        <w:p>
          <w:pPr>
            <w:pStyle w:val="Contents4"/>
            <w:tabs>
              <w:tab w:val="clear" w:pos="8176"/>
              <w:tab w:val="right" w:pos="9026" w:leader="dot"/>
            </w:tabs>
            <w:rPr/>
          </w:pPr>
          <w:hyperlink w:anchor="__RefHeading___Toc39254_2142443653">
            <w:r>
              <w:rPr>
                <w:webHidden/>
                <w:rStyle w:val="IndexLink"/>
                <w:rtl w:val="true"/>
              </w:rPr>
              <w:t>بحث حول اعتبار الأوصاف الثلاثة فی المنی</w:t>
            </w:r>
            <w:r>
              <w:rPr>
                <w:rStyle w:val="IndexLink"/>
                <w:rtl w:val="true"/>
              </w:rPr>
              <w:tab/>
            </w:r>
            <w:r>
              <w:rPr>
                <w:rStyle w:val="IndexLink"/>
              </w:rPr>
              <w:t>155</w:t>
            </w:r>
          </w:hyperlink>
        </w:p>
        <w:p>
          <w:pPr>
            <w:pStyle w:val="Contents4"/>
            <w:tabs>
              <w:tab w:val="clear" w:pos="8176"/>
              <w:tab w:val="right" w:pos="9026" w:leader="dot"/>
            </w:tabs>
            <w:rPr/>
          </w:pPr>
          <w:hyperlink w:anchor="__RefHeading___Toc39256_2142443653">
            <w:r>
              <w:rPr>
                <w:webHidden/>
                <w:rStyle w:val="IndexLink"/>
                <w:rtl w:val="true"/>
              </w:rPr>
              <w:t>معنی الفتور والشهوة</w:t>
            </w:r>
            <w:r>
              <w:rPr>
                <w:rStyle w:val="IndexLink"/>
                <w:rtl w:val="true"/>
              </w:rPr>
              <w:tab/>
            </w:r>
            <w:r>
              <w:rPr>
                <w:rStyle w:val="IndexLink"/>
              </w:rPr>
              <w:t>157</w:t>
            </w:r>
          </w:hyperlink>
        </w:p>
        <w:p>
          <w:pPr>
            <w:pStyle w:val="Contents3"/>
            <w:tabs>
              <w:tab w:val="clear" w:pos="8459"/>
              <w:tab w:val="right" w:pos="9026" w:leader="dot"/>
            </w:tabs>
            <w:rPr/>
          </w:pPr>
          <w:hyperlink w:anchor="__RefHeading___Toc39258_2142443653">
            <w:r>
              <w:rPr>
                <w:webHidden/>
                <w:rStyle w:val="IndexLink"/>
                <w:rtl w:val="true"/>
              </w:rPr>
              <w:t>المرأة إذا أنزلت وجب علیهاالغسل فی النوم والیقظة وعلی کل حال</w:t>
            </w:r>
            <w:r>
              <w:rPr>
                <w:rStyle w:val="IndexLink"/>
                <w:rtl w:val="true"/>
              </w:rPr>
              <w:tab/>
            </w:r>
            <w:r>
              <w:rPr>
                <w:rStyle w:val="IndexLink"/>
              </w:rPr>
              <w:t>158</w:t>
            </w:r>
          </w:hyperlink>
        </w:p>
        <w:p>
          <w:pPr>
            <w:pStyle w:val="Contents4"/>
            <w:tabs>
              <w:tab w:val="clear" w:pos="8176"/>
              <w:tab w:val="right" w:pos="9026" w:leader="dot"/>
            </w:tabs>
            <w:rPr/>
          </w:pPr>
          <w:hyperlink w:anchor="__RefHeading___Toc39260_2142443653">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39262_2142443653">
            <w:r>
              <w:rPr>
                <w:webHidden/>
                <w:rStyle w:val="IndexLink"/>
                <w:rtl w:val="true"/>
              </w:rPr>
              <w:t>بحث حول وجه عدم روایة احمد بن محمد بن عیسی عن الحسن بن محبوب</w:t>
            </w:r>
            <w:r>
              <w:rPr>
                <w:rStyle w:val="IndexLink"/>
                <w:rtl w:val="true"/>
              </w:rPr>
              <w:tab/>
            </w:r>
            <w:r>
              <w:rPr>
                <w:rStyle w:val="IndexLink"/>
              </w:rPr>
              <w:t>160</w:t>
            </w:r>
          </w:hyperlink>
        </w:p>
        <w:p>
          <w:pPr>
            <w:pStyle w:val="Contents4"/>
            <w:tabs>
              <w:tab w:val="clear" w:pos="8176"/>
              <w:tab w:val="right" w:pos="9026" w:leader="dot"/>
            </w:tabs>
            <w:rPr/>
          </w:pPr>
          <w:hyperlink w:anchor="__RefHeading___Toc39264_2142443653">
            <w:r>
              <w:rPr>
                <w:webHidden/>
                <w:rStyle w:val="IndexLink"/>
                <w:rtl w:val="true"/>
              </w:rPr>
              <w:t>کلمة فی روایة الحسین بن سعید عن حمّاد بن عثمان</w:t>
            </w:r>
            <w:r>
              <w:rPr>
                <w:rStyle w:val="IndexLink"/>
                <w:rtl w:val="true"/>
              </w:rPr>
              <w:tab/>
            </w:r>
            <w:r>
              <w:rPr>
                <w:rStyle w:val="IndexLink"/>
              </w:rPr>
              <w:t>162</w:t>
            </w:r>
          </w:hyperlink>
        </w:p>
        <w:p>
          <w:pPr>
            <w:pStyle w:val="Contents4"/>
            <w:tabs>
              <w:tab w:val="clear" w:pos="8176"/>
              <w:tab w:val="right" w:pos="9026" w:leader="dot"/>
            </w:tabs>
            <w:rPr/>
          </w:pPr>
          <w:hyperlink w:anchor="__RefHeading___Toc39266_2142443653">
            <w:r>
              <w:rPr>
                <w:webHidden/>
                <w:rStyle w:val="IndexLink"/>
                <w:rtl w:val="true"/>
              </w:rPr>
              <w:t>محمد بن عبدالحمید الطائی غیر مذکور فی الرجال بهذا الوصف</w:t>
            </w:r>
            <w:r>
              <w:rPr>
                <w:rStyle w:val="IndexLink"/>
                <w:rtl w:val="true"/>
              </w:rPr>
              <w:tab/>
            </w:r>
            <w:r>
              <w:rPr>
                <w:rStyle w:val="IndexLink"/>
              </w:rPr>
              <w:t>162</w:t>
            </w:r>
          </w:hyperlink>
        </w:p>
        <w:p>
          <w:pPr>
            <w:pStyle w:val="Contents4"/>
            <w:tabs>
              <w:tab w:val="clear" w:pos="8176"/>
              <w:tab w:val="right" w:pos="9026" w:leader="dot"/>
            </w:tabs>
            <w:rPr/>
          </w:pPr>
          <w:hyperlink w:anchor="__RefHeading___Toc39268_2142443653">
            <w:r>
              <w:rPr>
                <w:webHidden/>
                <w:rStyle w:val="IndexLink"/>
                <w:rtl w:val="true"/>
              </w:rPr>
              <w:t>محمد بن الفضیل مشترک بی ثقة وغیره</w:t>
            </w:r>
            <w:r>
              <w:rPr>
                <w:rStyle w:val="IndexLink"/>
                <w:rtl w:val="true"/>
              </w:rPr>
              <w:tab/>
            </w:r>
            <w:r>
              <w:rPr>
                <w:rStyle w:val="IndexLink"/>
              </w:rPr>
              <w:t>162</w:t>
            </w:r>
          </w:hyperlink>
        </w:p>
        <w:p>
          <w:pPr>
            <w:pStyle w:val="Contents4"/>
            <w:tabs>
              <w:tab w:val="clear" w:pos="8176"/>
              <w:tab w:val="right" w:pos="9026" w:leader="dot"/>
            </w:tabs>
            <w:rPr/>
          </w:pPr>
          <w:hyperlink w:anchor="__RefHeading___Toc39270_2142443653">
            <w:r>
              <w:rPr>
                <w:webHidden/>
                <w:rStyle w:val="IndexLink"/>
                <w:rtl w:val="true"/>
              </w:rPr>
              <w:t>بحث حول شاذان بن الخلیل</w:t>
            </w:r>
            <w:r>
              <w:rPr>
                <w:rStyle w:val="IndexLink"/>
                <w:rtl w:val="true"/>
              </w:rPr>
              <w:tab/>
            </w:r>
            <w:r>
              <w:rPr>
                <w:rStyle w:val="IndexLink"/>
              </w:rPr>
              <w:t>162</w:t>
            </w:r>
          </w:hyperlink>
        </w:p>
        <w:p>
          <w:pPr>
            <w:pStyle w:val="Contents4"/>
            <w:tabs>
              <w:tab w:val="clear" w:pos="8176"/>
              <w:tab w:val="right" w:pos="9026" w:leader="dot"/>
            </w:tabs>
            <w:rPr/>
          </w:pPr>
          <w:hyperlink w:anchor="__RefHeading___Toc39272_2142443653">
            <w:r>
              <w:rPr>
                <w:webHidden/>
                <w:rStyle w:val="IndexLink"/>
                <w:rtl w:val="true"/>
              </w:rPr>
              <w:t>یحیی بن أبی طلحة غیر مذکور فی الرجال</w:t>
            </w:r>
            <w:r>
              <w:rPr>
                <w:rStyle w:val="IndexLink"/>
                <w:rtl w:val="true"/>
              </w:rPr>
              <w:tab/>
            </w:r>
            <w:r>
              <w:rPr>
                <w:rStyle w:val="IndexLink"/>
              </w:rPr>
              <w:t>163</w:t>
            </w:r>
          </w:hyperlink>
        </w:p>
        <w:p>
          <w:pPr>
            <w:pStyle w:val="Contents4"/>
            <w:tabs>
              <w:tab w:val="clear" w:pos="8176"/>
              <w:tab w:val="right" w:pos="9026" w:leader="dot"/>
            </w:tabs>
            <w:rPr/>
          </w:pPr>
          <w:hyperlink w:anchor="__RefHeading___Toc39274_2142443653">
            <w:r>
              <w:rPr>
                <w:webHidden/>
                <w:rStyle w:val="IndexLink"/>
                <w:rtl w:val="true"/>
              </w:rPr>
              <w:t>أحمد بن الحسین بن عبدالملک الأودی ثقة</w:t>
            </w:r>
            <w:r>
              <w:rPr>
                <w:rStyle w:val="IndexLink"/>
                <w:rtl w:val="true"/>
              </w:rPr>
              <w:tab/>
            </w:r>
            <w:r>
              <w:rPr>
                <w:rStyle w:val="IndexLink"/>
              </w:rPr>
              <w:t>163</w:t>
            </w:r>
          </w:hyperlink>
        </w:p>
        <w:p>
          <w:pPr>
            <w:pStyle w:val="Contents4"/>
            <w:tabs>
              <w:tab w:val="clear" w:pos="8176"/>
              <w:tab w:val="right" w:pos="9026" w:leader="dot"/>
            </w:tabs>
            <w:rPr/>
          </w:pPr>
          <w:hyperlink w:anchor="__RefHeading___Toc39276_2142443653">
            <w:r>
              <w:rPr>
                <w:webHidden/>
                <w:rStyle w:val="IndexLink"/>
                <w:rtl w:val="true"/>
              </w:rPr>
              <w:t>أحمد بن عبدون من شیوخ الإجازة</w:t>
            </w:r>
            <w:r>
              <w:rPr>
                <w:rStyle w:val="IndexLink"/>
                <w:rtl w:val="true"/>
              </w:rPr>
              <w:tab/>
            </w:r>
            <w:r>
              <w:rPr>
                <w:rStyle w:val="IndexLink"/>
              </w:rPr>
              <w:t>163</w:t>
            </w:r>
          </w:hyperlink>
        </w:p>
        <w:p>
          <w:pPr>
            <w:pStyle w:val="Contents4"/>
            <w:tabs>
              <w:tab w:val="clear" w:pos="8176"/>
              <w:tab w:val="right" w:pos="9026" w:leader="dot"/>
            </w:tabs>
            <w:rPr/>
          </w:pPr>
          <w:hyperlink w:anchor="__RefHeading___Toc39278_2142443653">
            <w:r>
              <w:rPr>
                <w:webHidden/>
                <w:rStyle w:val="IndexLink"/>
                <w:rtl w:val="true"/>
              </w:rPr>
              <w:t>بحث حول علی بن محمد بن الزبیر</w:t>
            </w:r>
            <w:r>
              <w:rPr>
                <w:rStyle w:val="IndexLink"/>
                <w:rtl w:val="true"/>
              </w:rPr>
              <w:tab/>
            </w:r>
            <w:r>
              <w:rPr>
                <w:rStyle w:val="IndexLink"/>
              </w:rPr>
              <w:t>163</w:t>
            </w:r>
          </w:hyperlink>
        </w:p>
        <w:p>
          <w:pPr>
            <w:pStyle w:val="Contents4"/>
            <w:tabs>
              <w:tab w:val="clear" w:pos="8176"/>
              <w:tab w:val="right" w:pos="9026" w:leader="dot"/>
            </w:tabs>
            <w:rPr/>
          </w:pPr>
          <w:hyperlink w:anchor="__RefHeading___Toc39280_2142443653">
            <w:r>
              <w:rPr>
                <w:webHidden/>
                <w:rStyle w:val="IndexLink"/>
                <w:rtl w:val="true"/>
              </w:rPr>
              <w:t>معاویة لا یخلو من اشتراک</w:t>
            </w:r>
            <w:r>
              <w:rPr>
                <w:rStyle w:val="IndexLink"/>
                <w:rtl w:val="true"/>
              </w:rPr>
              <w:tab/>
            </w:r>
            <w:r>
              <w:rPr>
                <w:rStyle w:val="IndexLink"/>
              </w:rPr>
              <w:t>164</w:t>
            </w:r>
          </w:hyperlink>
        </w:p>
        <w:p>
          <w:pPr>
            <w:pStyle w:val="Contents4"/>
            <w:tabs>
              <w:tab w:val="clear" w:pos="8176"/>
              <w:tab w:val="right" w:pos="9026" w:leader="dot"/>
            </w:tabs>
            <w:rPr/>
          </w:pPr>
          <w:hyperlink w:anchor="__RefHeading___Toc39282_2142443653">
            <w:r>
              <w:rPr>
                <w:webHidden/>
                <w:rStyle w:val="IndexLink"/>
                <w:rtl w:val="true"/>
              </w:rPr>
              <w:t>هل تعتبر الأوصاف فی منی المرأة؟</w:t>
            </w:r>
            <w:r>
              <w:rPr>
                <w:rStyle w:val="IndexLink"/>
                <w:rtl w:val="true"/>
              </w:rPr>
              <w:tab/>
            </w:r>
            <w:r>
              <w:rPr>
                <w:rStyle w:val="IndexLink"/>
              </w:rPr>
              <w:t>164</w:t>
            </w:r>
          </w:hyperlink>
        </w:p>
        <w:p>
          <w:pPr>
            <w:pStyle w:val="Contents4"/>
            <w:tabs>
              <w:tab w:val="clear" w:pos="8176"/>
              <w:tab w:val="right" w:pos="9026" w:leader="dot"/>
            </w:tabs>
            <w:rPr/>
          </w:pPr>
          <w:hyperlink w:anchor="__RefHeading___Toc39284_2142443653">
            <w:r>
              <w:rPr>
                <w:webHidden/>
                <w:rStyle w:val="IndexLink"/>
                <w:rtl w:val="true"/>
              </w:rPr>
              <w:t>بحث حول عمر بن یزید</w:t>
            </w:r>
            <w:r>
              <w:rPr>
                <w:rStyle w:val="IndexLink"/>
                <w:rtl w:val="true"/>
              </w:rPr>
              <w:tab/>
            </w:r>
            <w:r>
              <w:rPr>
                <w:rStyle w:val="IndexLink"/>
              </w:rPr>
              <w:t>166</w:t>
            </w:r>
          </w:hyperlink>
        </w:p>
        <w:p>
          <w:pPr>
            <w:pStyle w:val="Contents4"/>
            <w:tabs>
              <w:tab w:val="clear" w:pos="8176"/>
              <w:tab w:val="right" w:pos="9026" w:leader="dot"/>
            </w:tabs>
            <w:rPr/>
          </w:pPr>
          <w:hyperlink w:anchor="__RefHeading___Toc39286_2142443653">
            <w:r>
              <w:rPr>
                <w:webHidden/>
                <w:rStyle w:val="IndexLink"/>
                <w:rtl w:val="true"/>
              </w:rPr>
              <w:t>مناقشة فی توجیه الشیخ لحدیث عمر بن یزید</w:t>
            </w:r>
            <w:r>
              <w:rPr>
                <w:rStyle w:val="IndexLink"/>
                <w:rtl w:val="true"/>
              </w:rPr>
              <w:tab/>
            </w:r>
            <w:r>
              <w:rPr>
                <w:rStyle w:val="IndexLink"/>
              </w:rPr>
              <w:t>170</w:t>
            </w:r>
          </w:hyperlink>
        </w:p>
        <w:p>
          <w:pPr>
            <w:pStyle w:val="Contents4"/>
            <w:tabs>
              <w:tab w:val="clear" w:pos="8176"/>
              <w:tab w:val="right" w:pos="9026" w:leader="dot"/>
            </w:tabs>
            <w:rPr/>
          </w:pPr>
          <w:hyperlink w:anchor="__RefHeading___Toc39288_2142443653">
            <w:r>
              <w:rPr>
                <w:webHidden/>
                <w:rStyle w:val="IndexLink"/>
                <w:rtl w:val="true"/>
              </w:rPr>
              <w:t>هل یدل خبر عمر بن یزید علی عدم الوضوء مع غسله الجمعة؟</w:t>
            </w:r>
            <w:r>
              <w:rPr>
                <w:rStyle w:val="IndexLink"/>
                <w:rtl w:val="true"/>
              </w:rPr>
              <w:tab/>
            </w:r>
            <w:r>
              <w:rPr>
                <w:rStyle w:val="IndexLink"/>
              </w:rPr>
              <w:t>170</w:t>
            </w:r>
          </w:hyperlink>
        </w:p>
        <w:p>
          <w:pPr>
            <w:pStyle w:val="Contents4"/>
            <w:tabs>
              <w:tab w:val="clear" w:pos="8176"/>
              <w:tab w:val="right" w:pos="9026" w:leader="dot"/>
            </w:tabs>
            <w:rPr/>
          </w:pPr>
          <w:hyperlink w:anchor="__RefHeading___Toc39290_2142443653">
            <w:r>
              <w:rPr>
                <w:webHidden/>
                <w:rStyle w:val="IndexLink"/>
                <w:rtl w:val="true"/>
              </w:rPr>
              <w:t>توجیهات لحدیث محمد بن مسلم والمناقشة فیها</w:t>
            </w:r>
            <w:r>
              <w:rPr>
                <w:rStyle w:val="IndexLink"/>
                <w:rtl w:val="true"/>
              </w:rPr>
              <w:tab/>
            </w:r>
            <w:r>
              <w:rPr>
                <w:rStyle w:val="IndexLink"/>
              </w:rPr>
              <w:t>172</w:t>
            </w:r>
          </w:hyperlink>
        </w:p>
        <w:p>
          <w:pPr>
            <w:pStyle w:val="Contents4"/>
            <w:tabs>
              <w:tab w:val="clear" w:pos="8176"/>
              <w:tab w:val="right" w:pos="9026" w:leader="dot"/>
            </w:tabs>
            <w:rPr/>
          </w:pPr>
          <w:hyperlink w:anchor="__RefHeading___Toc39292_2142443653">
            <w:r>
              <w:rPr>
                <w:webHidden/>
                <w:rStyle w:val="IndexLink"/>
                <w:rtl w:val="true"/>
              </w:rPr>
              <w:t>بحث حول عمر بن أُذینة</w:t>
            </w:r>
            <w:r>
              <w:rPr>
                <w:rStyle w:val="IndexLink"/>
                <w:rtl w:val="true"/>
              </w:rPr>
              <w:tab/>
            </w:r>
            <w:r>
              <w:rPr>
                <w:rStyle w:val="IndexLink"/>
              </w:rPr>
              <w:t>175</w:t>
            </w:r>
          </w:hyperlink>
        </w:p>
        <w:p>
          <w:pPr>
            <w:pStyle w:val="Contents4"/>
            <w:tabs>
              <w:tab w:val="clear" w:pos="8176"/>
              <w:tab w:val="right" w:pos="9026" w:leader="dot"/>
            </w:tabs>
            <w:rPr/>
          </w:pPr>
          <w:hyperlink w:anchor="__RefHeading___Toc39294_2142443653">
            <w:r>
              <w:rPr>
                <w:webHidden/>
                <w:rStyle w:val="IndexLink"/>
                <w:rtl w:val="true"/>
              </w:rPr>
              <w:t>کلمة فی روایة أحمد بن محمد عن ابن أبی عمیر بلا واسطة</w:t>
            </w:r>
            <w:r>
              <w:rPr>
                <w:rStyle w:val="IndexLink"/>
                <w:rtl w:val="true"/>
              </w:rPr>
              <w:tab/>
            </w:r>
            <w:r>
              <w:rPr>
                <w:rStyle w:val="IndexLink"/>
              </w:rPr>
              <w:t>176</w:t>
            </w:r>
          </w:hyperlink>
        </w:p>
        <w:p>
          <w:pPr>
            <w:pStyle w:val="Contents4"/>
            <w:tabs>
              <w:tab w:val="clear" w:pos="8176"/>
              <w:tab w:val="right" w:pos="9026" w:leader="dot"/>
            </w:tabs>
            <w:rPr/>
          </w:pPr>
          <w:hyperlink w:anchor="__RefHeading___Toc39296_2142443653">
            <w:r>
              <w:rPr>
                <w:webHidden/>
                <w:rStyle w:val="IndexLink"/>
                <w:rtl w:val="true"/>
              </w:rPr>
              <w:t>تفسیر العدّة التی یروی عنها الکلینی عن أحمد بن محمد بن عیسی وأحمد بن محمد البرقی</w:t>
            </w:r>
            <w:r>
              <w:rPr>
                <w:rStyle w:val="IndexLink"/>
                <w:rtl w:val="true"/>
              </w:rPr>
              <w:tab/>
            </w:r>
            <w:r>
              <w:rPr>
                <w:rStyle w:val="IndexLink"/>
              </w:rPr>
              <w:t>176</w:t>
            </w:r>
          </w:hyperlink>
        </w:p>
        <w:p>
          <w:pPr>
            <w:pStyle w:val="Contents4"/>
            <w:tabs>
              <w:tab w:val="clear" w:pos="8176"/>
              <w:tab w:val="right" w:pos="9026" w:leader="dot"/>
            </w:tabs>
            <w:rPr/>
          </w:pPr>
          <w:hyperlink w:anchor="__RefHeading___Toc39298_2142443653">
            <w:r>
              <w:rPr>
                <w:webHidden/>
                <w:rStyle w:val="IndexLink"/>
                <w:rtl w:val="true"/>
              </w:rPr>
              <w:t>معنی الاحتلام</w:t>
            </w:r>
            <w:r>
              <w:rPr>
                <w:rStyle w:val="IndexLink"/>
                <w:rtl w:val="true"/>
              </w:rPr>
              <w:tab/>
            </w:r>
            <w:r>
              <w:rPr>
                <w:rStyle w:val="IndexLink"/>
              </w:rPr>
              <w:t>178</w:t>
            </w:r>
          </w:hyperlink>
        </w:p>
        <w:p>
          <w:pPr>
            <w:pStyle w:val="Contents4"/>
            <w:tabs>
              <w:tab w:val="clear" w:pos="8176"/>
              <w:tab w:val="right" w:pos="9026" w:leader="dot"/>
            </w:tabs>
            <w:rPr/>
          </w:pPr>
          <w:hyperlink w:anchor="__RefHeading___Toc39300_2142443653">
            <w:r>
              <w:rPr>
                <w:webHidden/>
                <w:rStyle w:val="IndexLink"/>
                <w:rtl w:val="true"/>
              </w:rPr>
              <w:t>معنی الإهراق</w:t>
            </w:r>
            <w:r>
              <w:rPr>
                <w:rStyle w:val="IndexLink"/>
                <w:rtl w:val="true"/>
              </w:rPr>
              <w:tab/>
            </w:r>
            <w:r>
              <w:rPr>
                <w:rStyle w:val="IndexLink"/>
              </w:rPr>
              <w:t>178</w:t>
            </w:r>
          </w:hyperlink>
        </w:p>
        <w:p>
          <w:pPr>
            <w:pStyle w:val="Contents4"/>
            <w:tabs>
              <w:tab w:val="clear" w:pos="8176"/>
              <w:tab w:val="right" w:pos="9026" w:leader="dot"/>
            </w:tabs>
            <w:rPr/>
          </w:pPr>
          <w:hyperlink w:anchor="__RefHeading___Toc39302_2142443653">
            <w:r>
              <w:rPr>
                <w:webHidden/>
                <w:rStyle w:val="IndexLink"/>
                <w:rtl w:val="true"/>
              </w:rPr>
              <w:t>بحث حول نوح بن شعیب</w:t>
            </w:r>
            <w:r>
              <w:rPr>
                <w:rStyle w:val="IndexLink"/>
                <w:rtl w:val="true"/>
              </w:rPr>
              <w:tab/>
            </w:r>
            <w:r>
              <w:rPr>
                <w:rStyle w:val="IndexLink"/>
              </w:rPr>
              <w:t>180</w:t>
            </w:r>
          </w:hyperlink>
        </w:p>
        <w:p>
          <w:pPr>
            <w:pStyle w:val="Contents4"/>
            <w:tabs>
              <w:tab w:val="clear" w:pos="8176"/>
              <w:tab w:val="right" w:pos="9026" w:leader="dot"/>
            </w:tabs>
            <w:rPr/>
          </w:pPr>
          <w:hyperlink w:anchor="__RefHeading___Toc39304_2142443653">
            <w:r>
              <w:rPr>
                <w:webHidden/>
                <w:rStyle w:val="IndexLink"/>
                <w:rtl w:val="true"/>
              </w:rPr>
              <w:t>أبو عبدالله الشاذانی محمد بن نعیم غیر معلوم الحال</w:t>
            </w:r>
            <w:r>
              <w:rPr>
                <w:rStyle w:val="IndexLink"/>
                <w:rtl w:val="true"/>
              </w:rPr>
              <w:tab/>
            </w:r>
            <w:r>
              <w:rPr>
                <w:rStyle w:val="IndexLink"/>
              </w:rPr>
              <w:t>181</w:t>
            </w:r>
          </w:hyperlink>
        </w:p>
        <w:p>
          <w:pPr>
            <w:pStyle w:val="Contents4"/>
            <w:tabs>
              <w:tab w:val="clear" w:pos="8176"/>
              <w:tab w:val="right" w:pos="9026" w:leader="dot"/>
            </w:tabs>
            <w:rPr/>
          </w:pPr>
          <w:hyperlink w:anchor="__RefHeading___Toc39306_2142443653">
            <w:r>
              <w:rPr>
                <w:webHidden/>
                <w:rStyle w:val="IndexLink"/>
                <w:rtl w:val="true"/>
              </w:rPr>
              <w:t>کلمة فی روایة أحمد بن محمد عن محمد بن اسماعیل بن بزیع</w:t>
            </w:r>
            <w:r>
              <w:rPr>
                <w:rStyle w:val="IndexLink"/>
                <w:rtl w:val="true"/>
              </w:rPr>
              <w:tab/>
            </w:r>
            <w:r>
              <w:rPr>
                <w:rStyle w:val="IndexLink"/>
              </w:rPr>
              <w:t>181</w:t>
            </w:r>
          </w:hyperlink>
        </w:p>
        <w:p>
          <w:pPr>
            <w:pStyle w:val="Contents4"/>
            <w:tabs>
              <w:tab w:val="clear" w:pos="8176"/>
              <w:tab w:val="right" w:pos="9026" w:leader="dot"/>
            </w:tabs>
            <w:rPr/>
          </w:pPr>
          <w:hyperlink w:anchor="__RefHeading___Toc39308_2142443653">
            <w:r>
              <w:rPr>
                <w:webHidden/>
                <w:rStyle w:val="IndexLink"/>
                <w:rtl w:val="true"/>
              </w:rPr>
              <w:t>التهافت فی خبر عبید بن زرارة</w:t>
            </w:r>
            <w:r>
              <w:rPr>
                <w:rStyle w:val="IndexLink"/>
                <w:rtl w:val="true"/>
              </w:rPr>
              <w:tab/>
            </w:r>
            <w:r>
              <w:rPr>
                <w:rStyle w:val="IndexLink"/>
              </w:rPr>
              <w:t>182</w:t>
            </w:r>
          </w:hyperlink>
        </w:p>
        <w:p>
          <w:pPr>
            <w:pStyle w:val="Contents4"/>
            <w:tabs>
              <w:tab w:val="clear" w:pos="8176"/>
              <w:tab w:val="right" w:pos="9026" w:leader="dot"/>
            </w:tabs>
            <w:rPr/>
          </w:pPr>
          <w:hyperlink w:anchor="__RefHeading___Toc39310_2142443653">
            <w:r>
              <w:rPr>
                <w:webHidden/>
                <w:rStyle w:val="IndexLink"/>
                <w:rtl w:val="true"/>
              </w:rPr>
              <w:t>معنی الفرج</w:t>
            </w:r>
            <w:r>
              <w:rPr>
                <w:rStyle w:val="IndexLink"/>
                <w:rtl w:val="true"/>
              </w:rPr>
              <w:tab/>
            </w:r>
            <w:r>
              <w:rPr>
                <w:rStyle w:val="IndexLink"/>
              </w:rPr>
              <w:t>183</w:t>
            </w:r>
          </w:hyperlink>
        </w:p>
        <w:p>
          <w:pPr>
            <w:pStyle w:val="Contents3"/>
            <w:tabs>
              <w:tab w:val="clear" w:pos="8459"/>
              <w:tab w:val="right" w:pos="9026" w:leader="dot"/>
            </w:tabs>
            <w:rPr/>
          </w:pPr>
          <w:hyperlink w:anchor="__RefHeading___Toc39312_2142443653">
            <w:r>
              <w:rPr>
                <w:webHidden/>
                <w:rStyle w:val="IndexLink"/>
                <w:rtl w:val="true"/>
              </w:rPr>
              <w:t>التقاء الختانین یوجب الغسل</w:t>
            </w:r>
            <w:r>
              <w:rPr>
                <w:rStyle w:val="IndexLink"/>
                <w:rtl w:val="true"/>
              </w:rPr>
              <w:tab/>
            </w:r>
            <w:r>
              <w:rPr>
                <w:rStyle w:val="IndexLink"/>
              </w:rPr>
              <w:t>183</w:t>
            </w:r>
          </w:hyperlink>
        </w:p>
        <w:p>
          <w:pPr>
            <w:pStyle w:val="Contents4"/>
            <w:tabs>
              <w:tab w:val="clear" w:pos="8176"/>
              <w:tab w:val="right" w:pos="9026" w:leader="dot"/>
            </w:tabs>
            <w:rPr/>
          </w:pPr>
          <w:hyperlink w:anchor="__RefHeading___Toc39314_2142443653">
            <w:r>
              <w:rPr>
                <w:webHidden/>
                <w:rStyle w:val="IndexLink"/>
                <w:rtl w:val="true"/>
              </w:rPr>
              <w:t>اشارة</w:t>
            </w:r>
            <w:r>
              <w:rPr>
                <w:rStyle w:val="IndexLink"/>
                <w:rtl w:val="true"/>
              </w:rPr>
              <w:tab/>
            </w:r>
            <w:r>
              <w:rPr>
                <w:rStyle w:val="IndexLink"/>
              </w:rPr>
              <w:t>183</w:t>
            </w:r>
          </w:hyperlink>
        </w:p>
        <w:p>
          <w:pPr>
            <w:pStyle w:val="Contents4"/>
            <w:tabs>
              <w:tab w:val="clear" w:pos="8176"/>
              <w:tab w:val="right" w:pos="9026" w:leader="dot"/>
            </w:tabs>
            <w:rPr/>
          </w:pPr>
          <w:hyperlink w:anchor="__RefHeading___Toc39316_2142443653">
            <w:r>
              <w:rPr>
                <w:webHidden/>
                <w:rStyle w:val="IndexLink"/>
                <w:rtl w:val="true"/>
              </w:rPr>
              <w:t>هل الإدخال الموجب للغسل والمهر والرجم عام للقبل والدبر؟</w:t>
            </w:r>
            <w:r>
              <w:rPr>
                <w:rStyle w:val="IndexLink"/>
                <w:rtl w:val="true"/>
              </w:rPr>
              <w:tab/>
            </w:r>
            <w:r>
              <w:rPr>
                <w:rStyle w:val="IndexLink"/>
              </w:rPr>
              <w:t>184</w:t>
            </w:r>
          </w:hyperlink>
        </w:p>
        <w:p>
          <w:pPr>
            <w:pStyle w:val="Contents4"/>
            <w:tabs>
              <w:tab w:val="clear" w:pos="8176"/>
              <w:tab w:val="right" w:pos="9026" w:leader="dot"/>
            </w:tabs>
            <w:rPr/>
          </w:pPr>
          <w:hyperlink w:anchor="__RefHeading___Toc39318_2142443653">
            <w:r>
              <w:rPr>
                <w:webHidden/>
                <w:rStyle w:val="IndexLink"/>
                <w:rtl w:val="true"/>
              </w:rPr>
              <w:t>بحث فی أنّ غسل الجنابة واجب نفسی أم غیری؟</w:t>
            </w:r>
            <w:r>
              <w:rPr>
                <w:rStyle w:val="IndexLink"/>
                <w:rtl w:val="true"/>
              </w:rPr>
              <w:tab/>
            </w:r>
            <w:r>
              <w:rPr>
                <w:rStyle w:val="IndexLink"/>
              </w:rPr>
              <w:t>185</w:t>
            </w:r>
          </w:hyperlink>
        </w:p>
        <w:p>
          <w:pPr>
            <w:pStyle w:val="Contents4"/>
            <w:tabs>
              <w:tab w:val="clear" w:pos="8176"/>
              <w:tab w:val="right" w:pos="9026" w:leader="dot"/>
            </w:tabs>
            <w:rPr/>
          </w:pPr>
          <w:hyperlink w:anchor="__RefHeading___Toc39320_2142443653">
            <w:r>
              <w:rPr>
                <w:webHidden/>
                <w:rStyle w:val="IndexLink"/>
                <w:rtl w:val="true"/>
              </w:rPr>
              <w:t>بحث حول أبان بن عثمان</w:t>
            </w:r>
            <w:r>
              <w:rPr>
                <w:rStyle w:val="IndexLink"/>
                <w:rtl w:val="true"/>
              </w:rPr>
              <w:tab/>
            </w:r>
            <w:r>
              <w:rPr>
                <w:rStyle w:val="IndexLink"/>
              </w:rPr>
              <w:t>191</w:t>
            </w:r>
          </w:hyperlink>
        </w:p>
        <w:p>
          <w:pPr>
            <w:pStyle w:val="Contents4"/>
            <w:tabs>
              <w:tab w:val="clear" w:pos="8176"/>
              <w:tab w:val="right" w:pos="9026" w:leader="dot"/>
            </w:tabs>
            <w:rPr/>
          </w:pPr>
          <w:hyperlink w:anchor="__RefHeading___Toc39322_2142443653">
            <w:r>
              <w:rPr>
                <w:webHidden/>
                <w:rStyle w:val="IndexLink"/>
                <w:rtl w:val="true"/>
              </w:rPr>
              <w:t>بحث حول عنبسة بن مصعب</w:t>
            </w:r>
            <w:r>
              <w:rPr>
                <w:rStyle w:val="IndexLink"/>
                <w:rtl w:val="true"/>
              </w:rPr>
              <w:tab/>
            </w:r>
            <w:r>
              <w:rPr>
                <w:rStyle w:val="IndexLink"/>
              </w:rPr>
              <w:t>192</w:t>
            </w:r>
          </w:hyperlink>
        </w:p>
        <w:p>
          <w:pPr>
            <w:pStyle w:val="Contents4"/>
            <w:tabs>
              <w:tab w:val="clear" w:pos="8176"/>
              <w:tab w:val="right" w:pos="9026" w:leader="dot"/>
            </w:tabs>
            <w:rPr/>
          </w:pPr>
          <w:hyperlink w:anchor="__RefHeading___Toc39324_2142443653">
            <w:r>
              <w:rPr>
                <w:webHidden/>
                <w:rStyle w:val="IndexLink"/>
                <w:rtl w:val="true"/>
              </w:rPr>
              <w:t>بحث حول الحسین بن أبی العلاء</w:t>
            </w:r>
            <w:r>
              <w:rPr>
                <w:rStyle w:val="IndexLink"/>
                <w:rtl w:val="true"/>
              </w:rPr>
              <w:tab/>
            </w:r>
            <w:r>
              <w:rPr>
                <w:rStyle w:val="IndexLink"/>
              </w:rPr>
              <w:t>193</w:t>
            </w:r>
          </w:hyperlink>
        </w:p>
        <w:p>
          <w:pPr>
            <w:pStyle w:val="Contents4"/>
            <w:tabs>
              <w:tab w:val="clear" w:pos="8176"/>
              <w:tab w:val="right" w:pos="9026" w:leader="dot"/>
            </w:tabs>
            <w:rPr/>
          </w:pPr>
          <w:hyperlink w:anchor="__RefHeading___Toc39326_2142443653">
            <w:r>
              <w:rPr>
                <w:webHidden/>
                <w:rStyle w:val="IndexLink"/>
                <w:rtl w:val="true"/>
              </w:rPr>
              <w:t xml:space="preserve">الحصر فی قوله علیه السلام </w:t>
            </w:r>
            <w:r>
              <w:rPr>
                <w:rStyle w:val="IndexLink"/>
                <w:rtl w:val="true"/>
              </w:rPr>
              <w:t xml:space="preserve">: « </w:t>
            </w:r>
            <w:r>
              <w:rPr>
                <w:rStyle w:val="IndexLink"/>
                <w:rtl w:val="true"/>
              </w:rPr>
              <w:t xml:space="preserve">کان علی علیه السلام لا یری الغسل الّا فی الماء الأکبر </w:t>
            </w:r>
            <w:r>
              <w:rPr>
                <w:rStyle w:val="IndexLink"/>
                <w:rtl w:val="true"/>
              </w:rPr>
              <w:t xml:space="preserve">» </w:t>
            </w:r>
            <w:r>
              <w:rPr>
                <w:rStyle w:val="IndexLink"/>
                <w:rtl w:val="true"/>
              </w:rPr>
              <w:t>إضافی</w:t>
            </w:r>
            <w:r>
              <w:rPr>
                <w:rStyle w:val="IndexLink"/>
                <w:rtl w:val="true"/>
              </w:rPr>
              <w:tab/>
            </w:r>
            <w:r>
              <w:rPr>
                <w:rStyle w:val="IndexLink"/>
              </w:rPr>
              <w:t>194</w:t>
            </w:r>
          </w:hyperlink>
        </w:p>
        <w:p>
          <w:pPr>
            <w:pStyle w:val="Contents4"/>
            <w:tabs>
              <w:tab w:val="clear" w:pos="8176"/>
              <w:tab w:val="right" w:pos="9026" w:leader="dot"/>
            </w:tabs>
            <w:rPr/>
          </w:pPr>
          <w:hyperlink w:anchor="__RefHeading___Toc39328_2142443653">
            <w:r>
              <w:rPr>
                <w:webHidden/>
                <w:rStyle w:val="IndexLink"/>
                <w:rtl w:val="true"/>
              </w:rPr>
              <w:t>العبّاس هو ابن معروف أو ابن عامر</w:t>
            </w:r>
            <w:r>
              <w:rPr>
                <w:rStyle w:val="IndexLink"/>
                <w:rtl w:val="true"/>
              </w:rPr>
              <w:tab/>
            </w:r>
            <w:r>
              <w:rPr>
                <w:rStyle w:val="IndexLink"/>
              </w:rPr>
              <w:t>195</w:t>
            </w:r>
          </w:hyperlink>
        </w:p>
        <w:p>
          <w:pPr>
            <w:pStyle w:val="Contents4"/>
            <w:tabs>
              <w:tab w:val="clear" w:pos="8176"/>
              <w:tab w:val="right" w:pos="9026" w:leader="dot"/>
            </w:tabs>
            <w:rPr/>
          </w:pPr>
          <w:hyperlink w:anchor="__RefHeading___Toc39330_2142443653">
            <w:r>
              <w:rPr>
                <w:webHidden/>
                <w:rStyle w:val="IndexLink"/>
                <w:rtl w:val="true"/>
              </w:rPr>
              <w:t>حسین بن عثمان مشترک بین ثقتین</w:t>
            </w:r>
            <w:r>
              <w:rPr>
                <w:rStyle w:val="IndexLink"/>
                <w:rtl w:val="true"/>
              </w:rPr>
              <w:tab/>
            </w:r>
            <w:r>
              <w:rPr>
                <w:rStyle w:val="IndexLink"/>
              </w:rPr>
              <w:t>195</w:t>
            </w:r>
          </w:hyperlink>
        </w:p>
        <w:p>
          <w:pPr>
            <w:pStyle w:val="Contents4"/>
            <w:tabs>
              <w:tab w:val="clear" w:pos="8176"/>
              <w:tab w:val="right" w:pos="9026" w:leader="dot"/>
            </w:tabs>
            <w:rPr/>
          </w:pPr>
          <w:hyperlink w:anchor="__RefHeading___Toc39332_2142443653">
            <w:r>
              <w:rPr>
                <w:webHidden/>
                <w:rStyle w:val="IndexLink"/>
                <w:rtl w:val="true"/>
              </w:rPr>
              <w:t>هل تعتبر أوصاف المنی بالنسبة إلی المریض؟</w:t>
            </w:r>
            <w:r>
              <w:rPr>
                <w:rStyle w:val="IndexLink"/>
                <w:rtl w:val="true"/>
              </w:rPr>
              <w:tab/>
            </w:r>
            <w:r>
              <w:rPr>
                <w:rStyle w:val="IndexLink"/>
              </w:rPr>
              <w:t>196</w:t>
            </w:r>
          </w:hyperlink>
        </w:p>
        <w:p>
          <w:pPr>
            <w:pStyle w:val="Contents4"/>
            <w:tabs>
              <w:tab w:val="clear" w:pos="8176"/>
              <w:tab w:val="right" w:pos="9026" w:leader="dot"/>
            </w:tabs>
            <w:rPr/>
          </w:pPr>
          <w:hyperlink w:anchor="__RefHeading___Toc39334_2142443653">
            <w:r>
              <w:rPr>
                <w:webHidden/>
                <w:rStyle w:val="IndexLink"/>
                <w:rtl w:val="true"/>
              </w:rPr>
              <w:t>کلمة فی روایة محمد بن علی بن محبوب عن موسی بن جعفر بن وهب</w:t>
            </w:r>
            <w:r>
              <w:rPr>
                <w:rStyle w:val="IndexLink"/>
                <w:rtl w:val="true"/>
              </w:rPr>
              <w:tab/>
            </w:r>
            <w:r>
              <w:rPr>
                <w:rStyle w:val="IndexLink"/>
              </w:rPr>
              <w:t>198</w:t>
            </w:r>
          </w:hyperlink>
        </w:p>
        <w:p>
          <w:pPr>
            <w:pStyle w:val="Contents4"/>
            <w:tabs>
              <w:tab w:val="clear" w:pos="8176"/>
              <w:tab w:val="right" w:pos="9026" w:leader="dot"/>
            </w:tabs>
            <w:rPr/>
          </w:pPr>
          <w:hyperlink w:anchor="__RefHeading___Toc39336_2142443653">
            <w:r>
              <w:rPr>
                <w:webHidden/>
                <w:rStyle w:val="IndexLink"/>
                <w:rtl w:val="true"/>
              </w:rPr>
              <w:t>موسی بن جعفر بن وهب غیر ثقة</w:t>
            </w:r>
            <w:r>
              <w:rPr>
                <w:rStyle w:val="IndexLink"/>
                <w:rtl w:val="true"/>
              </w:rPr>
              <w:tab/>
            </w:r>
            <w:r>
              <w:rPr>
                <w:rStyle w:val="IndexLink"/>
              </w:rPr>
              <w:t>198</w:t>
            </w:r>
          </w:hyperlink>
        </w:p>
        <w:p>
          <w:pPr>
            <w:pStyle w:val="Contents4"/>
            <w:tabs>
              <w:tab w:val="clear" w:pos="8176"/>
              <w:tab w:val="right" w:pos="9026" w:leader="dot"/>
            </w:tabs>
            <w:rPr/>
          </w:pPr>
          <w:hyperlink w:anchor="__RefHeading___Toc39338_2142443653">
            <w:r>
              <w:rPr>
                <w:webHidden/>
                <w:rStyle w:val="IndexLink"/>
                <w:rtl w:val="true"/>
              </w:rPr>
              <w:t>داود بن مهزیار مهمل</w:t>
            </w:r>
            <w:r>
              <w:rPr>
                <w:rStyle w:val="IndexLink"/>
                <w:rtl w:val="true"/>
              </w:rPr>
              <w:tab/>
            </w:r>
            <w:r>
              <w:rPr>
                <w:rStyle w:val="IndexLink"/>
              </w:rPr>
              <w:t>198</w:t>
            </w:r>
          </w:hyperlink>
        </w:p>
        <w:p>
          <w:pPr>
            <w:pStyle w:val="Contents4"/>
            <w:tabs>
              <w:tab w:val="clear" w:pos="8176"/>
              <w:tab w:val="right" w:pos="9026" w:leader="dot"/>
            </w:tabs>
            <w:rPr/>
          </w:pPr>
          <w:hyperlink w:anchor="__RefHeading___Toc39340_2142443653">
            <w:r>
              <w:rPr>
                <w:webHidden/>
                <w:rStyle w:val="IndexLink"/>
                <w:rtl w:val="true"/>
              </w:rPr>
              <w:t>علی بن اسماعیل مجهول</w:t>
            </w:r>
            <w:r>
              <w:rPr>
                <w:rStyle w:val="IndexLink"/>
                <w:rtl w:val="true"/>
              </w:rPr>
              <w:tab/>
            </w:r>
            <w:r>
              <w:rPr>
                <w:rStyle w:val="IndexLink"/>
              </w:rPr>
              <w:t>198</w:t>
            </w:r>
          </w:hyperlink>
        </w:p>
        <w:p>
          <w:pPr>
            <w:pStyle w:val="Contents4"/>
            <w:tabs>
              <w:tab w:val="clear" w:pos="8176"/>
              <w:tab w:val="right" w:pos="9026" w:leader="dot"/>
            </w:tabs>
            <w:rPr/>
          </w:pPr>
          <w:hyperlink w:anchor="__RefHeading___Toc39342_2142443653">
            <w:r>
              <w:rPr>
                <w:webHidden/>
                <w:rStyle w:val="IndexLink"/>
                <w:rtl w:val="true"/>
              </w:rPr>
              <w:t>هل یعتبر الدفق فی المریض؟</w:t>
            </w:r>
            <w:r>
              <w:rPr>
                <w:rStyle w:val="IndexLink"/>
                <w:rtl w:val="true"/>
              </w:rPr>
              <w:tab/>
            </w:r>
            <w:r>
              <w:rPr>
                <w:rStyle w:val="IndexLink"/>
              </w:rPr>
              <w:t>199</w:t>
            </w:r>
          </w:hyperlink>
        </w:p>
        <w:p>
          <w:pPr>
            <w:pStyle w:val="Contents4"/>
            <w:tabs>
              <w:tab w:val="clear" w:pos="8176"/>
              <w:tab w:val="right" w:pos="9026" w:leader="dot"/>
            </w:tabs>
            <w:rPr/>
          </w:pPr>
          <w:hyperlink w:anchor="__RefHeading___Toc39344_2142443653">
            <w:r>
              <w:rPr>
                <w:webHidden/>
                <w:rStyle w:val="IndexLink"/>
                <w:rtl w:val="true"/>
              </w:rPr>
              <w:t>معنی الهون والهُوینا</w:t>
            </w:r>
            <w:r>
              <w:rPr>
                <w:rStyle w:val="IndexLink"/>
                <w:rtl w:val="true"/>
              </w:rPr>
              <w:tab/>
            </w:r>
            <w:r>
              <w:rPr>
                <w:rStyle w:val="IndexLink"/>
              </w:rPr>
              <w:t>200</w:t>
            </w:r>
          </w:hyperlink>
        </w:p>
        <w:p>
          <w:pPr>
            <w:pStyle w:val="Contents3"/>
            <w:tabs>
              <w:tab w:val="clear" w:pos="8459"/>
              <w:tab w:val="right" w:pos="9026" w:leader="dot"/>
            </w:tabs>
            <w:rPr/>
          </w:pPr>
          <w:hyperlink w:anchor="__RefHeading___Toc39346_2142443653">
            <w:r>
              <w:rPr>
                <w:webHidden/>
                <w:rStyle w:val="IndexLink"/>
                <w:rtl w:val="true"/>
              </w:rPr>
              <w:t>الرجل یری فی ثوبه المنی ولم یذکر الاحتلام</w:t>
            </w:r>
            <w:r>
              <w:rPr>
                <w:rStyle w:val="IndexLink"/>
                <w:rtl w:val="true"/>
              </w:rPr>
              <w:tab/>
            </w:r>
            <w:r>
              <w:rPr>
                <w:rStyle w:val="IndexLink"/>
              </w:rPr>
              <w:t>200</w:t>
            </w:r>
          </w:hyperlink>
        </w:p>
        <w:p>
          <w:pPr>
            <w:pStyle w:val="Contents4"/>
            <w:tabs>
              <w:tab w:val="clear" w:pos="8176"/>
              <w:tab w:val="right" w:pos="9026" w:leader="dot"/>
            </w:tabs>
            <w:rPr/>
          </w:pPr>
          <w:hyperlink w:anchor="__RefHeading___Toc39348_2142443653">
            <w:r>
              <w:rPr>
                <w:webHidden/>
                <w:rStyle w:val="IndexLink"/>
                <w:rtl w:val="true"/>
              </w:rPr>
              <w:t>اشارة</w:t>
            </w:r>
            <w:r>
              <w:rPr>
                <w:rStyle w:val="IndexLink"/>
                <w:rtl w:val="true"/>
              </w:rPr>
              <w:tab/>
            </w:r>
            <w:r>
              <w:rPr>
                <w:rStyle w:val="IndexLink"/>
              </w:rPr>
              <w:t>200</w:t>
            </w:r>
          </w:hyperlink>
        </w:p>
        <w:p>
          <w:pPr>
            <w:pStyle w:val="Contents4"/>
            <w:tabs>
              <w:tab w:val="clear" w:pos="8176"/>
              <w:tab w:val="right" w:pos="9026" w:leader="dot"/>
            </w:tabs>
            <w:rPr/>
          </w:pPr>
          <w:hyperlink w:anchor="__RefHeading___Toc39350_2142443653">
            <w:r>
              <w:rPr>
                <w:webHidden/>
                <w:rStyle w:val="IndexLink"/>
                <w:rtl w:val="true"/>
              </w:rPr>
              <w:t>بحث حول علی بن السندی</w:t>
            </w:r>
            <w:r>
              <w:rPr>
                <w:rStyle w:val="IndexLink"/>
                <w:rtl w:val="true"/>
              </w:rPr>
              <w:tab/>
            </w:r>
            <w:r>
              <w:rPr>
                <w:rStyle w:val="IndexLink"/>
              </w:rPr>
              <w:t>201</w:t>
            </w:r>
          </w:hyperlink>
        </w:p>
        <w:p>
          <w:pPr>
            <w:pStyle w:val="Contents4"/>
            <w:tabs>
              <w:tab w:val="clear" w:pos="8176"/>
              <w:tab w:val="right" w:pos="9026" w:leader="dot"/>
            </w:tabs>
            <w:rPr/>
          </w:pPr>
          <w:hyperlink w:anchor="__RefHeading___Toc39352_2142443653">
            <w:r>
              <w:rPr>
                <w:webHidden/>
                <w:rStyle w:val="IndexLink"/>
                <w:rtl w:val="true"/>
              </w:rPr>
              <w:t>حکم ما إذا وجد المنی فی الثوب المشترک</w:t>
            </w:r>
            <w:r>
              <w:rPr>
                <w:rStyle w:val="IndexLink"/>
                <w:rtl w:val="true"/>
              </w:rPr>
              <w:tab/>
            </w:r>
            <w:r>
              <w:rPr>
                <w:rStyle w:val="IndexLink"/>
              </w:rPr>
              <w:t>202</w:t>
            </w:r>
          </w:hyperlink>
        </w:p>
        <w:p>
          <w:pPr>
            <w:pStyle w:val="Contents3"/>
            <w:tabs>
              <w:tab w:val="clear" w:pos="8459"/>
              <w:tab w:val="right" w:pos="9026" w:leader="dot"/>
            </w:tabs>
            <w:rPr/>
          </w:pPr>
          <w:hyperlink w:anchor="__RefHeading___Toc39354_2142443653">
            <w:r>
              <w:rPr>
                <w:webHidden/>
                <w:rStyle w:val="IndexLink"/>
                <w:rtl w:val="true"/>
              </w:rPr>
              <w:t>الرجل یجامع المرأة فیما دون الفرج فینزل هو دونها</w:t>
            </w:r>
            <w:r>
              <w:rPr>
                <w:rStyle w:val="IndexLink"/>
                <w:rtl w:val="true"/>
              </w:rPr>
              <w:tab/>
            </w:r>
            <w:r>
              <w:rPr>
                <w:rStyle w:val="IndexLink"/>
              </w:rPr>
              <w:t>203</w:t>
            </w:r>
          </w:hyperlink>
        </w:p>
        <w:p>
          <w:pPr>
            <w:pStyle w:val="Contents4"/>
            <w:tabs>
              <w:tab w:val="clear" w:pos="8176"/>
              <w:tab w:val="right" w:pos="9026" w:leader="dot"/>
            </w:tabs>
            <w:rPr/>
          </w:pPr>
          <w:hyperlink w:anchor="__RefHeading___Toc39356_2142443653">
            <w:r>
              <w:rPr>
                <w:webHidden/>
                <w:rStyle w:val="IndexLink"/>
                <w:rtl w:val="true"/>
              </w:rPr>
              <w:t>اشارة</w:t>
            </w:r>
            <w:r>
              <w:rPr>
                <w:rStyle w:val="IndexLink"/>
                <w:rtl w:val="true"/>
              </w:rPr>
              <w:tab/>
            </w:r>
            <w:r>
              <w:rPr>
                <w:rStyle w:val="IndexLink"/>
              </w:rPr>
              <w:t>203</w:t>
            </w:r>
          </w:hyperlink>
        </w:p>
        <w:p>
          <w:pPr>
            <w:pStyle w:val="Contents4"/>
            <w:tabs>
              <w:tab w:val="clear" w:pos="8176"/>
              <w:tab w:val="right" w:pos="9026" w:leader="dot"/>
            </w:tabs>
            <w:rPr/>
          </w:pPr>
          <w:hyperlink w:anchor="__RefHeading___Toc39358_2142443653">
            <w:r>
              <w:rPr>
                <w:webHidden/>
                <w:rStyle w:val="IndexLink"/>
                <w:rtl w:val="true"/>
              </w:rPr>
              <w:t>إحتجاج العلّامة لوجوب الغسل فی الوطء فی الدبر بدون الإنزال والمناقشة فیه</w:t>
            </w:r>
            <w:r>
              <w:rPr>
                <w:rStyle w:val="IndexLink"/>
                <w:rtl w:val="true"/>
              </w:rPr>
              <w:tab/>
            </w:r>
            <w:r>
              <w:rPr>
                <w:rStyle w:val="IndexLink"/>
              </w:rPr>
              <w:t>206</w:t>
            </w:r>
          </w:hyperlink>
        </w:p>
        <w:p>
          <w:pPr>
            <w:pStyle w:val="Contents4"/>
            <w:tabs>
              <w:tab w:val="clear" w:pos="8176"/>
              <w:tab w:val="right" w:pos="9026" w:leader="dot"/>
            </w:tabs>
            <w:rPr/>
          </w:pPr>
          <w:hyperlink w:anchor="__RefHeading___Toc39360_2142443653">
            <w:r>
              <w:rPr>
                <w:webHidden/>
                <w:rStyle w:val="IndexLink"/>
                <w:rtl w:val="true"/>
              </w:rPr>
              <w:t>هل یردّ الشیخ الخبر بالإرسال مطلقاً؟</w:t>
            </w:r>
            <w:r>
              <w:rPr>
                <w:rStyle w:val="IndexLink"/>
                <w:rtl w:val="true"/>
              </w:rPr>
              <w:tab/>
            </w:r>
            <w:r>
              <w:rPr>
                <w:rStyle w:val="IndexLink"/>
              </w:rPr>
              <w:t>211</w:t>
            </w:r>
          </w:hyperlink>
        </w:p>
        <w:p>
          <w:pPr>
            <w:pStyle w:val="Contents4"/>
            <w:tabs>
              <w:tab w:val="clear" w:pos="8176"/>
              <w:tab w:val="right" w:pos="9026" w:leader="dot"/>
            </w:tabs>
            <w:rPr/>
          </w:pPr>
          <w:hyperlink w:anchor="__RefHeading___Toc39362_2142443653">
            <w:r>
              <w:rPr>
                <w:webHidden/>
                <w:rStyle w:val="IndexLink"/>
                <w:rtl w:val="true"/>
              </w:rPr>
              <w:t>حفص بن سوقة ثقة</w:t>
            </w:r>
            <w:r>
              <w:rPr>
                <w:rStyle w:val="IndexLink"/>
                <w:rtl w:val="true"/>
              </w:rPr>
              <w:tab/>
            </w:r>
            <w:r>
              <w:rPr>
                <w:rStyle w:val="IndexLink"/>
              </w:rPr>
              <w:t>212</w:t>
            </w:r>
          </w:hyperlink>
        </w:p>
        <w:p>
          <w:pPr>
            <w:pStyle w:val="Contents4"/>
            <w:tabs>
              <w:tab w:val="clear" w:pos="8176"/>
              <w:tab w:val="right" w:pos="9026" w:leader="dot"/>
            </w:tabs>
            <w:rPr/>
          </w:pPr>
          <w:hyperlink w:anchor="__RefHeading___Toc39364_2142443653">
            <w:r>
              <w:rPr>
                <w:webHidden/>
                <w:rStyle w:val="IndexLink"/>
                <w:rtl w:val="true"/>
              </w:rPr>
              <w:t>ادّعاء السیّد المرتضی الإجماع علی عدم الفرق بین الفرجین فی وجوب الغسل</w:t>
            </w:r>
            <w:r>
              <w:rPr>
                <w:rStyle w:val="IndexLink"/>
                <w:rtl w:val="true"/>
              </w:rPr>
              <w:tab/>
            </w:r>
            <w:r>
              <w:rPr>
                <w:rStyle w:val="IndexLink"/>
              </w:rPr>
              <w:t>212</w:t>
            </w:r>
          </w:hyperlink>
        </w:p>
        <w:p>
          <w:pPr>
            <w:pStyle w:val="Contents4"/>
            <w:tabs>
              <w:tab w:val="clear" w:pos="8176"/>
              <w:tab w:val="right" w:pos="9026" w:leader="dot"/>
            </w:tabs>
            <w:rPr/>
          </w:pPr>
          <w:hyperlink w:anchor="__RefHeading___Toc39366_2142443653">
            <w:r>
              <w:rPr>
                <w:webHidden/>
                <w:rStyle w:val="IndexLink"/>
                <w:rtl w:val="true"/>
              </w:rPr>
              <w:t>الاستدلال لوجوب الغسل بوطء الغلام بالإجماع المرکّب والمناقشة فیه</w:t>
            </w:r>
            <w:r>
              <w:rPr>
                <w:rStyle w:val="IndexLink"/>
                <w:rtl w:val="true"/>
              </w:rPr>
              <w:tab/>
            </w:r>
            <w:r>
              <w:rPr>
                <w:rStyle w:val="IndexLink"/>
              </w:rPr>
              <w:t>213</w:t>
            </w:r>
          </w:hyperlink>
        </w:p>
        <w:p>
          <w:pPr>
            <w:pStyle w:val="Contents3"/>
            <w:tabs>
              <w:tab w:val="clear" w:pos="8459"/>
              <w:tab w:val="right" w:pos="9026" w:leader="dot"/>
            </w:tabs>
            <w:rPr/>
          </w:pPr>
          <w:hyperlink w:anchor="__RefHeading___Toc39368_2142443653">
            <w:r>
              <w:rPr>
                <w:webHidden/>
                <w:rStyle w:val="IndexLink"/>
                <w:rtl w:val="true"/>
              </w:rPr>
              <w:t>الجنب لا یمسّ الدراهم علیها اسم اللّه تعالی</w:t>
            </w:r>
            <w:r>
              <w:rPr>
                <w:rStyle w:val="IndexLink"/>
                <w:rtl w:val="true"/>
              </w:rPr>
              <w:tab/>
            </w:r>
            <w:r>
              <w:rPr>
                <w:rStyle w:val="IndexLink"/>
              </w:rPr>
              <w:t>215</w:t>
            </w:r>
          </w:hyperlink>
        </w:p>
        <w:p>
          <w:pPr>
            <w:pStyle w:val="Contents4"/>
            <w:tabs>
              <w:tab w:val="clear" w:pos="8176"/>
              <w:tab w:val="right" w:pos="9026" w:leader="dot"/>
            </w:tabs>
            <w:rPr/>
          </w:pPr>
          <w:hyperlink w:anchor="__RefHeading___Toc39370_2142443653">
            <w:r>
              <w:rPr>
                <w:webHidden/>
                <w:rStyle w:val="IndexLink"/>
                <w:rtl w:val="true"/>
              </w:rPr>
              <w:t>اشارة</w:t>
            </w:r>
            <w:r>
              <w:rPr>
                <w:rStyle w:val="IndexLink"/>
                <w:rtl w:val="true"/>
              </w:rPr>
              <w:tab/>
            </w:r>
            <w:r>
              <w:rPr>
                <w:rStyle w:val="IndexLink"/>
              </w:rPr>
              <w:t>215</w:t>
            </w:r>
          </w:hyperlink>
        </w:p>
        <w:p>
          <w:pPr>
            <w:pStyle w:val="Contents4"/>
            <w:tabs>
              <w:tab w:val="clear" w:pos="8176"/>
              <w:tab w:val="right" w:pos="9026" w:leader="dot"/>
            </w:tabs>
            <w:rPr/>
          </w:pPr>
          <w:hyperlink w:anchor="__RefHeading___Toc39372_2142443653">
            <w:r>
              <w:rPr>
                <w:webHidden/>
                <w:rStyle w:val="IndexLink"/>
                <w:rtl w:val="true"/>
              </w:rPr>
              <w:t>کلمة حول إسحاق بن عمار</w:t>
            </w:r>
            <w:r>
              <w:rPr>
                <w:rStyle w:val="IndexLink"/>
                <w:rtl w:val="true"/>
              </w:rPr>
              <w:tab/>
            </w:r>
            <w:r>
              <w:rPr>
                <w:rStyle w:val="IndexLink"/>
              </w:rPr>
              <w:t>216</w:t>
            </w:r>
          </w:hyperlink>
        </w:p>
        <w:p>
          <w:pPr>
            <w:pStyle w:val="Contents3"/>
            <w:tabs>
              <w:tab w:val="clear" w:pos="8459"/>
              <w:tab w:val="right" w:pos="9026" w:leader="dot"/>
            </w:tabs>
            <w:rPr/>
          </w:pPr>
          <w:hyperlink w:anchor="__RefHeading___Toc39374_2142443653">
            <w:r>
              <w:rPr>
                <w:webHidden/>
                <w:rStyle w:val="IndexLink"/>
                <w:rtl w:val="true"/>
              </w:rPr>
              <w:t>الجنب لا یمسّ المصحف</w:t>
            </w:r>
            <w:r>
              <w:rPr>
                <w:rStyle w:val="IndexLink"/>
                <w:rtl w:val="true"/>
              </w:rPr>
              <w:tab/>
            </w:r>
            <w:r>
              <w:rPr>
                <w:rStyle w:val="IndexLink"/>
              </w:rPr>
              <w:t>217</w:t>
            </w:r>
          </w:hyperlink>
        </w:p>
        <w:p>
          <w:pPr>
            <w:pStyle w:val="Contents4"/>
            <w:tabs>
              <w:tab w:val="clear" w:pos="8176"/>
              <w:tab w:val="right" w:pos="9026" w:leader="dot"/>
            </w:tabs>
            <w:rPr/>
          </w:pPr>
          <w:hyperlink w:anchor="__RefHeading___Toc39376_2142443653">
            <w:r>
              <w:rPr>
                <w:webHidden/>
                <w:rStyle w:val="IndexLink"/>
                <w:rtl w:val="true"/>
              </w:rPr>
              <w:t>اشارة</w:t>
            </w:r>
            <w:r>
              <w:rPr>
                <w:rStyle w:val="IndexLink"/>
                <w:rtl w:val="true"/>
              </w:rPr>
              <w:tab/>
            </w:r>
            <w:r>
              <w:rPr>
                <w:rStyle w:val="IndexLink"/>
              </w:rPr>
              <w:t>217</w:t>
            </w:r>
          </w:hyperlink>
        </w:p>
        <w:p>
          <w:pPr>
            <w:pStyle w:val="Contents4"/>
            <w:tabs>
              <w:tab w:val="clear" w:pos="8176"/>
              <w:tab w:val="right" w:pos="9026" w:leader="dot"/>
            </w:tabs>
            <w:rPr/>
          </w:pPr>
          <w:hyperlink w:anchor="__RefHeading___Toc39378_2142443653">
            <w:r>
              <w:rPr>
                <w:webHidden/>
                <w:rStyle w:val="IndexLink"/>
                <w:rtl w:val="true"/>
              </w:rPr>
              <w:t>بحث حول الحسین بن المختار</w:t>
            </w:r>
            <w:r>
              <w:rPr>
                <w:rStyle w:val="IndexLink"/>
                <w:rtl w:val="true"/>
              </w:rPr>
              <w:tab/>
            </w:r>
            <w:r>
              <w:rPr>
                <w:rStyle w:val="IndexLink"/>
              </w:rPr>
              <w:t>218</w:t>
            </w:r>
          </w:hyperlink>
        </w:p>
        <w:p>
          <w:pPr>
            <w:pStyle w:val="Contents4"/>
            <w:tabs>
              <w:tab w:val="clear" w:pos="8176"/>
              <w:tab w:val="right" w:pos="9026" w:leader="dot"/>
            </w:tabs>
            <w:rPr/>
          </w:pPr>
          <w:hyperlink w:anchor="__RefHeading___Toc39380_2142443653">
            <w:r>
              <w:rPr>
                <w:webHidden/>
                <w:rStyle w:val="IndexLink"/>
                <w:rtl w:val="true"/>
              </w:rPr>
              <w:t>بحث حول جعفر بن حکیم</w:t>
            </w:r>
            <w:r>
              <w:rPr>
                <w:rStyle w:val="IndexLink"/>
                <w:rtl w:val="true"/>
              </w:rPr>
              <w:tab/>
            </w:r>
            <w:r>
              <w:rPr>
                <w:rStyle w:val="IndexLink"/>
              </w:rPr>
              <w:t>219</w:t>
            </w:r>
          </w:hyperlink>
        </w:p>
        <w:p>
          <w:pPr>
            <w:pStyle w:val="Contents4"/>
            <w:tabs>
              <w:tab w:val="clear" w:pos="8176"/>
              <w:tab w:val="right" w:pos="9026" w:leader="dot"/>
            </w:tabs>
            <w:rPr/>
          </w:pPr>
          <w:hyperlink w:anchor="__RefHeading___Toc39382_2142443653">
            <w:r>
              <w:rPr>
                <w:webHidden/>
                <w:rStyle w:val="IndexLink"/>
                <w:rtl w:val="true"/>
              </w:rPr>
              <w:t>جعفر بن محمد بن أبی الصباح لم یوجد فی الرجال</w:t>
            </w:r>
            <w:r>
              <w:rPr>
                <w:rStyle w:val="IndexLink"/>
                <w:rtl w:val="true"/>
              </w:rPr>
              <w:tab/>
            </w:r>
            <w:r>
              <w:rPr>
                <w:rStyle w:val="IndexLink"/>
              </w:rPr>
              <w:t>219</w:t>
            </w:r>
          </w:hyperlink>
        </w:p>
        <w:p>
          <w:pPr>
            <w:pStyle w:val="Contents4"/>
            <w:tabs>
              <w:tab w:val="clear" w:pos="8176"/>
              <w:tab w:val="right" w:pos="9026" w:leader="dot"/>
            </w:tabs>
            <w:rPr/>
          </w:pPr>
          <w:hyperlink w:anchor="__RefHeading___Toc39384_2142443653">
            <w:r>
              <w:rPr>
                <w:webHidden/>
                <w:rStyle w:val="IndexLink"/>
                <w:rtl w:val="true"/>
              </w:rPr>
              <w:t>بحث حول إبراهیم بن عبدالحمید</w:t>
            </w:r>
            <w:r>
              <w:rPr>
                <w:rStyle w:val="IndexLink"/>
                <w:rtl w:val="true"/>
              </w:rPr>
              <w:tab/>
            </w:r>
            <w:r>
              <w:rPr>
                <w:rStyle w:val="IndexLink"/>
              </w:rPr>
              <w:t>219</w:t>
            </w:r>
          </w:hyperlink>
        </w:p>
        <w:p>
          <w:pPr>
            <w:pStyle w:val="Contents4"/>
            <w:tabs>
              <w:tab w:val="clear" w:pos="8176"/>
              <w:tab w:val="right" w:pos="9026" w:leader="dot"/>
            </w:tabs>
            <w:rPr/>
          </w:pPr>
          <w:hyperlink w:anchor="__RefHeading___Toc39386_2142443653">
            <w:r>
              <w:rPr>
                <w:webHidden/>
                <w:rStyle w:val="IndexLink"/>
                <w:rtl w:val="true"/>
              </w:rPr>
              <w:t>مسّ المصحف للمحدث حرام أو مکروه</w:t>
            </w:r>
            <w:r>
              <w:rPr>
                <w:rStyle w:val="IndexLink"/>
                <w:rtl w:val="true"/>
              </w:rPr>
              <w:tab/>
            </w:r>
            <w:r>
              <w:rPr>
                <w:rStyle w:val="IndexLink"/>
              </w:rPr>
              <w:t>219</w:t>
            </w:r>
          </w:hyperlink>
        </w:p>
        <w:p>
          <w:pPr>
            <w:pStyle w:val="Contents4"/>
            <w:tabs>
              <w:tab w:val="clear" w:pos="8176"/>
              <w:tab w:val="right" w:pos="9026" w:leader="dot"/>
            </w:tabs>
            <w:rPr/>
          </w:pPr>
          <w:hyperlink w:anchor="__RefHeading___Toc39388_2142443653">
            <w:r>
              <w:rPr>
                <w:webHidden/>
                <w:rStyle w:val="IndexLink"/>
                <w:rtl w:val="true"/>
              </w:rPr>
              <w:t>حال الحسین بن المختار عند العلّامة</w:t>
            </w:r>
            <w:r>
              <w:rPr>
                <w:rStyle w:val="IndexLink"/>
                <w:rtl w:val="true"/>
              </w:rPr>
              <w:tab/>
            </w:r>
            <w:r>
              <w:rPr>
                <w:rStyle w:val="IndexLink"/>
              </w:rPr>
              <w:t>221</w:t>
            </w:r>
          </w:hyperlink>
        </w:p>
        <w:p>
          <w:pPr>
            <w:pStyle w:val="Contents4"/>
            <w:tabs>
              <w:tab w:val="clear" w:pos="8176"/>
              <w:tab w:val="right" w:pos="9026" w:leader="dot"/>
            </w:tabs>
            <w:rPr/>
          </w:pPr>
          <w:hyperlink w:anchor="__RefHeading___Toc39390_2142443653">
            <w:r>
              <w:rPr>
                <w:webHidden/>
                <w:rStyle w:val="IndexLink"/>
                <w:rtl w:val="true"/>
              </w:rPr>
              <w:t>معنی المسّ</w:t>
            </w:r>
            <w:r>
              <w:rPr>
                <w:rStyle w:val="IndexLink"/>
                <w:rtl w:val="true"/>
              </w:rPr>
              <w:tab/>
            </w:r>
            <w:r>
              <w:rPr>
                <w:rStyle w:val="IndexLink"/>
              </w:rPr>
              <w:t>223</w:t>
            </w:r>
          </w:hyperlink>
        </w:p>
        <w:p>
          <w:pPr>
            <w:pStyle w:val="Contents3"/>
            <w:tabs>
              <w:tab w:val="clear" w:pos="8459"/>
              <w:tab w:val="right" w:pos="9026" w:leader="dot"/>
            </w:tabs>
            <w:rPr/>
          </w:pPr>
          <w:hyperlink w:anchor="__RefHeading___Toc39392_2142443653">
            <w:r>
              <w:rPr>
                <w:webHidden/>
                <w:rStyle w:val="IndexLink"/>
                <w:rtl w:val="true"/>
              </w:rPr>
              <w:t>الجنب والحائض یقرءان القرآن</w:t>
            </w:r>
            <w:r>
              <w:rPr>
                <w:rStyle w:val="IndexLink"/>
                <w:rtl w:val="true"/>
              </w:rPr>
              <w:tab/>
            </w:r>
            <w:r>
              <w:rPr>
                <w:rStyle w:val="IndexLink"/>
              </w:rPr>
              <w:t>223</w:t>
            </w:r>
          </w:hyperlink>
        </w:p>
        <w:p>
          <w:pPr>
            <w:pStyle w:val="Contents4"/>
            <w:tabs>
              <w:tab w:val="clear" w:pos="8176"/>
              <w:tab w:val="right" w:pos="9026" w:leader="dot"/>
            </w:tabs>
            <w:rPr/>
          </w:pPr>
          <w:hyperlink w:anchor="__RefHeading___Toc39394_2142443653">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39396_2142443653">
            <w:r>
              <w:rPr>
                <w:webHidden/>
                <w:rStyle w:val="IndexLink"/>
                <w:rtl w:val="true"/>
              </w:rPr>
              <w:t>النضر بن شعیب غیر مذکور فی الرجال</w:t>
            </w:r>
            <w:r>
              <w:rPr>
                <w:rStyle w:val="IndexLink"/>
                <w:rtl w:val="true"/>
              </w:rPr>
              <w:tab/>
            </w:r>
            <w:r>
              <w:rPr>
                <w:rStyle w:val="IndexLink"/>
              </w:rPr>
              <w:t>224</w:t>
            </w:r>
          </w:hyperlink>
        </w:p>
        <w:p>
          <w:pPr>
            <w:pStyle w:val="Contents4"/>
            <w:tabs>
              <w:tab w:val="clear" w:pos="8176"/>
              <w:tab w:val="right" w:pos="9026" w:leader="dot"/>
            </w:tabs>
            <w:rPr/>
          </w:pPr>
          <w:hyperlink w:anchor="__RefHeading___Toc39398_2142443653">
            <w:r>
              <w:rPr>
                <w:webHidden/>
                <w:rStyle w:val="IndexLink"/>
                <w:rtl w:val="true"/>
              </w:rPr>
              <w:t>بحث حول عبدالغفّار الجازی</w:t>
            </w:r>
            <w:r>
              <w:rPr>
                <w:rStyle w:val="IndexLink"/>
                <w:rtl w:val="true"/>
              </w:rPr>
              <w:tab/>
            </w:r>
            <w:r>
              <w:rPr>
                <w:rStyle w:val="IndexLink"/>
              </w:rPr>
              <w:t>224</w:t>
            </w:r>
          </w:hyperlink>
        </w:p>
        <w:p>
          <w:pPr>
            <w:pStyle w:val="Contents4"/>
            <w:tabs>
              <w:tab w:val="clear" w:pos="8176"/>
              <w:tab w:val="right" w:pos="9026" w:leader="dot"/>
            </w:tabs>
            <w:rPr/>
          </w:pPr>
          <w:hyperlink w:anchor="__RefHeading___Toc39400_2142443653">
            <w:r>
              <w:rPr>
                <w:webHidden/>
                <w:rStyle w:val="IndexLink"/>
                <w:rtl w:val="true"/>
              </w:rPr>
              <w:t>التوجیه الأوّل لخبر سماعة والمناقشة فیه</w:t>
            </w:r>
            <w:r>
              <w:rPr>
                <w:rStyle w:val="IndexLink"/>
                <w:rtl w:val="true"/>
              </w:rPr>
              <w:tab/>
            </w:r>
            <w:r>
              <w:rPr>
                <w:rStyle w:val="IndexLink"/>
              </w:rPr>
              <w:t>227</w:t>
            </w:r>
          </w:hyperlink>
        </w:p>
        <w:p>
          <w:pPr>
            <w:pStyle w:val="Contents4"/>
            <w:tabs>
              <w:tab w:val="clear" w:pos="8176"/>
              <w:tab w:val="right" w:pos="9026" w:leader="dot"/>
            </w:tabs>
            <w:rPr/>
          </w:pPr>
          <w:hyperlink w:anchor="__RefHeading___Toc39402_2142443653">
            <w:r>
              <w:rPr>
                <w:webHidden/>
                <w:rStyle w:val="IndexLink"/>
                <w:rtl w:val="true"/>
              </w:rPr>
              <w:t>التوجیه الثانی لخبر سماعة والمناقشة فیه</w:t>
            </w:r>
            <w:r>
              <w:rPr>
                <w:rStyle w:val="IndexLink"/>
                <w:rtl w:val="true"/>
              </w:rPr>
              <w:tab/>
            </w:r>
            <w:r>
              <w:rPr>
                <w:rStyle w:val="IndexLink"/>
              </w:rPr>
              <w:t>228</w:t>
            </w:r>
          </w:hyperlink>
        </w:p>
        <w:p>
          <w:pPr>
            <w:pStyle w:val="Contents4"/>
            <w:tabs>
              <w:tab w:val="clear" w:pos="8176"/>
              <w:tab w:val="right" w:pos="9026" w:leader="dot"/>
            </w:tabs>
            <w:rPr/>
          </w:pPr>
          <w:hyperlink w:anchor="__RefHeading___Toc39404_2142443653">
            <w:r>
              <w:rPr>
                <w:webHidden/>
                <w:rStyle w:val="IndexLink"/>
                <w:rtl w:val="true"/>
              </w:rPr>
              <w:t>حکم قراءة العزیمة للحائض والجنب</w:t>
            </w:r>
            <w:r>
              <w:rPr>
                <w:rStyle w:val="IndexLink"/>
                <w:rtl w:val="true"/>
              </w:rPr>
              <w:tab/>
            </w:r>
            <w:r>
              <w:rPr>
                <w:rStyle w:val="IndexLink"/>
              </w:rPr>
              <w:t>230</w:t>
            </w:r>
          </w:hyperlink>
        </w:p>
        <w:p>
          <w:pPr>
            <w:pStyle w:val="Contents3"/>
            <w:tabs>
              <w:tab w:val="clear" w:pos="8459"/>
              <w:tab w:val="right" w:pos="9026" w:leader="dot"/>
            </w:tabs>
            <w:rPr/>
          </w:pPr>
          <w:hyperlink w:anchor="__RefHeading___Toc39406_2142443653">
            <w:r>
              <w:rPr>
                <w:webHidden/>
                <w:rStyle w:val="IndexLink"/>
                <w:rtl w:val="true"/>
              </w:rPr>
              <w:t>الجنب یدهن ویختضب وکذلک الحائض</w:t>
            </w:r>
            <w:r>
              <w:rPr>
                <w:rStyle w:val="IndexLink"/>
                <w:rtl w:val="true"/>
              </w:rPr>
              <w:tab/>
            </w:r>
            <w:r>
              <w:rPr>
                <w:rStyle w:val="IndexLink"/>
              </w:rPr>
              <w:t>232</w:t>
            </w:r>
          </w:hyperlink>
        </w:p>
        <w:p>
          <w:pPr>
            <w:pStyle w:val="Contents4"/>
            <w:tabs>
              <w:tab w:val="clear" w:pos="8176"/>
              <w:tab w:val="right" w:pos="9026" w:leader="dot"/>
            </w:tabs>
            <w:rPr/>
          </w:pPr>
          <w:hyperlink w:anchor="__RefHeading___Toc39408_2142443653">
            <w:r>
              <w:rPr>
                <w:webHidden/>
                <w:rStyle w:val="IndexLink"/>
                <w:rtl w:val="true"/>
              </w:rPr>
              <w:t>اشارة</w:t>
            </w:r>
            <w:r>
              <w:rPr>
                <w:rStyle w:val="IndexLink"/>
                <w:rtl w:val="true"/>
              </w:rPr>
              <w:tab/>
            </w:r>
            <w:r>
              <w:rPr>
                <w:rStyle w:val="IndexLink"/>
              </w:rPr>
              <w:t>232</w:t>
            </w:r>
          </w:hyperlink>
        </w:p>
        <w:p>
          <w:pPr>
            <w:pStyle w:val="Contents4"/>
            <w:tabs>
              <w:tab w:val="clear" w:pos="8176"/>
              <w:tab w:val="right" w:pos="9026" w:leader="dot"/>
            </w:tabs>
            <w:rPr/>
          </w:pPr>
          <w:hyperlink w:anchor="__RefHeading___Toc39410_2142443653">
            <w:r>
              <w:rPr>
                <w:webHidden/>
                <w:rStyle w:val="IndexLink"/>
                <w:rtl w:val="true"/>
              </w:rPr>
              <w:t>بحث حول القاسم بن محمد الجوهری وأبی سعید</w:t>
            </w:r>
            <w:r>
              <w:rPr>
                <w:rStyle w:val="IndexLink"/>
                <w:rtl w:val="true"/>
              </w:rPr>
              <w:tab/>
            </w:r>
            <w:r>
              <w:rPr>
                <w:rStyle w:val="IndexLink"/>
              </w:rPr>
              <w:t>234</w:t>
            </w:r>
          </w:hyperlink>
        </w:p>
        <w:p>
          <w:pPr>
            <w:pStyle w:val="Contents4"/>
            <w:tabs>
              <w:tab w:val="clear" w:pos="8176"/>
              <w:tab w:val="right" w:pos="9026" w:leader="dot"/>
            </w:tabs>
            <w:rPr/>
          </w:pPr>
          <w:hyperlink w:anchor="__RefHeading___Toc39412_2142443653">
            <w:r>
              <w:rPr>
                <w:webHidden/>
                <w:rStyle w:val="IndexLink"/>
                <w:rtl w:val="true"/>
              </w:rPr>
              <w:t>عبدالله بن بحر ضعیف مرتفع القول</w:t>
            </w:r>
            <w:r>
              <w:rPr>
                <w:rStyle w:val="IndexLink"/>
                <w:rtl w:val="true"/>
              </w:rPr>
              <w:tab/>
            </w:r>
            <w:r>
              <w:rPr>
                <w:rStyle w:val="IndexLink"/>
              </w:rPr>
              <w:t>236</w:t>
            </w:r>
          </w:hyperlink>
        </w:p>
        <w:p>
          <w:pPr>
            <w:pStyle w:val="Contents4"/>
            <w:tabs>
              <w:tab w:val="clear" w:pos="8176"/>
              <w:tab w:val="right" w:pos="9026" w:leader="dot"/>
            </w:tabs>
            <w:rPr/>
          </w:pPr>
          <w:hyperlink w:anchor="__RefHeading___Toc39414_2142443653">
            <w:r>
              <w:rPr>
                <w:webHidden/>
                <w:rStyle w:val="IndexLink"/>
                <w:rtl w:val="true"/>
              </w:rPr>
              <w:t>بحث حول عامر بن جذاعة</w:t>
            </w:r>
            <w:r>
              <w:rPr>
                <w:rStyle w:val="IndexLink"/>
                <w:rtl w:val="true"/>
              </w:rPr>
              <w:tab/>
            </w:r>
            <w:r>
              <w:rPr>
                <w:rStyle w:val="IndexLink"/>
              </w:rPr>
              <w:t>236</w:t>
            </w:r>
          </w:hyperlink>
        </w:p>
        <w:p>
          <w:pPr>
            <w:pStyle w:val="Contents4"/>
            <w:tabs>
              <w:tab w:val="clear" w:pos="8176"/>
              <w:tab w:val="right" w:pos="9026" w:leader="dot"/>
            </w:tabs>
            <w:rPr/>
          </w:pPr>
          <w:hyperlink w:anchor="__RefHeading___Toc39416_2142443653">
            <w:r>
              <w:rPr>
                <w:webHidden/>
                <w:rStyle w:val="IndexLink"/>
                <w:rtl w:val="true"/>
              </w:rPr>
              <w:t>حکم الجنب یختضب والمختضب یجنب</w:t>
            </w:r>
            <w:r>
              <w:rPr>
                <w:rStyle w:val="IndexLink"/>
                <w:rtl w:val="true"/>
              </w:rPr>
              <w:tab/>
            </w:r>
            <w:r>
              <w:rPr>
                <w:rStyle w:val="IndexLink"/>
              </w:rPr>
              <w:t>237</w:t>
            </w:r>
          </w:hyperlink>
        </w:p>
        <w:p>
          <w:pPr>
            <w:pStyle w:val="Contents4"/>
            <w:tabs>
              <w:tab w:val="clear" w:pos="8176"/>
              <w:tab w:val="right" w:pos="9026" w:leader="dot"/>
            </w:tabs>
            <w:rPr/>
          </w:pPr>
          <w:hyperlink w:anchor="__RefHeading___Toc39418_2142443653">
            <w:r>
              <w:rPr>
                <w:webHidden/>
                <w:rStyle w:val="IndexLink"/>
                <w:rtl w:val="true"/>
              </w:rPr>
              <w:t>معنی الاختضاب</w:t>
            </w:r>
            <w:r>
              <w:rPr>
                <w:rStyle w:val="IndexLink"/>
                <w:rtl w:val="true"/>
              </w:rPr>
              <w:tab/>
            </w:r>
            <w:r>
              <w:rPr>
                <w:rStyle w:val="IndexLink"/>
              </w:rPr>
              <w:t>238</w:t>
            </w:r>
          </w:hyperlink>
        </w:p>
        <w:p>
          <w:pPr>
            <w:pStyle w:val="Contents4"/>
            <w:tabs>
              <w:tab w:val="clear" w:pos="8176"/>
              <w:tab w:val="right" w:pos="9026" w:leader="dot"/>
            </w:tabs>
            <w:rPr/>
          </w:pPr>
          <w:hyperlink w:anchor="__RefHeading___Toc39420_2142443653">
            <w:r>
              <w:rPr>
                <w:webHidden/>
                <w:rStyle w:val="IndexLink"/>
                <w:rtl w:val="true"/>
              </w:rPr>
              <w:t>أبو المغرا اسمه حمید بن المثنّی</w:t>
            </w:r>
            <w:r>
              <w:rPr>
                <w:rStyle w:val="IndexLink"/>
                <w:rtl w:val="true"/>
              </w:rPr>
              <w:tab/>
            </w:r>
            <w:r>
              <w:rPr>
                <w:rStyle w:val="IndexLink"/>
              </w:rPr>
              <w:t>239</w:t>
            </w:r>
          </w:hyperlink>
        </w:p>
        <w:p>
          <w:pPr>
            <w:pStyle w:val="Contents4"/>
            <w:tabs>
              <w:tab w:val="clear" w:pos="8176"/>
              <w:tab w:val="right" w:pos="9026" w:leader="dot"/>
            </w:tabs>
            <w:rPr/>
          </w:pPr>
          <w:hyperlink w:anchor="__RefHeading___Toc39422_2142443653">
            <w:r>
              <w:rPr>
                <w:webHidden/>
                <w:rStyle w:val="IndexLink"/>
                <w:rtl w:val="true"/>
              </w:rPr>
              <w:t>محمد بن الحسن بن علّان لم یذکر فی الرجال</w:t>
            </w:r>
            <w:r>
              <w:rPr>
                <w:rStyle w:val="IndexLink"/>
                <w:rtl w:val="true"/>
              </w:rPr>
              <w:tab/>
            </w:r>
            <w:r>
              <w:rPr>
                <w:rStyle w:val="IndexLink"/>
              </w:rPr>
              <w:t>239</w:t>
            </w:r>
          </w:hyperlink>
        </w:p>
        <w:p>
          <w:pPr>
            <w:pStyle w:val="Contents4"/>
            <w:tabs>
              <w:tab w:val="clear" w:pos="8176"/>
              <w:tab w:val="right" w:pos="9026" w:leader="dot"/>
            </w:tabs>
            <w:rPr/>
          </w:pPr>
          <w:hyperlink w:anchor="__RefHeading___Toc39424_2142443653">
            <w:r>
              <w:rPr>
                <w:webHidden/>
                <w:rStyle w:val="IndexLink"/>
                <w:rtl w:val="true"/>
              </w:rPr>
              <w:t>بحث حول جعفر بن محمّد بن یونس</w:t>
            </w:r>
            <w:r>
              <w:rPr>
                <w:rStyle w:val="IndexLink"/>
                <w:rtl w:val="true"/>
              </w:rPr>
              <w:tab/>
            </w:r>
            <w:r>
              <w:rPr>
                <w:rStyle w:val="IndexLink"/>
              </w:rPr>
              <w:t>240</w:t>
            </w:r>
          </w:hyperlink>
        </w:p>
        <w:p>
          <w:pPr>
            <w:pStyle w:val="Contents4"/>
            <w:tabs>
              <w:tab w:val="clear" w:pos="8176"/>
              <w:tab w:val="right" w:pos="9026" w:leader="dot"/>
            </w:tabs>
            <w:rPr/>
          </w:pPr>
          <w:hyperlink w:anchor="__RefHeading___Toc39426_2142443653">
            <w:r>
              <w:rPr>
                <w:webHidden/>
                <w:rStyle w:val="IndexLink"/>
                <w:rtl w:val="true"/>
              </w:rPr>
              <w:t>وجه الجمع بین الأخبار الناهیة عن اختضاب الجنب والمجوّزة لذلک معنی الوَضَح</w:t>
            </w:r>
            <w:r>
              <w:rPr>
                <w:rStyle w:val="IndexLink"/>
                <w:rtl w:val="true"/>
              </w:rPr>
              <w:tab/>
            </w:r>
            <w:r>
              <w:rPr>
                <w:rStyle w:val="IndexLink"/>
              </w:rPr>
              <w:t>240</w:t>
            </w:r>
          </w:hyperlink>
        </w:p>
        <w:p>
          <w:pPr>
            <w:pStyle w:val="Contents3"/>
            <w:tabs>
              <w:tab w:val="clear" w:pos="8459"/>
              <w:tab w:val="right" w:pos="9026" w:leader="dot"/>
            </w:tabs>
            <w:rPr/>
          </w:pPr>
          <w:hyperlink w:anchor="__RefHeading___Toc39428_2142443653">
            <w:r>
              <w:rPr>
                <w:webHidden/>
                <w:rStyle w:val="IndexLink"/>
                <w:rtl w:val="true"/>
              </w:rPr>
              <w:t>الجنب هل علیه مضمضة واستنشاق أم لا؟</w:t>
            </w:r>
            <w:r>
              <w:rPr>
                <w:rStyle w:val="IndexLink"/>
                <w:rtl w:val="true"/>
              </w:rPr>
              <w:tab/>
            </w:r>
            <w:r>
              <w:rPr>
                <w:rStyle w:val="IndexLink"/>
              </w:rPr>
              <w:t>242</w:t>
            </w:r>
          </w:hyperlink>
        </w:p>
        <w:p>
          <w:pPr>
            <w:pStyle w:val="Contents4"/>
            <w:tabs>
              <w:tab w:val="clear" w:pos="8176"/>
              <w:tab w:val="right" w:pos="9026" w:leader="dot"/>
            </w:tabs>
            <w:rPr/>
          </w:pPr>
          <w:hyperlink w:anchor="__RefHeading___Toc39430_2142443653">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39432_2142443653">
            <w:r>
              <w:rPr>
                <w:webHidden/>
                <w:rStyle w:val="IndexLink"/>
                <w:rtl w:val="true"/>
              </w:rPr>
              <w:t>موسی بن سعدان ضعیف</w:t>
            </w:r>
            <w:r>
              <w:rPr>
                <w:rStyle w:val="IndexLink"/>
                <w:rtl w:val="true"/>
              </w:rPr>
              <w:tab/>
            </w:r>
            <w:r>
              <w:rPr>
                <w:rStyle w:val="IndexLink"/>
              </w:rPr>
              <w:t>243</w:t>
            </w:r>
          </w:hyperlink>
        </w:p>
        <w:p>
          <w:pPr>
            <w:pStyle w:val="Contents4"/>
            <w:tabs>
              <w:tab w:val="clear" w:pos="8176"/>
              <w:tab w:val="right" w:pos="9026" w:leader="dot"/>
            </w:tabs>
            <w:rPr/>
          </w:pPr>
          <w:hyperlink w:anchor="__RefHeading___Toc39434_2142443653">
            <w:r>
              <w:rPr>
                <w:webHidden/>
                <w:rStyle w:val="IndexLink"/>
                <w:rtl w:val="true"/>
              </w:rPr>
              <w:t>بحث حول أبی یحیی الواسطی</w:t>
            </w:r>
            <w:r>
              <w:rPr>
                <w:rStyle w:val="IndexLink"/>
                <w:rtl w:val="true"/>
              </w:rPr>
              <w:tab/>
            </w:r>
            <w:r>
              <w:rPr>
                <w:rStyle w:val="IndexLink"/>
              </w:rPr>
              <w:t>243</w:t>
            </w:r>
          </w:hyperlink>
        </w:p>
        <w:p>
          <w:pPr>
            <w:pStyle w:val="Contents4"/>
            <w:tabs>
              <w:tab w:val="clear" w:pos="8176"/>
              <w:tab w:val="right" w:pos="9026" w:leader="dot"/>
            </w:tabs>
            <w:rPr/>
          </w:pPr>
          <w:hyperlink w:anchor="__RefHeading___Toc39436_2142443653">
            <w:r>
              <w:rPr>
                <w:webHidden/>
                <w:rStyle w:val="IndexLink"/>
                <w:rtl w:val="true"/>
              </w:rPr>
              <w:t>الحسن بن راشد ضعیف</w:t>
            </w:r>
            <w:r>
              <w:rPr>
                <w:rStyle w:val="IndexLink"/>
                <w:rtl w:val="true"/>
              </w:rPr>
              <w:tab/>
            </w:r>
            <w:r>
              <w:rPr>
                <w:rStyle w:val="IndexLink"/>
              </w:rPr>
              <w:t>243</w:t>
            </w:r>
          </w:hyperlink>
        </w:p>
        <w:p>
          <w:pPr>
            <w:pStyle w:val="Contents4"/>
            <w:tabs>
              <w:tab w:val="clear" w:pos="8176"/>
              <w:tab w:val="right" w:pos="9026" w:leader="dot"/>
            </w:tabs>
            <w:rPr/>
          </w:pPr>
          <w:hyperlink w:anchor="__RefHeading___Toc39438_2142443653">
            <w:r>
              <w:rPr>
                <w:webHidden/>
                <w:rStyle w:val="IndexLink"/>
                <w:rtl w:val="true"/>
              </w:rPr>
              <w:t xml:space="preserve">بحث فی ضمیر </w:t>
            </w:r>
            <w:r>
              <w:rPr>
                <w:rStyle w:val="IndexLink"/>
                <w:rtl w:val="true"/>
              </w:rPr>
              <w:t xml:space="preserve">« </w:t>
            </w:r>
            <w:r>
              <w:rPr>
                <w:rStyle w:val="IndexLink"/>
                <w:rtl w:val="true"/>
              </w:rPr>
              <w:t xml:space="preserve">عنه </w:t>
            </w:r>
            <w:r>
              <w:rPr>
                <w:rStyle w:val="IndexLink"/>
                <w:rtl w:val="true"/>
              </w:rPr>
              <w:t xml:space="preserve">» </w:t>
            </w:r>
            <w:r>
              <w:rPr>
                <w:rStyle w:val="IndexLink"/>
                <w:rtl w:val="true"/>
              </w:rPr>
              <w:t xml:space="preserve">فی قول الشیخ </w:t>
            </w:r>
            <w:r>
              <w:rPr>
                <w:rStyle w:val="IndexLink"/>
                <w:rtl w:val="true"/>
              </w:rPr>
              <w:t xml:space="preserve">: </w:t>
            </w:r>
            <w:r>
              <w:rPr>
                <w:rStyle w:val="IndexLink"/>
                <w:rtl w:val="true"/>
              </w:rPr>
              <w:t>عنه عن علی بن الحکم</w:t>
            </w:r>
            <w:r>
              <w:rPr>
                <w:rStyle w:val="IndexLink"/>
                <w:rtl w:val="true"/>
              </w:rPr>
              <w:tab/>
            </w:r>
            <w:r>
              <w:rPr>
                <w:rStyle w:val="IndexLink"/>
              </w:rPr>
              <w:t>244</w:t>
            </w:r>
          </w:hyperlink>
        </w:p>
        <w:p>
          <w:pPr>
            <w:pStyle w:val="Contents4"/>
            <w:tabs>
              <w:tab w:val="clear" w:pos="8176"/>
              <w:tab w:val="right" w:pos="9026" w:leader="dot"/>
            </w:tabs>
            <w:rPr/>
          </w:pPr>
          <w:hyperlink w:anchor="__RefHeading___Toc39440_2142443653">
            <w:r>
              <w:rPr>
                <w:webHidden/>
                <w:rStyle w:val="IndexLink"/>
                <w:rtl w:val="true"/>
              </w:rPr>
              <w:t>الأخبار النافیة للمضمضة والاستنشاق عن الجنب محمولة علی نفی الوجوب</w:t>
            </w:r>
            <w:r>
              <w:rPr>
                <w:rStyle w:val="IndexLink"/>
                <w:rtl w:val="true"/>
              </w:rPr>
              <w:tab/>
            </w:r>
            <w:r>
              <w:rPr>
                <w:rStyle w:val="IndexLink"/>
              </w:rPr>
              <w:t>244</w:t>
            </w:r>
          </w:hyperlink>
        </w:p>
        <w:p>
          <w:pPr>
            <w:pStyle w:val="Contents4"/>
            <w:tabs>
              <w:tab w:val="clear" w:pos="8176"/>
              <w:tab w:val="right" w:pos="9026" w:leader="dot"/>
            </w:tabs>
            <w:rPr/>
          </w:pPr>
          <w:hyperlink w:anchor="__RefHeading___Toc39442_2142443653">
            <w:r>
              <w:rPr>
                <w:webHidden/>
                <w:rStyle w:val="IndexLink"/>
                <w:rtl w:val="true"/>
              </w:rPr>
              <w:t>کلمة حول أبی بصیر یحیی بن القاسم</w:t>
            </w:r>
            <w:r>
              <w:rPr>
                <w:rStyle w:val="IndexLink"/>
                <w:rtl w:val="true"/>
              </w:rPr>
              <w:tab/>
            </w:r>
            <w:r>
              <w:rPr>
                <w:rStyle w:val="IndexLink"/>
              </w:rPr>
              <w:t>246</w:t>
            </w:r>
          </w:hyperlink>
        </w:p>
        <w:p>
          <w:pPr>
            <w:pStyle w:val="Contents4"/>
            <w:tabs>
              <w:tab w:val="clear" w:pos="8176"/>
              <w:tab w:val="right" w:pos="9026" w:leader="dot"/>
            </w:tabs>
            <w:rPr/>
          </w:pPr>
          <w:hyperlink w:anchor="__RefHeading___Toc39444_2142443653">
            <w:r>
              <w:rPr>
                <w:webHidden/>
                <w:rStyle w:val="IndexLink"/>
                <w:rtl w:val="true"/>
              </w:rPr>
              <w:t>هل الأمر بالمضمضة والاستنشاق فی خبر أبی بصیر للوجوب أو للاستحباب؟</w:t>
            </w:r>
            <w:r>
              <w:rPr>
                <w:rStyle w:val="IndexLink"/>
                <w:rtl w:val="true"/>
              </w:rPr>
              <w:tab/>
            </w:r>
            <w:r>
              <w:rPr>
                <w:rStyle w:val="IndexLink"/>
              </w:rPr>
              <w:t>247</w:t>
            </w:r>
          </w:hyperlink>
        </w:p>
        <w:p>
          <w:pPr>
            <w:pStyle w:val="Contents4"/>
            <w:tabs>
              <w:tab w:val="clear" w:pos="8176"/>
              <w:tab w:val="right" w:pos="9026" w:leader="dot"/>
            </w:tabs>
            <w:rPr/>
          </w:pPr>
          <w:hyperlink w:anchor="__RefHeading___Toc39446_2142443653">
            <w:r>
              <w:rPr>
                <w:webHidden/>
                <w:rStyle w:val="IndexLink"/>
                <w:rtl w:val="true"/>
              </w:rPr>
              <w:t>اختصاص خبر أبی بصیر وزرارة بالغسل المرتب</w:t>
            </w:r>
            <w:r>
              <w:rPr>
                <w:rStyle w:val="IndexLink"/>
                <w:rtl w:val="true"/>
              </w:rPr>
              <w:tab/>
            </w:r>
            <w:r>
              <w:rPr>
                <w:rStyle w:val="IndexLink"/>
              </w:rPr>
              <w:t>247</w:t>
            </w:r>
          </w:hyperlink>
        </w:p>
        <w:p>
          <w:pPr>
            <w:pStyle w:val="Contents4"/>
            <w:tabs>
              <w:tab w:val="clear" w:pos="8176"/>
              <w:tab w:val="right" w:pos="9026" w:leader="dot"/>
            </w:tabs>
            <w:rPr/>
          </w:pPr>
          <w:hyperlink w:anchor="__RefHeading___Toc39448_2142443653">
            <w:r>
              <w:rPr>
                <w:webHidden/>
                <w:rStyle w:val="IndexLink"/>
                <w:rtl w:val="true"/>
              </w:rPr>
              <w:t>حکم غَسل الیدین عند غُسل الجنابة</w:t>
            </w:r>
            <w:r>
              <w:rPr>
                <w:rStyle w:val="IndexLink"/>
                <w:rtl w:val="true"/>
              </w:rPr>
              <w:tab/>
            </w:r>
            <w:r>
              <w:rPr>
                <w:rStyle w:val="IndexLink"/>
              </w:rPr>
              <w:t>249</w:t>
            </w:r>
          </w:hyperlink>
        </w:p>
        <w:p>
          <w:pPr>
            <w:pStyle w:val="Contents4"/>
            <w:tabs>
              <w:tab w:val="clear" w:pos="8176"/>
              <w:tab w:val="right" w:pos="9026" w:leader="dot"/>
            </w:tabs>
            <w:rPr/>
          </w:pPr>
          <w:hyperlink w:anchor="__RefHeading___Toc39450_2142443653">
            <w:r>
              <w:rPr>
                <w:webHidden/>
                <w:rStyle w:val="IndexLink"/>
                <w:rtl w:val="true"/>
              </w:rPr>
              <w:t xml:space="preserve">هل المراد بقوله علیه السلام </w:t>
            </w:r>
            <w:r>
              <w:rPr>
                <w:rStyle w:val="IndexLink"/>
                <w:rtl w:val="true"/>
              </w:rPr>
              <w:t xml:space="preserve">: « </w:t>
            </w:r>
            <w:r>
              <w:rPr>
                <w:rStyle w:val="IndexLink"/>
                <w:rtl w:val="true"/>
              </w:rPr>
              <w:t xml:space="preserve">امسسته الماء </w:t>
            </w:r>
            <w:r>
              <w:rPr>
                <w:rStyle w:val="IndexLink"/>
                <w:rtl w:val="true"/>
              </w:rPr>
              <w:t xml:space="preserve">» </w:t>
            </w:r>
            <w:r>
              <w:rPr>
                <w:rStyle w:val="IndexLink"/>
                <w:rtl w:val="true"/>
              </w:rPr>
              <w:t>إمرار الید أو جریان الماء؟</w:t>
            </w:r>
            <w:r>
              <w:rPr>
                <w:rStyle w:val="IndexLink"/>
                <w:rtl w:val="true"/>
              </w:rPr>
              <w:tab/>
            </w:r>
            <w:r>
              <w:rPr>
                <w:rStyle w:val="IndexLink"/>
              </w:rPr>
              <w:t>249</w:t>
            </w:r>
          </w:hyperlink>
        </w:p>
        <w:p>
          <w:pPr>
            <w:pStyle w:val="Contents4"/>
            <w:tabs>
              <w:tab w:val="clear" w:pos="8176"/>
              <w:tab w:val="right" w:pos="9026" w:leader="dot"/>
            </w:tabs>
            <w:rPr/>
          </w:pPr>
          <w:hyperlink w:anchor="__RefHeading___Toc39452_2142443653">
            <w:r>
              <w:rPr>
                <w:webHidden/>
                <w:rStyle w:val="IndexLink"/>
                <w:rtl w:val="true"/>
              </w:rPr>
              <w:t>عدم الترتیب بین الرأس والأعضاء فی خبر زرارة</w:t>
            </w:r>
            <w:r>
              <w:rPr>
                <w:rStyle w:val="IndexLink"/>
                <w:rtl w:val="true"/>
              </w:rPr>
              <w:tab/>
            </w:r>
            <w:r>
              <w:rPr>
                <w:rStyle w:val="IndexLink"/>
              </w:rPr>
              <w:t>250</w:t>
            </w:r>
          </w:hyperlink>
        </w:p>
        <w:p>
          <w:pPr>
            <w:pStyle w:val="Contents3"/>
            <w:tabs>
              <w:tab w:val="clear" w:pos="8459"/>
              <w:tab w:val="right" w:pos="9026" w:leader="dot"/>
            </w:tabs>
            <w:rPr/>
          </w:pPr>
          <w:hyperlink w:anchor="__RefHeading___Toc39454_2142443653">
            <w:r>
              <w:rPr>
                <w:webHidden/>
                <w:rStyle w:val="IndexLink"/>
                <w:rtl w:val="true"/>
              </w:rPr>
              <w:t>وجوب الاستبراء من الجنابة بالبول قبل الغسل</w:t>
            </w:r>
            <w:r>
              <w:rPr>
                <w:rStyle w:val="IndexLink"/>
                <w:rtl w:val="true"/>
              </w:rPr>
              <w:tab/>
            </w:r>
            <w:r>
              <w:rPr>
                <w:rStyle w:val="IndexLink"/>
              </w:rPr>
              <w:t>251</w:t>
            </w:r>
          </w:hyperlink>
        </w:p>
        <w:p>
          <w:pPr>
            <w:pStyle w:val="Contents4"/>
            <w:tabs>
              <w:tab w:val="clear" w:pos="8176"/>
              <w:tab w:val="right" w:pos="9026" w:leader="dot"/>
            </w:tabs>
            <w:rPr/>
          </w:pPr>
          <w:hyperlink w:anchor="__RefHeading___Toc39456_2142443653">
            <w:r>
              <w:rPr>
                <w:webHidden/>
                <w:rStyle w:val="IndexLink"/>
                <w:rtl w:val="true"/>
              </w:rPr>
              <w:t>اشارة</w:t>
            </w:r>
            <w:r>
              <w:rPr>
                <w:rStyle w:val="IndexLink"/>
                <w:rtl w:val="true"/>
              </w:rPr>
              <w:tab/>
            </w:r>
            <w:r>
              <w:rPr>
                <w:rStyle w:val="IndexLink"/>
              </w:rPr>
              <w:t>251</w:t>
            </w:r>
          </w:hyperlink>
        </w:p>
        <w:p>
          <w:pPr>
            <w:pStyle w:val="Contents4"/>
            <w:tabs>
              <w:tab w:val="clear" w:pos="8176"/>
              <w:tab w:val="right" w:pos="9026" w:leader="dot"/>
            </w:tabs>
            <w:rPr/>
          </w:pPr>
          <w:hyperlink w:anchor="__RefHeading___Toc39458_2142443653">
            <w:r>
              <w:rPr>
                <w:webHidden/>
                <w:rStyle w:val="IndexLink"/>
                <w:rtl w:val="true"/>
              </w:rPr>
              <w:t>کلمة فی روایة أحمد بن محمد بن عیسی عن عبدالله بن مسکان</w:t>
            </w:r>
            <w:r>
              <w:rPr>
                <w:rStyle w:val="IndexLink"/>
                <w:rtl w:val="true"/>
              </w:rPr>
              <w:tab/>
            </w:r>
            <w:r>
              <w:rPr>
                <w:rStyle w:val="IndexLink"/>
              </w:rPr>
              <w:t>253</w:t>
            </w:r>
          </w:hyperlink>
        </w:p>
        <w:p>
          <w:pPr>
            <w:pStyle w:val="Contents4"/>
            <w:tabs>
              <w:tab w:val="clear" w:pos="8176"/>
              <w:tab w:val="right" w:pos="9026" w:leader="dot"/>
            </w:tabs>
            <w:rPr/>
          </w:pPr>
          <w:hyperlink w:anchor="__RefHeading___Toc39460_2142443653">
            <w:r>
              <w:rPr>
                <w:webHidden/>
                <w:rStyle w:val="IndexLink"/>
                <w:rtl w:val="true"/>
              </w:rPr>
              <w:t>بحث حول سلیمان بن خالد</w:t>
            </w:r>
            <w:r>
              <w:rPr>
                <w:rStyle w:val="IndexLink"/>
                <w:rtl w:val="true"/>
              </w:rPr>
              <w:tab/>
            </w:r>
            <w:r>
              <w:rPr>
                <w:rStyle w:val="IndexLink"/>
              </w:rPr>
              <w:t>253</w:t>
            </w:r>
          </w:hyperlink>
        </w:p>
        <w:p>
          <w:pPr>
            <w:pStyle w:val="Contents4"/>
            <w:tabs>
              <w:tab w:val="clear" w:pos="8176"/>
              <w:tab w:val="right" w:pos="9026" w:leader="dot"/>
            </w:tabs>
            <w:rPr/>
          </w:pPr>
          <w:hyperlink w:anchor="__RefHeading___Toc39462_2142443653">
            <w:r>
              <w:rPr>
                <w:webHidden/>
                <w:rStyle w:val="IndexLink"/>
                <w:rtl w:val="true"/>
              </w:rPr>
              <w:t>معاویة بن میسرة لیس بثقة</w:t>
            </w:r>
            <w:r>
              <w:rPr>
                <w:rStyle w:val="IndexLink"/>
                <w:rtl w:val="true"/>
              </w:rPr>
              <w:tab/>
            </w:r>
            <w:r>
              <w:rPr>
                <w:rStyle w:val="IndexLink"/>
              </w:rPr>
              <w:t>254</w:t>
            </w:r>
          </w:hyperlink>
        </w:p>
        <w:p>
          <w:pPr>
            <w:pStyle w:val="Contents4"/>
            <w:tabs>
              <w:tab w:val="clear" w:pos="8176"/>
              <w:tab w:val="right" w:pos="9026" w:leader="dot"/>
            </w:tabs>
            <w:rPr/>
          </w:pPr>
          <w:hyperlink w:anchor="__RefHeading___Toc39464_2142443653">
            <w:r>
              <w:rPr>
                <w:webHidden/>
                <w:rStyle w:val="IndexLink"/>
                <w:rtl w:val="true"/>
              </w:rPr>
              <w:t>عدم دلالة الأخبار علی وجوب البول قبل الغسل</w:t>
            </w:r>
            <w:r>
              <w:rPr>
                <w:rStyle w:val="IndexLink"/>
                <w:rtl w:val="true"/>
              </w:rPr>
              <w:tab/>
            </w:r>
            <w:r>
              <w:rPr>
                <w:rStyle w:val="IndexLink"/>
              </w:rPr>
              <w:t>254</w:t>
            </w:r>
          </w:hyperlink>
        </w:p>
        <w:p>
          <w:pPr>
            <w:pStyle w:val="Contents4"/>
            <w:tabs>
              <w:tab w:val="clear" w:pos="8176"/>
              <w:tab w:val="right" w:pos="9026" w:leader="dot"/>
            </w:tabs>
            <w:rPr/>
          </w:pPr>
          <w:hyperlink w:anchor="__RefHeading___Toc39466_2142443653">
            <w:r>
              <w:rPr>
                <w:webHidden/>
                <w:rStyle w:val="IndexLink"/>
                <w:rtl w:val="true"/>
              </w:rPr>
              <w:t xml:space="preserve">الإجمال فی قوله علیه السلام </w:t>
            </w:r>
            <w:r>
              <w:rPr>
                <w:rStyle w:val="IndexLink"/>
                <w:rtl w:val="true"/>
              </w:rPr>
              <w:t xml:space="preserve">: « </w:t>
            </w:r>
            <w:r>
              <w:rPr>
                <w:rStyle w:val="IndexLink"/>
                <w:rtl w:val="true"/>
              </w:rPr>
              <w:t xml:space="preserve">إنّما هو ماء الرجل </w:t>
            </w:r>
            <w:r>
              <w:rPr>
                <w:rStyle w:val="IndexLink"/>
                <w:rtl w:val="true"/>
              </w:rPr>
              <w:t>»</w:t>
              <w:tab/>
            </w:r>
            <w:r>
              <w:rPr>
                <w:rStyle w:val="IndexLink"/>
              </w:rPr>
              <w:t>256</w:t>
            </w:r>
          </w:hyperlink>
        </w:p>
        <w:p>
          <w:pPr>
            <w:pStyle w:val="Contents4"/>
            <w:tabs>
              <w:tab w:val="clear" w:pos="8176"/>
              <w:tab w:val="right" w:pos="9026" w:leader="dot"/>
            </w:tabs>
            <w:rPr/>
          </w:pPr>
          <w:hyperlink w:anchor="__RefHeading___Toc39468_2142443653">
            <w:r>
              <w:rPr>
                <w:webHidden/>
                <w:rStyle w:val="IndexLink"/>
                <w:rtl w:val="true"/>
              </w:rPr>
              <w:t>حکم البلل الخارج بعد الغُسل</w:t>
            </w:r>
            <w:r>
              <w:rPr>
                <w:rStyle w:val="IndexLink"/>
                <w:rtl w:val="true"/>
              </w:rPr>
              <w:tab/>
            </w:r>
            <w:r>
              <w:rPr>
                <w:rStyle w:val="IndexLink"/>
              </w:rPr>
              <w:t>257</w:t>
            </w:r>
          </w:hyperlink>
        </w:p>
        <w:p>
          <w:pPr>
            <w:pStyle w:val="Contents4"/>
            <w:tabs>
              <w:tab w:val="clear" w:pos="8176"/>
              <w:tab w:val="right" w:pos="9026" w:leader="dot"/>
            </w:tabs>
            <w:rPr/>
          </w:pPr>
          <w:hyperlink w:anchor="__RefHeading___Toc39470_2142443653">
            <w:r>
              <w:rPr>
                <w:webHidden/>
                <w:rStyle w:val="IndexLink"/>
                <w:rtl w:val="true"/>
              </w:rPr>
              <w:t>حکم الصلاة التی صُلّیت بین الغسل ورؤیة البلل</w:t>
            </w:r>
            <w:r>
              <w:rPr>
                <w:rStyle w:val="IndexLink"/>
                <w:rtl w:val="true"/>
              </w:rPr>
              <w:tab/>
            </w:r>
            <w:r>
              <w:rPr>
                <w:rStyle w:val="IndexLink"/>
              </w:rPr>
              <w:t>258</w:t>
            </w:r>
          </w:hyperlink>
        </w:p>
        <w:p>
          <w:pPr>
            <w:pStyle w:val="Contents4"/>
            <w:tabs>
              <w:tab w:val="clear" w:pos="8176"/>
              <w:tab w:val="right" w:pos="9026" w:leader="dot"/>
            </w:tabs>
            <w:rPr/>
          </w:pPr>
          <w:hyperlink w:anchor="__RefHeading___Toc39472_2142443653">
            <w:r>
              <w:rPr>
                <w:webHidden/>
                <w:rStyle w:val="IndexLink"/>
                <w:rtl w:val="true"/>
              </w:rPr>
              <w:t>عبدالله بن هلال مجهول</w:t>
            </w:r>
            <w:r>
              <w:rPr>
                <w:rStyle w:val="IndexLink"/>
                <w:rtl w:val="true"/>
              </w:rPr>
              <w:tab/>
            </w:r>
            <w:r>
              <w:rPr>
                <w:rStyle w:val="IndexLink"/>
              </w:rPr>
              <w:t>261</w:t>
            </w:r>
          </w:hyperlink>
        </w:p>
        <w:p>
          <w:pPr>
            <w:pStyle w:val="Contents4"/>
            <w:tabs>
              <w:tab w:val="clear" w:pos="8176"/>
              <w:tab w:val="right" w:pos="9026" w:leader="dot"/>
            </w:tabs>
            <w:rPr/>
          </w:pPr>
          <w:hyperlink w:anchor="__RefHeading___Toc39474_2142443653">
            <w:r>
              <w:rPr>
                <w:webHidden/>
                <w:rStyle w:val="IndexLink"/>
                <w:rtl w:val="true"/>
              </w:rPr>
              <w:t>أبو جمیلة ضعیف</w:t>
            </w:r>
            <w:r>
              <w:rPr>
                <w:rStyle w:val="IndexLink"/>
                <w:rtl w:val="true"/>
              </w:rPr>
              <w:tab/>
            </w:r>
            <w:r>
              <w:rPr>
                <w:rStyle w:val="IndexLink"/>
              </w:rPr>
              <w:t>261</w:t>
            </w:r>
          </w:hyperlink>
        </w:p>
        <w:p>
          <w:pPr>
            <w:pStyle w:val="Contents4"/>
            <w:tabs>
              <w:tab w:val="clear" w:pos="8176"/>
              <w:tab w:val="right" w:pos="9026" w:leader="dot"/>
            </w:tabs>
            <w:rPr/>
          </w:pPr>
          <w:hyperlink w:anchor="__RefHeading___Toc39476_2142443653">
            <w:r>
              <w:rPr>
                <w:webHidden/>
                <w:rStyle w:val="IndexLink"/>
                <w:rtl w:val="true"/>
              </w:rPr>
              <w:t>بحث حول علی بن السندی</w:t>
            </w:r>
            <w:r>
              <w:rPr>
                <w:rStyle w:val="IndexLink"/>
                <w:rtl w:val="true"/>
              </w:rPr>
              <w:tab/>
            </w:r>
            <w:r>
              <w:rPr>
                <w:rStyle w:val="IndexLink"/>
              </w:rPr>
              <w:t>261</w:t>
            </w:r>
          </w:hyperlink>
        </w:p>
        <w:p>
          <w:pPr>
            <w:pStyle w:val="Contents4"/>
            <w:tabs>
              <w:tab w:val="clear" w:pos="8176"/>
              <w:tab w:val="right" w:pos="9026" w:leader="dot"/>
            </w:tabs>
            <w:rPr/>
          </w:pPr>
          <w:hyperlink w:anchor="__RefHeading___Toc39478_2142443653">
            <w:r>
              <w:rPr>
                <w:webHidden/>
                <w:rStyle w:val="IndexLink"/>
                <w:rtl w:val="true"/>
              </w:rPr>
              <w:t>أحمد بن هلال ضعیف</w:t>
            </w:r>
            <w:r>
              <w:rPr>
                <w:rStyle w:val="IndexLink"/>
                <w:rtl w:val="true"/>
              </w:rPr>
              <w:tab/>
            </w:r>
            <w:r>
              <w:rPr>
                <w:rStyle w:val="IndexLink"/>
              </w:rPr>
              <w:t>261</w:t>
            </w:r>
          </w:hyperlink>
        </w:p>
        <w:p>
          <w:pPr>
            <w:pStyle w:val="Contents4"/>
            <w:tabs>
              <w:tab w:val="clear" w:pos="8176"/>
              <w:tab w:val="right" w:pos="9026" w:leader="dot"/>
            </w:tabs>
            <w:rPr/>
          </w:pPr>
          <w:hyperlink w:anchor="__RefHeading___Toc39480_2142443653">
            <w:r>
              <w:rPr>
                <w:webHidden/>
                <w:rStyle w:val="IndexLink"/>
                <w:rtl w:val="true"/>
              </w:rPr>
              <w:t>توجیه خبر عبدالله بن هلال</w:t>
            </w:r>
            <w:r>
              <w:rPr>
                <w:rStyle w:val="IndexLink"/>
                <w:rtl w:val="true"/>
              </w:rPr>
              <w:tab/>
            </w:r>
            <w:r>
              <w:rPr>
                <w:rStyle w:val="IndexLink"/>
              </w:rPr>
              <w:t>261</w:t>
            </w:r>
          </w:hyperlink>
        </w:p>
        <w:p>
          <w:pPr>
            <w:pStyle w:val="Contents4"/>
            <w:tabs>
              <w:tab w:val="clear" w:pos="8176"/>
              <w:tab w:val="right" w:pos="9026" w:leader="dot"/>
            </w:tabs>
            <w:rPr/>
          </w:pPr>
          <w:hyperlink w:anchor="__RefHeading___Toc39482_2142443653">
            <w:r>
              <w:rPr>
                <w:webHidden/>
                <w:rStyle w:val="IndexLink"/>
                <w:rtl w:val="true"/>
              </w:rPr>
              <w:t>توجیه خبر زید الشحام</w:t>
            </w:r>
            <w:r>
              <w:rPr>
                <w:rStyle w:val="IndexLink"/>
                <w:rtl w:val="true"/>
              </w:rPr>
              <w:tab/>
            </w:r>
            <w:r>
              <w:rPr>
                <w:rStyle w:val="IndexLink"/>
              </w:rPr>
              <w:t>262</w:t>
            </w:r>
          </w:hyperlink>
        </w:p>
        <w:p>
          <w:pPr>
            <w:pStyle w:val="Contents4"/>
            <w:tabs>
              <w:tab w:val="clear" w:pos="8176"/>
              <w:tab w:val="right" w:pos="9026" w:leader="dot"/>
            </w:tabs>
            <w:rPr/>
          </w:pPr>
          <w:hyperlink w:anchor="__RefHeading___Toc39484_2142443653">
            <w:r>
              <w:rPr>
                <w:webHidden/>
                <w:rStyle w:val="IndexLink"/>
                <w:rtl w:val="true"/>
              </w:rPr>
              <w:t>إعادة الغسل لتارک البول والاستبراء</w:t>
            </w:r>
            <w:r>
              <w:rPr>
                <w:rStyle w:val="IndexLink"/>
                <w:rtl w:val="true"/>
              </w:rPr>
              <w:tab/>
            </w:r>
            <w:r>
              <w:rPr>
                <w:rStyle w:val="IndexLink"/>
              </w:rPr>
              <w:t>264</w:t>
            </w:r>
          </w:hyperlink>
        </w:p>
        <w:p>
          <w:pPr>
            <w:pStyle w:val="Contents4"/>
            <w:tabs>
              <w:tab w:val="clear" w:pos="8176"/>
              <w:tab w:val="right" w:pos="9026" w:leader="dot"/>
            </w:tabs>
            <w:rPr/>
          </w:pPr>
          <w:hyperlink w:anchor="__RefHeading___Toc39486_2142443653">
            <w:r>
              <w:rPr>
                <w:webHidden/>
                <w:rStyle w:val="IndexLink"/>
                <w:rtl w:val="true"/>
              </w:rPr>
              <w:t>إعادة الوضوء لمن بال فاغتسل ثمّ وجد بللاً</w:t>
            </w:r>
            <w:r>
              <w:rPr>
                <w:rStyle w:val="IndexLink"/>
                <w:rtl w:val="true"/>
              </w:rPr>
              <w:tab/>
            </w:r>
            <w:r>
              <w:rPr>
                <w:rStyle w:val="IndexLink"/>
              </w:rPr>
              <w:t>264</w:t>
            </w:r>
          </w:hyperlink>
        </w:p>
        <w:p>
          <w:pPr>
            <w:pStyle w:val="Contents3"/>
            <w:tabs>
              <w:tab w:val="clear" w:pos="8459"/>
              <w:tab w:val="right" w:pos="9026" w:leader="dot"/>
            </w:tabs>
            <w:rPr/>
          </w:pPr>
          <w:hyperlink w:anchor="__RefHeading___Toc39488_2142443653">
            <w:r>
              <w:rPr>
                <w:webHidden/>
                <w:rStyle w:val="IndexLink"/>
                <w:rtl w:val="true"/>
              </w:rPr>
              <w:t>مقدار الماء الذی یجزئ فی غسل الجنابة والوضوء</w:t>
            </w:r>
            <w:r>
              <w:rPr>
                <w:rStyle w:val="IndexLink"/>
                <w:rtl w:val="true"/>
              </w:rPr>
              <w:tab/>
            </w:r>
            <w:r>
              <w:rPr>
                <w:rStyle w:val="IndexLink"/>
              </w:rPr>
              <w:t>266</w:t>
            </w:r>
          </w:hyperlink>
        </w:p>
        <w:p>
          <w:pPr>
            <w:pStyle w:val="Contents4"/>
            <w:tabs>
              <w:tab w:val="clear" w:pos="8176"/>
              <w:tab w:val="right" w:pos="9026" w:leader="dot"/>
            </w:tabs>
            <w:rPr/>
          </w:pPr>
          <w:hyperlink w:anchor="__RefHeading___Toc39490_2142443653">
            <w:r>
              <w:rPr>
                <w:webHidden/>
                <w:rStyle w:val="IndexLink"/>
                <w:rtl w:val="true"/>
              </w:rPr>
              <w:t>اشارة</w:t>
            </w:r>
            <w:r>
              <w:rPr>
                <w:rStyle w:val="IndexLink"/>
                <w:rtl w:val="true"/>
              </w:rPr>
              <w:tab/>
            </w:r>
            <w:r>
              <w:rPr>
                <w:rStyle w:val="IndexLink"/>
              </w:rPr>
              <w:t>266</w:t>
            </w:r>
          </w:hyperlink>
        </w:p>
        <w:p>
          <w:pPr>
            <w:pStyle w:val="Contents4"/>
            <w:tabs>
              <w:tab w:val="clear" w:pos="8176"/>
              <w:tab w:val="right" w:pos="9026" w:leader="dot"/>
            </w:tabs>
            <w:rPr/>
          </w:pPr>
          <w:hyperlink w:anchor="__RefHeading___Toc39492_2142443653">
            <w:r>
              <w:rPr>
                <w:webHidden/>
                <w:rStyle w:val="IndexLink"/>
                <w:rtl w:val="true"/>
              </w:rPr>
              <w:t>روایة علی بن محمد عن سلیمان بن حفص لا یخلو من اشتباه</w:t>
            </w:r>
            <w:r>
              <w:rPr>
                <w:rStyle w:val="IndexLink"/>
                <w:rtl w:val="true"/>
              </w:rPr>
              <w:tab/>
            </w:r>
            <w:r>
              <w:rPr>
                <w:rStyle w:val="IndexLink"/>
              </w:rPr>
              <w:t>268</w:t>
            </w:r>
          </w:hyperlink>
        </w:p>
        <w:p>
          <w:pPr>
            <w:pStyle w:val="Contents4"/>
            <w:tabs>
              <w:tab w:val="clear" w:pos="8176"/>
              <w:tab w:val="right" w:pos="9026" w:leader="dot"/>
            </w:tabs>
            <w:rPr/>
          </w:pPr>
          <w:hyperlink w:anchor="__RefHeading___Toc39494_2142443653">
            <w:r>
              <w:rPr>
                <w:webHidden/>
                <w:rStyle w:val="IndexLink"/>
                <w:rtl w:val="true"/>
              </w:rPr>
              <w:t>سلیمان بن حفص مجهول</w:t>
            </w:r>
            <w:r>
              <w:rPr>
                <w:rStyle w:val="IndexLink"/>
                <w:rtl w:val="true"/>
              </w:rPr>
              <w:tab/>
            </w:r>
            <w:r>
              <w:rPr>
                <w:rStyle w:val="IndexLink"/>
              </w:rPr>
              <w:t>268</w:t>
            </w:r>
          </w:hyperlink>
        </w:p>
        <w:p>
          <w:pPr>
            <w:pStyle w:val="Contents4"/>
            <w:tabs>
              <w:tab w:val="clear" w:pos="8176"/>
              <w:tab w:val="right" w:pos="9026" w:leader="dot"/>
            </w:tabs>
            <w:rPr/>
          </w:pPr>
          <w:hyperlink w:anchor="__RefHeading___Toc39496_2142443653">
            <w:r>
              <w:rPr>
                <w:webHidden/>
                <w:rStyle w:val="IndexLink"/>
                <w:rtl w:val="true"/>
              </w:rPr>
              <w:t>إشارة إلی حال موسی بن عمر</w:t>
            </w:r>
            <w:r>
              <w:rPr>
                <w:rStyle w:val="IndexLink"/>
                <w:rtl w:val="true"/>
              </w:rPr>
              <w:tab/>
            </w:r>
            <w:r>
              <w:rPr>
                <w:rStyle w:val="IndexLink"/>
              </w:rPr>
              <w:t>268</w:t>
            </w:r>
          </w:hyperlink>
        </w:p>
        <w:p>
          <w:pPr>
            <w:pStyle w:val="Contents4"/>
            <w:tabs>
              <w:tab w:val="clear" w:pos="8176"/>
              <w:tab w:val="right" w:pos="9026" w:leader="dot"/>
            </w:tabs>
            <w:rPr/>
          </w:pPr>
          <w:hyperlink w:anchor="__RefHeading___Toc39498_2142443653">
            <w:r>
              <w:rPr>
                <w:webHidden/>
                <w:rStyle w:val="IndexLink"/>
                <w:rtl w:val="true"/>
              </w:rPr>
              <w:t>بحث حول محمد بن عیسی الاشعری</w:t>
            </w:r>
            <w:r>
              <w:rPr>
                <w:rStyle w:val="IndexLink"/>
                <w:rtl w:val="true"/>
              </w:rPr>
              <w:tab/>
            </w:r>
            <w:r>
              <w:rPr>
                <w:rStyle w:val="IndexLink"/>
              </w:rPr>
              <w:t>269</w:t>
            </w:r>
          </w:hyperlink>
        </w:p>
        <w:p>
          <w:pPr>
            <w:pStyle w:val="Contents4"/>
            <w:tabs>
              <w:tab w:val="clear" w:pos="8176"/>
              <w:tab w:val="right" w:pos="9026" w:leader="dot"/>
            </w:tabs>
            <w:rPr/>
          </w:pPr>
          <w:hyperlink w:anchor="__RefHeading___Toc39500_2142443653">
            <w:r>
              <w:rPr>
                <w:webHidden/>
                <w:rStyle w:val="IndexLink"/>
                <w:rtl w:val="true"/>
              </w:rPr>
              <w:t>إشارة إلی حال محمد بن أبی حمزة</w:t>
            </w:r>
            <w:r>
              <w:rPr>
                <w:rStyle w:val="IndexLink"/>
                <w:rtl w:val="true"/>
              </w:rPr>
              <w:tab/>
            </w:r>
            <w:r>
              <w:rPr>
                <w:rStyle w:val="IndexLink"/>
              </w:rPr>
              <w:t>269</w:t>
            </w:r>
          </w:hyperlink>
        </w:p>
        <w:p>
          <w:pPr>
            <w:pStyle w:val="Contents4"/>
            <w:tabs>
              <w:tab w:val="clear" w:pos="8176"/>
              <w:tab w:val="right" w:pos="9026" w:leader="dot"/>
            </w:tabs>
            <w:rPr/>
          </w:pPr>
          <w:hyperlink w:anchor="__RefHeading___Toc39502_2142443653">
            <w:r>
              <w:rPr>
                <w:webHidden/>
                <w:rStyle w:val="IndexLink"/>
                <w:rtl w:val="true"/>
              </w:rPr>
              <w:t xml:space="preserve">جملة </w:t>
            </w:r>
            <w:r>
              <w:rPr>
                <w:rStyle w:val="IndexLink"/>
                <w:rtl w:val="true"/>
              </w:rPr>
              <w:t xml:space="preserve">: </w:t>
            </w:r>
            <w:r>
              <w:rPr>
                <w:rStyle w:val="IndexLink"/>
                <w:rtl w:val="true"/>
              </w:rPr>
              <w:t>کان یفعل کذا ، تدل علی المداومة</w:t>
            </w:r>
            <w:r>
              <w:rPr>
                <w:rStyle w:val="IndexLink"/>
                <w:rtl w:val="true"/>
              </w:rPr>
              <w:tab/>
            </w:r>
            <w:r>
              <w:rPr>
                <w:rStyle w:val="IndexLink"/>
              </w:rPr>
              <w:t>269</w:t>
            </w:r>
          </w:hyperlink>
        </w:p>
        <w:p>
          <w:pPr>
            <w:pStyle w:val="Contents4"/>
            <w:tabs>
              <w:tab w:val="clear" w:pos="8176"/>
              <w:tab w:val="right" w:pos="9026" w:leader="dot"/>
            </w:tabs>
            <w:rPr/>
          </w:pPr>
          <w:hyperlink w:anchor="__RefHeading___Toc39504_2142443653">
            <w:r>
              <w:rPr>
                <w:webHidden/>
                <w:rStyle w:val="IndexLink"/>
                <w:rtl w:val="true"/>
              </w:rPr>
              <w:t>استحباب الوضوء بمدٍّ والغسل بصاع</w:t>
            </w:r>
            <w:r>
              <w:rPr>
                <w:rStyle w:val="IndexLink"/>
                <w:rtl w:val="true"/>
              </w:rPr>
              <w:tab/>
            </w:r>
            <w:r>
              <w:rPr>
                <w:rStyle w:val="IndexLink"/>
              </w:rPr>
              <w:t>269</w:t>
            </w:r>
          </w:hyperlink>
        </w:p>
        <w:p>
          <w:pPr>
            <w:pStyle w:val="Contents4"/>
            <w:tabs>
              <w:tab w:val="clear" w:pos="8176"/>
              <w:tab w:val="right" w:pos="9026" w:leader="dot"/>
            </w:tabs>
            <w:rPr/>
          </w:pPr>
          <w:hyperlink w:anchor="__RefHeading___Toc39506_2142443653">
            <w:r>
              <w:rPr>
                <w:webHidden/>
                <w:rStyle w:val="IndexLink"/>
                <w:rtl w:val="true"/>
              </w:rPr>
              <w:t>تفسیر الصاع والمدّ</w:t>
            </w:r>
            <w:r>
              <w:rPr>
                <w:rStyle w:val="IndexLink"/>
                <w:rtl w:val="true"/>
              </w:rPr>
              <w:tab/>
            </w:r>
            <w:r>
              <w:rPr>
                <w:rStyle w:val="IndexLink"/>
              </w:rPr>
              <w:t>270</w:t>
            </w:r>
          </w:hyperlink>
        </w:p>
        <w:p>
          <w:pPr>
            <w:pStyle w:val="Contents4"/>
            <w:tabs>
              <w:tab w:val="clear" w:pos="8176"/>
              <w:tab w:val="right" w:pos="9026" w:leader="dot"/>
            </w:tabs>
            <w:rPr/>
          </w:pPr>
          <w:hyperlink w:anchor="__RefHeading___Toc39508_2142443653">
            <w:r>
              <w:rPr>
                <w:webHidden/>
                <w:rStyle w:val="IndexLink"/>
                <w:rtl w:val="true"/>
              </w:rPr>
              <w:t>غیاث بن کلوب غیر ممدوح</w:t>
            </w:r>
            <w:r>
              <w:rPr>
                <w:rStyle w:val="IndexLink"/>
                <w:rtl w:val="true"/>
              </w:rPr>
              <w:tab/>
            </w:r>
            <w:r>
              <w:rPr>
                <w:rStyle w:val="IndexLink"/>
              </w:rPr>
              <w:t>274</w:t>
            </w:r>
          </w:hyperlink>
        </w:p>
        <w:p>
          <w:pPr>
            <w:pStyle w:val="Contents4"/>
            <w:tabs>
              <w:tab w:val="clear" w:pos="8176"/>
              <w:tab w:val="right" w:pos="9026" w:leader="dot"/>
            </w:tabs>
            <w:rPr/>
          </w:pPr>
          <w:hyperlink w:anchor="__RefHeading___Toc39510_2142443653">
            <w:r>
              <w:rPr>
                <w:webHidden/>
                <w:rStyle w:val="IndexLink"/>
                <w:rtl w:val="true"/>
              </w:rPr>
              <w:t>بحث حول یزید بن اسحاق</w:t>
            </w:r>
            <w:r>
              <w:rPr>
                <w:rStyle w:val="IndexLink"/>
                <w:rtl w:val="true"/>
              </w:rPr>
              <w:tab/>
            </w:r>
            <w:r>
              <w:rPr>
                <w:rStyle w:val="IndexLink"/>
              </w:rPr>
              <w:t>274</w:t>
            </w:r>
          </w:hyperlink>
        </w:p>
        <w:p>
          <w:pPr>
            <w:pStyle w:val="Contents4"/>
            <w:tabs>
              <w:tab w:val="clear" w:pos="8176"/>
              <w:tab w:val="right" w:pos="9026" w:leader="dot"/>
            </w:tabs>
            <w:rPr/>
          </w:pPr>
          <w:hyperlink w:anchor="__RefHeading___Toc39512_2142443653">
            <w:r>
              <w:rPr>
                <w:webHidden/>
                <w:rStyle w:val="IndexLink"/>
                <w:rtl w:val="true"/>
              </w:rPr>
              <w:t>هارون بن حمزة ثقة</w:t>
            </w:r>
            <w:r>
              <w:rPr>
                <w:rStyle w:val="IndexLink"/>
                <w:rtl w:val="true"/>
              </w:rPr>
              <w:tab/>
            </w:r>
            <w:r>
              <w:rPr>
                <w:rStyle w:val="IndexLink"/>
              </w:rPr>
              <w:t>274</w:t>
            </w:r>
          </w:hyperlink>
        </w:p>
        <w:p>
          <w:pPr>
            <w:pStyle w:val="Contents4"/>
            <w:tabs>
              <w:tab w:val="clear" w:pos="8176"/>
              <w:tab w:val="right" w:pos="9026" w:leader="dot"/>
            </w:tabs>
            <w:rPr/>
          </w:pPr>
          <w:hyperlink w:anchor="__RefHeading___Toc39514_2142443653">
            <w:r>
              <w:rPr>
                <w:webHidden/>
                <w:rStyle w:val="IndexLink"/>
                <w:rtl w:val="true"/>
              </w:rPr>
              <w:t>عدم إجزاء مثل الدهن إلّا مع الجریان ولو بمعاون</w:t>
            </w:r>
            <w:r>
              <w:rPr>
                <w:rStyle w:val="IndexLink"/>
                <w:rtl w:val="true"/>
              </w:rPr>
              <w:tab/>
            </w:r>
            <w:r>
              <w:rPr>
                <w:rStyle w:val="IndexLink"/>
              </w:rPr>
              <w:t>275</w:t>
            </w:r>
          </w:hyperlink>
        </w:p>
        <w:p>
          <w:pPr>
            <w:pStyle w:val="Contents3"/>
            <w:tabs>
              <w:tab w:val="clear" w:pos="8459"/>
              <w:tab w:val="right" w:pos="9026" w:leader="dot"/>
            </w:tabs>
            <w:rPr/>
          </w:pPr>
          <w:hyperlink w:anchor="__RefHeading___Toc39516_2142443653">
            <w:r>
              <w:rPr>
                <w:webHidden/>
                <w:rStyle w:val="IndexLink"/>
                <w:rtl w:val="true"/>
              </w:rPr>
              <w:t>وجوب الترتیب فی غسل الجنابة</w:t>
            </w:r>
            <w:r>
              <w:rPr>
                <w:rStyle w:val="IndexLink"/>
                <w:rtl w:val="true"/>
              </w:rPr>
              <w:tab/>
            </w:r>
            <w:r>
              <w:rPr>
                <w:rStyle w:val="IndexLink"/>
              </w:rPr>
              <w:t>276</w:t>
            </w:r>
          </w:hyperlink>
        </w:p>
        <w:p>
          <w:pPr>
            <w:pStyle w:val="Contents4"/>
            <w:tabs>
              <w:tab w:val="clear" w:pos="8176"/>
              <w:tab w:val="right" w:pos="9026" w:leader="dot"/>
            </w:tabs>
            <w:rPr/>
          </w:pPr>
          <w:hyperlink w:anchor="__RefHeading___Toc39518_2142443653">
            <w:r>
              <w:rPr>
                <w:webHidden/>
                <w:rStyle w:val="IndexLink"/>
                <w:rtl w:val="true"/>
              </w:rPr>
              <w:t>اشارة</w:t>
            </w:r>
            <w:r>
              <w:rPr>
                <w:rStyle w:val="IndexLink"/>
                <w:rtl w:val="true"/>
              </w:rPr>
              <w:tab/>
            </w:r>
            <w:r>
              <w:rPr>
                <w:rStyle w:val="IndexLink"/>
              </w:rPr>
              <w:t>276</w:t>
            </w:r>
          </w:hyperlink>
        </w:p>
        <w:p>
          <w:pPr>
            <w:pStyle w:val="Contents4"/>
            <w:tabs>
              <w:tab w:val="clear" w:pos="8176"/>
              <w:tab w:val="right" w:pos="9026" w:leader="dot"/>
            </w:tabs>
            <w:rPr/>
          </w:pPr>
          <w:hyperlink w:anchor="__RefHeading___Toc39520_2142443653">
            <w:r>
              <w:rPr>
                <w:webHidden/>
                <w:rStyle w:val="IndexLink"/>
                <w:rtl w:val="true"/>
              </w:rPr>
              <w:t>أحمد بن محمد الراوی عنه الحسن بن سعید هو ابن أبی نصر</w:t>
            </w:r>
            <w:r>
              <w:rPr>
                <w:rStyle w:val="IndexLink"/>
                <w:rtl w:val="true"/>
              </w:rPr>
              <w:tab/>
            </w:r>
            <w:r>
              <w:rPr>
                <w:rStyle w:val="IndexLink"/>
              </w:rPr>
              <w:t>277</w:t>
            </w:r>
          </w:hyperlink>
        </w:p>
        <w:p>
          <w:pPr>
            <w:pStyle w:val="Contents4"/>
            <w:tabs>
              <w:tab w:val="clear" w:pos="8176"/>
              <w:tab w:val="right" w:pos="9026" w:leader="dot"/>
            </w:tabs>
            <w:rPr/>
          </w:pPr>
          <w:hyperlink w:anchor="__RefHeading___Toc39522_2142443653">
            <w:r>
              <w:rPr>
                <w:webHidden/>
                <w:rStyle w:val="IndexLink"/>
                <w:rtl w:val="true"/>
              </w:rPr>
              <w:t>إشارة إلی علی بن اسماعیل</w:t>
            </w:r>
            <w:r>
              <w:rPr>
                <w:rStyle w:val="IndexLink"/>
                <w:rtl w:val="true"/>
              </w:rPr>
              <w:tab/>
            </w:r>
            <w:r>
              <w:rPr>
                <w:rStyle w:val="IndexLink"/>
              </w:rPr>
              <w:t>277</w:t>
            </w:r>
          </w:hyperlink>
        </w:p>
        <w:p>
          <w:pPr>
            <w:pStyle w:val="Contents4"/>
            <w:tabs>
              <w:tab w:val="clear" w:pos="8176"/>
              <w:tab w:val="right" w:pos="9026" w:leader="dot"/>
            </w:tabs>
            <w:rPr/>
          </w:pPr>
          <w:hyperlink w:anchor="__RefHeading___Toc39524_2142443653">
            <w:r>
              <w:rPr>
                <w:webHidden/>
                <w:rStyle w:val="IndexLink"/>
                <w:rtl w:val="true"/>
              </w:rPr>
              <w:t>قول المیرزا محمد باستحباب الترتیب والمناقشة فیه</w:t>
            </w:r>
            <w:r>
              <w:rPr>
                <w:rStyle w:val="IndexLink"/>
                <w:rtl w:val="true"/>
              </w:rPr>
              <w:tab/>
            </w:r>
            <w:r>
              <w:rPr>
                <w:rStyle w:val="IndexLink"/>
              </w:rPr>
              <w:t>277</w:t>
            </w:r>
          </w:hyperlink>
        </w:p>
        <w:p>
          <w:pPr>
            <w:pStyle w:val="Contents4"/>
            <w:tabs>
              <w:tab w:val="clear" w:pos="8176"/>
              <w:tab w:val="right" w:pos="9026" w:leader="dot"/>
            </w:tabs>
            <w:rPr/>
          </w:pPr>
          <w:hyperlink w:anchor="__RefHeading___Toc39526_2142443653">
            <w:r>
              <w:rPr>
                <w:webHidden/>
                <w:rStyle w:val="IndexLink"/>
                <w:rtl w:val="true"/>
              </w:rPr>
              <w:t>تحقیق حول الإجماع المنقول بخبر الواحد</w:t>
            </w:r>
            <w:r>
              <w:rPr>
                <w:rStyle w:val="IndexLink"/>
                <w:rtl w:val="true"/>
              </w:rPr>
              <w:tab/>
            </w:r>
            <w:r>
              <w:rPr>
                <w:rStyle w:val="IndexLink"/>
              </w:rPr>
              <w:t>279</w:t>
            </w:r>
          </w:hyperlink>
        </w:p>
        <w:p>
          <w:pPr>
            <w:pStyle w:val="Contents4"/>
            <w:tabs>
              <w:tab w:val="clear" w:pos="8176"/>
              <w:tab w:val="right" w:pos="9026" w:leader="dot"/>
            </w:tabs>
            <w:rPr/>
          </w:pPr>
          <w:hyperlink w:anchor="__RefHeading___Toc39528_2142443653">
            <w:r>
              <w:rPr>
                <w:webHidden/>
                <w:rStyle w:val="IndexLink"/>
                <w:rtl w:val="true"/>
              </w:rPr>
              <w:t>معنی الإفاضة</w:t>
            </w:r>
            <w:r>
              <w:rPr>
                <w:rStyle w:val="IndexLink"/>
                <w:rtl w:val="true"/>
              </w:rPr>
              <w:tab/>
            </w:r>
            <w:r>
              <w:rPr>
                <w:rStyle w:val="IndexLink"/>
              </w:rPr>
              <w:t>280</w:t>
            </w:r>
          </w:hyperlink>
        </w:p>
        <w:p>
          <w:pPr>
            <w:pStyle w:val="Contents4"/>
            <w:tabs>
              <w:tab w:val="clear" w:pos="8176"/>
              <w:tab w:val="right" w:pos="9026" w:leader="dot"/>
            </w:tabs>
            <w:rPr/>
          </w:pPr>
          <w:hyperlink w:anchor="__RefHeading___Toc39530_2142443653">
            <w:r>
              <w:rPr>
                <w:webHidden/>
                <w:rStyle w:val="IndexLink"/>
                <w:rtl w:val="true"/>
              </w:rPr>
              <w:t>معنی سائر</w:t>
            </w:r>
            <w:r>
              <w:rPr>
                <w:rStyle w:val="IndexLink"/>
                <w:rtl w:val="true"/>
              </w:rPr>
              <w:tab/>
            </w:r>
            <w:r>
              <w:rPr>
                <w:rStyle w:val="IndexLink"/>
              </w:rPr>
              <w:t>280</w:t>
            </w:r>
          </w:hyperlink>
        </w:p>
        <w:p>
          <w:pPr>
            <w:pStyle w:val="Contents4"/>
            <w:tabs>
              <w:tab w:val="clear" w:pos="8176"/>
              <w:tab w:val="right" w:pos="9026" w:leader="dot"/>
            </w:tabs>
            <w:rPr/>
          </w:pPr>
          <w:hyperlink w:anchor="__RefHeading___Toc39532_2142443653">
            <w:r>
              <w:rPr>
                <w:webHidden/>
                <w:rStyle w:val="IndexLink"/>
                <w:rtl w:val="true"/>
              </w:rPr>
              <w:t>المناقشة فی توجیه الشیخ لخبر هشام بن سالم</w:t>
            </w:r>
            <w:r>
              <w:rPr>
                <w:rStyle w:val="IndexLink"/>
                <w:rtl w:val="true"/>
              </w:rPr>
              <w:tab/>
            </w:r>
            <w:r>
              <w:rPr>
                <w:rStyle w:val="IndexLink"/>
              </w:rPr>
              <w:t>282</w:t>
            </w:r>
          </w:hyperlink>
        </w:p>
        <w:p>
          <w:pPr>
            <w:pStyle w:val="Contents4"/>
            <w:tabs>
              <w:tab w:val="clear" w:pos="8176"/>
              <w:tab w:val="right" w:pos="9026" w:leader="dot"/>
            </w:tabs>
            <w:rPr/>
          </w:pPr>
          <w:hyperlink w:anchor="__RefHeading___Toc39534_2142443653">
            <w:r>
              <w:rPr>
                <w:webHidden/>
                <w:rStyle w:val="IndexLink"/>
                <w:rtl w:val="true"/>
              </w:rPr>
              <w:t>عدم وجوب الموالاة فی الغسل</w:t>
            </w:r>
            <w:r>
              <w:rPr>
                <w:rStyle w:val="IndexLink"/>
                <w:rtl w:val="true"/>
              </w:rPr>
              <w:tab/>
            </w:r>
            <w:r>
              <w:rPr>
                <w:rStyle w:val="IndexLink"/>
              </w:rPr>
              <w:t>283</w:t>
            </w:r>
          </w:hyperlink>
        </w:p>
        <w:p>
          <w:pPr>
            <w:pStyle w:val="Contents4"/>
            <w:tabs>
              <w:tab w:val="clear" w:pos="8176"/>
              <w:tab w:val="right" w:pos="9026" w:leader="dot"/>
            </w:tabs>
            <w:rPr/>
          </w:pPr>
          <w:hyperlink w:anchor="__RefHeading___Toc39536_2142443653">
            <w:r>
              <w:rPr>
                <w:webHidden/>
                <w:rStyle w:val="IndexLink"/>
                <w:rtl w:val="true"/>
              </w:rPr>
              <w:t>هل الوجه والرقبة داخلان فی حقیقة الرأس؟</w:t>
            </w:r>
            <w:r>
              <w:rPr>
                <w:rStyle w:val="IndexLink"/>
                <w:rtl w:val="true"/>
              </w:rPr>
              <w:tab/>
            </w:r>
            <w:r>
              <w:rPr>
                <w:rStyle w:val="IndexLink"/>
              </w:rPr>
              <w:t>284</w:t>
            </w:r>
          </w:hyperlink>
        </w:p>
        <w:p>
          <w:pPr>
            <w:pStyle w:val="Contents4"/>
            <w:tabs>
              <w:tab w:val="clear" w:pos="8176"/>
              <w:tab w:val="right" w:pos="9026" w:leader="dot"/>
            </w:tabs>
            <w:rPr/>
          </w:pPr>
          <w:hyperlink w:anchor="__RefHeading___Toc39538_2142443653">
            <w:r>
              <w:rPr>
                <w:webHidden/>
                <w:rStyle w:val="IndexLink"/>
                <w:rtl w:val="true"/>
              </w:rPr>
              <w:t>معنی الفسطاط والخِباء</w:t>
            </w:r>
            <w:r>
              <w:rPr>
                <w:rStyle w:val="IndexLink"/>
                <w:rtl w:val="true"/>
              </w:rPr>
              <w:tab/>
            </w:r>
            <w:r>
              <w:rPr>
                <w:rStyle w:val="IndexLink"/>
              </w:rPr>
              <w:t>284</w:t>
            </w:r>
          </w:hyperlink>
        </w:p>
        <w:p>
          <w:pPr>
            <w:pStyle w:val="Contents4"/>
            <w:tabs>
              <w:tab w:val="clear" w:pos="8176"/>
              <w:tab w:val="right" w:pos="9026" w:leader="dot"/>
            </w:tabs>
            <w:rPr/>
          </w:pPr>
          <w:hyperlink w:anchor="__RefHeading___Toc39540_2142443653">
            <w:r>
              <w:rPr>
                <w:webHidden/>
                <w:rStyle w:val="IndexLink"/>
                <w:rtl w:val="true"/>
              </w:rPr>
              <w:t>هل الارتماس یقوم مقام الترتیب؟</w:t>
            </w:r>
            <w:r>
              <w:rPr>
                <w:rStyle w:val="IndexLink"/>
                <w:rtl w:val="true"/>
              </w:rPr>
              <w:tab/>
            </w:r>
            <w:r>
              <w:rPr>
                <w:rStyle w:val="IndexLink"/>
              </w:rPr>
              <w:t>286</w:t>
            </w:r>
          </w:hyperlink>
        </w:p>
        <w:p>
          <w:pPr>
            <w:pStyle w:val="Contents4"/>
            <w:tabs>
              <w:tab w:val="clear" w:pos="8176"/>
              <w:tab w:val="right" w:pos="9026" w:leader="dot"/>
            </w:tabs>
            <w:rPr/>
          </w:pPr>
          <w:hyperlink w:anchor="__RefHeading___Toc39542_2142443653">
            <w:r>
              <w:rPr>
                <w:webHidden/>
                <w:rStyle w:val="IndexLink"/>
                <w:rtl w:val="true"/>
              </w:rPr>
              <w:t>هل یحصل الارتماس بالوقوف تحت المطر والمجری؟</w:t>
            </w:r>
            <w:r>
              <w:rPr>
                <w:rStyle w:val="IndexLink"/>
                <w:rtl w:val="true"/>
              </w:rPr>
              <w:tab/>
            </w:r>
            <w:r>
              <w:rPr>
                <w:rStyle w:val="IndexLink"/>
              </w:rPr>
              <w:t>288</w:t>
            </w:r>
          </w:hyperlink>
        </w:p>
        <w:p>
          <w:pPr>
            <w:pStyle w:val="Contents3"/>
            <w:tabs>
              <w:tab w:val="clear" w:pos="8459"/>
              <w:tab w:val="right" w:pos="9026" w:leader="dot"/>
            </w:tabs>
            <w:rPr/>
          </w:pPr>
          <w:hyperlink w:anchor="__RefHeading___Toc39544_2142443653">
            <w:r>
              <w:rPr>
                <w:webHidden/>
                <w:rStyle w:val="IndexLink"/>
                <w:rtl w:val="true"/>
              </w:rPr>
              <w:t>سقوط فرض الوضوء عند الغسل من الجنابة</w:t>
            </w:r>
            <w:r>
              <w:rPr>
                <w:rStyle w:val="IndexLink"/>
                <w:rtl w:val="true"/>
              </w:rPr>
              <w:tab/>
            </w:r>
            <w:r>
              <w:rPr>
                <w:rStyle w:val="IndexLink"/>
              </w:rPr>
              <w:t>291</w:t>
            </w:r>
          </w:hyperlink>
        </w:p>
        <w:p>
          <w:pPr>
            <w:pStyle w:val="Contents4"/>
            <w:tabs>
              <w:tab w:val="clear" w:pos="8176"/>
              <w:tab w:val="right" w:pos="9026" w:leader="dot"/>
            </w:tabs>
            <w:rPr/>
          </w:pPr>
          <w:hyperlink w:anchor="__RefHeading___Toc39546_2142443653">
            <w:r>
              <w:rPr>
                <w:webHidden/>
                <w:rStyle w:val="IndexLink"/>
                <w:rtl w:val="true"/>
              </w:rPr>
              <w:t>عبدالحمید بن عواض ثقة</w:t>
            </w:r>
            <w:r>
              <w:rPr>
                <w:rStyle w:val="IndexLink"/>
                <w:rtl w:val="true"/>
              </w:rPr>
              <w:tab/>
            </w:r>
            <w:r>
              <w:rPr>
                <w:rStyle w:val="IndexLink"/>
              </w:rPr>
              <w:t>291</w:t>
            </w:r>
          </w:hyperlink>
        </w:p>
        <w:p>
          <w:pPr>
            <w:pStyle w:val="Contents4"/>
            <w:tabs>
              <w:tab w:val="clear" w:pos="8176"/>
              <w:tab w:val="right" w:pos="9026" w:leader="dot"/>
            </w:tabs>
            <w:rPr/>
          </w:pPr>
          <w:hyperlink w:anchor="__RefHeading___Toc39548_2142443653">
            <w:r>
              <w:rPr>
                <w:webHidden/>
                <w:rStyle w:val="IndexLink"/>
                <w:rtl w:val="true"/>
              </w:rPr>
              <w:t xml:space="preserve">التعریف فی قوله علیه السلام </w:t>
            </w:r>
            <w:r>
              <w:rPr>
                <w:rStyle w:val="IndexLink"/>
                <w:rtl w:val="true"/>
              </w:rPr>
              <w:t xml:space="preserve">: « </w:t>
            </w:r>
            <w:r>
              <w:rPr>
                <w:rStyle w:val="IndexLink"/>
                <w:rtl w:val="true"/>
              </w:rPr>
              <w:t xml:space="preserve">الغسل یجزئ عن الوضوء </w:t>
            </w:r>
            <w:r>
              <w:rPr>
                <w:rStyle w:val="IndexLink"/>
                <w:rtl w:val="true"/>
              </w:rPr>
              <w:t xml:space="preserve">» </w:t>
            </w:r>
            <w:r>
              <w:rPr>
                <w:rStyle w:val="IndexLink"/>
                <w:rtl w:val="true"/>
              </w:rPr>
              <w:t>لیس للعموم</w:t>
            </w:r>
            <w:r>
              <w:rPr>
                <w:rStyle w:val="IndexLink"/>
                <w:rtl w:val="true"/>
              </w:rPr>
              <w:tab/>
            </w:r>
            <w:r>
              <w:rPr>
                <w:rStyle w:val="IndexLink"/>
              </w:rPr>
              <w:t>292</w:t>
            </w:r>
          </w:hyperlink>
        </w:p>
        <w:p>
          <w:pPr>
            <w:pStyle w:val="Contents4"/>
            <w:tabs>
              <w:tab w:val="clear" w:pos="8176"/>
              <w:tab w:val="right" w:pos="9026" w:leader="dot"/>
            </w:tabs>
            <w:rPr/>
          </w:pPr>
          <w:hyperlink w:anchor="__RefHeading___Toc39550_2142443653">
            <w:r>
              <w:rPr>
                <w:webHidden/>
                <w:rStyle w:val="IndexLink"/>
                <w:rtl w:val="true"/>
              </w:rPr>
              <w:t>حکم الوضوء مع غیر غسل الجنابة</w:t>
            </w:r>
            <w:r>
              <w:rPr>
                <w:rStyle w:val="IndexLink"/>
                <w:rtl w:val="true"/>
              </w:rPr>
              <w:tab/>
            </w:r>
            <w:r>
              <w:rPr>
                <w:rStyle w:val="IndexLink"/>
              </w:rPr>
              <w:t>294</w:t>
            </w:r>
          </w:hyperlink>
        </w:p>
        <w:p>
          <w:pPr>
            <w:pStyle w:val="Contents4"/>
            <w:tabs>
              <w:tab w:val="clear" w:pos="8176"/>
              <w:tab w:val="right" w:pos="9026" w:leader="dot"/>
            </w:tabs>
            <w:rPr/>
          </w:pPr>
          <w:hyperlink w:anchor="__RefHeading___Toc39552_2142443653">
            <w:r>
              <w:rPr>
                <w:webHidden/>
                <w:rStyle w:val="IndexLink"/>
                <w:rtl w:val="true"/>
              </w:rPr>
              <w:t>بحث حول مراسیل ابن أبی عمیر</w:t>
            </w:r>
            <w:r>
              <w:rPr>
                <w:rStyle w:val="IndexLink"/>
                <w:rtl w:val="true"/>
              </w:rPr>
              <w:tab/>
            </w:r>
            <w:r>
              <w:rPr>
                <w:rStyle w:val="IndexLink"/>
              </w:rPr>
              <w:t>296</w:t>
            </w:r>
          </w:hyperlink>
        </w:p>
        <w:p>
          <w:pPr>
            <w:pStyle w:val="Contents4"/>
            <w:tabs>
              <w:tab w:val="clear" w:pos="8176"/>
              <w:tab w:val="right" w:pos="9026" w:leader="dot"/>
            </w:tabs>
            <w:rPr/>
          </w:pPr>
          <w:hyperlink w:anchor="__RefHeading___Toc39554_2142443653">
            <w:r>
              <w:rPr>
                <w:webHidden/>
                <w:rStyle w:val="IndexLink"/>
                <w:rtl w:val="true"/>
              </w:rPr>
              <w:t>کلام صاحب المدارک حول أبی بکر الحضرمی</w:t>
            </w:r>
            <w:r>
              <w:rPr>
                <w:rStyle w:val="IndexLink"/>
                <w:rtl w:val="true"/>
              </w:rPr>
              <w:tab/>
            </w:r>
            <w:r>
              <w:rPr>
                <w:rStyle w:val="IndexLink"/>
              </w:rPr>
              <w:t>298</w:t>
            </w:r>
          </w:hyperlink>
        </w:p>
        <w:p>
          <w:pPr>
            <w:pStyle w:val="Contents4"/>
            <w:tabs>
              <w:tab w:val="clear" w:pos="8176"/>
              <w:tab w:val="right" w:pos="9026" w:leader="dot"/>
            </w:tabs>
            <w:rPr/>
          </w:pPr>
          <w:hyperlink w:anchor="__RefHeading___Toc39556_2142443653">
            <w:r>
              <w:rPr>
                <w:webHidden/>
                <w:rStyle w:val="IndexLink"/>
                <w:rtl w:val="true"/>
              </w:rPr>
              <w:t>توجیه خبر أبی بکر الحضرمی الدال علی الوضوء مع غسل الجنابة</w:t>
            </w:r>
            <w:r>
              <w:rPr>
                <w:rStyle w:val="IndexLink"/>
                <w:rtl w:val="true"/>
              </w:rPr>
              <w:tab/>
            </w:r>
            <w:r>
              <w:rPr>
                <w:rStyle w:val="IndexLink"/>
              </w:rPr>
              <w:t>298</w:t>
            </w:r>
          </w:hyperlink>
        </w:p>
        <w:p>
          <w:pPr>
            <w:pStyle w:val="Contents4"/>
            <w:tabs>
              <w:tab w:val="clear" w:pos="8176"/>
              <w:tab w:val="right" w:pos="9026" w:leader="dot"/>
            </w:tabs>
            <w:rPr/>
          </w:pPr>
          <w:hyperlink w:anchor="__RefHeading___Toc39558_2142443653">
            <w:r>
              <w:rPr>
                <w:webHidden/>
                <w:rStyle w:val="IndexLink"/>
                <w:rtl w:val="true"/>
              </w:rPr>
              <w:t>هل الوضوء مع غسل الجنابة بدعة؟</w:t>
            </w:r>
            <w:r>
              <w:rPr>
                <w:rStyle w:val="IndexLink"/>
                <w:rtl w:val="true"/>
              </w:rPr>
              <w:tab/>
            </w:r>
            <w:r>
              <w:rPr>
                <w:rStyle w:val="IndexLink"/>
              </w:rPr>
              <w:t>299</w:t>
            </w:r>
          </w:hyperlink>
        </w:p>
        <w:p>
          <w:pPr>
            <w:pStyle w:val="Contents4"/>
            <w:tabs>
              <w:tab w:val="clear" w:pos="8176"/>
              <w:tab w:val="right" w:pos="9026" w:leader="dot"/>
            </w:tabs>
            <w:rPr/>
          </w:pPr>
          <w:hyperlink w:anchor="__RefHeading___Toc39560_2142443653">
            <w:r>
              <w:rPr>
                <w:webHidden/>
                <w:rStyle w:val="IndexLink"/>
                <w:rtl w:val="true"/>
              </w:rPr>
              <w:t>وجوب الوضوء مع غیر غسل الجنابة</w:t>
            </w:r>
            <w:r>
              <w:rPr>
                <w:rStyle w:val="IndexLink"/>
                <w:rtl w:val="true"/>
              </w:rPr>
              <w:tab/>
            </w:r>
            <w:r>
              <w:rPr>
                <w:rStyle w:val="IndexLink"/>
              </w:rPr>
              <w:t>300</w:t>
            </w:r>
          </w:hyperlink>
        </w:p>
        <w:p>
          <w:pPr>
            <w:pStyle w:val="Contents4"/>
            <w:tabs>
              <w:tab w:val="clear" w:pos="8176"/>
              <w:tab w:val="right" w:pos="9026" w:leader="dot"/>
            </w:tabs>
            <w:rPr/>
          </w:pPr>
          <w:hyperlink w:anchor="__RefHeading___Toc39562_2142443653">
            <w:r>
              <w:rPr>
                <w:webHidden/>
                <w:rStyle w:val="IndexLink"/>
                <w:rtl w:val="true"/>
              </w:rPr>
              <w:t>موسی بن جعفر بن وهب مهمل</w:t>
            </w:r>
            <w:r>
              <w:rPr>
                <w:rStyle w:val="IndexLink"/>
                <w:rtl w:val="true"/>
              </w:rPr>
              <w:tab/>
            </w:r>
            <w:r>
              <w:rPr>
                <w:rStyle w:val="IndexLink"/>
              </w:rPr>
              <w:t>302</w:t>
            </w:r>
          </w:hyperlink>
        </w:p>
        <w:p>
          <w:pPr>
            <w:pStyle w:val="Contents4"/>
            <w:tabs>
              <w:tab w:val="clear" w:pos="8176"/>
              <w:tab w:val="right" w:pos="9026" w:leader="dot"/>
            </w:tabs>
            <w:rPr/>
          </w:pPr>
          <w:hyperlink w:anchor="__RefHeading___Toc39564_2142443653">
            <w:r>
              <w:rPr>
                <w:webHidden/>
                <w:rStyle w:val="IndexLink"/>
                <w:rtl w:val="true"/>
              </w:rPr>
              <w:t>بحث حول الحسن بن الحسین اللؤلؤی</w:t>
            </w:r>
            <w:r>
              <w:rPr>
                <w:rStyle w:val="IndexLink"/>
                <w:rtl w:val="true"/>
              </w:rPr>
              <w:tab/>
            </w:r>
            <w:r>
              <w:rPr>
                <w:rStyle w:val="IndexLink"/>
              </w:rPr>
              <w:t>302</w:t>
            </w:r>
          </w:hyperlink>
        </w:p>
        <w:p>
          <w:pPr>
            <w:pStyle w:val="Contents4"/>
            <w:tabs>
              <w:tab w:val="clear" w:pos="8176"/>
              <w:tab w:val="right" w:pos="9026" w:leader="dot"/>
            </w:tabs>
            <w:rPr/>
          </w:pPr>
          <w:hyperlink w:anchor="__RefHeading___Toc39566_2142443653">
            <w:r>
              <w:rPr>
                <w:webHidden/>
                <w:rStyle w:val="IndexLink"/>
                <w:rtl w:val="true"/>
              </w:rPr>
              <w:t>سلیمان بن الحسن مجهول</w:t>
            </w:r>
            <w:r>
              <w:rPr>
                <w:rStyle w:val="IndexLink"/>
                <w:rtl w:val="true"/>
              </w:rPr>
              <w:tab/>
            </w:r>
            <w:r>
              <w:rPr>
                <w:rStyle w:val="IndexLink"/>
              </w:rPr>
              <w:t>302</w:t>
            </w:r>
          </w:hyperlink>
        </w:p>
        <w:p>
          <w:pPr>
            <w:pStyle w:val="Contents4"/>
            <w:tabs>
              <w:tab w:val="clear" w:pos="8176"/>
              <w:tab w:val="right" w:pos="9026" w:leader="dot"/>
            </w:tabs>
            <w:rPr/>
          </w:pPr>
          <w:hyperlink w:anchor="__RefHeading___Toc39568_2142443653">
            <w:r>
              <w:rPr>
                <w:webHidden/>
                <w:rStyle w:val="IndexLink"/>
                <w:rtl w:val="true"/>
              </w:rPr>
              <w:t>توجیه العلّامة لمکاتبة محمد بن عبد الرحمان الهمدانی والمناقشة فیه</w:t>
            </w:r>
            <w:r>
              <w:rPr>
                <w:rStyle w:val="IndexLink"/>
                <w:rtl w:val="true"/>
              </w:rPr>
              <w:tab/>
            </w:r>
            <w:r>
              <w:rPr>
                <w:rStyle w:val="IndexLink"/>
              </w:rPr>
              <w:t>304</w:t>
            </w:r>
          </w:hyperlink>
        </w:p>
        <w:p>
          <w:pPr>
            <w:pStyle w:val="Contents4"/>
            <w:tabs>
              <w:tab w:val="clear" w:pos="8176"/>
              <w:tab w:val="right" w:pos="9026" w:leader="dot"/>
            </w:tabs>
            <w:rPr/>
          </w:pPr>
          <w:hyperlink w:anchor="__RefHeading___Toc39570_2142443653">
            <w:r>
              <w:rPr>
                <w:webHidden/>
                <w:rStyle w:val="IndexLink"/>
                <w:rtl w:val="true"/>
              </w:rPr>
              <w:t>توجیه العلّأمة لموثقة عمّار والمناقشة فیه</w:t>
            </w:r>
            <w:r>
              <w:rPr>
                <w:rStyle w:val="IndexLink"/>
                <w:rtl w:val="true"/>
              </w:rPr>
              <w:tab/>
            </w:r>
            <w:r>
              <w:rPr>
                <w:rStyle w:val="IndexLink"/>
              </w:rPr>
              <w:t>304</w:t>
            </w:r>
          </w:hyperlink>
        </w:p>
        <w:p>
          <w:pPr>
            <w:pStyle w:val="Contents4"/>
            <w:tabs>
              <w:tab w:val="clear" w:pos="8176"/>
              <w:tab w:val="right" w:pos="9026" w:leader="dot"/>
            </w:tabs>
            <w:rPr/>
          </w:pPr>
          <w:hyperlink w:anchor="__RefHeading___Toc39572_2142443653">
            <w:r>
              <w:rPr>
                <w:webHidden/>
                <w:rStyle w:val="IndexLink"/>
                <w:rtl w:val="true"/>
              </w:rPr>
              <w:t>الأخبار المؤیّدة لسقوط الوضوء مع الغسل</w:t>
            </w:r>
            <w:r>
              <w:rPr>
                <w:rStyle w:val="IndexLink"/>
                <w:rtl w:val="true"/>
              </w:rPr>
              <w:tab/>
            </w:r>
            <w:r>
              <w:rPr>
                <w:rStyle w:val="IndexLink"/>
              </w:rPr>
              <w:t>305</w:t>
            </w:r>
          </w:hyperlink>
        </w:p>
        <w:p>
          <w:pPr>
            <w:pStyle w:val="Contents4"/>
            <w:tabs>
              <w:tab w:val="clear" w:pos="8176"/>
              <w:tab w:val="right" w:pos="9026" w:leader="dot"/>
            </w:tabs>
            <w:rPr/>
          </w:pPr>
          <w:hyperlink w:anchor="__RefHeading___Toc39574_2142443653">
            <w:r>
              <w:rPr>
                <w:webHidden/>
                <w:rStyle w:val="IndexLink"/>
                <w:rtl w:val="true"/>
              </w:rPr>
              <w:t>کلام المحقق الاستر ابادی فی أنّ الوضوء قبل الغسل فی غیر الجنابة مندوب</w:t>
            </w:r>
            <w:r>
              <w:rPr>
                <w:rStyle w:val="IndexLink"/>
                <w:rtl w:val="true"/>
              </w:rPr>
              <w:tab/>
            </w:r>
            <w:r>
              <w:rPr>
                <w:rStyle w:val="IndexLink"/>
              </w:rPr>
              <w:t>306</w:t>
            </w:r>
          </w:hyperlink>
        </w:p>
        <w:p>
          <w:pPr>
            <w:pStyle w:val="Contents3"/>
            <w:tabs>
              <w:tab w:val="clear" w:pos="8459"/>
              <w:tab w:val="right" w:pos="9026" w:leader="dot"/>
            </w:tabs>
            <w:rPr/>
          </w:pPr>
          <w:hyperlink w:anchor="__RefHeading___Toc39576_2142443653">
            <w:r>
              <w:rPr>
                <w:webHidden/>
                <w:rStyle w:val="IndexLink"/>
                <w:rtl w:val="true"/>
              </w:rPr>
              <w:t>الجنب ینتهی إلی البئرأو الغدیر ولیس معه ما یغرف به الماء</w:t>
            </w:r>
            <w:r>
              <w:rPr>
                <w:rStyle w:val="IndexLink"/>
                <w:rtl w:val="true"/>
              </w:rPr>
              <w:tab/>
            </w:r>
            <w:r>
              <w:rPr>
                <w:rStyle w:val="IndexLink"/>
              </w:rPr>
              <w:t>307</w:t>
            </w:r>
          </w:hyperlink>
        </w:p>
        <w:p>
          <w:pPr>
            <w:pStyle w:val="Contents4"/>
            <w:tabs>
              <w:tab w:val="clear" w:pos="8176"/>
              <w:tab w:val="right" w:pos="9026" w:leader="dot"/>
            </w:tabs>
            <w:rPr/>
          </w:pPr>
          <w:hyperlink w:anchor="__RefHeading___Toc39578_2142443653">
            <w:r>
              <w:rPr>
                <w:webHidden/>
                <w:rStyle w:val="IndexLink"/>
                <w:rtl w:val="true"/>
              </w:rPr>
              <w:t>الاستدلال بحدیث ابن أبی یعفور علی نجاسة البئر بالملاقاة والمناقشة فیه</w:t>
            </w:r>
            <w:r>
              <w:rPr>
                <w:rStyle w:val="IndexLink"/>
                <w:rtl w:val="true"/>
              </w:rPr>
              <w:tab/>
            </w:r>
            <w:r>
              <w:rPr>
                <w:rStyle w:val="IndexLink"/>
              </w:rPr>
              <w:t>307</w:t>
            </w:r>
          </w:hyperlink>
        </w:p>
        <w:p>
          <w:pPr>
            <w:pStyle w:val="Contents4"/>
            <w:tabs>
              <w:tab w:val="clear" w:pos="8176"/>
              <w:tab w:val="right" w:pos="9026" w:leader="dot"/>
            </w:tabs>
            <w:rPr/>
          </w:pPr>
          <w:hyperlink w:anchor="__RefHeading___Toc39580_2142443653">
            <w:r>
              <w:rPr>
                <w:webHidden/>
                <w:rStyle w:val="IndexLink"/>
                <w:rtl w:val="true"/>
              </w:rPr>
              <w:t>ما هو المقتضی لنزح السبع باغتسال الجنب؟</w:t>
            </w:r>
            <w:r>
              <w:rPr>
                <w:rStyle w:val="IndexLink"/>
                <w:rtl w:val="true"/>
              </w:rPr>
              <w:tab/>
            </w:r>
            <w:r>
              <w:rPr>
                <w:rStyle w:val="IndexLink"/>
              </w:rPr>
              <w:t>310</w:t>
            </w:r>
          </w:hyperlink>
        </w:p>
        <w:p>
          <w:pPr>
            <w:pStyle w:val="Contents4"/>
            <w:tabs>
              <w:tab w:val="clear" w:pos="8176"/>
              <w:tab w:val="right" w:pos="9026" w:leader="dot"/>
            </w:tabs>
            <w:rPr/>
          </w:pPr>
          <w:hyperlink w:anchor="__RefHeading___Toc39582_2142443653">
            <w:r>
              <w:rPr>
                <w:webHidden/>
                <w:rStyle w:val="IndexLink"/>
                <w:rtl w:val="true"/>
              </w:rPr>
              <w:t xml:space="preserve">بحث فی أنّ عبدالله بن مسکان لم یسمع من الصادق علیه السلام إلّا حدیث </w:t>
            </w:r>
            <w:r>
              <w:rPr>
                <w:rStyle w:val="IndexLink"/>
                <w:rtl w:val="true"/>
              </w:rPr>
              <w:t xml:space="preserve">: « </w:t>
            </w:r>
            <w:r>
              <w:rPr>
                <w:rStyle w:val="IndexLink"/>
                <w:rtl w:val="true"/>
              </w:rPr>
              <w:t xml:space="preserve">من أدرک المشعر </w:t>
            </w:r>
            <w:r>
              <w:rPr>
                <w:rStyle w:val="IndexLink"/>
                <w:rtl w:val="true"/>
              </w:rPr>
              <w:t>»</w:t>
              <w:tab/>
            </w:r>
            <w:r>
              <w:rPr>
                <w:rStyle w:val="IndexLink"/>
              </w:rPr>
              <w:t>312</w:t>
            </w:r>
          </w:hyperlink>
        </w:p>
        <w:p>
          <w:pPr>
            <w:pStyle w:val="Contents4"/>
            <w:tabs>
              <w:tab w:val="clear" w:pos="8176"/>
              <w:tab w:val="right" w:pos="9026" w:leader="dot"/>
            </w:tabs>
            <w:rPr/>
          </w:pPr>
          <w:hyperlink w:anchor="__RefHeading___Toc39584_2142443653">
            <w:r>
              <w:rPr>
                <w:webHidden/>
                <w:rStyle w:val="IndexLink"/>
                <w:rtl w:val="true"/>
              </w:rPr>
              <w:t>ظاهر حدیث محمد بن عیسی عدم نجاسة القلیل بالملاقاة</w:t>
            </w:r>
            <w:r>
              <w:rPr>
                <w:rStyle w:val="IndexLink"/>
                <w:rtl w:val="true"/>
              </w:rPr>
              <w:tab/>
            </w:r>
            <w:r>
              <w:rPr>
                <w:rStyle w:val="IndexLink"/>
              </w:rPr>
              <w:t>313</w:t>
            </w:r>
          </w:hyperlink>
        </w:p>
        <w:p>
          <w:pPr>
            <w:pStyle w:val="Contents4"/>
            <w:tabs>
              <w:tab w:val="clear" w:pos="8176"/>
              <w:tab w:val="right" w:pos="9026" w:leader="dot"/>
            </w:tabs>
            <w:rPr/>
          </w:pPr>
          <w:hyperlink w:anchor="__RefHeading___Toc39586_2142443653">
            <w:r>
              <w:rPr>
                <w:webHidden/>
                <w:rStyle w:val="IndexLink"/>
                <w:rtl w:val="true"/>
              </w:rPr>
              <w:t>المناقشة فی توجیه الشیخ لحدیث محمد بن عیسی</w:t>
            </w:r>
            <w:r>
              <w:rPr>
                <w:rStyle w:val="IndexLink"/>
                <w:rtl w:val="true"/>
              </w:rPr>
              <w:tab/>
            </w:r>
            <w:r>
              <w:rPr>
                <w:rStyle w:val="IndexLink"/>
              </w:rPr>
              <w:t>314</w:t>
            </w:r>
          </w:hyperlink>
        </w:p>
        <w:p>
          <w:pPr>
            <w:pStyle w:val="Contents2"/>
            <w:tabs>
              <w:tab w:val="clear" w:pos="8743"/>
              <w:tab w:val="right" w:pos="9026" w:leader="dot"/>
            </w:tabs>
            <w:rPr/>
          </w:pPr>
          <w:hyperlink w:anchor="__RefHeading___Toc39588_2142443653">
            <w:r>
              <w:rPr>
                <w:webHidden/>
                <w:rStyle w:val="IndexLink"/>
                <w:rtl w:val="true"/>
              </w:rPr>
              <w:t>أبواب الحیض والاستحاضة والنفاس</w:t>
            </w:r>
            <w:r>
              <w:rPr>
                <w:rStyle w:val="IndexLink"/>
                <w:rtl w:val="true"/>
              </w:rPr>
              <w:tab/>
            </w:r>
            <w:r>
              <w:rPr>
                <w:rStyle w:val="IndexLink"/>
              </w:rPr>
              <w:t>314</w:t>
            </w:r>
          </w:hyperlink>
        </w:p>
        <w:p>
          <w:pPr>
            <w:pStyle w:val="Contents3"/>
            <w:tabs>
              <w:tab w:val="clear" w:pos="8459"/>
              <w:tab w:val="right" w:pos="9026" w:leader="dot"/>
            </w:tabs>
            <w:rPr/>
          </w:pPr>
          <w:hyperlink w:anchor="__RefHeading___Toc39590_2142443653">
            <w:r>
              <w:rPr>
                <w:webHidden/>
                <w:rStyle w:val="IndexLink"/>
                <w:rtl w:val="true"/>
              </w:rPr>
              <w:t>ما للرجل من المرأة إذا کانت حائضا</w:t>
            </w:r>
            <w:r>
              <w:rPr>
                <w:rStyle w:val="IndexLink"/>
                <w:rtl w:val="true"/>
              </w:rPr>
              <w:tab/>
            </w:r>
            <w:r>
              <w:rPr>
                <w:rStyle w:val="IndexLink"/>
              </w:rPr>
              <w:t>314</w:t>
            </w:r>
          </w:hyperlink>
        </w:p>
        <w:p>
          <w:pPr>
            <w:pStyle w:val="Contents4"/>
            <w:tabs>
              <w:tab w:val="clear" w:pos="8176"/>
              <w:tab w:val="right" w:pos="9026" w:leader="dot"/>
            </w:tabs>
            <w:rPr/>
          </w:pPr>
          <w:hyperlink w:anchor="__RefHeading___Toc39592_2142443653">
            <w:r>
              <w:rPr>
                <w:webHidden/>
                <w:rStyle w:val="IndexLink"/>
                <w:rtl w:val="true"/>
              </w:rPr>
              <w:t>اشارة</w:t>
            </w:r>
            <w:r>
              <w:rPr>
                <w:rStyle w:val="IndexLink"/>
                <w:rtl w:val="true"/>
              </w:rPr>
              <w:tab/>
            </w:r>
            <w:r>
              <w:rPr>
                <w:rStyle w:val="IndexLink"/>
              </w:rPr>
              <w:t>314</w:t>
            </w:r>
          </w:hyperlink>
        </w:p>
        <w:p>
          <w:pPr>
            <w:pStyle w:val="Contents4"/>
            <w:tabs>
              <w:tab w:val="clear" w:pos="8176"/>
              <w:tab w:val="right" w:pos="9026" w:leader="dot"/>
            </w:tabs>
            <w:rPr/>
          </w:pPr>
          <w:hyperlink w:anchor="__RefHeading___Toc39594_2142443653">
            <w:r>
              <w:rPr>
                <w:webHidden/>
                <w:rStyle w:val="IndexLink"/>
                <w:rtl w:val="true"/>
              </w:rPr>
              <w:t>محمد بن علی الراوی عن محمد بن اسماعیل لا یبعد کونه ابن محبوب</w:t>
            </w:r>
            <w:r>
              <w:rPr>
                <w:rStyle w:val="IndexLink"/>
                <w:rtl w:val="true"/>
              </w:rPr>
              <w:tab/>
            </w:r>
            <w:r>
              <w:rPr>
                <w:rStyle w:val="IndexLink"/>
              </w:rPr>
              <w:t>316</w:t>
            </w:r>
          </w:hyperlink>
        </w:p>
        <w:p>
          <w:pPr>
            <w:pStyle w:val="Contents4"/>
            <w:tabs>
              <w:tab w:val="clear" w:pos="8176"/>
              <w:tab w:val="right" w:pos="9026" w:leader="dot"/>
            </w:tabs>
            <w:rPr/>
          </w:pPr>
          <w:hyperlink w:anchor="__RefHeading___Toc39596_2142443653">
            <w:r>
              <w:rPr>
                <w:webHidden/>
                <w:rStyle w:val="IndexLink"/>
                <w:rtl w:val="true"/>
              </w:rPr>
              <w:t>محمد بن اسماعیل کأنّه ابن بزیع</w:t>
            </w:r>
            <w:r>
              <w:rPr>
                <w:rStyle w:val="IndexLink"/>
                <w:rtl w:val="true"/>
              </w:rPr>
              <w:tab/>
            </w:r>
            <w:r>
              <w:rPr>
                <w:rStyle w:val="IndexLink"/>
              </w:rPr>
              <w:t>316</w:t>
            </w:r>
          </w:hyperlink>
        </w:p>
        <w:p>
          <w:pPr>
            <w:pStyle w:val="Contents4"/>
            <w:tabs>
              <w:tab w:val="clear" w:pos="8176"/>
              <w:tab w:val="right" w:pos="9026" w:leader="dot"/>
            </w:tabs>
            <w:rPr/>
          </w:pPr>
          <w:hyperlink w:anchor="__RefHeading___Toc39598_2142443653">
            <w:r>
              <w:rPr>
                <w:webHidden/>
                <w:rStyle w:val="IndexLink"/>
                <w:rtl w:val="true"/>
              </w:rPr>
              <w:t>بحث حول منصور بزرج</w:t>
            </w:r>
            <w:r>
              <w:rPr>
                <w:rStyle w:val="IndexLink"/>
                <w:rtl w:val="true"/>
              </w:rPr>
              <w:tab/>
            </w:r>
            <w:r>
              <w:rPr>
                <w:rStyle w:val="IndexLink"/>
              </w:rPr>
              <w:t>316</w:t>
            </w:r>
          </w:hyperlink>
        </w:p>
        <w:p>
          <w:pPr>
            <w:pStyle w:val="Contents4"/>
            <w:tabs>
              <w:tab w:val="clear" w:pos="8176"/>
              <w:tab w:val="right" w:pos="9026" w:leader="dot"/>
            </w:tabs>
            <w:rPr/>
          </w:pPr>
          <w:hyperlink w:anchor="__RefHeading___Toc39600_2142443653">
            <w:r>
              <w:rPr>
                <w:webHidden/>
                <w:rStyle w:val="IndexLink"/>
                <w:rtl w:val="true"/>
              </w:rPr>
              <w:t>بحث حول عبدالکریم بن عمرو</w:t>
            </w:r>
            <w:r>
              <w:rPr>
                <w:rStyle w:val="IndexLink"/>
                <w:rtl w:val="true"/>
              </w:rPr>
              <w:tab/>
            </w:r>
            <w:r>
              <w:rPr>
                <w:rStyle w:val="IndexLink"/>
              </w:rPr>
              <w:t>316</w:t>
            </w:r>
          </w:hyperlink>
        </w:p>
        <w:p>
          <w:pPr>
            <w:pStyle w:val="Contents4"/>
            <w:tabs>
              <w:tab w:val="clear" w:pos="8176"/>
              <w:tab w:val="right" w:pos="9026" w:leader="dot"/>
            </w:tabs>
            <w:rPr/>
          </w:pPr>
          <w:hyperlink w:anchor="__RefHeading___Toc39602_2142443653">
            <w:r>
              <w:rPr>
                <w:webHidden/>
                <w:rStyle w:val="IndexLink"/>
                <w:rtl w:val="true"/>
              </w:rPr>
              <w:t>إسماعیل الذی یروی عن عمر بن حنظلة غیر معلوم الحال</w:t>
            </w:r>
            <w:r>
              <w:rPr>
                <w:rStyle w:val="IndexLink"/>
                <w:rtl w:val="true"/>
              </w:rPr>
              <w:tab/>
            </w:r>
            <w:r>
              <w:rPr>
                <w:rStyle w:val="IndexLink"/>
              </w:rPr>
              <w:t>316</w:t>
            </w:r>
          </w:hyperlink>
        </w:p>
        <w:p>
          <w:pPr>
            <w:pStyle w:val="Contents4"/>
            <w:tabs>
              <w:tab w:val="clear" w:pos="8176"/>
              <w:tab w:val="right" w:pos="9026" w:leader="dot"/>
            </w:tabs>
            <w:rPr/>
          </w:pPr>
          <w:hyperlink w:anchor="__RefHeading___Toc39604_2142443653">
            <w:r>
              <w:rPr>
                <w:webHidden/>
                <w:rStyle w:val="IndexLink"/>
                <w:rtl w:val="true"/>
              </w:rPr>
              <w:t>قول العلّامة بعدم تحریم ما عدا القبل والمناقشة فیه</w:t>
            </w:r>
            <w:r>
              <w:rPr>
                <w:rStyle w:val="IndexLink"/>
                <w:rtl w:val="true"/>
              </w:rPr>
              <w:tab/>
            </w:r>
            <w:r>
              <w:rPr>
                <w:rStyle w:val="IndexLink"/>
              </w:rPr>
              <w:t>317</w:t>
            </w:r>
          </w:hyperlink>
        </w:p>
        <w:p>
          <w:pPr>
            <w:pStyle w:val="Contents4"/>
            <w:tabs>
              <w:tab w:val="clear" w:pos="8176"/>
              <w:tab w:val="right" w:pos="9026" w:leader="dot"/>
            </w:tabs>
            <w:rPr/>
          </w:pPr>
          <w:hyperlink w:anchor="__RefHeading___Toc39606_2142443653">
            <w:r>
              <w:rPr>
                <w:webHidden/>
                <w:rStyle w:val="IndexLink"/>
                <w:rtl w:val="true"/>
              </w:rPr>
              <w:t>معنی الوقوب</w:t>
            </w:r>
            <w:r>
              <w:rPr>
                <w:rStyle w:val="IndexLink"/>
                <w:rtl w:val="true"/>
              </w:rPr>
              <w:tab/>
            </w:r>
            <w:r>
              <w:rPr>
                <w:rStyle w:val="IndexLink"/>
              </w:rPr>
              <w:t>318</w:t>
            </w:r>
          </w:hyperlink>
        </w:p>
        <w:p>
          <w:pPr>
            <w:pStyle w:val="Contents4"/>
            <w:tabs>
              <w:tab w:val="clear" w:pos="8176"/>
              <w:tab w:val="right" w:pos="9026" w:leader="dot"/>
            </w:tabs>
            <w:rPr/>
          </w:pPr>
          <w:hyperlink w:anchor="__RefHeading___Toc39608_2142443653">
            <w:r>
              <w:rPr>
                <w:webHidden/>
                <w:rStyle w:val="IndexLink"/>
                <w:rtl w:val="true"/>
              </w:rPr>
              <w:t>بحث حول یعقوب بن سالم</w:t>
            </w:r>
            <w:r>
              <w:rPr>
                <w:rStyle w:val="IndexLink"/>
                <w:rtl w:val="true"/>
              </w:rPr>
              <w:tab/>
            </w:r>
            <w:r>
              <w:rPr>
                <w:rStyle w:val="IndexLink"/>
              </w:rPr>
              <w:t>320</w:t>
            </w:r>
          </w:hyperlink>
        </w:p>
        <w:p>
          <w:pPr>
            <w:pStyle w:val="Contents4"/>
            <w:tabs>
              <w:tab w:val="clear" w:pos="8176"/>
              <w:tab w:val="right" w:pos="9026" w:leader="dot"/>
            </w:tabs>
            <w:rPr/>
          </w:pPr>
          <w:hyperlink w:anchor="__RefHeading___Toc39610_2142443653">
            <w:r>
              <w:rPr>
                <w:webHidden/>
                <w:rStyle w:val="IndexLink"/>
                <w:rtl w:val="true"/>
              </w:rPr>
              <w:t>توجیه الروایات الدالّة علی حلیّة ما فوق الإزار</w:t>
            </w:r>
            <w:r>
              <w:rPr>
                <w:rStyle w:val="IndexLink"/>
                <w:rtl w:val="true"/>
              </w:rPr>
              <w:tab/>
            </w:r>
            <w:r>
              <w:rPr>
                <w:rStyle w:val="IndexLink"/>
              </w:rPr>
              <w:t>321</w:t>
            </w:r>
          </w:hyperlink>
        </w:p>
        <w:p>
          <w:pPr>
            <w:pStyle w:val="Contents3"/>
            <w:tabs>
              <w:tab w:val="clear" w:pos="8459"/>
              <w:tab w:val="right" w:pos="9026" w:leader="dot"/>
            </w:tabs>
            <w:rPr/>
          </w:pPr>
          <w:hyperlink w:anchor="__RefHeading___Toc39612_2142443653">
            <w:r>
              <w:rPr>
                <w:webHidden/>
                <w:rStyle w:val="IndexLink"/>
                <w:rtl w:val="true"/>
              </w:rPr>
              <w:t>أقل الحیض وأکثره</w:t>
            </w:r>
            <w:r>
              <w:rPr>
                <w:rStyle w:val="IndexLink"/>
                <w:rtl w:val="true"/>
              </w:rPr>
              <w:tab/>
            </w:r>
            <w:r>
              <w:rPr>
                <w:rStyle w:val="IndexLink"/>
              </w:rPr>
              <w:t>323</w:t>
            </w:r>
          </w:hyperlink>
        </w:p>
        <w:p>
          <w:pPr>
            <w:pStyle w:val="Contents4"/>
            <w:tabs>
              <w:tab w:val="clear" w:pos="8176"/>
              <w:tab w:val="right" w:pos="9026" w:leader="dot"/>
            </w:tabs>
            <w:rPr/>
          </w:pPr>
          <w:hyperlink w:anchor="__RefHeading___Toc39614_2142443653">
            <w:r>
              <w:rPr>
                <w:webHidden/>
                <w:rStyle w:val="IndexLink"/>
                <w:rtl w:val="true"/>
              </w:rPr>
              <w:t>اشارة</w:t>
            </w:r>
            <w:r>
              <w:rPr>
                <w:rStyle w:val="IndexLink"/>
                <w:rtl w:val="true"/>
              </w:rPr>
              <w:tab/>
            </w:r>
            <w:r>
              <w:rPr>
                <w:rStyle w:val="IndexLink"/>
              </w:rPr>
              <w:t>323</w:t>
            </w:r>
          </w:hyperlink>
        </w:p>
        <w:p>
          <w:pPr>
            <w:pStyle w:val="Contents4"/>
            <w:tabs>
              <w:tab w:val="clear" w:pos="8176"/>
              <w:tab w:val="right" w:pos="9026" w:leader="dot"/>
            </w:tabs>
            <w:rPr/>
          </w:pPr>
          <w:hyperlink w:anchor="__RefHeading___Toc39616_2142443653">
            <w:r>
              <w:rPr>
                <w:webHidden/>
                <w:rStyle w:val="IndexLink"/>
                <w:rtl w:val="true"/>
              </w:rPr>
              <w:t>بحث حول علی بن أحمد بن أشیم</w:t>
            </w:r>
            <w:r>
              <w:rPr>
                <w:rStyle w:val="IndexLink"/>
                <w:rtl w:val="true"/>
              </w:rPr>
              <w:tab/>
            </w:r>
            <w:r>
              <w:rPr>
                <w:rStyle w:val="IndexLink"/>
              </w:rPr>
              <w:t>324</w:t>
            </w:r>
          </w:hyperlink>
        </w:p>
        <w:p>
          <w:pPr>
            <w:pStyle w:val="Contents4"/>
            <w:tabs>
              <w:tab w:val="clear" w:pos="8176"/>
              <w:tab w:val="right" w:pos="9026" w:leader="dot"/>
            </w:tabs>
            <w:rPr/>
          </w:pPr>
          <w:hyperlink w:anchor="__RefHeading___Toc39618_2142443653">
            <w:r>
              <w:rPr>
                <w:webHidden/>
                <w:rStyle w:val="IndexLink"/>
                <w:rtl w:val="true"/>
              </w:rPr>
              <w:t>النضر الراوی عنه الحسین بن سعید هو ابن سوید</w:t>
            </w:r>
            <w:r>
              <w:rPr>
                <w:rStyle w:val="IndexLink"/>
                <w:rtl w:val="true"/>
              </w:rPr>
              <w:tab/>
            </w:r>
            <w:r>
              <w:rPr>
                <w:rStyle w:val="IndexLink"/>
              </w:rPr>
              <w:t>324</w:t>
            </w:r>
          </w:hyperlink>
        </w:p>
        <w:p>
          <w:pPr>
            <w:pStyle w:val="Contents4"/>
            <w:tabs>
              <w:tab w:val="clear" w:pos="8176"/>
              <w:tab w:val="right" w:pos="9026" w:leader="dot"/>
            </w:tabs>
            <w:rPr/>
          </w:pPr>
          <w:hyperlink w:anchor="__RefHeading___Toc39620_2142443653">
            <w:r>
              <w:rPr>
                <w:webHidden/>
                <w:rStyle w:val="IndexLink"/>
                <w:rtl w:val="true"/>
              </w:rPr>
              <w:t>أقل الحیض ثلاثة وأکثره عشرة</w:t>
            </w:r>
            <w:r>
              <w:rPr>
                <w:rStyle w:val="IndexLink"/>
                <w:rtl w:val="true"/>
              </w:rPr>
              <w:tab/>
            </w:r>
            <w:r>
              <w:rPr>
                <w:rStyle w:val="IndexLink"/>
              </w:rPr>
              <w:t>325</w:t>
            </w:r>
          </w:hyperlink>
        </w:p>
        <w:p>
          <w:pPr>
            <w:pStyle w:val="Contents4"/>
            <w:tabs>
              <w:tab w:val="clear" w:pos="8176"/>
              <w:tab w:val="right" w:pos="9026" w:leader="dot"/>
            </w:tabs>
            <w:rPr/>
          </w:pPr>
          <w:hyperlink w:anchor="__RefHeading___Toc39622_2142443653">
            <w:r>
              <w:rPr>
                <w:webHidden/>
                <w:rStyle w:val="IndexLink"/>
                <w:rtl w:val="true"/>
              </w:rPr>
              <w:t>استدلال العلّامة بحدیث محمد بن مسلم علی أنّ أقلّ الطهر عشرة</w:t>
            </w:r>
            <w:r>
              <w:rPr>
                <w:rStyle w:val="IndexLink"/>
                <w:rtl w:val="true"/>
              </w:rPr>
              <w:tab/>
            </w:r>
            <w:r>
              <w:rPr>
                <w:rStyle w:val="IndexLink"/>
              </w:rPr>
              <w:t>325</w:t>
            </w:r>
          </w:hyperlink>
        </w:p>
        <w:p>
          <w:pPr>
            <w:pStyle w:val="Contents4"/>
            <w:tabs>
              <w:tab w:val="clear" w:pos="8176"/>
              <w:tab w:val="right" w:pos="9026" w:leader="dot"/>
            </w:tabs>
            <w:rPr/>
          </w:pPr>
          <w:hyperlink w:anchor="__RefHeading___Toc39624_2142443653">
            <w:r>
              <w:rPr>
                <w:webHidden/>
                <w:rStyle w:val="IndexLink"/>
                <w:rtl w:val="true"/>
              </w:rPr>
              <w:t>هل یشترط التوالی فی الثلاثة؟</w:t>
            </w:r>
            <w:r>
              <w:rPr>
                <w:rStyle w:val="IndexLink"/>
                <w:rtl w:val="true"/>
              </w:rPr>
              <w:tab/>
            </w:r>
            <w:r>
              <w:rPr>
                <w:rStyle w:val="IndexLink"/>
              </w:rPr>
              <w:t>327</w:t>
            </w:r>
          </w:hyperlink>
        </w:p>
        <w:p>
          <w:pPr>
            <w:pStyle w:val="Contents4"/>
            <w:tabs>
              <w:tab w:val="clear" w:pos="8176"/>
              <w:tab w:val="right" w:pos="9026" w:leader="dot"/>
            </w:tabs>
            <w:rPr/>
          </w:pPr>
          <w:hyperlink w:anchor="__RefHeading___Toc39626_2142443653">
            <w:r>
              <w:rPr>
                <w:webHidden/>
                <w:rStyle w:val="IndexLink"/>
                <w:rtl w:val="true"/>
              </w:rPr>
              <w:t>معنی الحیض والاستحاضة</w:t>
            </w:r>
            <w:r>
              <w:rPr>
                <w:rStyle w:val="IndexLink"/>
                <w:rtl w:val="true"/>
              </w:rPr>
              <w:tab/>
            </w:r>
            <w:r>
              <w:rPr>
                <w:rStyle w:val="IndexLink"/>
              </w:rPr>
              <w:t>331</w:t>
            </w:r>
          </w:hyperlink>
        </w:p>
        <w:p>
          <w:pPr>
            <w:pStyle w:val="Contents4"/>
            <w:tabs>
              <w:tab w:val="clear" w:pos="8176"/>
              <w:tab w:val="right" w:pos="9026" w:leader="dot"/>
            </w:tabs>
            <w:rPr/>
          </w:pPr>
          <w:hyperlink w:anchor="__RefHeading___Toc39628_2142443653">
            <w:r>
              <w:rPr>
                <w:webHidden/>
                <w:rStyle w:val="IndexLink"/>
                <w:rtl w:val="true"/>
              </w:rPr>
              <w:t>توجیه روایة عبدالله بن سنان الدالّة علی أنّ أکثر الحیض ثمانیة</w:t>
            </w:r>
            <w:r>
              <w:rPr>
                <w:rStyle w:val="IndexLink"/>
                <w:rtl w:val="true"/>
              </w:rPr>
              <w:tab/>
            </w:r>
            <w:r>
              <w:rPr>
                <w:rStyle w:val="IndexLink"/>
              </w:rPr>
              <w:t>332</w:t>
            </w:r>
          </w:hyperlink>
        </w:p>
        <w:p>
          <w:pPr>
            <w:pStyle w:val="Contents3"/>
            <w:tabs>
              <w:tab w:val="clear" w:pos="8459"/>
              <w:tab w:val="right" w:pos="9026" w:leader="dot"/>
            </w:tabs>
            <w:rPr/>
          </w:pPr>
          <w:hyperlink w:anchor="__RefHeading___Toc39630_2142443653">
            <w:r>
              <w:rPr>
                <w:webHidden/>
                <w:rStyle w:val="IndexLink"/>
                <w:rtl w:val="true"/>
              </w:rPr>
              <w:t>أقلّ الطهر</w:t>
            </w:r>
            <w:r>
              <w:rPr>
                <w:rStyle w:val="IndexLink"/>
                <w:rtl w:val="true"/>
              </w:rPr>
              <w:tab/>
            </w:r>
            <w:r>
              <w:rPr>
                <w:rStyle w:val="IndexLink"/>
              </w:rPr>
              <w:t>333</w:t>
            </w:r>
          </w:hyperlink>
        </w:p>
        <w:p>
          <w:pPr>
            <w:pStyle w:val="Contents4"/>
            <w:tabs>
              <w:tab w:val="clear" w:pos="8176"/>
              <w:tab w:val="right" w:pos="9026" w:leader="dot"/>
            </w:tabs>
            <w:rPr/>
          </w:pPr>
          <w:hyperlink w:anchor="__RefHeading___Toc39632_2142443653">
            <w:r>
              <w:rPr>
                <w:webHidden/>
                <w:rStyle w:val="IndexLink"/>
                <w:rtl w:val="true"/>
              </w:rPr>
              <w:t xml:space="preserve">معنی قوله علیه السلام </w:t>
            </w:r>
            <w:r>
              <w:rPr>
                <w:rStyle w:val="IndexLink"/>
                <w:rtl w:val="true"/>
              </w:rPr>
              <w:t xml:space="preserve">: « </w:t>
            </w:r>
            <w:r>
              <w:rPr>
                <w:rStyle w:val="IndexLink"/>
                <w:rtl w:val="true"/>
              </w:rPr>
              <w:t xml:space="preserve">فمازاد </w:t>
            </w:r>
            <w:r>
              <w:rPr>
                <w:rStyle w:val="IndexLink"/>
                <w:rtl w:val="true"/>
              </w:rPr>
              <w:t xml:space="preserve">» </w:t>
            </w:r>
            <w:r>
              <w:rPr>
                <w:rStyle w:val="IndexLink"/>
                <w:rtl w:val="true"/>
              </w:rPr>
              <w:t>فی حدیث محمد بن مسلم</w:t>
            </w:r>
            <w:r>
              <w:rPr>
                <w:rStyle w:val="IndexLink"/>
                <w:rtl w:val="true"/>
              </w:rPr>
              <w:tab/>
            </w:r>
            <w:r>
              <w:rPr>
                <w:rStyle w:val="IndexLink"/>
              </w:rPr>
              <w:t>333</w:t>
            </w:r>
          </w:hyperlink>
        </w:p>
        <w:p>
          <w:pPr>
            <w:pStyle w:val="Contents4"/>
            <w:tabs>
              <w:tab w:val="clear" w:pos="8176"/>
              <w:tab w:val="right" w:pos="9026" w:leader="dot"/>
            </w:tabs>
            <w:rPr/>
          </w:pPr>
          <w:hyperlink w:anchor="__RefHeading___Toc39634_2142443653">
            <w:r>
              <w:rPr>
                <w:webHidden/>
                <w:rStyle w:val="IndexLink"/>
                <w:rtl w:val="true"/>
              </w:rPr>
              <w:t>معنی القرء</w:t>
            </w:r>
            <w:r>
              <w:rPr>
                <w:rStyle w:val="IndexLink"/>
                <w:rtl w:val="true"/>
              </w:rPr>
              <w:tab/>
            </w:r>
            <w:r>
              <w:rPr>
                <w:rStyle w:val="IndexLink"/>
              </w:rPr>
              <w:t>334</w:t>
            </w:r>
          </w:hyperlink>
        </w:p>
        <w:p>
          <w:pPr>
            <w:pStyle w:val="Contents4"/>
            <w:tabs>
              <w:tab w:val="clear" w:pos="8176"/>
              <w:tab w:val="right" w:pos="9026" w:leader="dot"/>
            </w:tabs>
            <w:rPr/>
          </w:pPr>
          <w:hyperlink w:anchor="__RefHeading___Toc39636_2142443653">
            <w:r>
              <w:rPr>
                <w:webHidden/>
                <w:rStyle w:val="IndexLink"/>
                <w:rtl w:val="true"/>
              </w:rPr>
              <w:t>بحث حول یونس بن یعقوب</w:t>
            </w:r>
            <w:r>
              <w:rPr>
                <w:rStyle w:val="IndexLink"/>
                <w:rtl w:val="true"/>
              </w:rPr>
              <w:tab/>
            </w:r>
            <w:r>
              <w:rPr>
                <w:rStyle w:val="IndexLink"/>
              </w:rPr>
              <w:t>336</w:t>
            </w:r>
          </w:hyperlink>
        </w:p>
        <w:p>
          <w:pPr>
            <w:pStyle w:val="Contents4"/>
            <w:tabs>
              <w:tab w:val="clear" w:pos="8176"/>
              <w:tab w:val="right" w:pos="9026" w:leader="dot"/>
            </w:tabs>
            <w:rPr/>
          </w:pPr>
          <w:hyperlink w:anchor="__RefHeading___Toc39638_2142443653">
            <w:r>
              <w:rPr>
                <w:webHidden/>
                <w:rStyle w:val="IndexLink"/>
                <w:rtl w:val="true"/>
              </w:rPr>
              <w:t>السندی بن محمد ثقة</w:t>
            </w:r>
            <w:r>
              <w:rPr>
                <w:rStyle w:val="IndexLink"/>
                <w:rtl w:val="true"/>
              </w:rPr>
              <w:tab/>
            </w:r>
            <w:r>
              <w:rPr>
                <w:rStyle w:val="IndexLink"/>
              </w:rPr>
              <w:t>337</w:t>
            </w:r>
          </w:hyperlink>
        </w:p>
        <w:p>
          <w:pPr>
            <w:pStyle w:val="Contents4"/>
            <w:tabs>
              <w:tab w:val="clear" w:pos="8176"/>
              <w:tab w:val="right" w:pos="9026" w:leader="dot"/>
            </w:tabs>
            <w:rPr/>
          </w:pPr>
          <w:hyperlink w:anchor="__RefHeading___Toc39640_2142443653">
            <w:r>
              <w:rPr>
                <w:webHidden/>
                <w:rStyle w:val="IndexLink"/>
                <w:rtl w:val="true"/>
              </w:rPr>
              <w:t>توجیه خبری یونس بن یعقوب وأبی بصیر</w:t>
            </w:r>
            <w:r>
              <w:rPr>
                <w:rStyle w:val="IndexLink"/>
                <w:rtl w:val="true"/>
              </w:rPr>
              <w:tab/>
            </w:r>
            <w:r>
              <w:rPr>
                <w:rStyle w:val="IndexLink"/>
              </w:rPr>
              <w:t>337</w:t>
            </w:r>
          </w:hyperlink>
        </w:p>
        <w:p>
          <w:pPr>
            <w:pStyle w:val="Contents4"/>
            <w:tabs>
              <w:tab w:val="clear" w:pos="8176"/>
              <w:tab w:val="right" w:pos="9026" w:leader="dot"/>
            </w:tabs>
            <w:rPr/>
          </w:pPr>
          <w:hyperlink w:anchor="__RefHeading___Toc39642_2142443653">
            <w:r>
              <w:rPr>
                <w:webHidden/>
                <w:rStyle w:val="IndexLink"/>
                <w:rtl w:val="true"/>
              </w:rPr>
              <w:t>معنی الاستثفار</w:t>
            </w:r>
            <w:r>
              <w:rPr>
                <w:rStyle w:val="IndexLink"/>
                <w:rtl w:val="true"/>
              </w:rPr>
              <w:tab/>
            </w:r>
            <w:r>
              <w:rPr>
                <w:rStyle w:val="IndexLink"/>
              </w:rPr>
              <w:t>339</w:t>
            </w:r>
          </w:hyperlink>
        </w:p>
        <w:p>
          <w:pPr>
            <w:pStyle w:val="Contents3"/>
            <w:tabs>
              <w:tab w:val="clear" w:pos="8459"/>
              <w:tab w:val="right" w:pos="9026" w:leader="dot"/>
            </w:tabs>
            <w:rPr/>
          </w:pPr>
          <w:hyperlink w:anchor="__RefHeading___Toc39644_2142443653">
            <w:r>
              <w:rPr>
                <w:webHidden/>
                <w:rStyle w:val="IndexLink"/>
                <w:rtl w:val="true"/>
              </w:rPr>
              <w:t>ما یجب علی من وطئ امرأة حائضا من الکفّارة</w:t>
            </w:r>
            <w:r>
              <w:rPr>
                <w:rStyle w:val="IndexLink"/>
                <w:rtl w:val="true"/>
              </w:rPr>
              <w:tab/>
            </w:r>
            <w:r>
              <w:rPr>
                <w:rStyle w:val="IndexLink"/>
              </w:rPr>
              <w:t>340</w:t>
            </w:r>
          </w:hyperlink>
        </w:p>
        <w:p>
          <w:pPr>
            <w:pStyle w:val="Contents4"/>
            <w:tabs>
              <w:tab w:val="clear" w:pos="8176"/>
              <w:tab w:val="right" w:pos="9026" w:leader="dot"/>
            </w:tabs>
            <w:rPr/>
          </w:pPr>
          <w:hyperlink w:anchor="__RefHeading___Toc39646_2142443653">
            <w:r>
              <w:rPr>
                <w:webHidden/>
                <w:rStyle w:val="IndexLink"/>
                <w:rtl w:val="true"/>
              </w:rPr>
              <w:t>اشارة</w:t>
            </w:r>
            <w:r>
              <w:rPr>
                <w:rStyle w:val="IndexLink"/>
                <w:rtl w:val="true"/>
              </w:rPr>
              <w:tab/>
            </w:r>
            <w:r>
              <w:rPr>
                <w:rStyle w:val="IndexLink"/>
              </w:rPr>
              <w:t>340</w:t>
            </w:r>
          </w:hyperlink>
        </w:p>
        <w:p>
          <w:pPr>
            <w:pStyle w:val="Contents4"/>
            <w:tabs>
              <w:tab w:val="clear" w:pos="8176"/>
              <w:tab w:val="right" w:pos="9026" w:leader="dot"/>
            </w:tabs>
            <w:rPr/>
          </w:pPr>
          <w:hyperlink w:anchor="__RefHeading___Toc39648_2142443653">
            <w:r>
              <w:rPr>
                <w:webHidden/>
                <w:rStyle w:val="IndexLink"/>
                <w:rtl w:val="true"/>
              </w:rPr>
              <w:t>بحث حول الحسن بن علی الوشّاء</w:t>
            </w:r>
            <w:r>
              <w:rPr>
                <w:rStyle w:val="IndexLink"/>
                <w:rtl w:val="true"/>
              </w:rPr>
              <w:tab/>
            </w:r>
            <w:r>
              <w:rPr>
                <w:rStyle w:val="IndexLink"/>
              </w:rPr>
              <w:t>342</w:t>
            </w:r>
          </w:hyperlink>
        </w:p>
        <w:p>
          <w:pPr>
            <w:pStyle w:val="Contents4"/>
            <w:tabs>
              <w:tab w:val="clear" w:pos="8176"/>
              <w:tab w:val="right" w:pos="9026" w:leader="dot"/>
            </w:tabs>
            <w:rPr/>
          </w:pPr>
          <w:hyperlink w:anchor="__RefHeading___Toc39650_2142443653">
            <w:r>
              <w:rPr>
                <w:webHidden/>
                <w:rStyle w:val="IndexLink"/>
                <w:rtl w:val="true"/>
              </w:rPr>
              <w:t>حفص مشترک بین ثقة وغیره</w:t>
            </w:r>
            <w:r>
              <w:rPr>
                <w:rStyle w:val="IndexLink"/>
                <w:rtl w:val="true"/>
              </w:rPr>
              <w:tab/>
            </w:r>
            <w:r>
              <w:rPr>
                <w:rStyle w:val="IndexLink"/>
              </w:rPr>
              <w:t>343</w:t>
            </w:r>
          </w:hyperlink>
        </w:p>
        <w:p>
          <w:pPr>
            <w:pStyle w:val="Contents4"/>
            <w:tabs>
              <w:tab w:val="clear" w:pos="8176"/>
              <w:tab w:val="right" w:pos="9026" w:leader="dot"/>
            </w:tabs>
            <w:rPr/>
          </w:pPr>
          <w:hyperlink w:anchor="__RefHeading___Toc39652_2142443653">
            <w:r>
              <w:rPr>
                <w:webHidden/>
                <w:rStyle w:val="IndexLink"/>
                <w:rtl w:val="true"/>
              </w:rPr>
              <w:t>یحیی بن عمران الحلبی ثقة</w:t>
            </w:r>
            <w:r>
              <w:rPr>
                <w:rStyle w:val="IndexLink"/>
                <w:rtl w:val="true"/>
              </w:rPr>
              <w:tab/>
            </w:r>
            <w:r>
              <w:rPr>
                <w:rStyle w:val="IndexLink"/>
              </w:rPr>
              <w:t>343</w:t>
            </w:r>
          </w:hyperlink>
        </w:p>
        <w:p>
          <w:pPr>
            <w:pStyle w:val="Contents4"/>
            <w:tabs>
              <w:tab w:val="clear" w:pos="8176"/>
              <w:tab w:val="right" w:pos="9026" w:leader="dot"/>
            </w:tabs>
            <w:rPr/>
          </w:pPr>
          <w:hyperlink w:anchor="__RefHeading___Toc39654_2142443653">
            <w:r>
              <w:rPr>
                <w:webHidden/>
                <w:rStyle w:val="IndexLink"/>
                <w:rtl w:val="true"/>
              </w:rPr>
              <w:t>بحث حول عبدالکریم بن عمرو وعبدالملک بن عمر</w:t>
            </w:r>
            <w:r>
              <w:rPr>
                <w:rStyle w:val="IndexLink"/>
                <w:rtl w:val="true"/>
              </w:rPr>
              <w:tab/>
            </w:r>
            <w:r>
              <w:rPr>
                <w:rStyle w:val="IndexLink"/>
              </w:rPr>
              <w:t>343</w:t>
            </w:r>
          </w:hyperlink>
        </w:p>
        <w:p>
          <w:pPr>
            <w:pStyle w:val="Contents4"/>
            <w:tabs>
              <w:tab w:val="clear" w:pos="8176"/>
              <w:tab w:val="right" w:pos="9026" w:leader="dot"/>
            </w:tabs>
            <w:rPr/>
          </w:pPr>
          <w:hyperlink w:anchor="__RefHeading___Toc39656_2142443653">
            <w:r>
              <w:rPr>
                <w:webHidden/>
                <w:rStyle w:val="IndexLink"/>
                <w:rtl w:val="true"/>
              </w:rPr>
              <w:t>بحث حول الطیالسی</w:t>
            </w:r>
            <w:r>
              <w:rPr>
                <w:rStyle w:val="IndexLink"/>
                <w:rtl w:val="true"/>
              </w:rPr>
              <w:tab/>
            </w:r>
            <w:r>
              <w:rPr>
                <w:rStyle w:val="IndexLink"/>
              </w:rPr>
              <w:t>344</w:t>
            </w:r>
          </w:hyperlink>
        </w:p>
        <w:p>
          <w:pPr>
            <w:pStyle w:val="Contents4"/>
            <w:tabs>
              <w:tab w:val="clear" w:pos="8176"/>
              <w:tab w:val="right" w:pos="9026" w:leader="dot"/>
            </w:tabs>
            <w:rPr/>
          </w:pPr>
          <w:hyperlink w:anchor="__RefHeading___Toc39658_2142443653">
            <w:r>
              <w:rPr>
                <w:webHidden/>
                <w:rStyle w:val="IndexLink"/>
                <w:rtl w:val="true"/>
              </w:rPr>
              <w:t>بحث حول داود بن فرقد</w:t>
            </w:r>
            <w:r>
              <w:rPr>
                <w:rStyle w:val="IndexLink"/>
                <w:rtl w:val="true"/>
              </w:rPr>
              <w:tab/>
            </w:r>
            <w:r>
              <w:rPr>
                <w:rStyle w:val="IndexLink"/>
              </w:rPr>
              <w:t>344</w:t>
            </w:r>
          </w:hyperlink>
        </w:p>
        <w:p>
          <w:pPr>
            <w:pStyle w:val="Contents4"/>
            <w:tabs>
              <w:tab w:val="clear" w:pos="8176"/>
              <w:tab w:val="right" w:pos="9026" w:leader="dot"/>
            </w:tabs>
            <w:rPr/>
          </w:pPr>
          <w:hyperlink w:anchor="__RefHeading___Toc39660_2142443653">
            <w:r>
              <w:rPr>
                <w:webHidden/>
                <w:rStyle w:val="IndexLink"/>
                <w:rtl w:val="true"/>
              </w:rPr>
              <w:t>مقدار کفّارة وطء الحائض</w:t>
            </w:r>
            <w:r>
              <w:rPr>
                <w:rStyle w:val="IndexLink"/>
                <w:rtl w:val="true"/>
              </w:rPr>
              <w:tab/>
            </w:r>
            <w:r>
              <w:rPr>
                <w:rStyle w:val="IndexLink"/>
              </w:rPr>
              <w:t>345</w:t>
            </w:r>
          </w:hyperlink>
        </w:p>
        <w:p>
          <w:pPr>
            <w:pStyle w:val="Contents4"/>
            <w:tabs>
              <w:tab w:val="clear" w:pos="8176"/>
              <w:tab w:val="right" w:pos="9026" w:leader="dot"/>
            </w:tabs>
            <w:rPr/>
          </w:pPr>
          <w:hyperlink w:anchor="__RefHeading___Toc39662_2142443653">
            <w:r>
              <w:rPr>
                <w:webHidden/>
                <w:rStyle w:val="IndexLink"/>
                <w:rtl w:val="true"/>
              </w:rPr>
              <w:t>معنی الدینار</w:t>
            </w:r>
            <w:r>
              <w:rPr>
                <w:rStyle w:val="IndexLink"/>
                <w:rtl w:val="true"/>
              </w:rPr>
              <w:tab/>
            </w:r>
            <w:r>
              <w:rPr>
                <w:rStyle w:val="IndexLink"/>
              </w:rPr>
              <w:t>347</w:t>
            </w:r>
          </w:hyperlink>
        </w:p>
        <w:p>
          <w:pPr>
            <w:pStyle w:val="Contents4"/>
            <w:tabs>
              <w:tab w:val="clear" w:pos="8176"/>
              <w:tab w:val="right" w:pos="9026" w:leader="dot"/>
            </w:tabs>
            <w:rPr/>
          </w:pPr>
          <w:hyperlink w:anchor="__RefHeading___Toc39664_2142443653">
            <w:r>
              <w:rPr>
                <w:webHidden/>
                <w:rStyle w:val="IndexLink"/>
                <w:rtl w:val="true"/>
              </w:rPr>
              <w:t>معنی الشبع</w:t>
            </w:r>
            <w:r>
              <w:rPr>
                <w:rStyle w:val="IndexLink"/>
                <w:rtl w:val="true"/>
              </w:rPr>
              <w:tab/>
            </w:r>
            <w:r>
              <w:rPr>
                <w:rStyle w:val="IndexLink"/>
              </w:rPr>
              <w:t>348</w:t>
            </w:r>
          </w:hyperlink>
        </w:p>
        <w:p>
          <w:pPr>
            <w:pStyle w:val="Contents4"/>
            <w:tabs>
              <w:tab w:val="clear" w:pos="8176"/>
              <w:tab w:val="right" w:pos="9026" w:leader="dot"/>
            </w:tabs>
            <w:rPr/>
          </w:pPr>
          <w:hyperlink w:anchor="__RefHeading___Toc39666_2142443653">
            <w:r>
              <w:rPr>
                <w:webHidden/>
                <w:rStyle w:val="IndexLink"/>
                <w:rtl w:val="true"/>
              </w:rPr>
              <w:t>أبو جمیلة ضعیف</w:t>
            </w:r>
            <w:r>
              <w:rPr>
                <w:rStyle w:val="IndexLink"/>
                <w:rtl w:val="true"/>
              </w:rPr>
              <w:tab/>
            </w:r>
            <w:r>
              <w:rPr>
                <w:rStyle w:val="IndexLink"/>
              </w:rPr>
              <w:t>350</w:t>
            </w:r>
          </w:hyperlink>
        </w:p>
        <w:p>
          <w:pPr>
            <w:pStyle w:val="Contents4"/>
            <w:tabs>
              <w:tab w:val="clear" w:pos="8176"/>
              <w:tab w:val="right" w:pos="9026" w:leader="dot"/>
            </w:tabs>
            <w:rPr/>
          </w:pPr>
          <w:hyperlink w:anchor="__RefHeading___Toc39668_2142443653">
            <w:r>
              <w:rPr>
                <w:webHidden/>
                <w:rStyle w:val="IndexLink"/>
                <w:rtl w:val="true"/>
              </w:rPr>
              <w:t>بحث حول محمد بن الحسن وأحمد بن الحسن</w:t>
            </w:r>
            <w:r>
              <w:rPr>
                <w:rStyle w:val="IndexLink"/>
                <w:rtl w:val="true"/>
              </w:rPr>
              <w:tab/>
            </w:r>
            <w:r>
              <w:rPr>
                <w:rStyle w:val="IndexLink"/>
              </w:rPr>
              <w:t>350</w:t>
            </w:r>
          </w:hyperlink>
        </w:p>
        <w:p>
          <w:pPr>
            <w:pStyle w:val="Contents4"/>
            <w:tabs>
              <w:tab w:val="clear" w:pos="8176"/>
              <w:tab w:val="right" w:pos="9026" w:leader="dot"/>
            </w:tabs>
            <w:rPr/>
          </w:pPr>
          <w:hyperlink w:anchor="__RefHeading___Toc39670_2142443653">
            <w:r>
              <w:rPr>
                <w:webHidden/>
                <w:rStyle w:val="IndexLink"/>
                <w:rtl w:val="true"/>
              </w:rPr>
              <w:t>توجیه الأخبار الدالة علی عدم الکفّارة</w:t>
            </w:r>
            <w:r>
              <w:rPr>
                <w:rStyle w:val="IndexLink"/>
                <w:rtl w:val="true"/>
              </w:rPr>
              <w:tab/>
            </w:r>
            <w:r>
              <w:rPr>
                <w:rStyle w:val="IndexLink"/>
              </w:rPr>
              <w:t>350</w:t>
            </w:r>
          </w:hyperlink>
        </w:p>
        <w:p>
          <w:pPr>
            <w:pStyle w:val="Contents4"/>
            <w:tabs>
              <w:tab w:val="clear" w:pos="8176"/>
              <w:tab w:val="right" w:pos="9026" w:leader="dot"/>
            </w:tabs>
            <w:rPr/>
          </w:pPr>
          <w:hyperlink w:anchor="__RefHeading___Toc39672_2142443653">
            <w:r>
              <w:rPr>
                <w:webHidden/>
                <w:rStyle w:val="IndexLink"/>
                <w:rtl w:val="true"/>
              </w:rPr>
              <w:t>هل علی الوطء فی الدبر کفّارة؟</w:t>
            </w:r>
            <w:r>
              <w:rPr>
                <w:rStyle w:val="IndexLink"/>
                <w:rtl w:val="true"/>
              </w:rPr>
              <w:tab/>
            </w:r>
            <w:r>
              <w:rPr>
                <w:rStyle w:val="IndexLink"/>
              </w:rPr>
              <w:t>352</w:t>
            </w:r>
          </w:hyperlink>
        </w:p>
        <w:p>
          <w:pPr>
            <w:pStyle w:val="Contents4"/>
            <w:tabs>
              <w:tab w:val="clear" w:pos="8176"/>
              <w:tab w:val="right" w:pos="9026" w:leader="dot"/>
            </w:tabs>
            <w:rPr/>
          </w:pPr>
          <w:hyperlink w:anchor="__RefHeading___Toc39674_2142443653">
            <w:r>
              <w:rPr>
                <w:webHidden/>
                <w:rStyle w:val="IndexLink"/>
                <w:rtl w:val="true"/>
              </w:rPr>
              <w:t>إجزاء التصدّق علی عشرة مساکین عن الکفّارة</w:t>
            </w:r>
            <w:r>
              <w:rPr>
                <w:rStyle w:val="IndexLink"/>
                <w:rtl w:val="true"/>
              </w:rPr>
              <w:tab/>
            </w:r>
            <w:r>
              <w:rPr>
                <w:rStyle w:val="IndexLink"/>
              </w:rPr>
              <w:t>352</w:t>
            </w:r>
          </w:hyperlink>
        </w:p>
        <w:p>
          <w:pPr>
            <w:pStyle w:val="Contents4"/>
            <w:tabs>
              <w:tab w:val="clear" w:pos="8176"/>
              <w:tab w:val="right" w:pos="9026" w:leader="dot"/>
            </w:tabs>
            <w:rPr/>
          </w:pPr>
          <w:hyperlink w:anchor="__RefHeading___Toc39676_2142443653">
            <w:r>
              <w:rPr>
                <w:webHidden/>
                <w:rStyle w:val="IndexLink"/>
                <w:rtl w:val="true"/>
              </w:rPr>
              <w:t>بحث حول دعوی الإجماع علی وجوب الکفّارة</w:t>
            </w:r>
            <w:r>
              <w:rPr>
                <w:rStyle w:val="IndexLink"/>
                <w:rtl w:val="true"/>
              </w:rPr>
              <w:tab/>
            </w:r>
            <w:r>
              <w:rPr>
                <w:rStyle w:val="IndexLink"/>
              </w:rPr>
              <w:t>353</w:t>
            </w:r>
          </w:hyperlink>
        </w:p>
        <w:p>
          <w:pPr>
            <w:pStyle w:val="Contents3"/>
            <w:tabs>
              <w:tab w:val="clear" w:pos="8459"/>
              <w:tab w:val="right" w:pos="9026" w:leader="dot"/>
            </w:tabs>
            <w:rPr/>
          </w:pPr>
          <w:hyperlink w:anchor="__RefHeading___Toc39678_2142443653">
            <w:r>
              <w:rPr>
                <w:webHidden/>
                <w:rStyle w:val="IndexLink"/>
                <w:rtl w:val="true"/>
              </w:rPr>
              <w:t>هل یجوز له وطء المرأةإذا انقطع عنها دم الحیض قبل أن تغتسل أم لا؟</w:t>
            </w:r>
            <w:r>
              <w:rPr>
                <w:rStyle w:val="IndexLink"/>
                <w:rtl w:val="true"/>
              </w:rPr>
              <w:tab/>
            </w:r>
            <w:r>
              <w:rPr>
                <w:rStyle w:val="IndexLink"/>
              </w:rPr>
              <w:t>354</w:t>
            </w:r>
          </w:hyperlink>
        </w:p>
        <w:p>
          <w:pPr>
            <w:pStyle w:val="Contents4"/>
            <w:tabs>
              <w:tab w:val="clear" w:pos="8176"/>
              <w:tab w:val="right" w:pos="9026" w:leader="dot"/>
            </w:tabs>
            <w:rPr/>
          </w:pPr>
          <w:hyperlink w:anchor="__RefHeading___Toc39680_2142443653">
            <w:r>
              <w:rPr>
                <w:webHidden/>
                <w:rStyle w:val="IndexLink"/>
                <w:rtl w:val="true"/>
              </w:rPr>
              <w:t>اشارة</w:t>
            </w:r>
            <w:r>
              <w:rPr>
                <w:rStyle w:val="IndexLink"/>
                <w:rtl w:val="true"/>
              </w:rPr>
              <w:tab/>
            </w:r>
            <w:r>
              <w:rPr>
                <w:rStyle w:val="IndexLink"/>
              </w:rPr>
              <w:t>354</w:t>
            </w:r>
          </w:hyperlink>
        </w:p>
        <w:p>
          <w:pPr>
            <w:pStyle w:val="Contents4"/>
            <w:tabs>
              <w:tab w:val="clear" w:pos="8176"/>
              <w:tab w:val="right" w:pos="9026" w:leader="dot"/>
            </w:tabs>
            <w:rPr/>
          </w:pPr>
          <w:hyperlink w:anchor="__RefHeading___Toc39682_2142443653">
            <w:r>
              <w:rPr>
                <w:webHidden/>
                <w:rStyle w:val="IndexLink"/>
                <w:rtl w:val="true"/>
              </w:rPr>
              <w:t>بحث حول أیوب بن نوح</w:t>
            </w:r>
            <w:r>
              <w:rPr>
                <w:rStyle w:val="IndexLink"/>
                <w:rtl w:val="true"/>
              </w:rPr>
              <w:tab/>
            </w:r>
            <w:r>
              <w:rPr>
                <w:rStyle w:val="IndexLink"/>
              </w:rPr>
              <w:t>355</w:t>
            </w:r>
          </w:hyperlink>
        </w:p>
        <w:p>
          <w:pPr>
            <w:pStyle w:val="Contents4"/>
            <w:tabs>
              <w:tab w:val="clear" w:pos="8176"/>
              <w:tab w:val="right" w:pos="9026" w:leader="dot"/>
            </w:tabs>
            <w:rPr/>
          </w:pPr>
          <w:hyperlink w:anchor="__RefHeading___Toc39684_2142443653">
            <w:r>
              <w:rPr>
                <w:webHidden/>
                <w:rStyle w:val="IndexLink"/>
                <w:rtl w:val="true"/>
              </w:rPr>
              <w:t>بحث حول عبدالله بن بکیر</w:t>
            </w:r>
            <w:r>
              <w:rPr>
                <w:rStyle w:val="IndexLink"/>
                <w:rtl w:val="true"/>
              </w:rPr>
              <w:tab/>
            </w:r>
            <w:r>
              <w:rPr>
                <w:rStyle w:val="IndexLink"/>
              </w:rPr>
              <w:t>356</w:t>
            </w:r>
          </w:hyperlink>
        </w:p>
        <w:p>
          <w:pPr>
            <w:pStyle w:val="Contents4"/>
            <w:tabs>
              <w:tab w:val="clear" w:pos="8176"/>
              <w:tab w:val="right" w:pos="9026" w:leader="dot"/>
            </w:tabs>
            <w:rPr/>
          </w:pPr>
          <w:hyperlink w:anchor="__RefHeading___Toc39686_2142443653">
            <w:r>
              <w:rPr>
                <w:webHidden/>
                <w:rStyle w:val="IndexLink"/>
                <w:rtl w:val="true"/>
              </w:rPr>
              <w:t xml:space="preserve">الاستدلال بقوله تعالی </w:t>
            </w:r>
            <w:r>
              <w:rPr>
                <w:rStyle w:val="IndexLink"/>
                <w:rtl w:val="true"/>
              </w:rPr>
              <w:t xml:space="preserve">: ( </w:t>
            </w:r>
            <w:r>
              <w:rPr>
                <w:rStyle w:val="IndexLink"/>
                <w:rtl w:val="true"/>
              </w:rPr>
              <w:t xml:space="preserve">ولا تقربوهنّ حتی یطهرن </w:t>
            </w:r>
            <w:r>
              <w:rPr>
                <w:rStyle w:val="IndexLink"/>
                <w:rtl w:val="true"/>
              </w:rPr>
              <w:t xml:space="preserve">) </w:t>
            </w:r>
            <w:r>
              <w:rPr>
                <w:rStyle w:val="IndexLink"/>
                <w:rtl w:val="true"/>
              </w:rPr>
              <w:t>علی جواز وطء الحائض بعد انقطاع الدم قبل الغُسل والمناقشة فیه</w:t>
            </w:r>
            <w:r>
              <w:rPr>
                <w:rStyle w:val="IndexLink"/>
                <w:rtl w:val="true"/>
              </w:rPr>
              <w:tab/>
            </w:r>
            <w:r>
              <w:rPr>
                <w:rStyle w:val="IndexLink"/>
              </w:rPr>
              <w:t>358</w:t>
            </w:r>
          </w:hyperlink>
        </w:p>
        <w:p>
          <w:pPr>
            <w:pStyle w:val="Contents4"/>
            <w:tabs>
              <w:tab w:val="clear" w:pos="8176"/>
              <w:tab w:val="right" w:pos="9026" w:leader="dot"/>
            </w:tabs>
            <w:rPr/>
          </w:pPr>
          <w:hyperlink w:anchor="__RefHeading___Toc39688_2142443653">
            <w:r>
              <w:rPr>
                <w:webHidden/>
                <w:rStyle w:val="IndexLink"/>
                <w:rtl w:val="true"/>
              </w:rPr>
              <w:t>معنی الشبق والغُلمة</w:t>
            </w:r>
            <w:r>
              <w:rPr>
                <w:rStyle w:val="IndexLink"/>
                <w:rtl w:val="true"/>
              </w:rPr>
              <w:tab/>
            </w:r>
            <w:r>
              <w:rPr>
                <w:rStyle w:val="IndexLink"/>
              </w:rPr>
              <w:t>363</w:t>
            </w:r>
          </w:hyperlink>
        </w:p>
        <w:p>
          <w:pPr>
            <w:pStyle w:val="Contents4"/>
            <w:tabs>
              <w:tab w:val="clear" w:pos="8176"/>
              <w:tab w:val="right" w:pos="9026" w:leader="dot"/>
            </w:tabs>
            <w:rPr/>
          </w:pPr>
          <w:hyperlink w:anchor="__RefHeading___Toc39690_2142443653">
            <w:r>
              <w:rPr>
                <w:webHidden/>
                <w:rStyle w:val="IndexLink"/>
                <w:rtl w:val="true"/>
              </w:rPr>
              <w:t>بحث حول علی بن أسباط</w:t>
            </w:r>
            <w:r>
              <w:rPr>
                <w:rStyle w:val="IndexLink"/>
                <w:rtl w:val="true"/>
              </w:rPr>
              <w:tab/>
            </w:r>
            <w:r>
              <w:rPr>
                <w:rStyle w:val="IndexLink"/>
              </w:rPr>
              <w:t>365</w:t>
            </w:r>
          </w:hyperlink>
        </w:p>
        <w:p>
          <w:pPr>
            <w:pStyle w:val="Contents4"/>
            <w:tabs>
              <w:tab w:val="clear" w:pos="8176"/>
              <w:tab w:val="right" w:pos="9026" w:leader="dot"/>
            </w:tabs>
            <w:rPr/>
          </w:pPr>
          <w:hyperlink w:anchor="__RefHeading___Toc39692_2142443653">
            <w:r>
              <w:rPr>
                <w:webHidden/>
                <w:rStyle w:val="IndexLink"/>
                <w:rtl w:val="true"/>
              </w:rPr>
              <w:t>سعید بن یسار ثقة</w:t>
            </w:r>
            <w:r>
              <w:rPr>
                <w:rStyle w:val="IndexLink"/>
                <w:rtl w:val="true"/>
              </w:rPr>
              <w:tab/>
            </w:r>
            <w:r>
              <w:rPr>
                <w:rStyle w:val="IndexLink"/>
              </w:rPr>
              <w:t>365</w:t>
            </w:r>
          </w:hyperlink>
        </w:p>
        <w:p>
          <w:pPr>
            <w:pStyle w:val="Contents4"/>
            <w:tabs>
              <w:tab w:val="clear" w:pos="8176"/>
              <w:tab w:val="right" w:pos="9026" w:leader="dot"/>
            </w:tabs>
            <w:rPr/>
          </w:pPr>
          <w:hyperlink w:anchor="__RefHeading___Toc39694_2142443653">
            <w:r>
              <w:rPr>
                <w:webHidden/>
                <w:rStyle w:val="IndexLink"/>
                <w:rtl w:val="true"/>
              </w:rPr>
              <w:t>توجیه الروایات الناهیة عن الوطء قبل الغُسل</w:t>
            </w:r>
            <w:r>
              <w:rPr>
                <w:rStyle w:val="IndexLink"/>
                <w:rtl w:val="true"/>
              </w:rPr>
              <w:tab/>
            </w:r>
            <w:r>
              <w:rPr>
                <w:rStyle w:val="IndexLink"/>
              </w:rPr>
              <w:t>366</w:t>
            </w:r>
          </w:hyperlink>
        </w:p>
        <w:p>
          <w:pPr>
            <w:pStyle w:val="Contents3"/>
            <w:tabs>
              <w:tab w:val="clear" w:pos="8459"/>
              <w:tab w:val="right" w:pos="9026" w:leader="dot"/>
            </w:tabs>
            <w:rPr/>
          </w:pPr>
          <w:hyperlink w:anchor="__RefHeading___Toc39696_2142443653">
            <w:r>
              <w:rPr>
                <w:webHidden/>
                <w:rStyle w:val="IndexLink"/>
                <w:rtl w:val="true"/>
              </w:rPr>
              <w:t>المرأة تری الدم أول مرة وتستمرّ بها</w:t>
            </w:r>
            <w:r>
              <w:rPr>
                <w:rStyle w:val="IndexLink"/>
                <w:rtl w:val="true"/>
              </w:rPr>
              <w:tab/>
            </w:r>
            <w:r>
              <w:rPr>
                <w:rStyle w:val="IndexLink"/>
              </w:rPr>
              <w:t>369</w:t>
            </w:r>
          </w:hyperlink>
        </w:p>
        <w:p>
          <w:pPr>
            <w:pStyle w:val="Contents4"/>
            <w:tabs>
              <w:tab w:val="clear" w:pos="8176"/>
              <w:tab w:val="right" w:pos="9026" w:leader="dot"/>
            </w:tabs>
            <w:rPr/>
          </w:pPr>
          <w:hyperlink w:anchor="__RefHeading___Toc39698_2142443653">
            <w:r>
              <w:rPr>
                <w:webHidden/>
                <w:rStyle w:val="IndexLink"/>
                <w:rtl w:val="true"/>
              </w:rPr>
              <w:t>اشارة</w:t>
            </w:r>
            <w:r>
              <w:rPr>
                <w:rStyle w:val="IndexLink"/>
                <w:rtl w:val="true"/>
              </w:rPr>
              <w:tab/>
            </w:r>
            <w:r>
              <w:rPr>
                <w:rStyle w:val="IndexLink"/>
              </w:rPr>
              <w:t>369</w:t>
            </w:r>
          </w:hyperlink>
        </w:p>
        <w:p>
          <w:pPr>
            <w:pStyle w:val="Contents4"/>
            <w:tabs>
              <w:tab w:val="clear" w:pos="8176"/>
              <w:tab w:val="right" w:pos="9026" w:leader="dot"/>
            </w:tabs>
            <w:rPr/>
          </w:pPr>
          <w:hyperlink w:anchor="__RefHeading___Toc39700_2142443653">
            <w:r>
              <w:rPr>
                <w:webHidden/>
                <w:rStyle w:val="IndexLink"/>
                <w:rtl w:val="true"/>
              </w:rPr>
              <w:t>حسن بن علی الراوی عن عبدالله بن بکیر إمّا ابن فضّال وإمّا الوشّاء</w:t>
            </w:r>
            <w:r>
              <w:rPr>
                <w:rStyle w:val="IndexLink"/>
                <w:rtl w:val="true"/>
              </w:rPr>
              <w:tab/>
            </w:r>
            <w:r>
              <w:rPr>
                <w:rStyle w:val="IndexLink"/>
              </w:rPr>
              <w:t>370</w:t>
            </w:r>
          </w:hyperlink>
        </w:p>
        <w:p>
          <w:pPr>
            <w:pStyle w:val="Contents4"/>
            <w:tabs>
              <w:tab w:val="clear" w:pos="8176"/>
              <w:tab w:val="right" w:pos="9026" w:leader="dot"/>
            </w:tabs>
            <w:rPr/>
          </w:pPr>
          <w:hyperlink w:anchor="__RefHeading___Toc39702_2142443653">
            <w:r>
              <w:rPr>
                <w:webHidden/>
                <w:rStyle w:val="IndexLink"/>
                <w:rtl w:val="true"/>
              </w:rPr>
              <w:t>حکم المبتدأة التی استمرّ بها الدم</w:t>
            </w:r>
            <w:r>
              <w:rPr>
                <w:rStyle w:val="IndexLink"/>
                <w:rtl w:val="true"/>
              </w:rPr>
              <w:tab/>
            </w:r>
            <w:r>
              <w:rPr>
                <w:rStyle w:val="IndexLink"/>
              </w:rPr>
              <w:t>371</w:t>
            </w:r>
          </w:hyperlink>
        </w:p>
        <w:p>
          <w:pPr>
            <w:pStyle w:val="Contents4"/>
            <w:tabs>
              <w:tab w:val="clear" w:pos="8176"/>
              <w:tab w:val="right" w:pos="9026" w:leader="dot"/>
            </w:tabs>
            <w:rPr/>
          </w:pPr>
          <w:hyperlink w:anchor="__RefHeading___Toc39704_2142443653">
            <w:r>
              <w:rPr>
                <w:webHidden/>
                <w:rStyle w:val="IndexLink"/>
                <w:rtl w:val="true"/>
              </w:rPr>
              <w:t>هل تتخیّر بین الستّة والسبعة من کلّ شهر؟</w:t>
            </w:r>
            <w:r>
              <w:rPr>
                <w:rStyle w:val="IndexLink"/>
                <w:rtl w:val="true"/>
              </w:rPr>
              <w:tab/>
            </w:r>
            <w:r>
              <w:rPr>
                <w:rStyle w:val="IndexLink"/>
              </w:rPr>
              <w:t>373</w:t>
            </w:r>
          </w:hyperlink>
        </w:p>
        <w:p>
          <w:pPr>
            <w:pStyle w:val="Contents4"/>
            <w:tabs>
              <w:tab w:val="clear" w:pos="8176"/>
              <w:tab w:val="right" w:pos="9026" w:leader="dot"/>
            </w:tabs>
            <w:rPr/>
          </w:pPr>
          <w:hyperlink w:anchor="__RefHeading___Toc39706_2142443653">
            <w:r>
              <w:rPr>
                <w:webHidden/>
                <w:rStyle w:val="IndexLink"/>
                <w:rtl w:val="true"/>
              </w:rPr>
              <w:t>محمد بن حمران ثقة</w:t>
            </w:r>
            <w:r>
              <w:rPr>
                <w:rStyle w:val="IndexLink"/>
                <w:rtl w:val="true"/>
              </w:rPr>
              <w:tab/>
            </w:r>
            <w:r>
              <w:rPr>
                <w:rStyle w:val="IndexLink"/>
              </w:rPr>
              <w:t>375</w:t>
            </w:r>
          </w:hyperlink>
        </w:p>
        <w:p>
          <w:pPr>
            <w:pStyle w:val="Contents4"/>
            <w:tabs>
              <w:tab w:val="clear" w:pos="8176"/>
              <w:tab w:val="right" w:pos="9026" w:leader="dot"/>
            </w:tabs>
            <w:rPr/>
          </w:pPr>
          <w:hyperlink w:anchor="__RefHeading___Toc39708_2142443653">
            <w:r>
              <w:rPr>
                <w:webHidden/>
                <w:rStyle w:val="IndexLink"/>
                <w:rtl w:val="true"/>
              </w:rPr>
              <w:t>رجوع المبتدأة إلی نسائها</w:t>
            </w:r>
            <w:r>
              <w:rPr>
                <w:rStyle w:val="IndexLink"/>
                <w:rtl w:val="true"/>
              </w:rPr>
              <w:tab/>
            </w:r>
            <w:r>
              <w:rPr>
                <w:rStyle w:val="IndexLink"/>
              </w:rPr>
              <w:t>375</w:t>
            </w:r>
          </w:hyperlink>
        </w:p>
        <w:p>
          <w:pPr>
            <w:pStyle w:val="Contents3"/>
            <w:tabs>
              <w:tab w:val="clear" w:pos="8459"/>
              <w:tab w:val="right" w:pos="9026" w:leader="dot"/>
            </w:tabs>
            <w:rPr/>
          </w:pPr>
          <w:hyperlink w:anchor="__RefHeading___Toc39710_2142443653">
            <w:r>
              <w:rPr>
                <w:webHidden/>
                <w:rStyle w:val="IndexLink"/>
                <w:rtl w:val="true"/>
              </w:rPr>
              <w:t>الحبلی تری الدم</w:t>
            </w:r>
            <w:r>
              <w:rPr>
                <w:rStyle w:val="IndexLink"/>
                <w:rtl w:val="true"/>
              </w:rPr>
              <w:tab/>
            </w:r>
            <w:r>
              <w:rPr>
                <w:rStyle w:val="IndexLink"/>
              </w:rPr>
              <w:t>377</w:t>
            </w:r>
          </w:hyperlink>
        </w:p>
        <w:p>
          <w:pPr>
            <w:pStyle w:val="Contents4"/>
            <w:tabs>
              <w:tab w:val="clear" w:pos="8176"/>
              <w:tab w:val="right" w:pos="9026" w:leader="dot"/>
            </w:tabs>
            <w:rPr/>
          </w:pPr>
          <w:hyperlink w:anchor="__RefHeading___Toc39712_2142443653">
            <w:r>
              <w:rPr>
                <w:webHidden/>
                <w:rStyle w:val="IndexLink"/>
                <w:rtl w:val="true"/>
              </w:rPr>
              <w:t>اشارة</w:t>
            </w:r>
            <w:r>
              <w:rPr>
                <w:rStyle w:val="IndexLink"/>
                <w:rtl w:val="true"/>
              </w:rPr>
              <w:tab/>
            </w:r>
            <w:r>
              <w:rPr>
                <w:rStyle w:val="IndexLink"/>
              </w:rPr>
              <w:t>377</w:t>
            </w:r>
          </w:hyperlink>
        </w:p>
        <w:p>
          <w:pPr>
            <w:pStyle w:val="Contents4"/>
            <w:tabs>
              <w:tab w:val="clear" w:pos="8176"/>
              <w:tab w:val="right" w:pos="9026" w:leader="dot"/>
            </w:tabs>
            <w:rPr/>
          </w:pPr>
          <w:hyperlink w:anchor="__RefHeading___Toc39714_2142443653">
            <w:r>
              <w:rPr>
                <w:webHidden/>
                <w:rStyle w:val="IndexLink"/>
                <w:rtl w:val="true"/>
              </w:rPr>
              <w:t>بحث حول عبدالله بن سنان ومحمد بن سنان</w:t>
            </w:r>
            <w:r>
              <w:rPr>
                <w:rStyle w:val="IndexLink"/>
                <w:rtl w:val="true"/>
              </w:rPr>
              <w:tab/>
            </w:r>
            <w:r>
              <w:rPr>
                <w:rStyle w:val="IndexLink"/>
              </w:rPr>
              <w:t>378</w:t>
            </w:r>
          </w:hyperlink>
        </w:p>
        <w:p>
          <w:pPr>
            <w:pStyle w:val="Contents4"/>
            <w:tabs>
              <w:tab w:val="clear" w:pos="8176"/>
              <w:tab w:val="right" w:pos="9026" w:leader="dot"/>
            </w:tabs>
            <w:rPr/>
          </w:pPr>
          <w:hyperlink w:anchor="__RefHeading___Toc39716_2142443653">
            <w:r>
              <w:rPr>
                <w:webHidden/>
                <w:rStyle w:val="IndexLink"/>
                <w:rtl w:val="true"/>
              </w:rPr>
              <w:t>أبو بصیر الذی یروی عنه شعیب العقرقوفی هو الضعیف</w:t>
            </w:r>
            <w:r>
              <w:rPr>
                <w:rStyle w:val="IndexLink"/>
                <w:rtl w:val="true"/>
              </w:rPr>
              <w:tab/>
            </w:r>
            <w:r>
              <w:rPr>
                <w:rStyle w:val="IndexLink"/>
              </w:rPr>
              <w:t>381</w:t>
            </w:r>
          </w:hyperlink>
        </w:p>
        <w:p>
          <w:pPr>
            <w:pStyle w:val="Contents4"/>
            <w:tabs>
              <w:tab w:val="clear" w:pos="8176"/>
              <w:tab w:val="right" w:pos="9026" w:leader="dot"/>
            </w:tabs>
            <w:rPr/>
          </w:pPr>
          <w:hyperlink w:anchor="__RefHeading___Toc39718_2142443653">
            <w:r>
              <w:rPr>
                <w:webHidden/>
                <w:rStyle w:val="IndexLink"/>
                <w:rtl w:val="true"/>
              </w:rPr>
              <w:t>بحث حول عبدالرحمان بن الحجاج</w:t>
            </w:r>
            <w:r>
              <w:rPr>
                <w:rStyle w:val="IndexLink"/>
                <w:rtl w:val="true"/>
              </w:rPr>
              <w:tab/>
            </w:r>
            <w:r>
              <w:rPr>
                <w:rStyle w:val="IndexLink"/>
              </w:rPr>
              <w:t>381</w:t>
            </w:r>
          </w:hyperlink>
        </w:p>
        <w:p>
          <w:pPr>
            <w:pStyle w:val="Contents4"/>
            <w:tabs>
              <w:tab w:val="clear" w:pos="8176"/>
              <w:tab w:val="right" w:pos="9026" w:leader="dot"/>
            </w:tabs>
            <w:rPr/>
          </w:pPr>
          <w:hyperlink w:anchor="__RefHeading___Toc39720_2142443653">
            <w:r>
              <w:rPr>
                <w:webHidden/>
                <w:rStyle w:val="IndexLink"/>
                <w:rtl w:val="true"/>
              </w:rPr>
              <w:t>الحیض یجامع الحمل</w:t>
            </w:r>
            <w:r>
              <w:rPr>
                <w:rStyle w:val="IndexLink"/>
                <w:rtl w:val="true"/>
              </w:rPr>
              <w:tab/>
            </w:r>
            <w:r>
              <w:rPr>
                <w:rStyle w:val="IndexLink"/>
              </w:rPr>
              <w:t>381</w:t>
            </w:r>
          </w:hyperlink>
        </w:p>
        <w:p>
          <w:pPr>
            <w:pStyle w:val="Contents4"/>
            <w:tabs>
              <w:tab w:val="clear" w:pos="8176"/>
              <w:tab w:val="right" w:pos="9026" w:leader="dot"/>
            </w:tabs>
            <w:rPr/>
          </w:pPr>
          <w:hyperlink w:anchor="__RefHeading___Toc39722_2142443653">
            <w:r>
              <w:rPr>
                <w:webHidden/>
                <w:rStyle w:val="IndexLink"/>
                <w:rtl w:val="true"/>
              </w:rPr>
              <w:t>معنی الهراقة</w:t>
            </w:r>
            <w:r>
              <w:rPr>
                <w:rStyle w:val="IndexLink"/>
                <w:rtl w:val="true"/>
              </w:rPr>
              <w:tab/>
            </w:r>
            <w:r>
              <w:rPr>
                <w:rStyle w:val="IndexLink"/>
              </w:rPr>
              <w:t>382</w:t>
            </w:r>
          </w:hyperlink>
        </w:p>
        <w:p>
          <w:pPr>
            <w:pStyle w:val="Contents4"/>
            <w:tabs>
              <w:tab w:val="clear" w:pos="8176"/>
              <w:tab w:val="right" w:pos="9026" w:leader="dot"/>
            </w:tabs>
            <w:rPr/>
          </w:pPr>
          <w:hyperlink w:anchor="__RefHeading___Toc39724_2142443653">
            <w:r>
              <w:rPr>
                <w:webHidden/>
                <w:rStyle w:val="IndexLink"/>
                <w:rtl w:val="true"/>
              </w:rPr>
              <w:t>علی بن الحکم الذی یروی عنه أحمد بن محمد بن عیسی هو الثقة</w:t>
            </w:r>
            <w:r>
              <w:rPr>
                <w:rStyle w:val="IndexLink"/>
                <w:rtl w:val="true"/>
              </w:rPr>
              <w:tab/>
            </w:r>
            <w:r>
              <w:rPr>
                <w:rStyle w:val="IndexLink"/>
              </w:rPr>
              <w:t>385</w:t>
            </w:r>
          </w:hyperlink>
        </w:p>
        <w:p>
          <w:pPr>
            <w:pStyle w:val="Contents4"/>
            <w:tabs>
              <w:tab w:val="clear" w:pos="8176"/>
              <w:tab w:val="right" w:pos="9026" w:leader="dot"/>
            </w:tabs>
            <w:rPr/>
          </w:pPr>
          <w:hyperlink w:anchor="__RefHeading___Toc39726_2142443653">
            <w:r>
              <w:rPr>
                <w:webHidden/>
                <w:rStyle w:val="IndexLink"/>
                <w:rtl w:val="true"/>
              </w:rPr>
              <w:t>حمید بن المثنی هو أبو المغرا ثقة</w:t>
            </w:r>
            <w:r>
              <w:rPr>
                <w:rStyle w:val="IndexLink"/>
                <w:rtl w:val="true"/>
              </w:rPr>
              <w:tab/>
            </w:r>
            <w:r>
              <w:rPr>
                <w:rStyle w:val="IndexLink"/>
              </w:rPr>
              <w:t>386</w:t>
            </w:r>
          </w:hyperlink>
        </w:p>
        <w:p>
          <w:pPr>
            <w:pStyle w:val="Contents4"/>
            <w:tabs>
              <w:tab w:val="clear" w:pos="8176"/>
              <w:tab w:val="right" w:pos="9026" w:leader="dot"/>
            </w:tabs>
            <w:rPr/>
          </w:pPr>
          <w:hyperlink w:anchor="__RefHeading___Toc39728_2142443653">
            <w:r>
              <w:rPr>
                <w:webHidden/>
                <w:rStyle w:val="IndexLink"/>
                <w:rtl w:val="true"/>
              </w:rPr>
              <w:t>توجیه ما دلّ علی أنّ الحیض لا یجامع الحمل</w:t>
            </w:r>
            <w:r>
              <w:rPr>
                <w:rStyle w:val="IndexLink"/>
                <w:rtl w:val="true"/>
              </w:rPr>
              <w:tab/>
            </w:r>
            <w:r>
              <w:rPr>
                <w:rStyle w:val="IndexLink"/>
              </w:rPr>
              <w:t>386</w:t>
            </w:r>
          </w:hyperlink>
        </w:p>
        <w:p>
          <w:pPr>
            <w:pStyle w:val="Contents4"/>
            <w:tabs>
              <w:tab w:val="clear" w:pos="8176"/>
              <w:tab w:val="right" w:pos="9026" w:leader="dot"/>
            </w:tabs>
            <w:rPr/>
          </w:pPr>
          <w:hyperlink w:anchor="__RefHeading___Toc39730_2142443653">
            <w:r>
              <w:rPr>
                <w:webHidden/>
                <w:rStyle w:val="IndexLink"/>
                <w:rtl w:val="true"/>
              </w:rPr>
              <w:t>استدلال الشهید بروایة الحسین بن نعیم علی أنّ الاعتبار فی قلّة الدم وکثرته بأوقات الصلاة والمناقشة فیه</w:t>
            </w:r>
            <w:r>
              <w:rPr>
                <w:rStyle w:val="IndexLink"/>
                <w:rtl w:val="true"/>
              </w:rPr>
              <w:tab/>
            </w:r>
            <w:r>
              <w:rPr>
                <w:rStyle w:val="IndexLink"/>
              </w:rPr>
              <w:t>390</w:t>
            </w:r>
          </w:hyperlink>
        </w:p>
        <w:p>
          <w:pPr>
            <w:pStyle w:val="Contents4"/>
            <w:tabs>
              <w:tab w:val="clear" w:pos="8176"/>
              <w:tab w:val="right" w:pos="9026" w:leader="dot"/>
            </w:tabs>
            <w:rPr/>
          </w:pPr>
          <w:hyperlink w:anchor="__RefHeading___Toc39732_2142443653">
            <w:r>
              <w:rPr>
                <w:webHidden/>
                <w:rStyle w:val="IndexLink"/>
                <w:rtl w:val="true"/>
              </w:rPr>
              <w:t>استدلال الشهید بروایة الحسین علی أنّ المتوسطة علیها غسل واحد والمناقشة فیه</w:t>
            </w:r>
            <w:r>
              <w:rPr>
                <w:rStyle w:val="IndexLink"/>
                <w:rtl w:val="true"/>
              </w:rPr>
              <w:tab/>
            </w:r>
            <w:r>
              <w:rPr>
                <w:rStyle w:val="IndexLink"/>
              </w:rPr>
              <w:t>391</w:t>
            </w:r>
          </w:hyperlink>
        </w:p>
        <w:p>
          <w:pPr>
            <w:pStyle w:val="Contents4"/>
            <w:tabs>
              <w:tab w:val="clear" w:pos="8176"/>
              <w:tab w:val="right" w:pos="9026" w:leader="dot"/>
            </w:tabs>
            <w:rPr/>
          </w:pPr>
          <w:hyperlink w:anchor="__RefHeading___Toc39734_2142443653">
            <w:r>
              <w:rPr>
                <w:webHidden/>
                <w:rStyle w:val="IndexLink"/>
                <w:rtl w:val="true"/>
              </w:rPr>
              <w:t>هل الاستحاضة حدث کغیره من الاحداث؟</w:t>
            </w:r>
            <w:r>
              <w:rPr>
                <w:rStyle w:val="IndexLink"/>
                <w:rtl w:val="true"/>
              </w:rPr>
              <w:tab/>
            </w:r>
            <w:r>
              <w:rPr>
                <w:rStyle w:val="IndexLink"/>
              </w:rPr>
              <w:t>393</w:t>
            </w:r>
          </w:hyperlink>
        </w:p>
        <w:p>
          <w:pPr>
            <w:pStyle w:val="Contents4"/>
            <w:tabs>
              <w:tab w:val="clear" w:pos="8176"/>
              <w:tab w:val="right" w:pos="9026" w:leader="dot"/>
            </w:tabs>
            <w:rPr/>
          </w:pPr>
          <w:hyperlink w:anchor="__RefHeading___Toc39736_2142443653">
            <w:r>
              <w:rPr>
                <w:webHidden/>
                <w:rStyle w:val="IndexLink"/>
                <w:rtl w:val="true"/>
              </w:rPr>
              <w:t>أبو المغراء ثقة</w:t>
            </w:r>
            <w:r>
              <w:rPr>
                <w:rStyle w:val="IndexLink"/>
                <w:rtl w:val="true"/>
              </w:rPr>
              <w:tab/>
            </w:r>
            <w:r>
              <w:rPr>
                <w:rStyle w:val="IndexLink"/>
              </w:rPr>
              <w:t>397</w:t>
            </w:r>
          </w:hyperlink>
        </w:p>
        <w:p>
          <w:pPr>
            <w:pStyle w:val="Contents4"/>
            <w:tabs>
              <w:tab w:val="clear" w:pos="8176"/>
              <w:tab w:val="right" w:pos="9026" w:leader="dot"/>
            </w:tabs>
            <w:rPr/>
          </w:pPr>
          <w:hyperlink w:anchor="__RefHeading___Toc39738_2142443653">
            <w:r>
              <w:rPr>
                <w:webHidden/>
                <w:rStyle w:val="IndexLink"/>
                <w:rtl w:val="true"/>
              </w:rPr>
              <w:t>بحث حول روایة الحسین بن سعید عن زرعة وفضالة</w:t>
            </w:r>
            <w:r>
              <w:rPr>
                <w:rStyle w:val="IndexLink"/>
                <w:rtl w:val="true"/>
              </w:rPr>
              <w:tab/>
            </w:r>
            <w:r>
              <w:rPr>
                <w:rStyle w:val="IndexLink"/>
              </w:rPr>
              <w:t>397</w:t>
            </w:r>
          </w:hyperlink>
        </w:p>
        <w:p>
          <w:pPr>
            <w:pStyle w:val="Contents4"/>
            <w:tabs>
              <w:tab w:val="clear" w:pos="8176"/>
              <w:tab w:val="right" w:pos="9026" w:leader="dot"/>
            </w:tabs>
            <w:rPr/>
          </w:pPr>
          <w:hyperlink w:anchor="__RefHeading___Toc39740_2142443653">
            <w:r>
              <w:rPr>
                <w:webHidden/>
                <w:rStyle w:val="IndexLink"/>
                <w:rtl w:val="true"/>
              </w:rPr>
              <w:t>توجیه الشیخ لموثقة إسحاق بن عمّار والمناقشة فیه</w:t>
            </w:r>
            <w:r>
              <w:rPr>
                <w:rStyle w:val="IndexLink"/>
                <w:rtl w:val="true"/>
              </w:rPr>
              <w:tab/>
            </w:r>
            <w:r>
              <w:rPr>
                <w:rStyle w:val="IndexLink"/>
              </w:rPr>
              <w:t>398</w:t>
            </w:r>
          </w:hyperlink>
        </w:p>
        <w:p>
          <w:pPr>
            <w:pStyle w:val="Contents4"/>
            <w:tabs>
              <w:tab w:val="clear" w:pos="8176"/>
              <w:tab w:val="right" w:pos="9026" w:leader="dot"/>
            </w:tabs>
            <w:rPr/>
          </w:pPr>
          <w:hyperlink w:anchor="__RefHeading___Toc39742_2142443653">
            <w:r>
              <w:rPr>
                <w:webHidden/>
                <w:rStyle w:val="IndexLink"/>
                <w:rtl w:val="true"/>
              </w:rPr>
              <w:t>مقتضی خبر إسحاق عدم الواسطة بین الدم العبیط والصفرة</w:t>
            </w:r>
            <w:r>
              <w:rPr>
                <w:rStyle w:val="IndexLink"/>
                <w:rtl w:val="true"/>
              </w:rPr>
              <w:tab/>
            </w:r>
            <w:r>
              <w:rPr>
                <w:rStyle w:val="IndexLink"/>
              </w:rPr>
              <w:t>399</w:t>
            </w:r>
          </w:hyperlink>
        </w:p>
        <w:p>
          <w:pPr>
            <w:pStyle w:val="Contents4"/>
            <w:tabs>
              <w:tab w:val="clear" w:pos="8176"/>
              <w:tab w:val="right" w:pos="9026" w:leader="dot"/>
            </w:tabs>
            <w:rPr/>
          </w:pPr>
          <w:hyperlink w:anchor="__RefHeading___Toc39744_2142443653">
            <w:r>
              <w:rPr>
                <w:webHidden/>
                <w:rStyle w:val="IndexLink"/>
                <w:rtl w:val="true"/>
              </w:rPr>
              <w:t>معنی العُبطة</w:t>
            </w:r>
            <w:r>
              <w:rPr>
                <w:rStyle w:val="IndexLink"/>
                <w:rtl w:val="true"/>
              </w:rPr>
              <w:tab/>
            </w:r>
            <w:r>
              <w:rPr>
                <w:rStyle w:val="IndexLink"/>
              </w:rPr>
              <w:t>399</w:t>
            </w:r>
          </w:hyperlink>
        </w:p>
        <w:p>
          <w:pPr>
            <w:pStyle w:val="Contents3"/>
            <w:tabs>
              <w:tab w:val="clear" w:pos="8459"/>
              <w:tab w:val="right" w:pos="9026" w:leader="dot"/>
            </w:tabs>
            <w:rPr/>
          </w:pPr>
          <w:hyperlink w:anchor="__RefHeading___Toc39746_2142443653">
            <w:r>
              <w:rPr>
                <w:webHidden/>
                <w:rStyle w:val="IndexLink"/>
                <w:rtl w:val="true"/>
              </w:rPr>
              <w:t>الحائض تطهر عند وقت الصلاة</w:t>
            </w:r>
            <w:r>
              <w:rPr>
                <w:rStyle w:val="IndexLink"/>
                <w:rtl w:val="true"/>
              </w:rPr>
              <w:tab/>
            </w:r>
            <w:r>
              <w:rPr>
                <w:rStyle w:val="IndexLink"/>
              </w:rPr>
              <w:t>399</w:t>
            </w:r>
          </w:hyperlink>
        </w:p>
        <w:p>
          <w:pPr>
            <w:pStyle w:val="Contents4"/>
            <w:tabs>
              <w:tab w:val="clear" w:pos="8176"/>
              <w:tab w:val="right" w:pos="9026" w:leader="dot"/>
            </w:tabs>
            <w:rPr/>
          </w:pPr>
          <w:hyperlink w:anchor="__RefHeading___Toc39748_2142443653">
            <w:r>
              <w:rPr>
                <w:webHidden/>
                <w:rStyle w:val="IndexLink"/>
                <w:rtl w:val="true"/>
              </w:rPr>
              <w:t>اشارة</w:t>
            </w:r>
            <w:r>
              <w:rPr>
                <w:rStyle w:val="IndexLink"/>
                <w:rtl w:val="true"/>
              </w:rPr>
              <w:tab/>
            </w:r>
            <w:r>
              <w:rPr>
                <w:rStyle w:val="IndexLink"/>
              </w:rPr>
              <w:t>399</w:t>
            </w:r>
          </w:hyperlink>
        </w:p>
        <w:p>
          <w:pPr>
            <w:pStyle w:val="Contents4"/>
            <w:tabs>
              <w:tab w:val="clear" w:pos="8176"/>
              <w:tab w:val="right" w:pos="9026" w:leader="dot"/>
            </w:tabs>
            <w:rPr/>
          </w:pPr>
          <w:hyperlink w:anchor="__RefHeading___Toc39750_2142443653">
            <w:r>
              <w:rPr>
                <w:webHidden/>
                <w:rStyle w:val="IndexLink"/>
                <w:rtl w:val="true"/>
              </w:rPr>
              <w:t>بحث حول الحجّال</w:t>
            </w:r>
            <w:r>
              <w:rPr>
                <w:rStyle w:val="IndexLink"/>
                <w:rtl w:val="true"/>
              </w:rPr>
              <w:tab/>
            </w:r>
            <w:r>
              <w:rPr>
                <w:rStyle w:val="IndexLink"/>
              </w:rPr>
              <w:t>401</w:t>
            </w:r>
          </w:hyperlink>
        </w:p>
        <w:p>
          <w:pPr>
            <w:pStyle w:val="Contents4"/>
            <w:tabs>
              <w:tab w:val="clear" w:pos="8176"/>
              <w:tab w:val="right" w:pos="9026" w:leader="dot"/>
            </w:tabs>
            <w:rPr/>
          </w:pPr>
          <w:hyperlink w:anchor="__RefHeading___Toc39752_2142443653">
            <w:r>
              <w:rPr>
                <w:webHidden/>
                <w:rStyle w:val="IndexLink"/>
                <w:rtl w:val="true"/>
              </w:rPr>
              <w:t>ثعلبة الراوی عن معمر بن یحیی هو ابن میمون</w:t>
            </w:r>
            <w:r>
              <w:rPr>
                <w:rStyle w:val="IndexLink"/>
                <w:rtl w:val="true"/>
              </w:rPr>
              <w:tab/>
            </w:r>
            <w:r>
              <w:rPr>
                <w:rStyle w:val="IndexLink"/>
              </w:rPr>
              <w:t>401</w:t>
            </w:r>
          </w:hyperlink>
        </w:p>
        <w:p>
          <w:pPr>
            <w:pStyle w:val="Contents4"/>
            <w:tabs>
              <w:tab w:val="clear" w:pos="8176"/>
              <w:tab w:val="right" w:pos="9026" w:leader="dot"/>
            </w:tabs>
            <w:rPr/>
          </w:pPr>
          <w:hyperlink w:anchor="__RefHeading___Toc39754_2142443653">
            <w:r>
              <w:rPr>
                <w:webHidden/>
                <w:rStyle w:val="IndexLink"/>
                <w:rtl w:val="true"/>
              </w:rPr>
              <w:t>معمر بن یحیی الذی یروی عنه ثعلبة بن میمون هو الثقة</w:t>
            </w:r>
            <w:r>
              <w:rPr>
                <w:rStyle w:val="IndexLink"/>
                <w:rtl w:val="true"/>
              </w:rPr>
              <w:tab/>
            </w:r>
            <w:r>
              <w:rPr>
                <w:rStyle w:val="IndexLink"/>
              </w:rPr>
              <w:t>401</w:t>
            </w:r>
          </w:hyperlink>
        </w:p>
        <w:p>
          <w:pPr>
            <w:pStyle w:val="Contents4"/>
            <w:tabs>
              <w:tab w:val="clear" w:pos="8176"/>
              <w:tab w:val="right" w:pos="9026" w:leader="dot"/>
            </w:tabs>
            <w:rPr/>
          </w:pPr>
          <w:hyperlink w:anchor="__RefHeading___Toc39756_2142443653">
            <w:r>
              <w:rPr>
                <w:webHidden/>
                <w:rStyle w:val="IndexLink"/>
                <w:rtl w:val="true"/>
              </w:rPr>
              <w:t>بحث حول الفضل بن یونس</w:t>
            </w:r>
            <w:r>
              <w:rPr>
                <w:rStyle w:val="IndexLink"/>
                <w:rtl w:val="true"/>
              </w:rPr>
              <w:tab/>
            </w:r>
            <w:r>
              <w:rPr>
                <w:rStyle w:val="IndexLink"/>
              </w:rPr>
              <w:t>401</w:t>
            </w:r>
          </w:hyperlink>
        </w:p>
        <w:p>
          <w:pPr>
            <w:pStyle w:val="Contents4"/>
            <w:tabs>
              <w:tab w:val="clear" w:pos="8176"/>
              <w:tab w:val="right" w:pos="9026" w:leader="dot"/>
            </w:tabs>
            <w:rPr/>
          </w:pPr>
          <w:hyperlink w:anchor="__RefHeading___Toc39758_2142443653">
            <w:r>
              <w:rPr>
                <w:webHidden/>
                <w:rStyle w:val="IndexLink"/>
                <w:rtl w:val="true"/>
              </w:rPr>
              <w:t>هل الاعتبار بالطهر عند وقت الفضیلة أو وقت الإجزاء؟</w:t>
            </w:r>
            <w:r>
              <w:rPr>
                <w:rStyle w:val="IndexLink"/>
                <w:rtl w:val="true"/>
              </w:rPr>
              <w:tab/>
            </w:r>
            <w:r>
              <w:rPr>
                <w:rStyle w:val="IndexLink"/>
              </w:rPr>
              <w:t>402</w:t>
            </w:r>
          </w:hyperlink>
        </w:p>
        <w:p>
          <w:pPr>
            <w:pStyle w:val="Contents4"/>
            <w:tabs>
              <w:tab w:val="clear" w:pos="8176"/>
              <w:tab w:val="right" w:pos="9026" w:leader="dot"/>
            </w:tabs>
            <w:rPr/>
          </w:pPr>
          <w:hyperlink w:anchor="__RefHeading___Toc39760_2142443653">
            <w:r>
              <w:rPr>
                <w:webHidden/>
                <w:rStyle w:val="IndexLink"/>
                <w:rtl w:val="true"/>
              </w:rPr>
              <w:t xml:space="preserve">معنی قوله علیه السلام </w:t>
            </w:r>
            <w:r>
              <w:rPr>
                <w:rStyle w:val="IndexLink"/>
                <w:rtl w:val="true"/>
              </w:rPr>
              <w:t xml:space="preserve">: « </w:t>
            </w:r>
            <w:r>
              <w:rPr>
                <w:rStyle w:val="IndexLink"/>
                <w:rtl w:val="true"/>
              </w:rPr>
              <w:t xml:space="preserve">فإن ضیّعت فعلیها صلاتان </w:t>
            </w:r>
            <w:r>
              <w:rPr>
                <w:rStyle w:val="IndexLink"/>
                <w:rtl w:val="true"/>
              </w:rPr>
              <w:t>»</w:t>
              <w:tab/>
            </w:r>
            <w:r>
              <w:rPr>
                <w:rStyle w:val="IndexLink"/>
              </w:rPr>
              <w:t>404</w:t>
            </w:r>
          </w:hyperlink>
        </w:p>
        <w:p>
          <w:pPr>
            <w:pStyle w:val="Contents4"/>
            <w:tabs>
              <w:tab w:val="clear" w:pos="8176"/>
              <w:tab w:val="right" w:pos="9026" w:leader="dot"/>
            </w:tabs>
            <w:rPr/>
          </w:pPr>
          <w:hyperlink w:anchor="__RefHeading___Toc39762_2142443653">
            <w:r>
              <w:rPr>
                <w:webHidden/>
                <w:rStyle w:val="IndexLink"/>
                <w:rtl w:val="true"/>
              </w:rPr>
              <w:t>محمد بن الربیع مشترک بین مهملین</w:t>
            </w:r>
            <w:r>
              <w:rPr>
                <w:rStyle w:val="IndexLink"/>
                <w:rtl w:val="true"/>
              </w:rPr>
              <w:tab/>
            </w:r>
            <w:r>
              <w:rPr>
                <w:rStyle w:val="IndexLink"/>
              </w:rPr>
              <w:t>405</w:t>
            </w:r>
          </w:hyperlink>
        </w:p>
        <w:p>
          <w:pPr>
            <w:pStyle w:val="Contents4"/>
            <w:tabs>
              <w:tab w:val="clear" w:pos="8176"/>
              <w:tab w:val="right" w:pos="9026" w:leader="dot"/>
            </w:tabs>
            <w:rPr/>
          </w:pPr>
          <w:hyperlink w:anchor="__RefHeading___Toc39764_2142443653">
            <w:r>
              <w:rPr>
                <w:webHidden/>
                <w:rStyle w:val="IndexLink"/>
                <w:rtl w:val="true"/>
              </w:rPr>
              <w:t>یعقوب الذی یروی عنه محمد بن علی بن محبوب هو ابن یزید</w:t>
            </w:r>
            <w:r>
              <w:rPr>
                <w:rStyle w:val="IndexLink"/>
                <w:rtl w:val="true"/>
              </w:rPr>
              <w:tab/>
            </w:r>
            <w:r>
              <w:rPr>
                <w:rStyle w:val="IndexLink"/>
              </w:rPr>
              <w:t>406</w:t>
            </w:r>
          </w:hyperlink>
        </w:p>
        <w:p>
          <w:pPr>
            <w:pStyle w:val="Contents4"/>
            <w:tabs>
              <w:tab w:val="clear" w:pos="8176"/>
              <w:tab w:val="right" w:pos="9026" w:leader="dot"/>
            </w:tabs>
            <w:rPr/>
          </w:pPr>
          <w:hyperlink w:anchor="__RefHeading___Toc39766_2142443653">
            <w:r>
              <w:rPr>
                <w:webHidden/>
                <w:rStyle w:val="IndexLink"/>
                <w:rtl w:val="true"/>
              </w:rPr>
              <w:t>المناقشة فی توجیه الشیخ لخبر منصور بن حازم</w:t>
            </w:r>
            <w:r>
              <w:rPr>
                <w:rStyle w:val="IndexLink"/>
                <w:rtl w:val="true"/>
              </w:rPr>
              <w:tab/>
            </w:r>
            <w:r>
              <w:rPr>
                <w:rStyle w:val="IndexLink"/>
              </w:rPr>
              <w:t>406</w:t>
            </w:r>
          </w:hyperlink>
        </w:p>
        <w:p>
          <w:pPr>
            <w:pStyle w:val="Contents4"/>
            <w:tabs>
              <w:tab w:val="clear" w:pos="8176"/>
              <w:tab w:val="right" w:pos="9026" w:leader="dot"/>
            </w:tabs>
            <w:rPr/>
          </w:pPr>
          <w:hyperlink w:anchor="__RefHeading___Toc39768_2142443653">
            <w:r>
              <w:rPr>
                <w:webHidden/>
                <w:rStyle w:val="IndexLink"/>
                <w:rtl w:val="true"/>
              </w:rPr>
              <w:t>المناقشة فی توجیه الشیخ لخبر أبی همام</w:t>
            </w:r>
            <w:r>
              <w:rPr>
                <w:rStyle w:val="IndexLink"/>
                <w:rtl w:val="true"/>
              </w:rPr>
              <w:tab/>
            </w:r>
            <w:r>
              <w:rPr>
                <w:rStyle w:val="IndexLink"/>
              </w:rPr>
              <w:t>407</w:t>
            </w:r>
          </w:hyperlink>
        </w:p>
        <w:p>
          <w:pPr>
            <w:pStyle w:val="Contents4"/>
            <w:tabs>
              <w:tab w:val="clear" w:pos="8176"/>
              <w:tab w:val="right" w:pos="9026" w:leader="dot"/>
            </w:tabs>
            <w:rPr/>
          </w:pPr>
          <w:hyperlink w:anchor="__RefHeading___Toc39770_2142443653">
            <w:r>
              <w:rPr>
                <w:webHidden/>
                <w:rStyle w:val="IndexLink"/>
                <w:rtl w:val="true"/>
              </w:rPr>
              <w:t>طریق الشیخ إلی علی بن الحسن مجهول</w:t>
            </w:r>
            <w:r>
              <w:rPr>
                <w:rStyle w:val="IndexLink"/>
                <w:rtl w:val="true"/>
              </w:rPr>
              <w:tab/>
            </w:r>
            <w:r>
              <w:rPr>
                <w:rStyle w:val="IndexLink"/>
              </w:rPr>
              <w:t>408</w:t>
            </w:r>
          </w:hyperlink>
        </w:p>
        <w:p>
          <w:pPr>
            <w:pStyle w:val="Contents4"/>
            <w:tabs>
              <w:tab w:val="clear" w:pos="8176"/>
              <w:tab w:val="right" w:pos="9026" w:leader="dot"/>
            </w:tabs>
            <w:rPr/>
          </w:pPr>
          <w:hyperlink w:anchor="__RefHeading___Toc39772_2142443653">
            <w:r>
              <w:rPr>
                <w:webHidden/>
                <w:rStyle w:val="IndexLink"/>
                <w:rtl w:val="true"/>
              </w:rPr>
              <w:t>محمد بن عبدالله بن زرارة لا یخلو من مدح</w:t>
            </w:r>
            <w:r>
              <w:rPr>
                <w:rStyle w:val="IndexLink"/>
                <w:rtl w:val="true"/>
              </w:rPr>
              <w:tab/>
            </w:r>
            <w:r>
              <w:rPr>
                <w:rStyle w:val="IndexLink"/>
              </w:rPr>
              <w:t>408</w:t>
            </w:r>
          </w:hyperlink>
        </w:p>
        <w:p>
          <w:pPr>
            <w:pStyle w:val="Contents4"/>
            <w:tabs>
              <w:tab w:val="clear" w:pos="8176"/>
              <w:tab w:val="right" w:pos="9026" w:leader="dot"/>
            </w:tabs>
            <w:rPr/>
          </w:pPr>
          <w:hyperlink w:anchor="__RefHeading___Toc39774_2142443653">
            <w:r>
              <w:rPr>
                <w:webHidden/>
                <w:rStyle w:val="IndexLink"/>
                <w:rtl w:val="true"/>
              </w:rPr>
              <w:t>محمد بن الفضیل مشترک بین ثقة وغیره</w:t>
            </w:r>
            <w:r>
              <w:rPr>
                <w:rStyle w:val="IndexLink"/>
                <w:rtl w:val="true"/>
              </w:rPr>
              <w:tab/>
            </w:r>
            <w:r>
              <w:rPr>
                <w:rStyle w:val="IndexLink"/>
              </w:rPr>
              <w:t>409</w:t>
            </w:r>
          </w:hyperlink>
        </w:p>
        <w:p>
          <w:pPr>
            <w:pStyle w:val="Contents4"/>
            <w:tabs>
              <w:tab w:val="clear" w:pos="8176"/>
              <w:tab w:val="right" w:pos="9026" w:leader="dot"/>
            </w:tabs>
            <w:rPr/>
          </w:pPr>
          <w:hyperlink w:anchor="__RefHeading___Toc39776_2142443653">
            <w:r>
              <w:rPr>
                <w:webHidden/>
                <w:rStyle w:val="IndexLink"/>
                <w:rtl w:val="true"/>
              </w:rPr>
              <w:t>أبو الصباح هو إبراهیم بن نعیم الثقة</w:t>
            </w:r>
            <w:r>
              <w:rPr>
                <w:rStyle w:val="IndexLink"/>
                <w:rtl w:val="true"/>
              </w:rPr>
              <w:tab/>
            </w:r>
            <w:r>
              <w:rPr>
                <w:rStyle w:val="IndexLink"/>
              </w:rPr>
              <w:t>409</w:t>
            </w:r>
          </w:hyperlink>
        </w:p>
        <w:p>
          <w:pPr>
            <w:pStyle w:val="Contents4"/>
            <w:tabs>
              <w:tab w:val="clear" w:pos="8176"/>
              <w:tab w:val="right" w:pos="9026" w:leader="dot"/>
            </w:tabs>
            <w:rPr/>
          </w:pPr>
          <w:hyperlink w:anchor="__RefHeading___Toc39778_2142443653">
            <w:r>
              <w:rPr>
                <w:webHidden/>
                <w:rStyle w:val="IndexLink"/>
                <w:rtl w:val="true"/>
              </w:rPr>
              <w:t>علی بن الحسن فطحی</w:t>
            </w:r>
            <w:r>
              <w:rPr>
                <w:rStyle w:val="IndexLink"/>
                <w:rtl w:val="true"/>
              </w:rPr>
              <w:tab/>
            </w:r>
            <w:r>
              <w:rPr>
                <w:rStyle w:val="IndexLink"/>
              </w:rPr>
              <w:t>409</w:t>
            </w:r>
          </w:hyperlink>
        </w:p>
        <w:p>
          <w:pPr>
            <w:pStyle w:val="Contents4"/>
            <w:tabs>
              <w:tab w:val="clear" w:pos="8176"/>
              <w:tab w:val="right" w:pos="9026" w:leader="dot"/>
            </w:tabs>
            <w:rPr/>
          </w:pPr>
          <w:hyperlink w:anchor="__RefHeading___Toc39780_2142443653">
            <w:r>
              <w:rPr>
                <w:webHidden/>
                <w:rStyle w:val="IndexLink"/>
                <w:rtl w:val="true"/>
              </w:rPr>
              <w:t>بحث حول داود الزجاجی</w:t>
            </w:r>
            <w:r>
              <w:rPr>
                <w:rStyle w:val="IndexLink"/>
                <w:rtl w:val="true"/>
              </w:rPr>
              <w:tab/>
            </w:r>
            <w:r>
              <w:rPr>
                <w:rStyle w:val="IndexLink"/>
              </w:rPr>
              <w:t>409</w:t>
            </w:r>
          </w:hyperlink>
        </w:p>
        <w:p>
          <w:pPr>
            <w:pStyle w:val="Contents4"/>
            <w:tabs>
              <w:tab w:val="clear" w:pos="8176"/>
              <w:tab w:val="right" w:pos="9026" w:leader="dot"/>
            </w:tabs>
            <w:rPr/>
          </w:pPr>
          <w:hyperlink w:anchor="__RefHeading___Toc39782_2142443653">
            <w:r>
              <w:rPr>
                <w:webHidden/>
                <w:rStyle w:val="IndexLink"/>
                <w:rtl w:val="true"/>
              </w:rPr>
              <w:t>محمد فطحی غیر موثق</w:t>
            </w:r>
            <w:r>
              <w:rPr>
                <w:rStyle w:val="IndexLink"/>
                <w:rtl w:val="true"/>
              </w:rPr>
              <w:tab/>
            </w:r>
            <w:r>
              <w:rPr>
                <w:rStyle w:val="IndexLink"/>
              </w:rPr>
              <w:t>409</w:t>
            </w:r>
          </w:hyperlink>
        </w:p>
        <w:p>
          <w:pPr>
            <w:pStyle w:val="Contents4"/>
            <w:tabs>
              <w:tab w:val="clear" w:pos="8176"/>
              <w:tab w:val="right" w:pos="9026" w:leader="dot"/>
            </w:tabs>
            <w:rPr/>
          </w:pPr>
          <w:hyperlink w:anchor="__RefHeading___Toc39784_2142443653">
            <w:r>
              <w:rPr>
                <w:webHidden/>
                <w:rStyle w:val="IndexLink"/>
                <w:rtl w:val="true"/>
              </w:rPr>
              <w:t>أبو جمیلة ضعیف</w:t>
            </w:r>
            <w:r>
              <w:rPr>
                <w:rStyle w:val="IndexLink"/>
                <w:rtl w:val="true"/>
              </w:rPr>
              <w:tab/>
            </w:r>
            <w:r>
              <w:rPr>
                <w:rStyle w:val="IndexLink"/>
              </w:rPr>
              <w:t>409</w:t>
            </w:r>
          </w:hyperlink>
        </w:p>
        <w:p>
          <w:pPr>
            <w:pStyle w:val="Contents4"/>
            <w:tabs>
              <w:tab w:val="clear" w:pos="8176"/>
              <w:tab w:val="right" w:pos="9026" w:leader="dot"/>
            </w:tabs>
            <w:rPr/>
          </w:pPr>
          <w:hyperlink w:anchor="__RefHeading___Toc39786_2142443653">
            <w:r>
              <w:rPr>
                <w:webHidden/>
                <w:rStyle w:val="IndexLink"/>
                <w:rtl w:val="true"/>
              </w:rPr>
              <w:t>المناقشة فی توجیه الشیخ للأخبار الدالّة علی أنّ الطهر قبل طلوع الفجر وغروب الشمس یقتضی صلاة العشائین والظهرین</w:t>
            </w:r>
            <w:r>
              <w:rPr>
                <w:rStyle w:val="IndexLink"/>
                <w:rtl w:val="true"/>
              </w:rPr>
              <w:tab/>
            </w:r>
            <w:r>
              <w:rPr>
                <w:rStyle w:val="IndexLink"/>
              </w:rPr>
              <w:t>410</w:t>
            </w:r>
          </w:hyperlink>
        </w:p>
        <w:p>
          <w:pPr>
            <w:pStyle w:val="Contents4"/>
            <w:tabs>
              <w:tab w:val="clear" w:pos="8176"/>
              <w:tab w:val="right" w:pos="9026" w:leader="dot"/>
            </w:tabs>
            <w:rPr/>
          </w:pPr>
          <w:hyperlink w:anchor="__RefHeading___Toc39788_2142443653">
            <w:r>
              <w:rPr>
                <w:webHidden/>
                <w:rStyle w:val="IndexLink"/>
                <w:rtl w:val="true"/>
              </w:rPr>
              <w:t>کلام العلّامة فی المسألة والمناقشة فیه</w:t>
            </w:r>
            <w:r>
              <w:rPr>
                <w:rStyle w:val="IndexLink"/>
                <w:rtl w:val="true"/>
              </w:rPr>
              <w:tab/>
            </w:r>
            <w:r>
              <w:rPr>
                <w:rStyle w:val="IndexLink"/>
              </w:rPr>
              <w:t>410</w:t>
            </w:r>
          </w:hyperlink>
        </w:p>
        <w:p>
          <w:pPr>
            <w:pStyle w:val="Contents3"/>
            <w:tabs>
              <w:tab w:val="clear" w:pos="8459"/>
              <w:tab w:val="right" w:pos="9026" w:leader="dot"/>
            </w:tabs>
            <w:rPr/>
          </w:pPr>
          <w:hyperlink w:anchor="__RefHeading___Toc39790_2142443653">
            <w:r>
              <w:rPr>
                <w:webHidden/>
                <w:rStyle w:val="IndexLink"/>
                <w:rtl w:val="true"/>
              </w:rPr>
              <w:t>المرأة تحیض بعد أن دخل علیها وقت الصلاة</w:t>
            </w:r>
            <w:r>
              <w:rPr>
                <w:rStyle w:val="IndexLink"/>
                <w:rtl w:val="true"/>
              </w:rPr>
              <w:tab/>
            </w:r>
            <w:r>
              <w:rPr>
                <w:rStyle w:val="IndexLink"/>
              </w:rPr>
              <w:t>412</w:t>
            </w:r>
          </w:hyperlink>
        </w:p>
        <w:p>
          <w:pPr>
            <w:pStyle w:val="Contents4"/>
            <w:tabs>
              <w:tab w:val="clear" w:pos="8176"/>
              <w:tab w:val="right" w:pos="9026" w:leader="dot"/>
            </w:tabs>
            <w:rPr/>
          </w:pPr>
          <w:hyperlink w:anchor="__RefHeading___Toc39792_2142443653">
            <w:r>
              <w:rPr>
                <w:webHidden/>
                <w:rStyle w:val="IndexLink"/>
                <w:rtl w:val="true"/>
              </w:rPr>
              <w:t>بحث حول محمد بن الولید</w:t>
            </w:r>
            <w:r>
              <w:rPr>
                <w:rStyle w:val="IndexLink"/>
                <w:rtl w:val="true"/>
              </w:rPr>
              <w:tab/>
            </w:r>
            <w:r>
              <w:rPr>
                <w:rStyle w:val="IndexLink"/>
              </w:rPr>
              <w:t>412</w:t>
            </w:r>
          </w:hyperlink>
        </w:p>
        <w:p>
          <w:pPr>
            <w:pStyle w:val="Contents4"/>
            <w:tabs>
              <w:tab w:val="clear" w:pos="8176"/>
              <w:tab w:val="right" w:pos="9026" w:leader="dot"/>
            </w:tabs>
            <w:rPr/>
          </w:pPr>
          <w:hyperlink w:anchor="__RefHeading___Toc39794_2142443653">
            <w:r>
              <w:rPr>
                <w:webHidden/>
                <w:rStyle w:val="IndexLink"/>
                <w:rtl w:val="true"/>
              </w:rPr>
              <w:t>شاذان بن الخلیل مهمل</w:t>
            </w:r>
            <w:r>
              <w:rPr>
                <w:rStyle w:val="IndexLink"/>
                <w:rtl w:val="true"/>
              </w:rPr>
              <w:tab/>
            </w:r>
            <w:r>
              <w:rPr>
                <w:rStyle w:val="IndexLink"/>
              </w:rPr>
              <w:t>413</w:t>
            </w:r>
          </w:hyperlink>
        </w:p>
        <w:p>
          <w:pPr>
            <w:pStyle w:val="Contents4"/>
            <w:tabs>
              <w:tab w:val="clear" w:pos="8176"/>
              <w:tab w:val="right" w:pos="9026" w:leader="dot"/>
            </w:tabs>
            <w:rPr/>
          </w:pPr>
          <w:hyperlink w:anchor="__RefHeading___Toc39796_2142443653">
            <w:r>
              <w:rPr>
                <w:webHidden/>
                <w:rStyle w:val="IndexLink"/>
                <w:rtl w:val="true"/>
              </w:rPr>
              <w:t>وجوب قضاء الظهر إن حاضت بعد مضی أربعة أقدام</w:t>
            </w:r>
            <w:r>
              <w:rPr>
                <w:rStyle w:val="IndexLink"/>
                <w:rtl w:val="true"/>
              </w:rPr>
              <w:tab/>
            </w:r>
            <w:r>
              <w:rPr>
                <w:rStyle w:val="IndexLink"/>
              </w:rPr>
              <w:t>413</w:t>
            </w:r>
          </w:hyperlink>
        </w:p>
        <w:p>
          <w:pPr>
            <w:pStyle w:val="Contents4"/>
            <w:tabs>
              <w:tab w:val="clear" w:pos="8176"/>
              <w:tab w:val="right" w:pos="9026" w:leader="dot"/>
            </w:tabs>
            <w:rPr/>
          </w:pPr>
          <w:hyperlink w:anchor="__RefHeading___Toc39798_2142443653">
            <w:r>
              <w:rPr>
                <w:webHidden/>
                <w:rStyle w:val="IndexLink"/>
                <w:rtl w:val="true"/>
              </w:rPr>
              <w:t>کلام صاحب المدارک فی وجوب قضاء الفرض الذی مضی مقداره والمناقشة فیه</w:t>
            </w:r>
            <w:r>
              <w:rPr>
                <w:rStyle w:val="IndexLink"/>
                <w:rtl w:val="true"/>
              </w:rPr>
              <w:tab/>
            </w:r>
            <w:r>
              <w:rPr>
                <w:rStyle w:val="IndexLink"/>
              </w:rPr>
              <w:t>415</w:t>
            </w:r>
          </w:hyperlink>
        </w:p>
        <w:p>
          <w:pPr>
            <w:pStyle w:val="Contents4"/>
            <w:tabs>
              <w:tab w:val="clear" w:pos="8176"/>
              <w:tab w:val="right" w:pos="9026" w:leader="dot"/>
            </w:tabs>
            <w:rPr/>
          </w:pPr>
          <w:hyperlink w:anchor="__RefHeading___Toc39800_2142443653">
            <w:r>
              <w:rPr>
                <w:webHidden/>
                <w:rStyle w:val="IndexLink"/>
                <w:rtl w:val="true"/>
              </w:rPr>
              <w:t>أبو الورد مهمل</w:t>
            </w:r>
            <w:r>
              <w:rPr>
                <w:rStyle w:val="IndexLink"/>
                <w:rtl w:val="true"/>
              </w:rPr>
              <w:tab/>
            </w:r>
            <w:r>
              <w:rPr>
                <w:rStyle w:val="IndexLink"/>
              </w:rPr>
              <w:t>417</w:t>
            </w:r>
          </w:hyperlink>
        </w:p>
        <w:p>
          <w:pPr>
            <w:pStyle w:val="Contents4"/>
            <w:tabs>
              <w:tab w:val="clear" w:pos="8176"/>
              <w:tab w:val="right" w:pos="9026" w:leader="dot"/>
            </w:tabs>
            <w:rPr/>
          </w:pPr>
          <w:hyperlink w:anchor="__RefHeading___Toc39802_2142443653">
            <w:r>
              <w:rPr>
                <w:webHidden/>
                <w:rStyle w:val="IndexLink"/>
                <w:rtl w:val="true"/>
              </w:rPr>
              <w:t>علی بن رئاب لیس فی جلالته ارتیاب</w:t>
            </w:r>
            <w:r>
              <w:rPr>
                <w:rStyle w:val="IndexLink"/>
                <w:rtl w:val="true"/>
              </w:rPr>
              <w:tab/>
            </w:r>
            <w:r>
              <w:rPr>
                <w:rStyle w:val="IndexLink"/>
              </w:rPr>
              <w:t>417</w:t>
            </w:r>
          </w:hyperlink>
        </w:p>
        <w:p>
          <w:pPr>
            <w:pStyle w:val="Contents4"/>
            <w:tabs>
              <w:tab w:val="clear" w:pos="8176"/>
              <w:tab w:val="right" w:pos="9026" w:leader="dot"/>
            </w:tabs>
            <w:rPr/>
          </w:pPr>
          <w:hyperlink w:anchor="__RefHeading___Toc39804_2142443653">
            <w:r>
              <w:rPr>
                <w:webHidden/>
                <w:rStyle w:val="IndexLink"/>
                <w:rtl w:val="true"/>
              </w:rPr>
              <w:t>ابن محبوب الراوی عن علی بن رئاب هو الحسن</w:t>
            </w:r>
            <w:r>
              <w:rPr>
                <w:rStyle w:val="IndexLink"/>
                <w:rtl w:val="true"/>
              </w:rPr>
              <w:tab/>
            </w:r>
            <w:r>
              <w:rPr>
                <w:rStyle w:val="IndexLink"/>
              </w:rPr>
              <w:t>418</w:t>
            </w:r>
          </w:hyperlink>
        </w:p>
        <w:p>
          <w:pPr>
            <w:pStyle w:val="Contents4"/>
            <w:tabs>
              <w:tab w:val="clear" w:pos="8176"/>
              <w:tab w:val="right" w:pos="9026" w:leader="dot"/>
            </w:tabs>
            <w:rPr/>
          </w:pPr>
          <w:hyperlink w:anchor="__RefHeading___Toc39806_2142443653">
            <w:r>
              <w:rPr>
                <w:webHidden/>
                <w:rStyle w:val="IndexLink"/>
                <w:rtl w:val="true"/>
              </w:rPr>
              <w:t>بحث حول أبی عبیدة</w:t>
            </w:r>
            <w:r>
              <w:rPr>
                <w:rStyle w:val="IndexLink"/>
                <w:rtl w:val="true"/>
              </w:rPr>
              <w:tab/>
            </w:r>
            <w:r>
              <w:rPr>
                <w:rStyle w:val="IndexLink"/>
              </w:rPr>
              <w:t>418</w:t>
            </w:r>
          </w:hyperlink>
        </w:p>
        <w:p>
          <w:pPr>
            <w:pStyle w:val="Contents4"/>
            <w:tabs>
              <w:tab w:val="clear" w:pos="8176"/>
              <w:tab w:val="right" w:pos="9026" w:leader="dot"/>
            </w:tabs>
            <w:rPr/>
          </w:pPr>
          <w:hyperlink w:anchor="__RefHeading___Toc39808_2142443653">
            <w:r>
              <w:rPr>
                <w:webHidden/>
                <w:rStyle w:val="IndexLink"/>
                <w:rtl w:val="true"/>
              </w:rPr>
              <w:t>حکم المرأة التی صلّت من الظهر أو المغرب رکعتین ثمّ حاضت</w:t>
            </w:r>
            <w:r>
              <w:rPr>
                <w:rStyle w:val="IndexLink"/>
                <w:rtl w:val="true"/>
              </w:rPr>
              <w:tab/>
            </w:r>
            <w:r>
              <w:rPr>
                <w:rStyle w:val="IndexLink"/>
              </w:rPr>
              <w:t>419</w:t>
            </w:r>
          </w:hyperlink>
        </w:p>
        <w:p>
          <w:pPr>
            <w:pStyle w:val="Contents3"/>
            <w:tabs>
              <w:tab w:val="clear" w:pos="8459"/>
              <w:tab w:val="right" w:pos="9026" w:leader="dot"/>
            </w:tabs>
            <w:rPr/>
          </w:pPr>
          <w:hyperlink w:anchor="__RefHeading___Toc39810_2142443653">
            <w:r>
              <w:rPr>
                <w:webHidden/>
                <w:rStyle w:val="IndexLink"/>
                <w:rtl w:val="true"/>
              </w:rPr>
              <w:t>المرأة تحیض فی یوم من أیّام شهر رمضان</w:t>
            </w:r>
            <w:r>
              <w:rPr>
                <w:rStyle w:val="IndexLink"/>
                <w:rtl w:val="true"/>
              </w:rPr>
              <w:tab/>
            </w:r>
            <w:r>
              <w:rPr>
                <w:rStyle w:val="IndexLink"/>
              </w:rPr>
              <w:t>421</w:t>
            </w:r>
          </w:hyperlink>
        </w:p>
        <w:p>
          <w:pPr>
            <w:pStyle w:val="Contents4"/>
            <w:tabs>
              <w:tab w:val="clear" w:pos="8176"/>
              <w:tab w:val="right" w:pos="9026" w:leader="dot"/>
            </w:tabs>
            <w:rPr/>
          </w:pPr>
          <w:hyperlink w:anchor="__RefHeading___Toc39812_2142443653">
            <w:r>
              <w:rPr>
                <w:webHidden/>
                <w:rStyle w:val="IndexLink"/>
                <w:rtl w:val="true"/>
              </w:rPr>
              <w:t>اشارة</w:t>
            </w:r>
            <w:r>
              <w:rPr>
                <w:rStyle w:val="IndexLink"/>
                <w:rtl w:val="true"/>
              </w:rPr>
              <w:tab/>
            </w:r>
            <w:r>
              <w:rPr>
                <w:rStyle w:val="IndexLink"/>
              </w:rPr>
              <w:t>421</w:t>
            </w:r>
          </w:hyperlink>
        </w:p>
        <w:p>
          <w:pPr>
            <w:pStyle w:val="Contents4"/>
            <w:tabs>
              <w:tab w:val="clear" w:pos="8176"/>
              <w:tab w:val="right" w:pos="9026" w:leader="dot"/>
            </w:tabs>
            <w:rPr/>
          </w:pPr>
          <w:hyperlink w:anchor="__RefHeading___Toc39814_2142443653">
            <w:r>
              <w:rPr>
                <w:webHidden/>
                <w:rStyle w:val="IndexLink"/>
                <w:rtl w:val="true"/>
              </w:rPr>
              <w:t>فی عدّ السند المشتمل علی مصدق بن صدقة وعمار بن موسی من الموثق تأمّل</w:t>
            </w:r>
            <w:r>
              <w:rPr>
                <w:rStyle w:val="IndexLink"/>
                <w:rtl w:val="true"/>
              </w:rPr>
              <w:tab/>
            </w:r>
            <w:r>
              <w:rPr>
                <w:rStyle w:val="IndexLink"/>
              </w:rPr>
              <w:t>422</w:t>
            </w:r>
          </w:hyperlink>
        </w:p>
        <w:p>
          <w:pPr>
            <w:pStyle w:val="Contents4"/>
            <w:tabs>
              <w:tab w:val="clear" w:pos="8176"/>
              <w:tab w:val="right" w:pos="9026" w:leader="dot"/>
            </w:tabs>
            <w:rPr/>
          </w:pPr>
          <w:hyperlink w:anchor="__RefHeading___Toc39816_2142443653">
            <w:r>
              <w:rPr>
                <w:webHidden/>
                <w:rStyle w:val="IndexLink"/>
                <w:rtl w:val="true"/>
              </w:rPr>
              <w:t xml:space="preserve">عبدالرحمان بن أبی نجران وصفوان بن یحیی وعیص بن القاسم لا ارتیاب فی ثقتهم </w:t>
            </w:r>
            <w:r>
              <w:rPr>
                <w:rStyle w:val="IndexLink"/>
                <w:rtl w:val="true"/>
              </w:rPr>
              <w:t xml:space="preserve">.. </w:t>
            </w:r>
            <w:r>
              <w:rPr>
                <w:rStyle w:val="IndexLink"/>
              </w:rPr>
              <w:t>408</w:t>
            </w:r>
            <w:r>
              <w:rPr>
                <w:rStyle w:val="IndexLink"/>
                <w:rtl w:val="true"/>
              </w:rPr>
              <w:tab/>
            </w:r>
            <w:r>
              <w:rPr>
                <w:rStyle w:val="IndexLink"/>
              </w:rPr>
              <w:t>422</w:t>
            </w:r>
          </w:hyperlink>
        </w:p>
        <w:p>
          <w:pPr>
            <w:pStyle w:val="Contents4"/>
            <w:tabs>
              <w:tab w:val="clear" w:pos="8176"/>
              <w:tab w:val="right" w:pos="9026" w:leader="dot"/>
            </w:tabs>
            <w:rPr/>
          </w:pPr>
          <w:hyperlink w:anchor="__RefHeading___Toc39818_2142443653">
            <w:r>
              <w:rPr>
                <w:webHidden/>
                <w:rStyle w:val="IndexLink"/>
                <w:rtl w:val="true"/>
              </w:rPr>
              <w:t>محمد بن حمران مشترک بین الثقة وغیره</w:t>
            </w:r>
            <w:r>
              <w:rPr>
                <w:rStyle w:val="IndexLink"/>
                <w:rtl w:val="true"/>
              </w:rPr>
              <w:tab/>
            </w:r>
            <w:r>
              <w:rPr>
                <w:rStyle w:val="IndexLink"/>
              </w:rPr>
              <w:t>422</w:t>
            </w:r>
          </w:hyperlink>
        </w:p>
        <w:p>
          <w:pPr>
            <w:pStyle w:val="Contents4"/>
            <w:tabs>
              <w:tab w:val="clear" w:pos="8176"/>
              <w:tab w:val="right" w:pos="9026" w:leader="dot"/>
            </w:tabs>
            <w:rPr/>
          </w:pPr>
          <w:hyperlink w:anchor="__RefHeading___Toc39820_2142443653">
            <w:r>
              <w:rPr>
                <w:webHidden/>
                <w:rStyle w:val="IndexLink"/>
                <w:rtl w:val="true"/>
              </w:rPr>
              <w:t>حکم الحائض إذا طهرت بعد طلوع الفجر فی شهر رمضان</w:t>
            </w:r>
            <w:r>
              <w:rPr>
                <w:rStyle w:val="IndexLink"/>
                <w:rtl w:val="true"/>
              </w:rPr>
              <w:tab/>
            </w:r>
            <w:r>
              <w:rPr>
                <w:rStyle w:val="IndexLink"/>
              </w:rPr>
              <w:t>422</w:t>
            </w:r>
          </w:hyperlink>
        </w:p>
        <w:p>
          <w:pPr>
            <w:pStyle w:val="Contents4"/>
            <w:tabs>
              <w:tab w:val="clear" w:pos="8176"/>
              <w:tab w:val="right" w:pos="9026" w:leader="dot"/>
            </w:tabs>
            <w:rPr/>
          </w:pPr>
          <w:hyperlink w:anchor="__RefHeading___Toc39822_2142443653">
            <w:r>
              <w:rPr>
                <w:webHidden/>
                <w:rStyle w:val="IndexLink"/>
                <w:rtl w:val="true"/>
              </w:rPr>
              <w:t>حکم الصائمة إذا طمثت</w:t>
            </w:r>
            <w:r>
              <w:rPr>
                <w:rStyle w:val="IndexLink"/>
                <w:rtl w:val="true"/>
              </w:rPr>
              <w:tab/>
            </w:r>
            <w:r>
              <w:rPr>
                <w:rStyle w:val="IndexLink"/>
              </w:rPr>
              <w:t>422</w:t>
            </w:r>
          </w:hyperlink>
        </w:p>
        <w:p>
          <w:pPr>
            <w:pStyle w:val="Contents4"/>
            <w:tabs>
              <w:tab w:val="clear" w:pos="8176"/>
              <w:tab w:val="right" w:pos="9026" w:leader="dot"/>
            </w:tabs>
            <w:rPr/>
          </w:pPr>
          <w:hyperlink w:anchor="__RefHeading___Toc39824_2142443653">
            <w:r>
              <w:rPr>
                <w:webHidden/>
                <w:rStyle w:val="IndexLink"/>
                <w:rtl w:val="true"/>
              </w:rPr>
              <w:t>محمد بن حمران الذی یروی عنه علی بن أسباط هو الثقة</w:t>
            </w:r>
            <w:r>
              <w:rPr>
                <w:rStyle w:val="IndexLink"/>
                <w:rtl w:val="true"/>
              </w:rPr>
              <w:tab/>
            </w:r>
            <w:r>
              <w:rPr>
                <w:rStyle w:val="IndexLink"/>
              </w:rPr>
              <w:t>423</w:t>
            </w:r>
          </w:hyperlink>
        </w:p>
        <w:p>
          <w:pPr>
            <w:pStyle w:val="Contents4"/>
            <w:tabs>
              <w:tab w:val="clear" w:pos="8176"/>
              <w:tab w:val="right" w:pos="9026" w:leader="dot"/>
            </w:tabs>
            <w:rPr/>
          </w:pPr>
          <w:hyperlink w:anchor="__RefHeading___Toc39826_2142443653">
            <w:r>
              <w:rPr>
                <w:webHidden/>
                <w:rStyle w:val="IndexLink"/>
                <w:rtl w:val="true"/>
              </w:rPr>
              <w:t>توهّم الراوی ینافی ضبطه</w:t>
            </w:r>
            <w:r>
              <w:rPr>
                <w:rStyle w:val="IndexLink"/>
                <w:rtl w:val="true"/>
              </w:rPr>
              <w:tab/>
            </w:r>
            <w:r>
              <w:rPr>
                <w:rStyle w:val="IndexLink"/>
              </w:rPr>
              <w:t>424</w:t>
            </w:r>
          </w:hyperlink>
        </w:p>
        <w:p>
          <w:pPr>
            <w:pStyle w:val="Contents4"/>
            <w:tabs>
              <w:tab w:val="clear" w:pos="8176"/>
              <w:tab w:val="right" w:pos="9026" w:leader="dot"/>
            </w:tabs>
            <w:rPr/>
          </w:pPr>
          <w:hyperlink w:anchor="__RefHeading___Toc39828_2142443653">
            <w:r>
              <w:rPr>
                <w:webHidden/>
                <w:rStyle w:val="IndexLink"/>
                <w:rtl w:val="true"/>
              </w:rPr>
              <w:t>حکم الصائمة إذا طمثت بعد زوال الشمس</w:t>
            </w:r>
            <w:r>
              <w:rPr>
                <w:rStyle w:val="IndexLink"/>
                <w:rtl w:val="true"/>
              </w:rPr>
              <w:tab/>
            </w:r>
            <w:r>
              <w:rPr>
                <w:rStyle w:val="IndexLink"/>
              </w:rPr>
              <w:t>424</w:t>
            </w:r>
          </w:hyperlink>
        </w:p>
        <w:p>
          <w:pPr>
            <w:pStyle w:val="Contents3"/>
            <w:tabs>
              <w:tab w:val="clear" w:pos="8459"/>
              <w:tab w:val="right" w:pos="9026" w:leader="dot"/>
            </w:tabs>
            <w:rPr/>
          </w:pPr>
          <w:hyperlink w:anchor="__RefHeading___Toc39830_2142443653">
            <w:r>
              <w:rPr>
                <w:webHidden/>
                <w:rStyle w:val="IndexLink"/>
                <w:rtl w:val="true"/>
              </w:rPr>
              <w:t>المرأة الجنب تحیض علیها غسل واحد أم غسلان؟</w:t>
            </w:r>
            <w:r>
              <w:rPr>
                <w:rStyle w:val="IndexLink"/>
                <w:rtl w:val="true"/>
              </w:rPr>
              <w:tab/>
            </w:r>
            <w:r>
              <w:rPr>
                <w:rStyle w:val="IndexLink"/>
              </w:rPr>
              <w:t>426</w:t>
            </w:r>
          </w:hyperlink>
        </w:p>
        <w:p>
          <w:pPr>
            <w:pStyle w:val="Contents4"/>
            <w:tabs>
              <w:tab w:val="clear" w:pos="8176"/>
              <w:tab w:val="right" w:pos="9026" w:leader="dot"/>
            </w:tabs>
            <w:rPr/>
          </w:pPr>
          <w:hyperlink w:anchor="__RefHeading___Toc39832_2142443653">
            <w:r>
              <w:rPr>
                <w:webHidden/>
                <w:rStyle w:val="IndexLink"/>
                <w:rtl w:val="true"/>
              </w:rPr>
              <w:t>اشارة</w:t>
            </w:r>
            <w:r>
              <w:rPr>
                <w:rStyle w:val="IndexLink"/>
                <w:rtl w:val="true"/>
              </w:rPr>
              <w:tab/>
            </w:r>
            <w:r>
              <w:rPr>
                <w:rStyle w:val="IndexLink"/>
              </w:rPr>
              <w:t>426</w:t>
            </w:r>
          </w:hyperlink>
        </w:p>
        <w:p>
          <w:pPr>
            <w:pStyle w:val="Contents4"/>
            <w:tabs>
              <w:tab w:val="clear" w:pos="8176"/>
              <w:tab w:val="right" w:pos="9026" w:leader="dot"/>
            </w:tabs>
            <w:rPr/>
          </w:pPr>
          <w:hyperlink w:anchor="__RefHeading___Toc39834_2142443653">
            <w:r>
              <w:rPr>
                <w:webHidden/>
                <w:rStyle w:val="IndexLink"/>
                <w:rtl w:val="true"/>
              </w:rPr>
              <w:t>محمد بن اسماعیل مشترک بین الثقة وغیره</w:t>
            </w:r>
            <w:r>
              <w:rPr>
                <w:rStyle w:val="IndexLink"/>
                <w:rtl w:val="true"/>
              </w:rPr>
              <w:tab/>
            </w:r>
            <w:r>
              <w:rPr>
                <w:rStyle w:val="IndexLink"/>
              </w:rPr>
              <w:t>427</w:t>
            </w:r>
          </w:hyperlink>
        </w:p>
        <w:p>
          <w:pPr>
            <w:pStyle w:val="Contents4"/>
            <w:tabs>
              <w:tab w:val="clear" w:pos="8176"/>
              <w:tab w:val="right" w:pos="9026" w:leader="dot"/>
            </w:tabs>
            <w:rPr/>
          </w:pPr>
          <w:hyperlink w:anchor="__RefHeading___Toc39836_2142443653">
            <w:r>
              <w:rPr>
                <w:webHidden/>
                <w:rStyle w:val="IndexLink"/>
                <w:rtl w:val="true"/>
              </w:rPr>
              <w:t>تداخل الاغسال الواجبة والمندوبة والمختلفة وکیفیة النیّة فیها</w:t>
            </w:r>
            <w:r>
              <w:rPr>
                <w:rStyle w:val="IndexLink"/>
                <w:rtl w:val="true"/>
              </w:rPr>
              <w:tab/>
            </w:r>
            <w:r>
              <w:rPr>
                <w:rStyle w:val="IndexLink"/>
              </w:rPr>
              <w:t>428</w:t>
            </w:r>
          </w:hyperlink>
        </w:p>
        <w:p>
          <w:pPr>
            <w:pStyle w:val="Contents4"/>
            <w:tabs>
              <w:tab w:val="clear" w:pos="8176"/>
              <w:tab w:val="right" w:pos="9026" w:leader="dot"/>
            </w:tabs>
            <w:rPr/>
          </w:pPr>
          <w:hyperlink w:anchor="__RefHeading___Toc39838_2142443653">
            <w:r>
              <w:rPr>
                <w:webHidden/>
                <w:rStyle w:val="IndexLink"/>
                <w:rtl w:val="true"/>
              </w:rPr>
              <w:t>إشارة إلی حال عثمان بن عیسی</w:t>
            </w:r>
            <w:r>
              <w:rPr>
                <w:rStyle w:val="IndexLink"/>
                <w:rtl w:val="true"/>
              </w:rPr>
              <w:tab/>
            </w:r>
            <w:r>
              <w:rPr>
                <w:rStyle w:val="IndexLink"/>
              </w:rPr>
              <w:t>437</w:t>
            </w:r>
          </w:hyperlink>
        </w:p>
        <w:p>
          <w:pPr>
            <w:pStyle w:val="Contents4"/>
            <w:tabs>
              <w:tab w:val="clear" w:pos="8176"/>
              <w:tab w:val="right" w:pos="9026" w:leader="dot"/>
            </w:tabs>
            <w:rPr/>
          </w:pPr>
          <w:hyperlink w:anchor="__RefHeading___Toc39840_2142443653">
            <w:r>
              <w:rPr>
                <w:webHidden/>
                <w:rStyle w:val="IndexLink"/>
                <w:rtl w:val="true"/>
              </w:rPr>
              <w:t>عدم التنافی بین خبر سماعة والاخبار الدالّة علی تداخل الأغسال</w:t>
            </w:r>
            <w:r>
              <w:rPr>
                <w:rStyle w:val="IndexLink"/>
                <w:rtl w:val="true"/>
              </w:rPr>
              <w:tab/>
            </w:r>
            <w:r>
              <w:rPr>
                <w:rStyle w:val="IndexLink"/>
              </w:rPr>
              <w:t>437</w:t>
            </w:r>
          </w:hyperlink>
        </w:p>
        <w:p>
          <w:pPr>
            <w:pStyle w:val="Contents4"/>
            <w:tabs>
              <w:tab w:val="clear" w:pos="8176"/>
              <w:tab w:val="right" w:pos="9026" w:leader="dot"/>
            </w:tabs>
            <w:rPr/>
          </w:pPr>
          <w:hyperlink w:anchor="__RefHeading___Toc39842_2142443653">
            <w:r>
              <w:rPr>
                <w:webHidden/>
                <w:rStyle w:val="IndexLink"/>
                <w:rtl w:val="true"/>
              </w:rPr>
              <w:t>المناقشة فی توجیه الشیخ لخبر سماعة</w:t>
            </w:r>
            <w:r>
              <w:rPr>
                <w:rStyle w:val="IndexLink"/>
                <w:rtl w:val="true"/>
              </w:rPr>
              <w:tab/>
            </w:r>
            <w:r>
              <w:rPr>
                <w:rStyle w:val="IndexLink"/>
              </w:rPr>
              <w:t>438</w:t>
            </w:r>
          </w:hyperlink>
        </w:p>
        <w:p>
          <w:pPr>
            <w:pStyle w:val="Contents4"/>
            <w:tabs>
              <w:tab w:val="clear" w:pos="8176"/>
              <w:tab w:val="right" w:pos="9026" w:leader="dot"/>
            </w:tabs>
            <w:rPr/>
          </w:pPr>
          <w:hyperlink w:anchor="__RefHeading___Toc39844_2142443653">
            <w:r>
              <w:rPr>
                <w:webHidden/>
                <w:rStyle w:val="IndexLink"/>
                <w:rtl w:val="true"/>
              </w:rPr>
              <w:t>یستفاد من خبر عمار أنّ غسل الجنابة بتقدیر الوجوب النفسی موسّع</w:t>
            </w:r>
            <w:r>
              <w:rPr>
                <w:rStyle w:val="IndexLink"/>
                <w:rtl w:val="true"/>
              </w:rPr>
              <w:tab/>
            </w:r>
            <w:r>
              <w:rPr>
                <w:rStyle w:val="IndexLink"/>
              </w:rPr>
              <w:t>439</w:t>
            </w:r>
          </w:hyperlink>
        </w:p>
        <w:p>
          <w:pPr>
            <w:pStyle w:val="Contents4"/>
            <w:tabs>
              <w:tab w:val="clear" w:pos="8176"/>
              <w:tab w:val="right" w:pos="9026" w:leader="dot"/>
            </w:tabs>
            <w:rPr/>
          </w:pPr>
          <w:hyperlink w:anchor="__RefHeading___Toc39846_2142443653">
            <w:r>
              <w:rPr>
                <w:webHidden/>
                <w:rStyle w:val="IndexLink"/>
                <w:rtl w:val="true"/>
              </w:rPr>
              <w:t>کلام العلّامة حول إجزاء غسل الجنابة والجمعة أحدهما عن الآخر والمناقشة فیه</w:t>
            </w:r>
            <w:r>
              <w:rPr>
                <w:rStyle w:val="IndexLink"/>
                <w:rtl w:val="true"/>
              </w:rPr>
              <w:tab/>
            </w:r>
            <w:r>
              <w:rPr>
                <w:rStyle w:val="IndexLink"/>
              </w:rPr>
              <w:t>440</w:t>
            </w:r>
          </w:hyperlink>
        </w:p>
        <w:p>
          <w:pPr>
            <w:pStyle w:val="Contents3"/>
            <w:tabs>
              <w:tab w:val="clear" w:pos="8459"/>
              <w:tab w:val="right" w:pos="9026" w:leader="dot"/>
            </w:tabs>
            <w:rPr/>
          </w:pPr>
          <w:hyperlink w:anchor="__RefHeading___Toc39848_2142443653">
            <w:r>
              <w:rPr>
                <w:webHidden/>
                <w:rStyle w:val="IndexLink"/>
                <w:rtl w:val="true"/>
              </w:rPr>
              <w:t>مقدار الماء الذی تغتسل به الحائض</w:t>
            </w:r>
            <w:r>
              <w:rPr>
                <w:rStyle w:val="IndexLink"/>
                <w:rtl w:val="true"/>
              </w:rPr>
              <w:tab/>
            </w:r>
            <w:r>
              <w:rPr>
                <w:rStyle w:val="IndexLink"/>
              </w:rPr>
              <w:t>441</w:t>
            </w:r>
          </w:hyperlink>
        </w:p>
        <w:p>
          <w:pPr>
            <w:pStyle w:val="Contents4"/>
            <w:tabs>
              <w:tab w:val="clear" w:pos="8176"/>
              <w:tab w:val="right" w:pos="9026" w:leader="dot"/>
            </w:tabs>
            <w:rPr/>
          </w:pPr>
          <w:hyperlink w:anchor="__RefHeading___Toc39850_2142443653">
            <w:r>
              <w:rPr>
                <w:webHidden/>
                <w:rStyle w:val="IndexLink"/>
                <w:rtl w:val="true"/>
              </w:rPr>
              <w:t>اشارة</w:t>
            </w:r>
            <w:r>
              <w:rPr>
                <w:rStyle w:val="IndexLink"/>
                <w:rtl w:val="true"/>
              </w:rPr>
              <w:tab/>
            </w:r>
            <w:r>
              <w:rPr>
                <w:rStyle w:val="IndexLink"/>
              </w:rPr>
              <w:t>441</w:t>
            </w:r>
          </w:hyperlink>
        </w:p>
        <w:p>
          <w:pPr>
            <w:pStyle w:val="Contents4"/>
            <w:tabs>
              <w:tab w:val="clear" w:pos="8176"/>
              <w:tab w:val="right" w:pos="9026" w:leader="dot"/>
            </w:tabs>
            <w:rPr/>
          </w:pPr>
          <w:hyperlink w:anchor="__RefHeading___Toc39852_2142443653">
            <w:r>
              <w:rPr>
                <w:webHidden/>
                <w:rStyle w:val="IndexLink"/>
                <w:rtl w:val="true"/>
              </w:rPr>
              <w:t>بحث حول المثنی الحنّاط</w:t>
            </w:r>
            <w:r>
              <w:rPr>
                <w:rStyle w:val="IndexLink"/>
                <w:rtl w:val="true"/>
              </w:rPr>
              <w:tab/>
            </w:r>
            <w:r>
              <w:rPr>
                <w:rStyle w:val="IndexLink"/>
              </w:rPr>
              <w:t>442</w:t>
            </w:r>
          </w:hyperlink>
        </w:p>
        <w:p>
          <w:pPr>
            <w:pStyle w:val="Contents4"/>
            <w:tabs>
              <w:tab w:val="clear" w:pos="8176"/>
              <w:tab w:val="right" w:pos="9026" w:leader="dot"/>
            </w:tabs>
            <w:rPr/>
          </w:pPr>
          <w:hyperlink w:anchor="__RefHeading___Toc39854_2142443653">
            <w:r>
              <w:rPr>
                <w:webHidden/>
                <w:rStyle w:val="IndexLink"/>
                <w:rtl w:val="true"/>
              </w:rPr>
              <w:t>بحث حول الحسن الصیقل</w:t>
            </w:r>
            <w:r>
              <w:rPr>
                <w:rStyle w:val="IndexLink"/>
                <w:rtl w:val="true"/>
              </w:rPr>
              <w:tab/>
            </w:r>
            <w:r>
              <w:rPr>
                <w:rStyle w:val="IndexLink"/>
              </w:rPr>
              <w:t>443</w:t>
            </w:r>
          </w:hyperlink>
        </w:p>
        <w:p>
          <w:pPr>
            <w:pStyle w:val="Contents4"/>
            <w:tabs>
              <w:tab w:val="clear" w:pos="8176"/>
              <w:tab w:val="right" w:pos="9026" w:leader="dot"/>
            </w:tabs>
            <w:rPr/>
          </w:pPr>
          <w:hyperlink w:anchor="__RefHeading___Toc39856_2142443653">
            <w:r>
              <w:rPr>
                <w:webHidden/>
                <w:rStyle w:val="IndexLink"/>
                <w:rtl w:val="true"/>
              </w:rPr>
              <w:t>محمد بن الفضیل مشترک بین الثقة والضعیف</w:t>
            </w:r>
            <w:r>
              <w:rPr>
                <w:rStyle w:val="IndexLink"/>
                <w:rtl w:val="true"/>
              </w:rPr>
              <w:tab/>
            </w:r>
            <w:r>
              <w:rPr>
                <w:rStyle w:val="IndexLink"/>
              </w:rPr>
              <w:t>443</w:t>
            </w:r>
          </w:hyperlink>
        </w:p>
        <w:p>
          <w:pPr>
            <w:pStyle w:val="Contents4"/>
            <w:tabs>
              <w:tab w:val="clear" w:pos="8176"/>
              <w:tab w:val="right" w:pos="9026" w:leader="dot"/>
            </w:tabs>
            <w:rPr/>
          </w:pPr>
          <w:hyperlink w:anchor="__RefHeading___Toc39858_2142443653">
            <w:r>
              <w:rPr>
                <w:webHidden/>
                <w:rStyle w:val="IndexLink"/>
                <w:rtl w:val="true"/>
              </w:rPr>
              <w:t>بحث فی یعقوب بن یزید</w:t>
            </w:r>
            <w:r>
              <w:rPr>
                <w:rStyle w:val="IndexLink"/>
                <w:rtl w:val="true"/>
              </w:rPr>
              <w:tab/>
            </w:r>
            <w:r>
              <w:rPr>
                <w:rStyle w:val="IndexLink"/>
              </w:rPr>
              <w:t>443</w:t>
            </w:r>
          </w:hyperlink>
        </w:p>
        <w:p>
          <w:pPr>
            <w:pStyle w:val="Contents4"/>
            <w:tabs>
              <w:tab w:val="clear" w:pos="8176"/>
              <w:tab w:val="right" w:pos="9026" w:leader="dot"/>
            </w:tabs>
            <w:rPr/>
          </w:pPr>
          <w:hyperlink w:anchor="__RefHeading___Toc39860_2142443653">
            <w:r>
              <w:rPr>
                <w:webHidden/>
                <w:rStyle w:val="IndexLink"/>
                <w:rtl w:val="true"/>
              </w:rPr>
              <w:t>معنی الفَرَق والفَرق</w:t>
            </w:r>
            <w:r>
              <w:rPr>
                <w:rStyle w:val="IndexLink"/>
                <w:rtl w:val="true"/>
              </w:rPr>
              <w:tab/>
            </w:r>
            <w:r>
              <w:rPr>
                <w:rStyle w:val="IndexLink"/>
              </w:rPr>
              <w:t>444</w:t>
            </w:r>
          </w:hyperlink>
        </w:p>
        <w:p>
          <w:pPr>
            <w:pStyle w:val="Contents3"/>
            <w:tabs>
              <w:tab w:val="clear" w:pos="8459"/>
              <w:tab w:val="right" w:pos="9026" w:leader="dot"/>
            </w:tabs>
            <w:rPr/>
          </w:pPr>
          <w:hyperlink w:anchor="__RefHeading___Toc39862_2142443653">
            <w:r>
              <w:rPr>
                <w:webHidden/>
                <w:rStyle w:val="IndexLink"/>
                <w:rtl w:val="true"/>
              </w:rPr>
              <w:t>الحیض والعدّة إلی النساء</w:t>
            </w:r>
            <w:r>
              <w:rPr>
                <w:rStyle w:val="IndexLink"/>
                <w:rtl w:val="true"/>
              </w:rPr>
              <w:tab/>
            </w:r>
            <w:r>
              <w:rPr>
                <w:rStyle w:val="IndexLink"/>
              </w:rPr>
              <w:t>445</w:t>
            </w:r>
          </w:hyperlink>
        </w:p>
        <w:p>
          <w:pPr>
            <w:pStyle w:val="Contents4"/>
            <w:tabs>
              <w:tab w:val="clear" w:pos="8176"/>
              <w:tab w:val="right" w:pos="9026" w:leader="dot"/>
            </w:tabs>
            <w:rPr/>
          </w:pPr>
          <w:hyperlink w:anchor="__RefHeading___Toc39864_2142443653">
            <w:r>
              <w:rPr>
                <w:webHidden/>
                <w:rStyle w:val="IndexLink"/>
                <w:rtl w:val="true"/>
              </w:rPr>
              <w:t>اشارة</w:t>
            </w:r>
            <w:r>
              <w:rPr>
                <w:rStyle w:val="IndexLink"/>
                <w:rtl w:val="true"/>
              </w:rPr>
              <w:tab/>
            </w:r>
            <w:r>
              <w:rPr>
                <w:rStyle w:val="IndexLink"/>
              </w:rPr>
              <w:t>445</w:t>
            </w:r>
          </w:hyperlink>
        </w:p>
        <w:p>
          <w:pPr>
            <w:pStyle w:val="Contents4"/>
            <w:tabs>
              <w:tab w:val="clear" w:pos="8176"/>
              <w:tab w:val="right" w:pos="9026" w:leader="dot"/>
            </w:tabs>
            <w:rPr/>
          </w:pPr>
          <w:hyperlink w:anchor="__RefHeading___Toc39866_2142443653">
            <w:r>
              <w:rPr>
                <w:webHidden/>
                <w:rStyle w:val="IndexLink"/>
                <w:rtl w:val="true"/>
              </w:rPr>
              <w:t>بحث حول إسماعیل بن أبی زیاد</w:t>
            </w:r>
            <w:r>
              <w:rPr>
                <w:rStyle w:val="IndexLink"/>
                <w:rtl w:val="true"/>
              </w:rPr>
              <w:tab/>
            </w:r>
            <w:r>
              <w:rPr>
                <w:rStyle w:val="IndexLink"/>
              </w:rPr>
              <w:t>446</w:t>
            </w:r>
          </w:hyperlink>
        </w:p>
        <w:p>
          <w:pPr>
            <w:pStyle w:val="Contents4"/>
            <w:tabs>
              <w:tab w:val="clear" w:pos="8176"/>
              <w:tab w:val="right" w:pos="9026" w:leader="dot"/>
            </w:tabs>
            <w:rPr/>
          </w:pPr>
          <w:hyperlink w:anchor="__RefHeading___Toc39868_2142443653">
            <w:r>
              <w:rPr>
                <w:webHidden/>
                <w:rStyle w:val="IndexLink"/>
                <w:rtl w:val="true"/>
              </w:rPr>
              <w:t>ظهور حدیث زرارة علی قبول قول المرأة فی العدّة والحیض</w:t>
            </w:r>
            <w:r>
              <w:rPr>
                <w:rStyle w:val="IndexLink"/>
                <w:rtl w:val="true"/>
              </w:rPr>
              <w:tab/>
            </w:r>
            <w:r>
              <w:rPr>
                <w:rStyle w:val="IndexLink"/>
              </w:rPr>
              <w:t>446</w:t>
            </w:r>
          </w:hyperlink>
        </w:p>
        <w:p>
          <w:pPr>
            <w:pStyle w:val="Contents4"/>
            <w:tabs>
              <w:tab w:val="clear" w:pos="8176"/>
              <w:tab w:val="right" w:pos="9026" w:leader="dot"/>
            </w:tabs>
            <w:rPr/>
          </w:pPr>
          <w:hyperlink w:anchor="__RefHeading___Toc39870_2142443653">
            <w:r>
              <w:rPr>
                <w:webHidden/>
                <w:rStyle w:val="IndexLink"/>
                <w:rtl w:val="true"/>
              </w:rPr>
              <w:t>توجیه ما دل علی عدم قبول قول المرأة فی العدّة والحیض</w:t>
            </w:r>
            <w:r>
              <w:rPr>
                <w:rStyle w:val="IndexLink"/>
                <w:rtl w:val="true"/>
              </w:rPr>
              <w:tab/>
            </w:r>
            <w:r>
              <w:rPr>
                <w:rStyle w:val="IndexLink"/>
              </w:rPr>
              <w:t>446</w:t>
            </w:r>
          </w:hyperlink>
        </w:p>
        <w:p>
          <w:pPr>
            <w:pStyle w:val="Contents3"/>
            <w:tabs>
              <w:tab w:val="clear" w:pos="8459"/>
              <w:tab w:val="right" w:pos="9026" w:leader="dot"/>
            </w:tabs>
            <w:rPr/>
          </w:pPr>
          <w:hyperlink w:anchor="__RefHeading___Toc39872_2142443653">
            <w:r>
              <w:rPr>
                <w:webHidden/>
                <w:rStyle w:val="IndexLink"/>
                <w:rtl w:val="true"/>
              </w:rPr>
              <w:t>الاستظهار للمستحاضة</w:t>
            </w:r>
            <w:r>
              <w:rPr>
                <w:rStyle w:val="IndexLink"/>
                <w:rtl w:val="true"/>
              </w:rPr>
              <w:tab/>
            </w:r>
            <w:r>
              <w:rPr>
                <w:rStyle w:val="IndexLink"/>
              </w:rPr>
              <w:t>447</w:t>
            </w:r>
          </w:hyperlink>
        </w:p>
        <w:p>
          <w:pPr>
            <w:pStyle w:val="Contents4"/>
            <w:tabs>
              <w:tab w:val="clear" w:pos="8176"/>
              <w:tab w:val="right" w:pos="9026" w:leader="dot"/>
            </w:tabs>
            <w:rPr/>
          </w:pPr>
          <w:hyperlink w:anchor="__RefHeading___Toc39874_2142443653">
            <w:r>
              <w:rPr>
                <w:webHidden/>
                <w:rStyle w:val="IndexLink"/>
                <w:rtl w:val="true"/>
              </w:rPr>
              <w:t>اشارة</w:t>
            </w:r>
            <w:r>
              <w:rPr>
                <w:rStyle w:val="IndexLink"/>
                <w:rtl w:val="true"/>
              </w:rPr>
              <w:tab/>
            </w:r>
            <w:r>
              <w:rPr>
                <w:rStyle w:val="IndexLink"/>
              </w:rPr>
              <w:t>447</w:t>
            </w:r>
          </w:hyperlink>
        </w:p>
        <w:p>
          <w:pPr>
            <w:pStyle w:val="Contents4"/>
            <w:tabs>
              <w:tab w:val="clear" w:pos="8176"/>
              <w:tab w:val="right" w:pos="9026" w:leader="dot"/>
            </w:tabs>
            <w:rPr/>
          </w:pPr>
          <w:hyperlink w:anchor="__RefHeading___Toc39876_2142443653">
            <w:r>
              <w:rPr>
                <w:webHidden/>
                <w:rStyle w:val="IndexLink"/>
                <w:rtl w:val="true"/>
              </w:rPr>
              <w:t>بحث حول إسماعیل الجعفی</w:t>
            </w:r>
            <w:r>
              <w:rPr>
                <w:rStyle w:val="IndexLink"/>
                <w:rtl w:val="true"/>
              </w:rPr>
              <w:tab/>
            </w:r>
            <w:r>
              <w:rPr>
                <w:rStyle w:val="IndexLink"/>
              </w:rPr>
              <w:t>449</w:t>
            </w:r>
          </w:hyperlink>
        </w:p>
        <w:p>
          <w:pPr>
            <w:pStyle w:val="Contents4"/>
            <w:tabs>
              <w:tab w:val="clear" w:pos="8176"/>
              <w:tab w:val="right" w:pos="9026" w:leader="dot"/>
            </w:tabs>
            <w:rPr/>
          </w:pPr>
          <w:hyperlink w:anchor="__RefHeading___Toc39878_2142443653">
            <w:r>
              <w:rPr>
                <w:webHidden/>
                <w:rStyle w:val="IndexLink"/>
                <w:rtl w:val="true"/>
              </w:rPr>
              <w:t>سعید بن یسار ثقة</w:t>
            </w:r>
            <w:r>
              <w:rPr>
                <w:rStyle w:val="IndexLink"/>
                <w:rtl w:val="true"/>
              </w:rPr>
              <w:tab/>
            </w:r>
            <w:r>
              <w:rPr>
                <w:rStyle w:val="IndexLink"/>
              </w:rPr>
              <w:t>449</w:t>
            </w:r>
          </w:hyperlink>
        </w:p>
        <w:p>
          <w:pPr>
            <w:pStyle w:val="Contents4"/>
            <w:tabs>
              <w:tab w:val="clear" w:pos="8176"/>
              <w:tab w:val="right" w:pos="9026" w:leader="dot"/>
            </w:tabs>
            <w:rPr/>
          </w:pPr>
          <w:hyperlink w:anchor="__RefHeading___Toc39880_2142443653">
            <w:r>
              <w:rPr>
                <w:webHidden/>
                <w:rStyle w:val="IndexLink"/>
                <w:rtl w:val="true"/>
              </w:rPr>
              <w:t>السند المشتمل علی أحمد بن محمد بن عیسی عن أبی جعفر عن ابن أبی نصر لا یخلو من تشویش</w:t>
            </w:r>
            <w:r>
              <w:rPr>
                <w:rStyle w:val="IndexLink"/>
                <w:rtl w:val="true"/>
              </w:rPr>
              <w:tab/>
            </w:r>
            <w:r>
              <w:rPr>
                <w:rStyle w:val="IndexLink"/>
              </w:rPr>
              <w:t>449</w:t>
            </w:r>
          </w:hyperlink>
        </w:p>
        <w:p>
          <w:pPr>
            <w:pStyle w:val="Contents4"/>
            <w:tabs>
              <w:tab w:val="clear" w:pos="8176"/>
              <w:tab w:val="right" w:pos="9026" w:leader="dot"/>
            </w:tabs>
            <w:rPr/>
          </w:pPr>
          <w:hyperlink w:anchor="__RefHeading___Toc39882_2142443653">
            <w:r>
              <w:rPr>
                <w:webHidden/>
                <w:rStyle w:val="IndexLink"/>
                <w:rtl w:val="true"/>
              </w:rPr>
              <w:t>محمد بن خالد البرقی فیه کلام</w:t>
            </w:r>
            <w:r>
              <w:rPr>
                <w:rStyle w:val="IndexLink"/>
                <w:rtl w:val="true"/>
              </w:rPr>
              <w:tab/>
            </w:r>
            <w:r>
              <w:rPr>
                <w:rStyle w:val="IndexLink"/>
              </w:rPr>
              <w:t>450</w:t>
            </w:r>
          </w:hyperlink>
        </w:p>
        <w:p>
          <w:pPr>
            <w:pStyle w:val="Contents4"/>
            <w:tabs>
              <w:tab w:val="clear" w:pos="8176"/>
              <w:tab w:val="right" w:pos="9026" w:leader="dot"/>
            </w:tabs>
            <w:rPr/>
          </w:pPr>
          <w:hyperlink w:anchor="__RefHeading___Toc39884_2142443653">
            <w:r>
              <w:rPr>
                <w:webHidden/>
                <w:rStyle w:val="IndexLink"/>
                <w:rtl w:val="true"/>
              </w:rPr>
              <w:t>محمد بن عمرو بن سعید هو ابن الزیّات الثقة</w:t>
            </w:r>
            <w:r>
              <w:rPr>
                <w:rStyle w:val="IndexLink"/>
                <w:rtl w:val="true"/>
              </w:rPr>
              <w:tab/>
            </w:r>
            <w:r>
              <w:rPr>
                <w:rStyle w:val="IndexLink"/>
              </w:rPr>
              <w:t>450</w:t>
            </w:r>
          </w:hyperlink>
        </w:p>
        <w:p>
          <w:pPr>
            <w:pStyle w:val="Contents4"/>
            <w:tabs>
              <w:tab w:val="clear" w:pos="8176"/>
              <w:tab w:val="right" w:pos="9026" w:leader="dot"/>
            </w:tabs>
            <w:rPr/>
          </w:pPr>
          <w:hyperlink w:anchor="__RefHeading___Toc39886_2142443653">
            <w:r>
              <w:rPr>
                <w:webHidden/>
                <w:rStyle w:val="IndexLink"/>
                <w:rtl w:val="true"/>
              </w:rPr>
              <w:t>ما یستفاد من خبر إسماعیل الجعفی وسعید بن یسار</w:t>
            </w:r>
            <w:r>
              <w:rPr>
                <w:rStyle w:val="IndexLink"/>
                <w:rtl w:val="true"/>
              </w:rPr>
              <w:tab/>
            </w:r>
            <w:r>
              <w:rPr>
                <w:rStyle w:val="IndexLink"/>
              </w:rPr>
              <w:t>450</w:t>
            </w:r>
          </w:hyperlink>
        </w:p>
        <w:p>
          <w:pPr>
            <w:pStyle w:val="Contents4"/>
            <w:tabs>
              <w:tab w:val="clear" w:pos="8176"/>
              <w:tab w:val="right" w:pos="9026" w:leader="dot"/>
            </w:tabs>
            <w:rPr/>
          </w:pPr>
          <w:hyperlink w:anchor="__RefHeading___Toc39888_2142443653">
            <w:r>
              <w:rPr>
                <w:webHidden/>
                <w:rStyle w:val="IndexLink"/>
                <w:rtl w:val="true"/>
              </w:rPr>
              <w:t>کلام العلّامة فی الاستظهار والمناقشة فیه</w:t>
            </w:r>
            <w:r>
              <w:rPr>
                <w:rStyle w:val="IndexLink"/>
                <w:rtl w:val="true"/>
              </w:rPr>
              <w:tab/>
            </w:r>
            <w:r>
              <w:rPr>
                <w:rStyle w:val="IndexLink"/>
              </w:rPr>
              <w:t>452</w:t>
            </w:r>
          </w:hyperlink>
        </w:p>
        <w:p>
          <w:pPr>
            <w:pStyle w:val="Contents4"/>
            <w:tabs>
              <w:tab w:val="clear" w:pos="8176"/>
              <w:tab w:val="right" w:pos="9026" w:leader="dot"/>
            </w:tabs>
            <w:rPr/>
          </w:pPr>
          <w:hyperlink w:anchor="__RefHeading___Toc39890_2142443653">
            <w:r>
              <w:rPr>
                <w:webHidden/>
                <w:rStyle w:val="IndexLink"/>
                <w:rtl w:val="true"/>
              </w:rPr>
              <w:t>هل الاستظهار علی سبیل الوجوب أو الاستحباب؟</w:t>
            </w:r>
            <w:r>
              <w:rPr>
                <w:rStyle w:val="IndexLink"/>
                <w:rtl w:val="true"/>
              </w:rPr>
              <w:tab/>
            </w:r>
            <w:r>
              <w:rPr>
                <w:rStyle w:val="IndexLink"/>
              </w:rPr>
              <w:t>454</w:t>
            </w:r>
          </w:hyperlink>
        </w:p>
        <w:p>
          <w:pPr>
            <w:pStyle w:val="Contents4"/>
            <w:tabs>
              <w:tab w:val="clear" w:pos="8176"/>
              <w:tab w:val="right" w:pos="9026" w:leader="dot"/>
            </w:tabs>
            <w:rPr/>
          </w:pPr>
          <w:hyperlink w:anchor="__RefHeading___Toc39892_2142443653">
            <w:r>
              <w:rPr>
                <w:webHidden/>
                <w:rStyle w:val="IndexLink"/>
                <w:rtl w:val="true"/>
              </w:rPr>
              <w:t>عدد أیّام الاستظهار</w:t>
            </w:r>
            <w:r>
              <w:rPr>
                <w:rStyle w:val="IndexLink"/>
                <w:rtl w:val="true"/>
              </w:rPr>
              <w:tab/>
            </w:r>
            <w:r>
              <w:rPr>
                <w:rStyle w:val="IndexLink"/>
              </w:rPr>
              <w:t>455</w:t>
            </w:r>
          </w:hyperlink>
        </w:p>
        <w:p>
          <w:pPr>
            <w:pStyle w:val="Contents4"/>
            <w:tabs>
              <w:tab w:val="clear" w:pos="8176"/>
              <w:tab w:val="right" w:pos="9026" w:leader="dot"/>
            </w:tabs>
            <w:rPr/>
          </w:pPr>
          <w:hyperlink w:anchor="__RefHeading___Toc39894_2142443653">
            <w:r>
              <w:rPr>
                <w:webHidden/>
                <w:rStyle w:val="IndexLink"/>
                <w:rtl w:val="true"/>
              </w:rPr>
              <w:t>معنی الاستظهار</w:t>
            </w:r>
            <w:r>
              <w:rPr>
                <w:rStyle w:val="IndexLink"/>
                <w:rtl w:val="true"/>
              </w:rPr>
              <w:tab/>
            </w:r>
            <w:r>
              <w:rPr>
                <w:rStyle w:val="IndexLink"/>
              </w:rPr>
              <w:t>456</w:t>
            </w:r>
          </w:hyperlink>
        </w:p>
        <w:p>
          <w:pPr>
            <w:pStyle w:val="Contents4"/>
            <w:tabs>
              <w:tab w:val="clear" w:pos="8176"/>
              <w:tab w:val="right" w:pos="9026" w:leader="dot"/>
            </w:tabs>
            <w:rPr/>
          </w:pPr>
          <w:hyperlink w:anchor="__RefHeading___Toc39896_2142443653">
            <w:r>
              <w:rPr>
                <w:webHidden/>
                <w:rStyle w:val="IndexLink"/>
                <w:rtl w:val="true"/>
              </w:rPr>
              <w:t>إشارة إلی أنّ یونس بن یعقوب فطحی ثقة</w:t>
            </w:r>
            <w:r>
              <w:rPr>
                <w:rStyle w:val="IndexLink"/>
                <w:rtl w:val="true"/>
              </w:rPr>
              <w:tab/>
            </w:r>
            <w:r>
              <w:rPr>
                <w:rStyle w:val="IndexLink"/>
              </w:rPr>
              <w:t>457</w:t>
            </w:r>
          </w:hyperlink>
        </w:p>
        <w:p>
          <w:pPr>
            <w:pStyle w:val="Contents4"/>
            <w:tabs>
              <w:tab w:val="clear" w:pos="8176"/>
              <w:tab w:val="right" w:pos="9026" w:leader="dot"/>
            </w:tabs>
            <w:rPr/>
          </w:pPr>
          <w:hyperlink w:anchor="__RefHeading___Toc39898_2142443653">
            <w:r>
              <w:rPr>
                <w:webHidden/>
                <w:rStyle w:val="IndexLink"/>
                <w:rtl w:val="true"/>
              </w:rPr>
              <w:t>بحث حول موسی بن الحسن</w:t>
            </w:r>
            <w:r>
              <w:rPr>
                <w:rStyle w:val="IndexLink"/>
                <w:rtl w:val="true"/>
              </w:rPr>
              <w:tab/>
            </w:r>
            <w:r>
              <w:rPr>
                <w:rStyle w:val="IndexLink"/>
              </w:rPr>
              <w:t>457</w:t>
            </w:r>
          </w:hyperlink>
        </w:p>
        <w:p>
          <w:pPr>
            <w:pStyle w:val="Contents4"/>
            <w:tabs>
              <w:tab w:val="clear" w:pos="8176"/>
              <w:tab w:val="right" w:pos="9026" w:leader="dot"/>
            </w:tabs>
            <w:rPr/>
          </w:pPr>
          <w:hyperlink w:anchor="__RefHeading___Toc39900_2142443653">
            <w:r>
              <w:rPr>
                <w:webHidden/>
                <w:rStyle w:val="IndexLink"/>
                <w:rtl w:val="true"/>
              </w:rPr>
              <w:t>أحمد بن هلال ضعیف</w:t>
            </w:r>
            <w:r>
              <w:rPr>
                <w:rStyle w:val="IndexLink"/>
                <w:rtl w:val="true"/>
              </w:rPr>
              <w:tab/>
            </w:r>
            <w:r>
              <w:rPr>
                <w:rStyle w:val="IndexLink"/>
              </w:rPr>
              <w:t>458</w:t>
            </w:r>
          </w:hyperlink>
        </w:p>
        <w:p>
          <w:pPr>
            <w:pStyle w:val="Contents4"/>
            <w:tabs>
              <w:tab w:val="clear" w:pos="8176"/>
              <w:tab w:val="right" w:pos="9026" w:leader="dot"/>
            </w:tabs>
            <w:rPr/>
          </w:pPr>
          <w:hyperlink w:anchor="__RefHeading___Toc39902_2142443653">
            <w:r>
              <w:rPr>
                <w:webHidden/>
                <w:rStyle w:val="IndexLink"/>
                <w:rtl w:val="true"/>
              </w:rPr>
              <w:t>داود مولی أبی المغرا غیر مذکور فی الرجال</w:t>
            </w:r>
            <w:r>
              <w:rPr>
                <w:rStyle w:val="IndexLink"/>
                <w:rtl w:val="true"/>
              </w:rPr>
              <w:tab/>
            </w:r>
            <w:r>
              <w:rPr>
                <w:rStyle w:val="IndexLink"/>
              </w:rPr>
              <w:t>458</w:t>
            </w:r>
          </w:hyperlink>
        </w:p>
        <w:p>
          <w:pPr>
            <w:pStyle w:val="Contents4"/>
            <w:tabs>
              <w:tab w:val="clear" w:pos="8176"/>
              <w:tab w:val="right" w:pos="9026" w:leader="dot"/>
            </w:tabs>
            <w:rPr/>
          </w:pPr>
          <w:hyperlink w:anchor="__RefHeading___Toc39904_2142443653">
            <w:r>
              <w:rPr>
                <w:webHidden/>
                <w:rStyle w:val="IndexLink"/>
                <w:rtl w:val="true"/>
              </w:rPr>
              <w:t>توجیه ما دلّ علی الاستظهار بعشرة أیّام</w:t>
            </w:r>
            <w:r>
              <w:rPr>
                <w:rStyle w:val="IndexLink"/>
                <w:rtl w:val="true"/>
              </w:rPr>
              <w:tab/>
            </w:r>
            <w:r>
              <w:rPr>
                <w:rStyle w:val="IndexLink"/>
              </w:rPr>
              <w:t>458</w:t>
            </w:r>
          </w:hyperlink>
        </w:p>
        <w:p>
          <w:pPr>
            <w:pStyle w:val="Contents3"/>
            <w:tabs>
              <w:tab w:val="clear" w:pos="8459"/>
              <w:tab w:val="right" w:pos="9026" w:leader="dot"/>
            </w:tabs>
            <w:rPr/>
          </w:pPr>
          <w:hyperlink w:anchor="__RefHeading___Toc39906_2142443653">
            <w:r>
              <w:rPr>
                <w:webHidden/>
                <w:rStyle w:val="IndexLink"/>
                <w:rtl w:val="true"/>
              </w:rPr>
              <w:t>أکثر أیّام النفاس</w:t>
            </w:r>
            <w:r>
              <w:rPr>
                <w:rStyle w:val="IndexLink"/>
                <w:rtl w:val="true"/>
              </w:rPr>
              <w:tab/>
            </w:r>
            <w:r>
              <w:rPr>
                <w:rStyle w:val="IndexLink"/>
              </w:rPr>
              <w:t>460</w:t>
            </w:r>
          </w:hyperlink>
        </w:p>
        <w:p>
          <w:pPr>
            <w:pStyle w:val="Contents4"/>
            <w:tabs>
              <w:tab w:val="clear" w:pos="8176"/>
              <w:tab w:val="right" w:pos="9026" w:leader="dot"/>
            </w:tabs>
            <w:rPr/>
          </w:pPr>
          <w:hyperlink w:anchor="__RefHeading___Toc39908_2142443653">
            <w:r>
              <w:rPr>
                <w:webHidden/>
                <w:rStyle w:val="IndexLink"/>
                <w:rtl w:val="true"/>
              </w:rPr>
              <w:t>اشارة</w:t>
            </w:r>
            <w:r>
              <w:rPr>
                <w:rStyle w:val="IndexLink"/>
                <w:rtl w:val="true"/>
              </w:rPr>
              <w:tab/>
            </w:r>
            <w:r>
              <w:rPr>
                <w:rStyle w:val="IndexLink"/>
              </w:rPr>
              <w:t>460</w:t>
            </w:r>
          </w:hyperlink>
        </w:p>
        <w:p>
          <w:pPr>
            <w:pStyle w:val="Contents4"/>
            <w:tabs>
              <w:tab w:val="clear" w:pos="8176"/>
              <w:tab w:val="right" w:pos="9026" w:leader="dot"/>
            </w:tabs>
            <w:rPr/>
          </w:pPr>
          <w:hyperlink w:anchor="__RefHeading___Toc39910_2142443653">
            <w:r>
              <w:rPr>
                <w:webHidden/>
                <w:rStyle w:val="IndexLink"/>
                <w:rtl w:val="true"/>
              </w:rPr>
              <w:t>محمد بن أبی حمزة الراوی عن یونس بن یعقوب هو الثقة</w:t>
            </w:r>
            <w:r>
              <w:rPr>
                <w:rStyle w:val="IndexLink"/>
                <w:rtl w:val="true"/>
              </w:rPr>
              <w:tab/>
            </w:r>
            <w:r>
              <w:rPr>
                <w:rStyle w:val="IndexLink"/>
              </w:rPr>
              <w:t>462</w:t>
            </w:r>
          </w:hyperlink>
        </w:p>
        <w:p>
          <w:pPr>
            <w:pStyle w:val="Contents4"/>
            <w:tabs>
              <w:tab w:val="clear" w:pos="8176"/>
              <w:tab w:val="right" w:pos="9026" w:leader="dot"/>
            </w:tabs>
            <w:rPr/>
          </w:pPr>
          <w:hyperlink w:anchor="__RefHeading___Toc39912_2142443653">
            <w:r>
              <w:rPr>
                <w:webHidden/>
                <w:rStyle w:val="IndexLink"/>
                <w:rtl w:val="true"/>
              </w:rPr>
              <w:t>محمد بن عمرو الراوی عن یونس هو الزیّات</w:t>
            </w:r>
            <w:r>
              <w:rPr>
                <w:rStyle w:val="IndexLink"/>
                <w:rtl w:val="true"/>
              </w:rPr>
              <w:tab/>
            </w:r>
            <w:r>
              <w:rPr>
                <w:rStyle w:val="IndexLink"/>
              </w:rPr>
              <w:t>462</w:t>
            </w:r>
          </w:hyperlink>
        </w:p>
        <w:p>
          <w:pPr>
            <w:pStyle w:val="Contents4"/>
            <w:tabs>
              <w:tab w:val="clear" w:pos="8176"/>
              <w:tab w:val="right" w:pos="9026" w:leader="dot"/>
            </w:tabs>
            <w:rPr/>
          </w:pPr>
          <w:hyperlink w:anchor="__RefHeading___Toc39914_2142443653">
            <w:r>
              <w:rPr>
                <w:webHidden/>
                <w:rStyle w:val="IndexLink"/>
                <w:rtl w:val="true"/>
              </w:rPr>
              <w:t>عمرو بن عثمان الذی یروی عنه علی بن الحسن هو الخزّاز الثقة</w:t>
            </w:r>
            <w:r>
              <w:rPr>
                <w:rStyle w:val="IndexLink"/>
                <w:rtl w:val="true"/>
              </w:rPr>
              <w:tab/>
            </w:r>
            <w:r>
              <w:rPr>
                <w:rStyle w:val="IndexLink"/>
              </w:rPr>
              <w:t>462</w:t>
            </w:r>
          </w:hyperlink>
        </w:p>
        <w:p>
          <w:pPr>
            <w:pStyle w:val="Contents4"/>
            <w:tabs>
              <w:tab w:val="clear" w:pos="8176"/>
              <w:tab w:val="right" w:pos="9026" w:leader="dot"/>
            </w:tabs>
            <w:rPr/>
          </w:pPr>
          <w:hyperlink w:anchor="__RefHeading___Toc39916_2142443653">
            <w:r>
              <w:rPr>
                <w:webHidden/>
                <w:rStyle w:val="IndexLink"/>
                <w:rtl w:val="true"/>
              </w:rPr>
              <w:t>مالک بن أعین مهمل</w:t>
            </w:r>
            <w:r>
              <w:rPr>
                <w:rStyle w:val="IndexLink"/>
                <w:rtl w:val="true"/>
              </w:rPr>
              <w:tab/>
            </w:r>
            <w:r>
              <w:rPr>
                <w:rStyle w:val="IndexLink"/>
              </w:rPr>
              <w:t>462</w:t>
            </w:r>
          </w:hyperlink>
        </w:p>
        <w:p>
          <w:pPr>
            <w:pStyle w:val="Contents4"/>
            <w:tabs>
              <w:tab w:val="clear" w:pos="8176"/>
              <w:tab w:val="right" w:pos="9026" w:leader="dot"/>
            </w:tabs>
            <w:rPr/>
          </w:pPr>
          <w:hyperlink w:anchor="__RefHeading___Toc39918_2142443653">
            <w:r>
              <w:rPr>
                <w:webHidden/>
                <w:rStyle w:val="IndexLink"/>
                <w:rtl w:val="true"/>
              </w:rPr>
              <w:t>النفساء ترجع إلی عادتها فی الحیض</w:t>
            </w:r>
            <w:r>
              <w:rPr>
                <w:rStyle w:val="IndexLink"/>
                <w:rtl w:val="true"/>
              </w:rPr>
              <w:tab/>
            </w:r>
            <w:r>
              <w:rPr>
                <w:rStyle w:val="IndexLink"/>
              </w:rPr>
              <w:t>463</w:t>
            </w:r>
          </w:hyperlink>
        </w:p>
        <w:p>
          <w:pPr>
            <w:pStyle w:val="Contents4"/>
            <w:tabs>
              <w:tab w:val="clear" w:pos="8176"/>
              <w:tab w:val="right" w:pos="9026" w:leader="dot"/>
            </w:tabs>
            <w:rPr/>
          </w:pPr>
          <w:hyperlink w:anchor="__RefHeading___Toc39920_2142443653">
            <w:r>
              <w:rPr>
                <w:webHidden/>
                <w:rStyle w:val="IndexLink"/>
                <w:rtl w:val="true"/>
              </w:rPr>
              <w:t>کلام العلّامة فی المسألة والمناقشة فیه</w:t>
            </w:r>
            <w:r>
              <w:rPr>
                <w:rStyle w:val="IndexLink"/>
                <w:rtl w:val="true"/>
              </w:rPr>
              <w:tab/>
            </w:r>
            <w:r>
              <w:rPr>
                <w:rStyle w:val="IndexLink"/>
              </w:rPr>
              <w:t>463</w:t>
            </w:r>
          </w:hyperlink>
        </w:p>
        <w:p>
          <w:pPr>
            <w:pStyle w:val="Contents4"/>
            <w:tabs>
              <w:tab w:val="clear" w:pos="8176"/>
              <w:tab w:val="right" w:pos="9026" w:leader="dot"/>
            </w:tabs>
            <w:rPr/>
          </w:pPr>
          <w:hyperlink w:anchor="__RefHeading___Toc39922_2142443653">
            <w:r>
              <w:rPr>
                <w:webHidden/>
                <w:rStyle w:val="IndexLink"/>
                <w:rtl w:val="true"/>
              </w:rPr>
              <w:t>الاستظهار للنفساء</w:t>
            </w:r>
            <w:r>
              <w:rPr>
                <w:rStyle w:val="IndexLink"/>
                <w:rtl w:val="true"/>
              </w:rPr>
              <w:tab/>
            </w:r>
            <w:r>
              <w:rPr>
                <w:rStyle w:val="IndexLink"/>
              </w:rPr>
              <w:t>465</w:t>
            </w:r>
          </w:hyperlink>
        </w:p>
        <w:p>
          <w:pPr>
            <w:pStyle w:val="Contents4"/>
            <w:tabs>
              <w:tab w:val="clear" w:pos="8176"/>
              <w:tab w:val="right" w:pos="9026" w:leader="dot"/>
            </w:tabs>
            <w:rPr/>
          </w:pPr>
          <w:hyperlink w:anchor="__RefHeading___Toc39924_2142443653">
            <w:r>
              <w:rPr>
                <w:webHidden/>
                <w:rStyle w:val="IndexLink"/>
                <w:rtl w:val="true"/>
              </w:rPr>
              <w:t>حکم النفساء التی مضی لها ثلاثون لیلة</w:t>
            </w:r>
            <w:r>
              <w:rPr>
                <w:rStyle w:val="IndexLink"/>
                <w:rtl w:val="true"/>
              </w:rPr>
              <w:tab/>
            </w:r>
            <w:r>
              <w:rPr>
                <w:rStyle w:val="IndexLink"/>
              </w:rPr>
              <w:t>466</w:t>
            </w:r>
          </w:hyperlink>
        </w:p>
        <w:p>
          <w:pPr>
            <w:pStyle w:val="Contents4"/>
            <w:tabs>
              <w:tab w:val="clear" w:pos="8176"/>
              <w:tab w:val="right" w:pos="9026" w:leader="dot"/>
            </w:tabs>
            <w:rPr/>
          </w:pPr>
          <w:hyperlink w:anchor="__RefHeading___Toc39926_2142443653">
            <w:r>
              <w:rPr>
                <w:webHidden/>
                <w:rStyle w:val="IndexLink"/>
                <w:rtl w:val="true"/>
              </w:rPr>
              <w:t>حکم الوطء فی یوم الاستظهار</w:t>
            </w:r>
            <w:r>
              <w:rPr>
                <w:rStyle w:val="IndexLink"/>
                <w:rtl w:val="true"/>
              </w:rPr>
              <w:tab/>
            </w:r>
            <w:r>
              <w:rPr>
                <w:rStyle w:val="IndexLink"/>
              </w:rPr>
              <w:t>467</w:t>
            </w:r>
          </w:hyperlink>
        </w:p>
        <w:p>
          <w:pPr>
            <w:pStyle w:val="Contents4"/>
            <w:tabs>
              <w:tab w:val="clear" w:pos="8176"/>
              <w:tab w:val="right" w:pos="9026" w:leader="dot"/>
            </w:tabs>
            <w:rPr/>
          </w:pPr>
          <w:hyperlink w:anchor="__RefHeading___Toc39928_2142443653">
            <w:r>
              <w:rPr>
                <w:webHidden/>
                <w:rStyle w:val="IndexLink"/>
                <w:rtl w:val="true"/>
              </w:rPr>
              <w:t>إشارة إلی محمد بن عیسی الأشعری</w:t>
            </w:r>
            <w:r>
              <w:rPr>
                <w:rStyle w:val="IndexLink"/>
                <w:rtl w:val="true"/>
              </w:rPr>
              <w:tab/>
            </w:r>
            <w:r>
              <w:rPr>
                <w:rStyle w:val="IndexLink"/>
              </w:rPr>
              <w:t>469</w:t>
            </w:r>
          </w:hyperlink>
        </w:p>
        <w:p>
          <w:pPr>
            <w:pStyle w:val="Contents4"/>
            <w:tabs>
              <w:tab w:val="clear" w:pos="8176"/>
              <w:tab w:val="right" w:pos="9026" w:leader="dot"/>
            </w:tabs>
            <w:rPr/>
          </w:pPr>
          <w:hyperlink w:anchor="__RefHeading___Toc39930_2142443653">
            <w:r>
              <w:rPr>
                <w:webHidden/>
                <w:rStyle w:val="IndexLink"/>
                <w:rtl w:val="true"/>
              </w:rPr>
              <w:t>حفص بن غیاث عامی</w:t>
            </w:r>
            <w:r>
              <w:rPr>
                <w:rStyle w:val="IndexLink"/>
                <w:rtl w:val="true"/>
              </w:rPr>
              <w:tab/>
            </w:r>
            <w:r>
              <w:rPr>
                <w:rStyle w:val="IndexLink"/>
              </w:rPr>
              <w:t>469</w:t>
            </w:r>
          </w:hyperlink>
        </w:p>
        <w:p>
          <w:pPr>
            <w:pStyle w:val="Contents4"/>
            <w:tabs>
              <w:tab w:val="clear" w:pos="8176"/>
              <w:tab w:val="right" w:pos="9026" w:leader="dot"/>
            </w:tabs>
            <w:rPr/>
          </w:pPr>
          <w:hyperlink w:anchor="__RefHeading___Toc39932_2142443653">
            <w:r>
              <w:rPr>
                <w:webHidden/>
                <w:rStyle w:val="IndexLink"/>
                <w:rtl w:val="true"/>
              </w:rPr>
              <w:t>إشارة إلی حال القاسم بن محمد</w:t>
            </w:r>
            <w:r>
              <w:rPr>
                <w:rStyle w:val="IndexLink"/>
                <w:rtl w:val="true"/>
              </w:rPr>
              <w:tab/>
            </w:r>
            <w:r>
              <w:rPr>
                <w:rStyle w:val="IndexLink"/>
              </w:rPr>
              <w:t>470</w:t>
            </w:r>
          </w:hyperlink>
        </w:p>
        <w:p>
          <w:pPr>
            <w:pStyle w:val="Contents4"/>
            <w:tabs>
              <w:tab w:val="clear" w:pos="8176"/>
              <w:tab w:val="right" w:pos="9026" w:leader="dot"/>
            </w:tabs>
            <w:rPr/>
          </w:pPr>
          <w:hyperlink w:anchor="__RefHeading___Toc39934_2142443653">
            <w:r>
              <w:rPr>
                <w:webHidden/>
                <w:rStyle w:val="IndexLink"/>
                <w:rtl w:val="true"/>
              </w:rPr>
              <w:t>بحث حول محمد بن یحیی الخثعمی</w:t>
            </w:r>
            <w:r>
              <w:rPr>
                <w:rStyle w:val="IndexLink"/>
                <w:rtl w:val="true"/>
              </w:rPr>
              <w:tab/>
            </w:r>
            <w:r>
              <w:rPr>
                <w:rStyle w:val="IndexLink"/>
              </w:rPr>
              <w:t>470</w:t>
            </w:r>
          </w:hyperlink>
        </w:p>
        <w:p>
          <w:pPr>
            <w:pStyle w:val="Contents4"/>
            <w:tabs>
              <w:tab w:val="clear" w:pos="8176"/>
              <w:tab w:val="right" w:pos="9026" w:leader="dot"/>
            </w:tabs>
            <w:rPr/>
          </w:pPr>
          <w:hyperlink w:anchor="__RefHeading___Toc39936_2142443653">
            <w:r>
              <w:rPr>
                <w:webHidden/>
                <w:rStyle w:val="IndexLink"/>
                <w:rtl w:val="true"/>
              </w:rPr>
              <w:t>طریق الشیخ إلی علی بن الحکم غیر مذکور فی المشیخة</w:t>
            </w:r>
            <w:r>
              <w:rPr>
                <w:rStyle w:val="IndexLink"/>
                <w:rtl w:val="true"/>
              </w:rPr>
              <w:tab/>
            </w:r>
            <w:r>
              <w:rPr>
                <w:rStyle w:val="IndexLink"/>
              </w:rPr>
              <w:t>470</w:t>
            </w:r>
          </w:hyperlink>
        </w:p>
        <w:p>
          <w:pPr>
            <w:pStyle w:val="Contents4"/>
            <w:tabs>
              <w:tab w:val="clear" w:pos="8176"/>
              <w:tab w:val="right" w:pos="9026" w:leader="dot"/>
            </w:tabs>
            <w:rPr/>
          </w:pPr>
          <w:hyperlink w:anchor="__RefHeading___Toc39938_2142443653">
            <w:r>
              <w:rPr>
                <w:webHidden/>
                <w:rStyle w:val="IndexLink"/>
                <w:rtl w:val="true"/>
              </w:rPr>
              <w:t>توجیه الأخبار الدالّة علی أنّ أکثر النفاس ثلاثون أو أربعون إلی خمسین ، والمناقشة فی توجیهات الشیخ لها</w:t>
            </w:r>
            <w:r>
              <w:rPr>
                <w:rStyle w:val="IndexLink"/>
                <w:rtl w:val="true"/>
              </w:rPr>
              <w:tab/>
            </w:r>
            <w:r>
              <w:rPr>
                <w:rStyle w:val="IndexLink"/>
              </w:rPr>
              <w:t>471</w:t>
            </w:r>
          </w:hyperlink>
        </w:p>
        <w:p>
          <w:pPr>
            <w:pStyle w:val="Contents4"/>
            <w:tabs>
              <w:tab w:val="clear" w:pos="8176"/>
              <w:tab w:val="right" w:pos="9026" w:leader="dot"/>
            </w:tabs>
            <w:rPr/>
          </w:pPr>
          <w:hyperlink w:anchor="__RefHeading___Toc39940_2142443653">
            <w:r>
              <w:rPr>
                <w:webHidden/>
                <w:rStyle w:val="IndexLink"/>
                <w:rtl w:val="true"/>
              </w:rPr>
              <w:t>توجیه ما دلّ علی أنّ اکثر النفاس سبع عشرة أو ثمانی عشرة أو تسع عشرة</w:t>
            </w:r>
            <w:r>
              <w:rPr>
                <w:rStyle w:val="IndexLink"/>
                <w:rtl w:val="true"/>
              </w:rPr>
              <w:tab/>
            </w:r>
            <w:r>
              <w:rPr>
                <w:rStyle w:val="IndexLink"/>
              </w:rPr>
              <w:t>474</w:t>
            </w:r>
          </w:hyperlink>
        </w:p>
        <w:p>
          <w:pPr>
            <w:pStyle w:val="Contents4"/>
            <w:tabs>
              <w:tab w:val="clear" w:pos="8176"/>
              <w:tab w:val="right" w:pos="9026" w:leader="dot"/>
            </w:tabs>
            <w:rPr/>
          </w:pPr>
          <w:hyperlink w:anchor="__RefHeading___Toc39942_2142443653">
            <w:r>
              <w:rPr>
                <w:webHidden/>
                <w:rStyle w:val="IndexLink"/>
                <w:rtl w:val="true"/>
              </w:rPr>
              <w:t>بحث حول أحمد بن عبدوس</w:t>
            </w:r>
            <w:r>
              <w:rPr>
                <w:rStyle w:val="IndexLink"/>
                <w:rtl w:val="true"/>
              </w:rPr>
              <w:tab/>
            </w:r>
            <w:r>
              <w:rPr>
                <w:rStyle w:val="IndexLink"/>
              </w:rPr>
              <w:t>477</w:t>
            </w:r>
          </w:hyperlink>
        </w:p>
        <w:p>
          <w:pPr>
            <w:pStyle w:val="Contents4"/>
            <w:tabs>
              <w:tab w:val="clear" w:pos="8176"/>
              <w:tab w:val="right" w:pos="9026" w:leader="dot"/>
            </w:tabs>
            <w:rPr/>
          </w:pPr>
          <w:hyperlink w:anchor="__RefHeading___Toc39944_2142443653">
            <w:r>
              <w:rPr>
                <w:webHidden/>
                <w:rStyle w:val="IndexLink"/>
                <w:rtl w:val="true"/>
              </w:rPr>
              <w:t>الحسن بن علی مشترک</w:t>
            </w:r>
            <w:r>
              <w:rPr>
                <w:rStyle w:val="IndexLink"/>
                <w:rtl w:val="true"/>
              </w:rPr>
              <w:tab/>
            </w:r>
            <w:r>
              <w:rPr>
                <w:rStyle w:val="IndexLink"/>
              </w:rPr>
              <w:t>477</w:t>
            </w:r>
          </w:hyperlink>
        </w:p>
        <w:p>
          <w:pPr>
            <w:pStyle w:val="Contents4"/>
            <w:tabs>
              <w:tab w:val="clear" w:pos="8176"/>
              <w:tab w:val="right" w:pos="9026" w:leader="dot"/>
            </w:tabs>
            <w:rPr/>
          </w:pPr>
          <w:hyperlink w:anchor="__RefHeading___Toc39946_2142443653">
            <w:r>
              <w:rPr>
                <w:webHidden/>
                <w:rStyle w:val="IndexLink"/>
                <w:rtl w:val="true"/>
              </w:rPr>
              <w:t>إشارة إلی ضعف المفضل بن صالح</w:t>
            </w:r>
            <w:r>
              <w:rPr>
                <w:rStyle w:val="IndexLink"/>
                <w:rtl w:val="true"/>
              </w:rPr>
              <w:tab/>
            </w:r>
            <w:r>
              <w:rPr>
                <w:rStyle w:val="IndexLink"/>
              </w:rPr>
              <w:t>477</w:t>
            </w:r>
          </w:hyperlink>
        </w:p>
        <w:p>
          <w:pPr>
            <w:pStyle w:val="Contents4"/>
            <w:tabs>
              <w:tab w:val="clear" w:pos="8176"/>
              <w:tab w:val="right" w:pos="9026" w:leader="dot"/>
            </w:tabs>
            <w:rPr/>
          </w:pPr>
          <w:hyperlink w:anchor="__RefHeading___Toc39948_2142443653">
            <w:r>
              <w:rPr>
                <w:webHidden/>
                <w:rStyle w:val="IndexLink"/>
                <w:rtl w:val="true"/>
              </w:rPr>
              <w:t>بحث حول لیث المرادی</w:t>
            </w:r>
            <w:r>
              <w:rPr>
                <w:rStyle w:val="IndexLink"/>
                <w:rtl w:val="true"/>
              </w:rPr>
              <w:tab/>
            </w:r>
            <w:r>
              <w:rPr>
                <w:rStyle w:val="IndexLink"/>
              </w:rPr>
              <w:t>477</w:t>
            </w:r>
          </w:hyperlink>
        </w:p>
        <w:p>
          <w:pPr>
            <w:pStyle w:val="Contents4"/>
            <w:tabs>
              <w:tab w:val="clear" w:pos="8176"/>
              <w:tab w:val="right" w:pos="9026" w:leader="dot"/>
            </w:tabs>
            <w:rPr/>
          </w:pPr>
          <w:hyperlink w:anchor="__RefHeading___Toc39950_2142443653">
            <w:r>
              <w:rPr>
                <w:webHidden/>
                <w:rStyle w:val="IndexLink"/>
                <w:rtl w:val="true"/>
              </w:rPr>
              <w:t>توجیه ما دلّ علی أنّه لیس للنفاس حدّ معیّن</w:t>
            </w:r>
            <w:r>
              <w:rPr>
                <w:rStyle w:val="IndexLink"/>
                <w:rtl w:val="true"/>
              </w:rPr>
              <w:tab/>
            </w:r>
            <w:r>
              <w:rPr>
                <w:rStyle w:val="IndexLink"/>
              </w:rPr>
              <w:t>478</w:t>
            </w:r>
          </w:hyperlink>
        </w:p>
        <w:p>
          <w:pPr>
            <w:pStyle w:val="Contents2"/>
            <w:tabs>
              <w:tab w:val="clear" w:pos="8743"/>
              <w:tab w:val="right" w:pos="9026" w:leader="dot"/>
            </w:tabs>
            <w:rPr/>
          </w:pPr>
          <w:hyperlink w:anchor="__RefHeading___Toc39952_2142443653">
            <w:r>
              <w:rPr>
                <w:webHidden/>
                <w:rStyle w:val="IndexLink"/>
                <w:rtl w:val="true"/>
              </w:rPr>
              <w:t>فهرس الموضوعات</w:t>
            </w:r>
            <w:r>
              <w:rPr>
                <w:rStyle w:val="IndexLink"/>
                <w:rtl w:val="true"/>
              </w:rPr>
              <w:tab/>
            </w:r>
            <w:r>
              <w:rPr>
                <w:rStyle w:val="IndexLink"/>
              </w:rPr>
              <w:t>481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22_169459"/>
      <w:bookmarkStart w:id="1" w:name="pg17122_169459"/>
      <w:bookmarkEnd w:id="1"/>
    </w:p>
    <w:p>
      <w:pPr>
        <w:pStyle w:val="Heading2"/>
        <w:numPr>
          <w:ilvl w:val="1"/>
          <w:numId w:val="1"/>
        </w:numPr>
        <w:rPr/>
      </w:pPr>
      <w:bookmarkStart w:id="2" w:name="pg17122_169459"/>
      <w:bookmarkStart w:id="3" w:name="__RefHeading___Toc38886_2142443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محمد بن الحسن ، </w:t>
      </w:r>
      <w:r>
        <w:rPr>
          <w:rFonts w:eastAsia="IRNazanin" w:cs="IRNazanin"/>
          <w:color w:val="111111"/>
          <w:sz w:val="28"/>
          <w:szCs w:val="28"/>
          <w:lang w:bidi="fa-IR"/>
        </w:rPr>
        <w:t>980</w:t>
      </w:r>
      <w:r>
        <w:rPr>
          <w:rFonts w:eastAsia="IRNazanin" w:cs="IRNazanin"/>
          <w:color w:val="111111"/>
          <w:sz w:val="28"/>
          <w:szCs w:val="28"/>
          <w:rtl w:val="true"/>
          <w:lang w:bidi="fa-IR"/>
        </w:rPr>
        <w:t xml:space="preserve"> -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استقصاء الاعتبار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محمد بن الحسن بن الشهيد الثاني ؛ تحقيق مؤسسة آل البيت علیهم السلام الإحياء التراث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مؤسسةآل البيت علیهم السلام الإحياء التراث ، مشهد ،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نموذج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 بالهامش</w:t>
      </w:r>
    </w:p>
    <w:p>
      <w:pPr>
        <w:pStyle w:val="BookText"/>
        <w:rPr/>
      </w:pPr>
      <w:r>
        <w:rPr>
          <w:rFonts w:ascii="Amiri" w:hAnsi="Amiri" w:eastAsia="Amiri" w:cs="Amiri"/>
          <w:color w:val="111111"/>
          <w:sz w:val="28"/>
          <w:sz w:val="28"/>
          <w:szCs w:val="28"/>
          <w:rtl w:val="true"/>
          <w:lang w:bidi="ar-SA"/>
        </w:rPr>
        <w:t xml:space="preserve">هذا الكتاب شرح للاستبصار للشيخ الطوسي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الطوسي ، محمد بن الحسن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و تفسير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أحاديث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 محمد بن الحسن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 xml:space="preserve">شايك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w:t>
      </w:r>
    </w:p>
    <w:p>
      <w:pPr>
        <w:pStyle w:val="BookText"/>
        <w:rPr/>
      </w:pPr>
      <w:r>
        <w:rPr>
          <w:rFonts w:eastAsia="Times New Roman" w:cs="Times New Roman" w:ascii="Times New Roman" w:hAnsi="Times New Roman"/>
          <w:color w:val="111111"/>
          <w:sz w:val="28"/>
          <w:szCs w:val="28"/>
          <w:lang w:val="en-US" w:bidi="en-US"/>
        </w:rPr>
        <w:t>ISBN 964 - 319 - 172 - 9 / 7 VOLS</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ISBN 964 - 319 - 174 - 5 / VOL. 2</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استقصاء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الحسن بن الشهيد الثاني</w:t>
      </w:r>
    </w:p>
    <w:p>
      <w:pPr>
        <w:pStyle w:val="BookText"/>
        <w:rPr/>
      </w:pPr>
      <w:r>
        <w:rPr>
          <w:rFonts w:ascii="IRNazanin" w:hAnsi="IRNazanin" w:eastAsia="IRNazanin"/>
          <w:color w:val="111111"/>
          <w:sz w:val="28"/>
          <w:sz w:val="28"/>
          <w:szCs w:val="28"/>
          <w:rtl w:val="true"/>
          <w:lang w:bidi="fa-IR"/>
        </w:rPr>
        <w:t xml:space="preserve">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لإحياء التراث</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الفلم والالواح الحساسة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 xml:space="preserve">الكمية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 xml:space="preserve">السعر </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888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122_169463"/>
      <w:bookmarkStart w:id="8" w:name="pg17122_169463"/>
      <w:bookmarkEnd w:id="8"/>
    </w:p>
    <w:p>
      <w:pPr>
        <w:pStyle w:val="BookText"/>
        <w:rPr/>
      </w:pPr>
      <w:bookmarkStart w:id="9" w:name="pg17122_169463"/>
      <w:bookmarkEnd w:id="9"/>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أبواب ما ینقض الوضوء وما لا ینقضه</w:t>
      </w:r>
    </w:p>
    <w:p>
      <w:pPr>
        <w:pStyle w:val="BookText"/>
        <w:rPr/>
      </w:pPr>
      <w:r>
        <w:rPr>
          <w:rFonts w:ascii="IRNazanin" w:hAnsi="IRNazanin" w:eastAsia="IRNazanin"/>
          <w:color w:val="111111"/>
          <w:sz w:val="28"/>
          <w:sz w:val="28"/>
          <w:szCs w:val="28"/>
          <w:rtl w:val="true"/>
          <w:lang w:bidi="fa-IR"/>
        </w:rPr>
        <w:t>باب النوم</w:t>
      </w:r>
    </w:p>
    <w:p>
      <w:pPr>
        <w:pStyle w:val="BookText"/>
        <w:rPr/>
      </w:pPr>
      <w:r>
        <w:rPr>
          <w:rFonts w:ascii="IRNazanin" w:hAnsi="IRNazanin" w:eastAsia="IRNazanin"/>
          <w:color w:val="111111"/>
          <w:sz w:val="28"/>
          <w:sz w:val="28"/>
          <w:szCs w:val="28"/>
          <w:rtl w:val="true"/>
          <w:lang w:bidi="fa-IR"/>
        </w:rPr>
        <w:t xml:space="preserve">أخبرنی الشیخ رحمه الله عن أحمد بن محمد ، عن أبیه ، عن الحسین بن الحسن بن أبان ، عن الحسین بن سعید ، عن عثمان بن عیسی ، عن سماعة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ینام وهو ساجد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ینصرف ویتوضّأ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الاسناد عن حماد ، عن عمر بن أُذینة وحریز ، عن زرارة ، عن أحدهما علیهماالسلام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ینقض الوضوء إلاّ ما خرج من طرفیک أو النوم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الشیخ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القاسم جعفر بن محمد ، عن أبیه ، عن سعد بن عبد الله ، عن أحمد بن محمد بن عیسی ، عن محمد ابن عبید الله وعبد الله بن المغیرة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الرضا علیه السلام عن الرجل ینام علی دابّته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ذهب النوم بالعقل فلیعد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عیسی ، وسماعة ، وقد تکرر القول فیهما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 w:name="__RefHeading___Toc38890_2142443653"/>
      <w:bookmarkStart w:id="11" w:name="_Toc3"/>
      <w:bookmarkEnd w:id="10"/>
      <w:r>
        <w:rPr>
          <w:rtl w:val="true"/>
        </w:rPr>
        <w:t>أبواب ما ینقض الوضوء وما لا ینقضه</w:t>
      </w:r>
      <w:bookmarkEnd w:id="11"/>
    </w:p>
    <w:p>
      <w:pPr>
        <w:pStyle w:val="Heading3"/>
        <w:numPr>
          <w:ilvl w:val="2"/>
          <w:numId w:val="1"/>
        </w:numPr>
        <w:rPr/>
      </w:pPr>
      <w:bookmarkStart w:id="12" w:name="__RefHeading___Toc38892_2142443653"/>
      <w:bookmarkStart w:id="13" w:name="_Toc4"/>
      <w:bookmarkEnd w:id="12"/>
      <w:r>
        <w:rPr>
          <w:rtl w:val="true"/>
        </w:rPr>
        <w:t>النوم</w:t>
      </w:r>
      <w:bookmarkEnd w:id="13"/>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 w:name="__RefHeading___Toc38894_2142443653"/>
      <w:bookmarkStart w:id="15" w:name="_Toc5"/>
      <w:bookmarkEnd w:id="14"/>
      <w:r>
        <w:rPr>
          <w:rtl w:val="true"/>
        </w:rPr>
        <w:t>اشارة</w:t>
      </w:r>
      <w:bookmarkStart w:id="16" w:name="pg17122_169464"/>
      <w:bookmarkEnd w:id="15"/>
    </w:p>
    <w:p>
      <w:pPr>
        <w:pStyle w:val="BookText"/>
        <w:rPr/>
      </w:pPr>
      <w:bookmarkEnd w:id="16"/>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کان الأولی أن یقال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الاسناد عن الحسین ابن سعید عن حماد ، وهو معتبر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قولویه ، وقد کرّرنا أیضا القول فیه </w:t>
      </w:r>
      <w:r>
        <w:rPr>
          <w:rStyle w:val="FootnoteAnchor"/>
          <w:rtl w:val="true"/>
        </w:rPr>
        <w:footnoteReference w:id="3"/>
      </w:r>
      <w:r>
        <w:rPr>
          <w:rFonts w:ascii="IRNazanin" w:hAnsi="IRNazanin" w:eastAsia="IRNazanin"/>
          <w:color w:val="111111"/>
          <w:sz w:val="28"/>
          <w:sz w:val="28"/>
          <w:szCs w:val="28"/>
          <w:rtl w:val="true"/>
          <w:lang w:bidi="fa-IR"/>
        </w:rPr>
        <w:t>؛ ومحمد بن عبید الله لا یخلو من اشتباه ، إلاّ أنّ عبد الله بن المغیرة الراوی معه یغنی عن تحقیق الحال فیه ، لولا محمد بن قولویه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الأخبار الثلاثة تدل علی أنّ النوم ناقض ، والإجماع مدعی علی ذلک </w:t>
      </w:r>
      <w:r>
        <w:rPr>
          <w:rStyle w:val="FootnoteAnchor"/>
          <w:rtl w:val="true"/>
        </w:rPr>
        <w:footnoteReference w:id="4"/>
      </w:r>
      <w:r>
        <w:rPr>
          <w:rFonts w:ascii="IRNazanin" w:hAnsi="IRNazanin" w:eastAsia="IRNazanin"/>
          <w:color w:val="111111"/>
          <w:sz w:val="28"/>
          <w:sz w:val="28"/>
          <w:szCs w:val="28"/>
          <w:rtl w:val="true"/>
          <w:lang w:bidi="fa-IR"/>
        </w:rPr>
        <w:t xml:space="preserve">، وخلاف الصدوق </w:t>
      </w:r>
      <w:r>
        <w:rPr>
          <w:rStyle w:val="FootnoteAnchor"/>
          <w:rtl w:val="true"/>
        </w:rPr>
        <w:footnoteReference w:id="5"/>
      </w:r>
      <w:r>
        <w:rPr>
          <w:rFonts w:ascii="IRNazanin" w:hAnsi="IRNazanin" w:eastAsia="IRNazanin"/>
          <w:color w:val="111111"/>
          <w:sz w:val="28"/>
          <w:sz w:val="28"/>
          <w:szCs w:val="28"/>
          <w:rtl w:val="true"/>
          <w:lang w:bidi="fa-IR"/>
        </w:rPr>
        <w:t xml:space="preserve">لا یضر بالحال إن تحقق الإجماع ، لجواز کونه بعده ، إذ لا یشترط فی الإجماع جمیع الأعصار ولا حاجة حینئذ إلی القول بأنّه معلوم النسب ، لیتوجه علیه ما قاله الوالد قدس سره من جواز المشارک </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نظراً إلی أن مدعی الإجماع بعد وجود خلاف الصدوق یعلم أنّه غیر متبع لأقوال العلماء ، حیث لم یصرح بخلاف الصدوق ، وأنّه غیر قادح ، وإن کان فی هذا بحث ، إلاّ أنّ الضرورة بعد ما ذکرناه غیر داعیة إلی بیان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الحدیث الثانی قد أُوردت علیه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مقتضاه حصر الناقض فی الخارج والنوم ، مع حصوله بالسکر والإغماء إجماعا</w:t>
      </w:r>
      <w:r>
        <w:rPr>
          <w:rFonts w:eastAsia="IRNazanin" w:cs="IRNazanin"/>
          <w:color w:val="111111"/>
          <w:sz w:val="28"/>
          <w:szCs w:val="28"/>
          <w:rtl w:val="true"/>
          <w:lang w:bidi="fa-IR"/>
        </w:rPr>
        <w:t>.</w:t>
      </w:r>
    </w:p>
    <w:p>
      <w:pPr>
        <w:pStyle w:val="Heading4"/>
        <w:numPr>
          <w:ilvl w:val="3"/>
          <w:numId w:val="1"/>
        </w:numPr>
        <w:rPr/>
      </w:pPr>
      <w:bookmarkStart w:id="17" w:name="__RefHeading___Toc38896_2142443653"/>
      <w:bookmarkStart w:id="18" w:name="_Toc6"/>
      <w:bookmarkEnd w:id="17"/>
      <w:r>
        <w:rPr>
          <w:rtl w:val="true"/>
        </w:rPr>
        <w:t>إشارة إلی أنّ محمد بن قولویه فیه تأمّل</w:t>
      </w:r>
      <w:bookmarkEnd w:id="18"/>
    </w:p>
    <w:p>
      <w:pPr>
        <w:pStyle w:val="Heading4"/>
        <w:numPr>
          <w:ilvl w:val="3"/>
          <w:numId w:val="1"/>
        </w:numPr>
        <w:rPr/>
      </w:pPr>
      <w:bookmarkStart w:id="19" w:name="__RefHeading___Toc38898_2142443653"/>
      <w:bookmarkStart w:id="20" w:name="_Toc7"/>
      <w:bookmarkEnd w:id="19"/>
      <w:r>
        <w:rPr>
          <w:rtl w:val="true"/>
        </w:rPr>
        <w:t>محمد بن عبیدالله لا یخلو من اشتباه</w:t>
      </w:r>
      <w:bookmarkEnd w:id="20"/>
    </w:p>
    <w:p>
      <w:pPr>
        <w:pStyle w:val="Heading4"/>
        <w:numPr>
          <w:ilvl w:val="3"/>
          <w:numId w:val="1"/>
        </w:numPr>
        <w:rPr/>
      </w:pPr>
      <w:bookmarkStart w:id="21" w:name="__RefHeading___Toc38900_2142443653"/>
      <w:bookmarkStart w:id="22" w:name="_Toc8"/>
      <w:bookmarkEnd w:id="21"/>
      <w:r>
        <w:rPr>
          <w:rtl w:val="true"/>
        </w:rPr>
        <w:t>کلمة حول تحقق الإجماع مع وجود المخالف</w:t>
      </w:r>
      <w:bookmarkEnd w:id="22"/>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 w:name="__RefHeading___Toc38902_2142443653"/>
      <w:bookmarkStart w:id="24" w:name="_Toc9"/>
      <w:bookmarkEnd w:id="23"/>
      <w:r>
        <w:rPr>
          <w:rtl w:val="true"/>
        </w:rPr>
        <w:t>ما اُورد علی حدیث زرارة فی حصر الناقض فی الخارج من الطرفین والنوم</w:t>
      </w:r>
      <w:bookmarkStart w:id="25" w:name="pg17122_169465"/>
      <w:bookmarkEnd w:id="24"/>
    </w:p>
    <w:p>
      <w:pPr>
        <w:pStyle w:val="BookText"/>
        <w:rPr/>
      </w:pPr>
      <w:bookmarkEnd w:id="25"/>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یقتضی کون مطلق الخارج ناقضا ،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أدوات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قصر النقض علی الخارج من الطرفین یقتضی أنّ الخارج من أحدهما غیر 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وأُجیب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حکم السکر والإغماء مستفاد من حکم النوم من باب التنبیه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الموصول کما یجی‌ء للعموم یجی‌ء للعهد ، والمعهود هنا المتعارف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المراد بالطرفین کل واحد منهما لا هما معاً ، لامتناع خروج خارج منهما معاً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الجواب عن کل 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استفادة الإغماء والسکر من باب التنبیه لا یدفع الإشکال فی الحصر ، علی أنّ فی دلالة المفهوم بحث ذکرناه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المتعارف لا ینافی إرادة العموم من الموصول ، غیر أنّه عموم فی المتعارف ، فإن أُرید هذا فالجواب غیر واف ، بل ظاهره خلاف ذلک ، وإن أُرید غیره فلا یخفی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یجاب عن هذا بأنّ المراد یعلم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من الطرفین کما یحتمل ما أراده المُجیب ، یحتمل أن یراد خروج کل من البول والغائط معاً ، والحال أنّه غیر معتبر ، والجواب عن هذا غیر بعید أیضاً ، إلاّ أنّ کلام المجیب غیر واف</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 w:name="__RefHeading___Toc38904_2142443653"/>
      <w:bookmarkStart w:id="27" w:name="_Toc10"/>
      <w:bookmarkEnd w:id="26"/>
      <w:r>
        <w:rPr>
          <w:rtl w:val="true"/>
        </w:rPr>
        <w:t>ما أُجیب عن الإیرادات والمناقشة فی الأجوبة</w:t>
      </w:r>
      <w:bookmarkStart w:id="28" w:name="pg17122_169466"/>
      <w:bookmarkEnd w:id="27"/>
    </w:p>
    <w:p>
      <w:pPr>
        <w:pStyle w:val="BookText"/>
        <w:rPr/>
      </w:pPr>
      <w:bookmarkEnd w:id="28"/>
      <w:r>
        <w:rPr>
          <w:rFonts w:ascii="IRNazanin" w:hAnsi="IRNazanin" w:eastAsia="IRNazanin"/>
          <w:color w:val="111111"/>
          <w:sz w:val="28"/>
          <w:sz w:val="28"/>
          <w:szCs w:val="28"/>
          <w:rtl w:val="true"/>
          <w:lang w:bidi="fa-IR"/>
        </w:rPr>
        <w:t>ثم ما ادعاه المعترض من الإجماع علی الإغماء والسکر إن تمّ یقتضی أنّ الحصر فی الخبر إضافی ولا مانع منه ، کیف؟ والنواقض غیر محصورة فیما ذکر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الخبر الثالث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یذهب العقل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یلوح منه أنّ کلّ ما یذهب العقل من سکر أو جنون أو إغماء فهو ناقض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وغیر خفی أنّ هذا یدفع الاستدلال بمفهوم الموافقة ، بل یصیر من باب العلة المنصوصة أن عدّیناها إلی کل ما توجد فیه ، وفی هذا بحث لیس هذا محله ، إلاّ أنّ القائل بتعدّی المنصوصة لا مجال لإنکاره الاستدلال بهذا الخبر علی الإغماء والسکر علی ما یظهر ، فما فی الحبل المتین من أنّ للکلام فی دلالة الحدیث المتضمن لنحو هذا مجالاً </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غیر واضح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یستفاد من الخبر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ینقض إلاّ ما خرج من الطرفین ، قد یدل علی أنّ غیر الطرفین إذا خرج منه المتعارف لا ینقض ، إلاّ أنّ الغیر إذا صار معتاداً لا خلاف فیه ، فالأمر فیه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وبدون الاعتیاد محل بحث ، وقد ذکرته فی محل آخر ، والذی یناسب المقام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الاسناد عن أحمد بن محمد بن عیسی ، عن محمد بن أبی عمیر ، عن إسحاق بن عبد الله الأشعری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ینقض الوضوء إلاّ حدث ، والنوم 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وأخبرنی الحسین بن عبید الله ، عن أحمد بن محمد بن یحیی ،</w:t>
      </w:r>
    </w:p>
    <w:p>
      <w:pPr>
        <w:pStyle w:val="Heading4"/>
        <w:numPr>
          <w:ilvl w:val="3"/>
          <w:numId w:val="1"/>
        </w:numPr>
        <w:rPr/>
      </w:pPr>
      <w:bookmarkStart w:id="29" w:name="__RefHeading___Toc38906_2142443653"/>
      <w:bookmarkStart w:id="30" w:name="_Toc11"/>
      <w:bookmarkEnd w:id="29"/>
      <w:r>
        <w:rPr>
          <w:rtl w:val="true"/>
        </w:rPr>
        <w:t>ناقضیة کلّ ما یذهب العقل</w:t>
      </w:r>
      <w:bookmarkEnd w:id="30"/>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 w:name="__RefHeading___Toc38908_2142443653"/>
      <w:bookmarkStart w:id="32" w:name="_Toc12"/>
      <w:bookmarkEnd w:id="31"/>
      <w:r>
        <w:rPr>
          <w:rtl w:val="true"/>
        </w:rPr>
        <w:t>هل الخارج من غیر الطرفین ناقض؟</w:t>
      </w:r>
      <w:bookmarkStart w:id="33" w:name="pg17122_169467"/>
      <w:bookmarkEnd w:id="32"/>
    </w:p>
    <w:p>
      <w:pPr>
        <w:pStyle w:val="BookText"/>
        <w:rPr/>
      </w:pPr>
      <w:bookmarkEnd w:id="33"/>
      <w:r>
        <w:rPr>
          <w:rFonts w:ascii="IRNazanin" w:hAnsi="IRNazanin" w:eastAsia="IRNazanin"/>
          <w:color w:val="111111"/>
          <w:sz w:val="28"/>
          <w:sz w:val="28"/>
          <w:szCs w:val="28"/>
          <w:rtl w:val="true"/>
          <w:lang w:bidi="fa-IR"/>
        </w:rPr>
        <w:t xml:space="preserve">عن أبیه ، عن محمد بن أحمد بن یحیی ، عن عمران بن موسی ، عن الحسن بن علی بن النعمان ، عن أبیه ، عن </w:t>
      </w:r>
      <w:r>
        <w:rPr>
          <w:rStyle w:val="FootnoteAnchor"/>
          <w:rtl w:val="true"/>
        </w:rPr>
        <w:footnoteReference w:id="10"/>
      </w:r>
      <w:r>
        <w:rPr>
          <w:rFonts w:ascii="IRNazanin" w:hAnsi="IRNazanin" w:eastAsia="IRNazanin"/>
          <w:color w:val="111111"/>
          <w:sz w:val="28"/>
          <w:sz w:val="28"/>
          <w:szCs w:val="28"/>
          <w:rtl w:val="true"/>
          <w:lang w:bidi="fa-IR"/>
        </w:rPr>
        <w:t xml:space="preserve">عبد الحمید بن عواض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نام وهو راکع أو ساجد أو ماش علی أیّ الحالات فعلیه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الأوّل کما تری روایة أحمد بن محمد بن عیسی عن ابن أبی عمیر وأظنها مستبعدة ، لأن الغالب روایته عن الحسین بن سعید ، عن ابن أبی عمیر ، ولعل الغالب لا یضر بالحال مع تحقق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وعمران بن موسی فی الثانی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الحسن بن علی بن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النجاشی 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بن النعمان مولی بنی هاشم ، أبوه علی بن النعمان الأعلم ثقة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التوثیق محتمل أن یکون للأب وللابن ، ومع الاحتمال لا یثبت توثیقه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ظنی أن التوثیق للابن ، لأن النجاشی وثّق الأب فی بابه </w:t>
      </w:r>
      <w:r>
        <w:rPr>
          <w:rStyle w:val="FootnoteAnchor"/>
          <w:rtl w:val="true"/>
        </w:rPr>
        <w:footnoteReference w:id="13"/>
      </w:r>
      <w:r>
        <w:rPr>
          <w:rFonts w:ascii="IRNazanin" w:hAnsi="IRNazanin" w:eastAsia="IRNazanin"/>
          <w:color w:val="111111"/>
          <w:sz w:val="28"/>
          <w:sz w:val="28"/>
          <w:szCs w:val="28"/>
          <w:rtl w:val="true"/>
          <w:lang w:bidi="fa-IR"/>
        </w:rPr>
        <w:t>، ومن عادة النجاشی أنّه إذا وثّق الأب مع الابن لا یعید التوثیق مع ذکر الأب فی کثیر من الرجال علی ما رأیت ، واحتمال النادر والإلحاق به فیما نحن فیه بعید</w:t>
      </w:r>
      <w:r>
        <w:rPr>
          <w:rFonts w:eastAsia="IRNazanin" w:cs="IRNazanin"/>
          <w:color w:val="111111"/>
          <w:sz w:val="28"/>
          <w:szCs w:val="28"/>
          <w:rtl w:val="true"/>
          <w:lang w:bidi="fa-IR"/>
        </w:rPr>
        <w:t>.</w:t>
      </w:r>
    </w:p>
    <w:p>
      <w:pPr>
        <w:pStyle w:val="Heading4"/>
        <w:numPr>
          <w:ilvl w:val="3"/>
          <w:numId w:val="1"/>
        </w:numPr>
        <w:rPr/>
      </w:pPr>
      <w:bookmarkStart w:id="34" w:name="__RefHeading___Toc38910_2142443653"/>
      <w:bookmarkStart w:id="35" w:name="_Toc13"/>
      <w:bookmarkEnd w:id="34"/>
      <w:r>
        <w:rPr>
          <w:rtl w:val="true"/>
        </w:rPr>
        <w:t>روایة أحمد بن محمد بن عیسی عن ابن أبی عمیر مستبعدة</w:t>
      </w:r>
      <w:bookmarkEnd w:id="35"/>
    </w:p>
    <w:p>
      <w:pPr>
        <w:pStyle w:val="Heading4"/>
        <w:numPr>
          <w:ilvl w:val="3"/>
          <w:numId w:val="1"/>
        </w:numPr>
        <w:rPr/>
      </w:pPr>
      <w:bookmarkStart w:id="36" w:name="__RefHeading___Toc38912_2142443653"/>
      <w:bookmarkStart w:id="37" w:name="_Toc14"/>
      <w:bookmarkEnd w:id="36"/>
      <w:r>
        <w:rPr>
          <w:rtl w:val="true"/>
        </w:rPr>
        <w:t>عمران بن موسی ثقة</w:t>
      </w:r>
      <w:bookmarkEnd w:id="3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 w:name="__RefHeading___Toc38914_2142443653"/>
      <w:bookmarkStart w:id="39" w:name="_Toc15"/>
      <w:bookmarkEnd w:id="38"/>
      <w:r>
        <w:rPr>
          <w:rtl w:val="true"/>
        </w:rPr>
        <w:t>بحث حول الحسن بن علی بن النعمان</w:t>
      </w:r>
      <w:bookmarkStart w:id="40" w:name="pg17122_169468"/>
      <w:bookmarkEnd w:id="39"/>
    </w:p>
    <w:p>
      <w:pPr>
        <w:pStyle w:val="BookText"/>
        <w:rPr/>
      </w:pPr>
      <w:bookmarkEnd w:id="40"/>
      <w:r>
        <w:rPr>
          <w:rFonts w:ascii="IRNazanin" w:hAnsi="IRNazanin" w:eastAsia="IRNazanin"/>
          <w:color w:val="111111"/>
          <w:sz w:val="28"/>
          <w:sz w:val="28"/>
          <w:szCs w:val="28"/>
          <w:rtl w:val="true"/>
          <w:lang w:bidi="fa-IR"/>
        </w:rPr>
        <w:t xml:space="preserve">وشیخنا المحقق سلمه الله فی کتاب الرجال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استفید توثیقه یعنی الحسن من وصف کتابه بأنه صحیح الحدیث ، وفیه نظر ، ثمّ وجّهه بأن وصف الکتاب بکونه صحیح الحدیث إنّما یقتضی الحکم بصحة حدیثه إذا علم أنّه من کتابه لا الحکم بصحة حدیثه مطلقا ، کما هو مقتضی التوثیق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والأمر کما قال سلمه الله وذکر أیضاً نحو ما قلناه من جهة الأب والاحتمال </w:t>
      </w:r>
      <w:r>
        <w:rPr>
          <w:rStyle w:val="FootnoteAnchor"/>
          <w:rtl w:val="true"/>
        </w:rPr>
        <w:footnoteReference w:id="15"/>
      </w:r>
      <w:r>
        <w:rPr>
          <w:rFonts w:ascii="IRNazanin" w:hAnsi="IRNazanin" w:eastAsia="IRNazanin"/>
          <w:color w:val="111111"/>
          <w:sz w:val="28"/>
          <w:sz w:val="28"/>
          <w:szCs w:val="28"/>
          <w:rtl w:val="true"/>
          <w:lang w:bidi="fa-IR"/>
        </w:rPr>
        <w:t>، والحق أحق أن یتبع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عبد الحمید بن عواض فهو ثقة ، ذکره الشیخ فی رجال الکاظم علیه السلام ، وقال إنّه من أصحاب أبی جعفر علیه السلام وأبی عبد الله علیه السلام </w:t>
      </w:r>
      <w:r>
        <w:rPr>
          <w:rStyle w:val="FootnoteAnchor"/>
          <w:rtl w:val="true"/>
        </w:rPr>
        <w:footnoteReference w:id="16"/>
      </w:r>
      <w:r>
        <w:rPr>
          <w:rFonts w:ascii="Amiri" w:hAnsi="Amiri" w:eastAsia="Amiri" w:cs="Amiri"/>
          <w:color w:val="111111"/>
          <w:sz w:val="28"/>
          <w:sz w:val="28"/>
          <w:szCs w:val="28"/>
          <w:rtl w:val="true"/>
          <w:lang w:bidi="ar-SA"/>
        </w:rPr>
        <w:t xml:space="preserve">، ثم إن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ضبطه عواض بالضاد المعجمة </w:t>
      </w:r>
      <w:r>
        <w:rPr>
          <w:rStyle w:val="FootnoteAnchor"/>
          <w:rtl w:val="true"/>
        </w:rPr>
        <w:footnoteReference w:id="17"/>
      </w:r>
      <w:r>
        <w:rPr>
          <w:rFonts w:ascii="IRNazanin" w:hAnsi="IRNazanin" w:eastAsia="IRNazanin"/>
          <w:color w:val="111111"/>
          <w:sz w:val="28"/>
          <w:sz w:val="28"/>
          <w:szCs w:val="28"/>
          <w:rtl w:val="true"/>
          <w:lang w:bidi="fa-IR"/>
        </w:rPr>
        <w:t xml:space="preserve">وابن داود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بالغین والضاد المعجمتین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ظاهر الدلالة علی أن النوم ناقض ، أمّا دلالته علی أن کل نوم ناقض فلا یخلو من خفاء ، وقد حاول العلاّمة فی المختلف ذلک علی ما أظن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التمسک بهذا الحدیث ، فإن الصغری قد اشتملت علی عقدی إیجاب وسلب ، وانتظام السالبة مع الکبری لا ینتج لعدم اتحاد</w:t>
      </w:r>
    </w:p>
    <w:p>
      <w:pPr>
        <w:pStyle w:val="Heading4"/>
        <w:numPr>
          <w:ilvl w:val="3"/>
          <w:numId w:val="1"/>
        </w:numPr>
        <w:rPr/>
      </w:pPr>
      <w:bookmarkStart w:id="41" w:name="__RefHeading___Toc38916_2142443653"/>
      <w:bookmarkStart w:id="42" w:name="_Toc16"/>
      <w:bookmarkEnd w:id="41"/>
      <w:r>
        <w:rPr>
          <w:rtl w:val="true"/>
        </w:rPr>
        <w:t>بحث حول عبدالحمید بن عواض</w:t>
      </w:r>
      <w:bookmarkEnd w:id="4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 w:name="__RefHeading___Toc38918_2142443653"/>
      <w:bookmarkStart w:id="44" w:name="_Toc17"/>
      <w:bookmarkEnd w:id="43"/>
      <w:r>
        <w:rPr>
          <w:rtl w:val="true"/>
        </w:rPr>
        <w:t xml:space="preserve">تحقیق منطقی فی قوله علیه السلام </w:t>
      </w:r>
      <w:r>
        <w:rPr>
          <w:rtl w:val="true"/>
        </w:rPr>
        <w:t xml:space="preserve">: « </w:t>
      </w:r>
      <w:r>
        <w:rPr>
          <w:rtl w:val="true"/>
        </w:rPr>
        <w:t xml:space="preserve">لا ینقض الوضوء إلّا حدث والنوم حدث </w:t>
      </w:r>
      <w:r>
        <w:rPr>
          <w:rtl w:val="true"/>
        </w:rPr>
        <w:t>»</w:t>
      </w:r>
      <w:bookmarkEnd w:id="44"/>
    </w:p>
    <w:p>
      <w:pPr>
        <w:pStyle w:val="BookText"/>
        <w:rPr/>
      </w:pPr>
      <w:r>
        <w:rPr>
          <w:rFonts w:ascii="IRNazanin" w:hAnsi="IRNazanin" w:eastAsia="IRNazanin"/>
          <w:color w:val="111111"/>
          <w:sz w:val="28"/>
          <w:sz w:val="28"/>
          <w:szCs w:val="28"/>
          <w:rtl w:val="true"/>
          <w:lang w:bidi="fa-IR"/>
        </w:rPr>
        <w:t>الوسط ، والموجبة أیضا کذلک ، فإنّ الموجبتین فی الشکل الثانی عقیم ، فإن جعل عکسها کبری منعنا کلّیتها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علیه السلام فی المقدمة الأُولی نفی النقض عن غیر الحدث ، وفی الثانیة حکم بأنّ النوم حدث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واحد من الأحداث فیه جهتا اشتراک وامتیاز ، وما به الاشتراک وهو مطلق الحدث مغایر لما به الامتیاز وهو خصوصیة کل واحد من الأحداث ، ولا شک فی أن تلک الخصوصیات لیست إحداثا ، وإلاّ لکان ما به الاشتراک داخلا فیما به الامتیاز ، وذلک یوجب التسلسل ، فإذا انتفت الحدثیة عن الممیزات لم یکن لها مدخل فی النقض ، وإنّما یستند النقض إلی المشترک الموجود فی النوم علی ما حکم به فی المقدمة الثانیة ، ووجود العلة یستلزم وجود المعلول فیثبت النقض فی النوم وهو المراد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ذکرت ما یتوجه علیه فی حاشیة التهذیب ، والذی یمکن أن یقال هنا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الجواب لا یدفع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مرجع السؤال إلی أن انتظام السالبة مع الکبری لا ینتج لعدم اتحاد الوسط ، والجواب إذا تأمله المتأمل لا یفید تمامیته ، بل علی ما یظهر أنّه عدول من الاستدلال بصورة الشکل إلی وجه آخر ، وفیه تأمل ، لأن العلة غیر مسلمة ، إذ لا یلزم من استناد النقض إلی المشترک أنّه کلما وجد وجد النقض کما هو لازم العلة ، وکون النوم ناقضاً فی الجملة لا ینکر استفادته من الحدیث بدون ما قاله ، بل من الوجه الذی یأتی عن الوالد قدس سره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Style w:val="FootnoteAnchor"/>
          <w:rtl w:val="true"/>
        </w:rPr>
        <w:footnoteReference w:id="20"/>
      </w:r>
      <w:r>
        <w:rPr>
          <w:rFonts w:ascii="IRNazanin" w:hAnsi="IRNazanin" w:eastAsia="IRNazanin"/>
          <w:color w:val="111111"/>
          <w:sz w:val="28"/>
          <w:sz w:val="28"/>
          <w:szCs w:val="28"/>
          <w:rtl w:val="true"/>
          <w:lang w:bidi="fa-IR"/>
        </w:rPr>
        <w:t xml:space="preserve">علی ما ذکره بعض محققی المتأخرین ، من أن استلزام </w:t>
      </w:r>
    </w:p>
    <w:p>
      <w:pPr>
        <w:pStyle w:val="BookText"/>
        <w:rPr/>
      </w:pPr>
      <w:r>
        <w:rPr>
          <w:rFonts w:ascii="IRNazanin" w:hAnsi="IRNazanin" w:eastAsia="IRNazanin"/>
          <w:color w:val="111111"/>
          <w:sz w:val="28"/>
          <w:sz w:val="28"/>
          <w:szCs w:val="28"/>
          <w:rtl w:val="true"/>
          <w:lang w:bidi="fa-IR"/>
        </w:rPr>
        <w:t xml:space="preserve">المطلوب لا یتوقف علی استجماع شرائط القیاس ، کما قالوه فی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مقتول بالسیف والسیف آلة حدیدیة فإنه لا شک فی إنتاجه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مقتول بآلة حدیدیة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فیه نوع بحث ، إذ لا ینتج النتیجة المذکورة إلاّ بعد ملاحظة شرائط الشکل فی الاعتبار ، وإن لم یکن فی اللفظ ، کما صرح به بعض المحققین فی قیاس المساواة ، وتخیل أنّه استدلال بالسبب علی المسبب یدفعه ما ذکرناه فی العلة بتقدیر التمامیة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أن دلالة الحدیث علی نقض </w:t>
      </w:r>
      <w:r>
        <w:rPr>
          <w:rStyle w:val="FootnoteAnchor"/>
          <w:rtl w:val="true"/>
        </w:rPr>
        <w:footnoteReference w:id="22"/>
      </w:r>
      <w:r>
        <w:rPr>
          <w:rFonts w:ascii="IRNazanin" w:hAnsi="IRNazanin" w:eastAsia="IRNazanin"/>
          <w:color w:val="111111"/>
          <w:sz w:val="28"/>
          <w:sz w:val="28"/>
          <w:szCs w:val="28"/>
          <w:rtl w:val="true"/>
          <w:lang w:bidi="fa-IR"/>
        </w:rPr>
        <w:t xml:space="preserve">النوم من الوجه الذی ذکره الوالد قدس سره </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وهو أن المقصود من الخبر نفی الناقضیة عما لیس بحدث من مثل النخامة وتقلیم الظفر ، کما یقوله أهل الخلاف ، ولمّا کان النوم لا یخلو من خفاء فی صدق الحدث علیه أظهره علیه السلام ، وحینئذ فدلالته علی نقض النوم لا یرتاب فیها ، أمّا دلالته علی أن کل نوم ناقض فالمنع متوجه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قیل فیه من أنّه یجوز أن یجعل الحدث فی الصغری بمعنی کل حدث ، کما قالوه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نَفْسٌ ما قَدَّمَتْ وَأَخَّرَتْ </w:t>
      </w:r>
      <w:r>
        <w:rPr>
          <w:rFonts w:eastAsia="Amiri" w:cs="Amiri" w:ascii="Amiri" w:hAnsi="Amiri"/>
          <w:color w:val="111111"/>
          <w:sz w:val="28"/>
          <w:szCs w:val="28"/>
          <w:rtl w:val="true"/>
          <w:lang w:bidi="ar-SA"/>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فیصیر فی قوة قولنا ، کل حدث ناقض ، ویؤول إلی الشکل الرابع ، فینتج بعض الناقض نوم ، وإمّا أن یجعل الصغری کبری وبالعکس فیکون من الشکل الأوّل </w:t>
      </w:r>
      <w:r>
        <w:rPr>
          <w:rFonts w:eastAsia="IRNazanin" w:cs="IRNazanin"/>
          <w:color w:val="111111"/>
          <w:sz w:val="28"/>
          <w:szCs w:val="28"/>
          <w:rtl w:val="true"/>
          <w:lang w:bidi="fa-IR"/>
        </w:rPr>
        <w:t xml:space="preserve">- </w:t>
      </w:r>
      <w:r>
        <w:rPr>
          <w:rStyle w:val="FootnoteAnchor"/>
          <w:rtl w:val="true"/>
        </w:rPr>
        <w:footnoteReference w:id="25"/>
      </w:r>
      <w:r>
        <w:rPr>
          <w:rFonts w:ascii="Amiri" w:hAnsi="Amiri" w:eastAsia="Amiri" w:cs="Amiri"/>
          <w:color w:val="111111"/>
          <w:sz w:val="28"/>
          <w:sz w:val="28"/>
          <w:szCs w:val="28"/>
          <w:rtl w:val="true"/>
          <w:lang w:bidi="ar-SA"/>
        </w:rPr>
        <w:t>فله وجه أیضاً ، إلاّ أنّه ظاهر التکلف</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علم أو ظنّ أنّ غرض العلاّمة الاستدلال علی أن </w:t>
      </w:r>
      <w:bookmarkStart w:id="45" w:name="pg17122_169471"/>
    </w:p>
    <w:p>
      <w:pPr>
        <w:pStyle w:val="BookText"/>
        <w:rPr/>
      </w:pPr>
      <w:bookmarkEnd w:id="45"/>
      <w:r>
        <w:rPr>
          <w:rFonts w:ascii="IRNazanin" w:hAnsi="IRNazanin" w:eastAsia="IRNazanin"/>
          <w:color w:val="111111"/>
          <w:sz w:val="28"/>
          <w:sz w:val="28"/>
          <w:szCs w:val="28"/>
          <w:rtl w:val="true"/>
          <w:lang w:bidi="fa-IR"/>
        </w:rPr>
        <w:t xml:space="preserve">کل نوم ناقض؟ وغایة ما یستفاد من </w:t>
      </w:r>
      <w:r>
        <w:rPr>
          <w:rStyle w:val="FootnoteAnchor"/>
          <w:rtl w:val="true"/>
        </w:rPr>
        <w:footnoteReference w:id="26"/>
      </w:r>
      <w:r>
        <w:rPr>
          <w:rFonts w:ascii="IRNazanin" w:hAnsi="IRNazanin" w:eastAsia="IRNazanin"/>
          <w:color w:val="111111"/>
          <w:sz w:val="28"/>
          <w:sz w:val="28"/>
          <w:szCs w:val="28"/>
          <w:rtl w:val="true"/>
          <w:lang w:bidi="fa-IR"/>
        </w:rPr>
        <w:t>کلامه أن النوم 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ووجود العلة یستلزم وجود المعلول ، إذ لا معنی لکون الحدث علّة إلاّ أنّه کلّما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الحدث </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تحقق النقض ، والعلة موجودة فی النوم کیف 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لازم للدلیل لا أنّه مقید به ، بل یجوز أن یکون استدلاله لناقضیة النوم من حیث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المقصود هذا کان ذکره العلّة خالیاً عن الفائدة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یمکن توجیه عدم إرادة ما ذکرناه ، إلاّ أنّ الظاهر ما قلناه ، وغیره لا یخلو من تکلف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الخبر الثانی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أی الحالات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یحتمل الشمول لجمیع حالات النوم فیندفع به قول الصدوق </w:t>
      </w:r>
      <w:r>
        <w:rPr>
          <w:rStyle w:val="FootnoteAnchor"/>
          <w:rtl w:val="true"/>
        </w:rPr>
        <w:footnoteReference w:id="28"/>
      </w:r>
      <w:r>
        <w:rPr>
          <w:rFonts w:ascii="IRNazanin" w:hAnsi="IRNazanin" w:eastAsia="IRNazanin"/>
          <w:color w:val="111111"/>
          <w:sz w:val="28"/>
          <w:sz w:val="28"/>
          <w:szCs w:val="28"/>
          <w:rtl w:val="true"/>
          <w:lang w:bidi="fa-IR"/>
        </w:rPr>
        <w:t xml:space="preserve">؛ یحتمل أن یراد الحالات المذکورة فی الحدیث ، فلا یتم الاستدلال به علی أن النوم ناقض فی جمیع الأحوال ، إلا أن یدّعی ظهور الاحتمال الأوّل ، وکأن الشیخ فهم ذلک منه ، لیتحقق التعارض فی الخبرین الآتیین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إطلاق الأخبار السابقة کافٍ فی تحقق التعارض ، وفیه کلام </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فالخبران الآتیان لو صحا أمکن الاستدلال بهما علی قول الصدوق فی الجملة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 w:name="__RefHeading___Toc38920_2142443653"/>
      <w:bookmarkStart w:id="47" w:name="_Toc18"/>
      <w:bookmarkEnd w:id="46"/>
      <w:r>
        <w:rPr>
          <w:rtl w:val="true"/>
        </w:rPr>
        <w:t>هل النوم ناقض فی جمیع الأحوال؟</w:t>
      </w:r>
      <w:bookmarkEnd w:id="47"/>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أحمد بن یحیی ، عن العباس ، عن شعیب </w:t>
      </w:r>
      <w:r>
        <w:rPr>
          <w:rStyle w:val="FootnoteAnchor"/>
          <w:rtl w:val="true"/>
        </w:rPr>
        <w:footnoteReference w:id="30"/>
      </w:r>
      <w:r>
        <w:rPr>
          <w:rFonts w:ascii="IRNazanin" w:hAnsi="IRNazanin" w:eastAsia="IRNazanin"/>
          <w:color w:val="111111"/>
          <w:sz w:val="28"/>
          <w:sz w:val="28"/>
          <w:szCs w:val="28"/>
          <w:rtl w:val="true"/>
          <w:lang w:bidi="fa-IR"/>
        </w:rPr>
        <w:t xml:space="preserve">، عن عمران بن حمران ، أنّه سمع عبداً صالحاً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نام وهو جالس لا یتعمد النوم فلا وضوء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سعد بن عبد الله ، عن أحمد بن محمد بن عیسی ، عن علی ابن الحکم ، عن سیف بن عمیرة ، عن بکر بن أبی بکر الحضرمی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 هل ینام الرجل وهو جالس؟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أبی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نام الرجل وهو جالس مجتمع فلیس علیه وضوء ، وإذا نام مضطجعاً علیه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جری مجری هذین الخبرین ممّا ورد یتضمن نفی إعادة الوضوء من النوم لأنّها کثیرة لم نذکرها لأن الکلام علیها واحد ، وهو أن نحملها علی النوم الذی لا یغلب علی العقل ویکون الإنسان معه متماسکاً ضابطاً لما یکون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یدل علی هذا التأویل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أخبرنی به الشیخ رحمه الله عن أحمد بن محمد </w:t>
      </w:r>
      <w:r>
        <w:rPr>
          <w:rStyle w:val="FootnoteAnchor"/>
          <w:rtl w:val="true"/>
        </w:rPr>
        <w:footnoteReference w:id="31"/>
      </w:r>
      <w:r>
        <w:rPr>
          <w:rFonts w:ascii="IRNazanin" w:hAnsi="IRNazanin" w:eastAsia="IRNazanin"/>
          <w:color w:val="111111"/>
          <w:sz w:val="28"/>
          <w:sz w:val="28"/>
          <w:szCs w:val="28"/>
          <w:rtl w:val="true"/>
          <w:lang w:bidi="fa-IR"/>
        </w:rPr>
        <w:t xml:space="preserve">، عن أبیه ، عن الصفار ، عن أحمد بن محمد بن عیسی والحسین بن الحسن بن أبان جمیعاً ، عن الحسین بن سعید ، عن محمد بن الفضل </w:t>
      </w:r>
      <w:r>
        <w:rPr>
          <w:rStyle w:val="FootnoteAnchor"/>
          <w:rtl w:val="true"/>
        </w:rPr>
        <w:footnoteReference w:id="32"/>
      </w:r>
      <w:r>
        <w:rPr>
          <w:rFonts w:ascii="IRNazanin" w:hAnsi="IRNazanin" w:eastAsia="IRNazanin"/>
          <w:color w:val="111111"/>
          <w:sz w:val="28"/>
          <w:sz w:val="28"/>
          <w:szCs w:val="28"/>
          <w:rtl w:val="true"/>
          <w:lang w:bidi="fa-IR"/>
        </w:rPr>
        <w:t xml:space="preserve">، عن أبی الصباح الکنانی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یخفق </w:t>
      </w:r>
      <w:bookmarkStart w:id="48" w:name="pg17122_169473"/>
    </w:p>
    <w:p>
      <w:pPr>
        <w:pStyle w:val="BookText"/>
        <w:rPr/>
      </w:pPr>
      <w:bookmarkEnd w:id="48"/>
      <w:r>
        <w:rPr>
          <w:rFonts w:ascii="IRNazanin" w:hAnsi="IRNazanin" w:eastAsia="IRNazanin"/>
          <w:color w:val="111111"/>
          <w:sz w:val="28"/>
          <w:sz w:val="28"/>
          <w:szCs w:val="28"/>
          <w:rtl w:val="true"/>
          <w:lang w:bidi="fa-IR"/>
        </w:rPr>
        <w:t xml:space="preserve">وهو فی الصلاة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لا یحفظ حدثاً منه إن کان فعلیه الوضوء وإعادة الصلاة ، وإن کان یستیقن أنّه لم یحدث فلیس علیه وضوء ولا إعادة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أن العباس هو ابن معروف ، وقد تکرر ذکره فی الأخبار مبینا </w:t>
      </w:r>
      <w:r>
        <w:rPr>
          <w:rStyle w:val="FootnoteAnchor"/>
          <w:rtl w:val="true"/>
        </w:rPr>
        <w:footnoteReference w:id="33"/>
      </w:r>
      <w:r>
        <w:rPr>
          <w:rFonts w:ascii="IRNazanin" w:hAnsi="IRNazanin" w:eastAsia="IRNazanin"/>
          <w:color w:val="111111"/>
          <w:sz w:val="28"/>
          <w:sz w:val="28"/>
          <w:szCs w:val="28"/>
          <w:rtl w:val="true"/>
          <w:lang w:bidi="fa-IR"/>
        </w:rPr>
        <w:t xml:space="preserve">، وأمّا شعیب فهو مشترک </w:t>
      </w:r>
      <w:r>
        <w:rPr>
          <w:rStyle w:val="FootnoteAnchor"/>
          <w:rtl w:val="true"/>
        </w:rPr>
        <w:footnoteReference w:id="34"/>
      </w:r>
      <w:r>
        <w:rPr>
          <w:rFonts w:ascii="IRNazanin" w:hAnsi="IRNazanin" w:eastAsia="IRNazanin"/>
          <w:color w:val="111111"/>
          <w:sz w:val="28"/>
          <w:sz w:val="28"/>
          <w:szCs w:val="28"/>
          <w:rtl w:val="true"/>
          <w:lang w:bidi="fa-IR"/>
        </w:rPr>
        <w:t xml:space="preserve">، وربما یقرب احتمال کونه الثقة ، إلاّ أن الجزم به محل تأمل ؛ وعمران بن حمران مهمل فی الرجال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 إلاّ بکر بن أبی بکر الحضرمی ، وهو مهمل فی الرجال </w:t>
      </w:r>
      <w:r>
        <w:rPr>
          <w:rStyle w:val="FootnoteAnchor"/>
          <w:rtl w:val="true"/>
        </w:rPr>
        <w:footnoteReference w:id="36"/>
      </w:r>
      <w:r>
        <w:rPr>
          <w:rFonts w:ascii="IRNazanin" w:hAnsi="IRNazanin" w:eastAsia="IRNazanin"/>
          <w:color w:val="111111"/>
          <w:sz w:val="28"/>
          <w:sz w:val="28"/>
          <w:szCs w:val="28"/>
          <w:rtl w:val="true"/>
          <w:lang w:bidi="fa-IR"/>
        </w:rPr>
        <w:t>، وأمّا علی بن الحکم فهو متعین کونه الثقة بقرینة روایة أحمد بن محمد بن عیسی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محمد بن الفضل فی أکثر النسخ وفی بعضها ابن الفضیل مصغراً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شیخنا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الله فی فوائده علی الکتاب أن ابن المصغّر ضعیف وغیره ثقة ، وربما یوجّه الاتحاد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قاله سلمه الله من أن محمد بن الفضیل ضعیف وغیره ثقة محل کلام ، لأن کلیهما فی الرجال مشترک بین من وثّق وغیره </w:t>
      </w:r>
      <w:r>
        <w:rPr>
          <w:rStyle w:val="FootnoteAnchor"/>
          <w:rtl w:val="true"/>
        </w:rPr>
        <w:footnoteReference w:id="37"/>
      </w:r>
      <w:r>
        <w:rPr>
          <w:rFonts w:ascii="IRNazanin" w:hAnsi="IRNazanin" w:eastAsia="IRNazanin"/>
          <w:color w:val="111111"/>
          <w:sz w:val="28"/>
          <w:sz w:val="28"/>
          <w:szCs w:val="28"/>
          <w:rtl w:val="true"/>
          <w:lang w:bidi="fa-IR"/>
        </w:rPr>
        <w:t>، ولعلّه فهم من القرائن ما قاله ، وهو أعلم</w:t>
      </w:r>
      <w:r>
        <w:rPr>
          <w:rFonts w:eastAsia="IRNazanin" w:cs="IRNazanin"/>
          <w:color w:val="111111"/>
          <w:sz w:val="28"/>
          <w:szCs w:val="28"/>
          <w:rtl w:val="true"/>
          <w:lang w:bidi="fa-IR"/>
        </w:rPr>
        <w:t>.</w:t>
      </w:r>
    </w:p>
    <w:p>
      <w:pPr>
        <w:pStyle w:val="Heading4"/>
        <w:numPr>
          <w:ilvl w:val="3"/>
          <w:numId w:val="1"/>
        </w:numPr>
        <w:rPr/>
      </w:pPr>
      <w:bookmarkStart w:id="49" w:name="__RefHeading___Toc38922_2142443653"/>
      <w:bookmarkStart w:id="50" w:name="_Toc19"/>
      <w:bookmarkEnd w:id="49"/>
      <w:r>
        <w:rPr>
          <w:rtl w:val="true"/>
        </w:rPr>
        <w:t>شعیب مشترک</w:t>
      </w:r>
      <w:bookmarkEnd w:id="50"/>
    </w:p>
    <w:p>
      <w:pPr>
        <w:pStyle w:val="Heading4"/>
        <w:numPr>
          <w:ilvl w:val="3"/>
          <w:numId w:val="1"/>
        </w:numPr>
        <w:rPr/>
      </w:pPr>
      <w:bookmarkStart w:id="51" w:name="__RefHeading___Toc38924_2142443653"/>
      <w:bookmarkStart w:id="52" w:name="_Toc20"/>
      <w:bookmarkEnd w:id="51"/>
      <w:r>
        <w:rPr>
          <w:rtl w:val="true"/>
        </w:rPr>
        <w:t>عمران بن حمران مهمل</w:t>
      </w:r>
      <w:bookmarkEnd w:id="52"/>
    </w:p>
    <w:p>
      <w:pPr>
        <w:pStyle w:val="Heading4"/>
        <w:numPr>
          <w:ilvl w:val="3"/>
          <w:numId w:val="1"/>
        </w:numPr>
        <w:rPr/>
      </w:pPr>
      <w:bookmarkStart w:id="53" w:name="__RefHeading___Toc38926_2142443653"/>
      <w:bookmarkStart w:id="54" w:name="_Toc21"/>
      <w:bookmarkEnd w:id="53"/>
      <w:r>
        <w:rPr>
          <w:rtl w:val="true"/>
        </w:rPr>
        <w:t>بکر بن أبی بکر الحضرمی مهمل</w:t>
      </w:r>
      <w:bookmarkEnd w:id="54"/>
    </w:p>
    <w:p>
      <w:pPr>
        <w:pStyle w:val="Heading4"/>
        <w:numPr>
          <w:ilvl w:val="3"/>
          <w:numId w:val="1"/>
        </w:numPr>
        <w:rPr/>
      </w:pPr>
      <w:bookmarkStart w:id="55" w:name="__RefHeading___Toc38928_2142443653"/>
      <w:bookmarkStart w:id="56" w:name="_Toc22"/>
      <w:bookmarkEnd w:id="55"/>
      <w:r>
        <w:rPr>
          <w:rtl w:val="true"/>
        </w:rPr>
        <w:t>علی بن الحکم هو الثقة إذا روی عنه أحمد بن محمد بن عیسی</w:t>
      </w:r>
      <w:bookmarkEnd w:id="5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 w:name="__RefHeading___Toc38930_2142443653"/>
      <w:bookmarkStart w:id="58" w:name="_Toc23"/>
      <w:bookmarkEnd w:id="57"/>
      <w:r>
        <w:rPr>
          <w:rtl w:val="true"/>
        </w:rPr>
        <w:t>بحث حول محمد بن الفضل ومحمد بن الفضیل</w:t>
      </w:r>
      <w:bookmarkStart w:id="59" w:name="pg17122_169474"/>
      <w:bookmarkEnd w:id="58"/>
    </w:p>
    <w:p>
      <w:pPr>
        <w:pStyle w:val="BookText"/>
        <w:rPr/>
      </w:pPr>
      <w:bookmarkEnd w:id="59"/>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ذکره الشیخ فی الأولین قد یستبعد ، سیّما فی الثانی ، بأن وصف الاجتماع والجلوس لا خصوصیّة له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الأغلب فیمن فیه الوصف عدم النوم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من الخبر الدال علی مطلوبه لا یشکل بأنه یقتضی کون النوم لیس ناقضاً بذاته ، لأن الظاهر إرادة الأثر من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الخبر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ینام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المراد به هل یتحقق منه النوم الناقض؟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ینتظرون العشاء حتی تخفق رؤوسهم ، أی ینامون حتی تسقط أذقانهم علی صدورهم وهم قعود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عدم موافقته الإرادة من الخبر إلاّ بتکلف ، ولعله یستعمل فی غیر ذلک ، کما نقل أنّه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خفق فلان حرّک رأسه إذا نعس </w:t>
      </w:r>
      <w:r>
        <w:rPr>
          <w:rStyle w:val="FootnoteAnchor"/>
          <w:rtl w:val="true"/>
        </w:rPr>
        <w:footnoteReference w:id="39"/>
      </w:r>
      <w:r>
        <w:rPr>
          <w:rFonts w:ascii="IRNazanin" w:hAnsi="IRNazanin" w:eastAsia="IRNazanin"/>
          <w:color w:val="111111"/>
          <w:sz w:val="28"/>
          <w:sz w:val="28"/>
          <w:szCs w:val="28"/>
          <w:rtl w:val="true"/>
          <w:lang w:bidi="fa-IR"/>
        </w:rPr>
        <w:t>، غیر أنّی لم أقف علی مأخذه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الإسناد عن الحسین بن سعید ، عن ابن أبی عمیر ، عن </w:t>
      </w:r>
      <w:r>
        <w:rPr>
          <w:rStyle w:val="FootnoteAnchor"/>
          <w:rtl w:val="true"/>
        </w:rPr>
        <w:footnoteReference w:id="4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0" w:name="__RefHeading___Toc38932_2142443653"/>
      <w:bookmarkStart w:id="61" w:name="_Toc24"/>
      <w:bookmarkEnd w:id="60"/>
      <w:r>
        <w:rPr>
          <w:rtl w:val="true"/>
        </w:rPr>
        <w:t>معنی الخفق</w:t>
      </w:r>
      <w:bookmarkStart w:id="62" w:name="pg17122_169475"/>
      <w:bookmarkEnd w:id="61"/>
    </w:p>
    <w:p>
      <w:pPr>
        <w:pStyle w:val="BookText"/>
        <w:rPr/>
      </w:pPr>
      <w:bookmarkEnd w:id="62"/>
      <w:r>
        <w:rPr>
          <w:rFonts w:ascii="Amiri" w:hAnsi="Amiri" w:eastAsia="Amiri" w:cs="Amiri"/>
          <w:color w:val="111111"/>
          <w:sz w:val="28"/>
          <w:sz w:val="28"/>
          <w:szCs w:val="28"/>
          <w:rtl w:val="true"/>
          <w:lang w:bidi="ar-SA"/>
        </w:rPr>
        <w:t xml:space="preserve">ابن أُذینة ، عن ابن بکیر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إِلَی الصَّلاةِ </w:t>
      </w:r>
      <w:r>
        <w:rPr>
          <w:rFonts w:eastAsia="Amiri" w:cs="Amiri" w:ascii="Amiri" w:hAnsi="Amiri"/>
          <w:color w:val="111111"/>
          <w:sz w:val="28"/>
          <w:szCs w:val="28"/>
          <w:rtl w:val="true"/>
          <w:lang w:bidi="ar-SA"/>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ما یعنی بذلک إذا قمتم إلی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قمتم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ینقض النوم الوضوء؟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إذا کان یغلب علی السمع ولا یسمع الصوت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الإسناد عن الحسین بن سعید ، عن فضالة ، عن الحسین ابن عثمان ، عن عبد الرحمن بن الحجاج ، عن زید الشحام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الخفقة والخفقتین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أدری ما الخفقة والخفقتان ، إن الله تعالی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الْإِنْسانُ عَلی نَفْسِهِ بَصِیرَةٌ </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إن علیاً علیه السلام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وجد طعم النوم فإنما أوجب علیه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علی قول الشیخ فی عبد الله بن بکیر إنّه ثقة وفطحی </w:t>
      </w:r>
      <w:r>
        <w:rPr>
          <w:rStyle w:val="FootnoteAnchor"/>
          <w:rtl w:val="true"/>
        </w:rPr>
        <w:footnoteReference w:id="43"/>
      </w:r>
      <w:r>
        <w:rPr>
          <w:rFonts w:ascii="IRNazanin" w:hAnsi="IRNazanin" w:eastAsia="IRNazanin"/>
          <w:color w:val="111111"/>
          <w:sz w:val="28"/>
          <w:sz w:val="28"/>
          <w:szCs w:val="28"/>
          <w:rtl w:val="true"/>
          <w:lang w:bidi="fa-IR"/>
        </w:rPr>
        <w:t xml:space="preserve">، والنجاشی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یذکر الأمرین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فیه علی ما سبق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صریح الأوّل إذا عملنا به أن المراد بالآیة القیام من النوم ، وقد وقع</w:t>
      </w:r>
    </w:p>
    <w:p>
      <w:pPr>
        <w:pStyle w:val="Heading4"/>
        <w:numPr>
          <w:ilvl w:val="3"/>
          <w:numId w:val="1"/>
        </w:numPr>
        <w:rPr/>
      </w:pPr>
      <w:bookmarkStart w:id="63" w:name="__RefHeading___Toc38934_2142443653"/>
      <w:bookmarkStart w:id="64" w:name="_Toc25"/>
      <w:bookmarkEnd w:id="63"/>
      <w:r>
        <w:rPr>
          <w:rtl w:val="true"/>
        </w:rPr>
        <w:t>عبدالله بن بکیر ثقة فطحی</w:t>
      </w:r>
      <w:bookmarkEnd w:id="6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5" w:name="__RefHeading___Toc38936_2142443653"/>
      <w:bookmarkStart w:id="66" w:name="_Toc26"/>
      <w:bookmarkEnd w:id="65"/>
      <w:r>
        <w:rPr>
          <w:rtl w:val="true"/>
        </w:rPr>
        <w:t xml:space="preserve">ما المراد بالقیام فی قوله تعالی </w:t>
      </w:r>
      <w:r>
        <w:rPr>
          <w:rtl w:val="true"/>
        </w:rPr>
        <w:t xml:space="preserve">: « </w:t>
      </w:r>
      <w:r>
        <w:rPr>
          <w:rtl w:val="true"/>
        </w:rPr>
        <w:t xml:space="preserve">إذا قمتم إلی الصلاة </w:t>
      </w:r>
      <w:r>
        <w:rPr>
          <w:rtl w:val="true"/>
        </w:rPr>
        <w:t>»</w:t>
      </w:r>
      <w:r>
        <w:rPr>
          <w:rtl w:val="true"/>
        </w:rPr>
        <w:t>؟</w:t>
      </w:r>
      <w:bookmarkStart w:id="67" w:name="pg17122_169476"/>
      <w:bookmarkEnd w:id="66"/>
    </w:p>
    <w:p>
      <w:pPr>
        <w:pStyle w:val="BookText"/>
        <w:rPr/>
      </w:pPr>
      <w:bookmarkEnd w:id="67"/>
      <w:r>
        <w:rPr>
          <w:rFonts w:ascii="IRNazanin" w:hAnsi="IRNazanin" w:eastAsia="IRNazanin"/>
          <w:color w:val="111111"/>
          <w:sz w:val="28"/>
          <w:sz w:val="28"/>
          <w:szCs w:val="28"/>
          <w:rtl w:val="true"/>
          <w:lang w:bidi="fa-IR"/>
        </w:rPr>
        <w:t xml:space="preserve">للعلاّمة فی المنتهی ما یوجب التعجب ، وهو أنّه فی أول الکتاب استدل بالآیة علی أن المراد بها إرادة القیام </w:t>
      </w:r>
      <w:r>
        <w:rPr>
          <w:rStyle w:val="FootnoteAnchor"/>
          <w:rtl w:val="true"/>
        </w:rPr>
        <w:footnoteReference w:id="45"/>
      </w:r>
      <w:r>
        <w:rPr>
          <w:rFonts w:ascii="IRNazanin" w:hAnsi="IRNazanin" w:eastAsia="IRNazanin"/>
          <w:color w:val="111111"/>
          <w:sz w:val="28"/>
          <w:sz w:val="28"/>
          <w:szCs w:val="28"/>
          <w:rtl w:val="true"/>
          <w:lang w:bidi="fa-IR"/>
        </w:rPr>
        <w:t xml:space="preserve">، وفی بحث النوم استدلّ بها علی نقض النوم </w:t>
      </w:r>
      <w:r>
        <w:rPr>
          <w:rStyle w:val="FootnoteAnchor"/>
          <w:rtl w:val="true"/>
        </w:rPr>
        <w:footnoteReference w:id="46"/>
      </w:r>
      <w:r>
        <w:rPr>
          <w:rFonts w:ascii="IRNazanin" w:hAnsi="IRNazanin" w:eastAsia="IRNazanin"/>
          <w:color w:val="111111"/>
          <w:sz w:val="28"/>
          <w:sz w:val="28"/>
          <w:szCs w:val="28"/>
          <w:rtl w:val="true"/>
          <w:lang w:bidi="fa-IR"/>
        </w:rPr>
        <w:t xml:space="preserve">، والتنافی واضح ، وشیخنا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فی المدارک نحو ذلک </w:t>
      </w:r>
      <w:r>
        <w:rPr>
          <w:rStyle w:val="FootnoteAnchor"/>
          <w:rtl w:val="true"/>
        </w:rPr>
        <w:footnoteReference w:id="47"/>
      </w:r>
      <w:r>
        <w:rPr>
          <w:rFonts w:ascii="IRNazanin" w:hAnsi="IRNazanin" w:eastAsia="IRNazanin"/>
          <w:color w:val="111111"/>
          <w:sz w:val="28"/>
          <w:sz w:val="28"/>
          <w:szCs w:val="28"/>
          <w:rtl w:val="true"/>
          <w:lang w:bidi="fa-IR"/>
        </w:rPr>
        <w:t xml:space="preserve">، إلاّ أنّه جعلها فی النوم مؤیدة </w:t>
      </w:r>
      <w:r>
        <w:rPr>
          <w:rStyle w:val="FootnoteAnchor"/>
          <w:rtl w:val="true"/>
        </w:rPr>
        <w:footnoteReference w:id="48"/>
      </w:r>
      <w:r>
        <w:rPr>
          <w:rFonts w:ascii="IRNazanin" w:hAnsi="IRNazanin" w:eastAsia="IRNazanin"/>
          <w:color w:val="111111"/>
          <w:sz w:val="28"/>
          <w:sz w:val="28"/>
          <w:szCs w:val="28"/>
          <w:rtl w:val="true"/>
          <w:lang w:bidi="fa-IR"/>
        </w:rPr>
        <w:t>، ولا یخفی علیک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الخبر الثانی فظاهره لا یخلو من إجمال ، إذ الضابط عسر الحصول ، ولعلّ یقین الطهارة إذا کان لا یزول إلاّ مع یقین النوم فما لم یتحقق فالأصل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یتضمنه من أن مجرد النوم یوجب الوضوء قد یستفاد منه أن الوضوء واجب لنفسه کما نقله فی الذکری عن بعض </w:t>
      </w:r>
      <w:r>
        <w:rPr>
          <w:rStyle w:val="FootnoteAnchor"/>
          <w:rtl w:val="true"/>
        </w:rPr>
        <w:footnoteReference w:id="49"/>
      </w:r>
      <w:r>
        <w:rPr>
          <w:rFonts w:ascii="IRNazanin" w:hAnsi="IRNazanin" w:eastAsia="IRNazanin"/>
          <w:color w:val="111111"/>
          <w:sz w:val="28"/>
          <w:sz w:val="28"/>
          <w:szCs w:val="28"/>
          <w:rtl w:val="true"/>
          <w:lang w:bidi="fa-IR"/>
        </w:rPr>
        <w:t>، وله مؤیدات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روی صحیحاً من أنّه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 الوقت وجب الصلاة والطهور </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لا ینافی ذلک ، لأن المرکب ینتفی بانتفاء أحد جزئیة ، إلاّ أن له أیضاً مؤیدات ، ولا خروج عما علیه الأصحاب المشهورون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أن یعلم أن شیخنا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نقل أن المعروف بین الأصحاب کون الوضوء إنّما یجب بالأصل عند اشتغال الذمة بمشروط به ، فقبله لا یکون إلاّ مندوباً ، تمسکاً بمفهوم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قُمْتُمْ إِلَی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8" w:name="__RefHeading___Toc38938_2142443653"/>
      <w:bookmarkStart w:id="69" w:name="_Toc27"/>
      <w:bookmarkEnd w:id="68"/>
      <w:r>
        <w:rPr>
          <w:rtl w:val="true"/>
        </w:rPr>
        <w:t>هل الوضوء واجب نفسی؟</w:t>
      </w:r>
      <w:bookmarkEnd w:id="69"/>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الآیة ، ولیس المراد نفس القیام ، وإلاّ لزم تأخیر الوضوء عن الصلاة وهو باطل ، بل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أردتم القیام ؛ اعترض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مقتضی الآیة الشریفة ترتب الأمر بالغَسل والمسح علی إرادة القیام ، والإرادة تتحقق قبل الوقت وبعده ، إذ لا یعتبر فیها المقارنة للقیام ، وإلاّ لما وجب الوضوء فی أول الوقت علی من أراد الصلاة فی آخره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نظری القاصر أن الاعتراض غیر متوجه ، لأن القیام إلی الصلاة إذا امتنع إرادته من الآیة ینبغی أن یصار إلی أقرب المجازات ، کما هو مقرر ، ولا ریب أن الوضوء بعد دخول الوقت أقرب من الوضوء قبله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إنّه لو اعتبرت المقارنة إلی آخره ،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ملازمة ، وبتقدیر اللزوم فالخروج بالإجماع 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علی بن محبوب ، عن العباس ، عن محمد بن إسماعیل ، عن محمد بن عذافر ، عن عبد الله بن سنان ، عن أبی عبد الله علیه السلام ، فی الرجل هل ینقض وضوءه إذا نام وهو جالس؟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یوم الجمعة فلا وضوء علیه ، وذلک أنّه فی حال ضرورة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الخبر محمول علی أنّه لا وضوء علیه ولکن علیه التیمم ، لأن ما ینقض الوضوء لا یختص بیوم الجمعة دون غیرها ، والوجه فیه أنّه یتیمم ویصلی ، فإذا انفضّ الجمع توضأ وأعاد الصلاة ، لأنه ربما لم یقدر علی الخروج من الزحمة</w:t>
      </w:r>
      <w:r>
        <w:rPr>
          <w:rFonts w:eastAsia="IRNazanin" w:cs="IRNazanin"/>
          <w:color w:val="111111"/>
          <w:sz w:val="28"/>
          <w:szCs w:val="28"/>
          <w:rtl w:val="true"/>
          <w:lang w:bidi="fa-IR"/>
        </w:rPr>
        <w:t xml:space="preserve">. </w:t>
      </w:r>
      <w:bookmarkStart w:id="70" w:name="pg17122_169478"/>
    </w:p>
    <w:p>
      <w:pPr>
        <w:pStyle w:val="BookText"/>
        <w:rPr/>
      </w:pPr>
      <w:bookmarkEnd w:id="70"/>
      <w:r>
        <w:rPr>
          <w:rFonts w:ascii="IRNazanin" w:hAnsi="IRNazanin" w:eastAsia="IRNazanin"/>
          <w:color w:val="111111"/>
          <w:sz w:val="28"/>
          <w:sz w:val="28"/>
          <w:szCs w:val="28"/>
          <w:rtl w:val="true"/>
          <w:lang w:bidi="fa-IR"/>
        </w:rPr>
        <w:t xml:space="preserve">والذی 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أخبرنی به الحسین بن عبید الله ، عن أحمد بن محمد بن یحیی ، عن أبیه ، عن محمد بن علی بن محبوب ، عن العباس بن معروف ، عن عبد الله </w:t>
      </w:r>
      <w:r>
        <w:rPr>
          <w:rStyle w:val="FootnoteAnchor"/>
          <w:rtl w:val="true"/>
        </w:rPr>
        <w:footnoteReference w:id="53"/>
      </w:r>
      <w:r>
        <w:rPr>
          <w:rFonts w:ascii="IRNazanin" w:hAnsi="IRNazanin" w:eastAsia="IRNazanin"/>
          <w:color w:val="111111"/>
          <w:sz w:val="28"/>
          <w:sz w:val="28"/>
          <w:szCs w:val="28"/>
          <w:rtl w:val="true"/>
          <w:lang w:bidi="fa-IR"/>
        </w:rPr>
        <w:t xml:space="preserve">، عن السکونی ، عن جعفر ، عن أبیه ، عن علی علیهم السلام ، أنّه سئل عن رجل یکون فی وسط الزحام یوم الجمعة أو یوم عرفة لا یستطیع الخروج من المسجد من کثرة النّاس یحدث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یتیمم ویصلی معهم ویعید إذا انصرف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الأوّل ، العبّاس فیه </w:t>
      </w:r>
      <w:r>
        <w:rPr>
          <w:rStyle w:val="FootnoteAnchor"/>
          <w:rtl w:val="true"/>
        </w:rPr>
        <w:footnoteReference w:id="54"/>
      </w:r>
      <w:r>
        <w:rPr>
          <w:rFonts w:ascii="IRNazanin" w:hAnsi="IRNazanin" w:eastAsia="IRNazanin"/>
          <w:color w:val="111111"/>
          <w:sz w:val="28"/>
          <w:sz w:val="28"/>
          <w:szCs w:val="28"/>
          <w:rtl w:val="true"/>
          <w:lang w:bidi="fa-IR"/>
        </w:rPr>
        <w:t xml:space="preserve">هو ابن معروف ، لتکرره فی مثل هذا السند مبیّناً ، ومحمد بن إسماعیل فی الظن أنّه ابن بزیع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یبعد حمله علی التقیة بمعنی أن من حصل له النوم وهو جالس</w:t>
      </w:r>
    </w:p>
    <w:p>
      <w:pPr>
        <w:pStyle w:val="Heading4"/>
        <w:numPr>
          <w:ilvl w:val="3"/>
          <w:numId w:val="1"/>
        </w:numPr>
        <w:rPr/>
      </w:pPr>
      <w:bookmarkStart w:id="71" w:name="__RefHeading___Toc38940_2142443653"/>
      <w:bookmarkStart w:id="72" w:name="_Toc28"/>
      <w:bookmarkEnd w:id="71"/>
      <w:r>
        <w:rPr>
          <w:rtl w:val="true"/>
        </w:rPr>
        <w:t>محمّد بن اسماعیل إذا روی عن محمد بن عذافر فهو ابن بزیع</w:t>
      </w:r>
      <w:bookmarkEnd w:id="7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3" w:name="__RefHeading___Toc38942_2142443653"/>
      <w:bookmarkStart w:id="74" w:name="_Toc29"/>
      <w:bookmarkEnd w:id="73"/>
      <w:r>
        <w:rPr>
          <w:rtl w:val="true"/>
        </w:rPr>
        <w:t xml:space="preserve">معنی قوله علیه السلام </w:t>
      </w:r>
      <w:r>
        <w:rPr>
          <w:rtl w:val="true"/>
        </w:rPr>
        <w:t xml:space="preserve">: « </w:t>
      </w:r>
      <w:r>
        <w:rPr>
          <w:rtl w:val="true"/>
        </w:rPr>
        <w:t xml:space="preserve">إذا کان یوم الجمعة فلا وضوء علیه </w:t>
      </w:r>
      <w:r>
        <w:rPr>
          <w:rtl w:val="true"/>
        </w:rPr>
        <w:t>»</w:t>
      </w:r>
      <w:bookmarkEnd w:id="74"/>
    </w:p>
    <w:p>
      <w:pPr>
        <w:pStyle w:val="BookText"/>
        <w:rPr/>
      </w:pPr>
      <w:r>
        <w:rPr>
          <w:rFonts w:ascii="IRNazanin" w:hAnsi="IRNazanin" w:eastAsia="IRNazanin"/>
          <w:color w:val="111111"/>
          <w:sz w:val="28"/>
          <w:sz w:val="28"/>
          <w:szCs w:val="28"/>
          <w:rtl w:val="true"/>
          <w:lang w:bidi="fa-IR"/>
        </w:rPr>
        <w:t xml:space="preserve">یوم الجمعة فی المسجد لا یعید الوضوء ، خوفاً من إنکارهم علی ذلک ، ویکون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لأنه حال 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یتوجه علیه أنّ الاعتذار بعدم الوضوء ممکن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قبول هذا من أهل الخلاف غیر معلوم ، ولعل الحمل المذکور أولی من حمل الشیخ ، وإن أمکن أن یوجّه التیمم بأنّه أولی من الصلاة بغیره ، وإن کان فی البین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اعترض به شیخنا قدس سره فی المدارک ، بعد نقله عن النهایة والمبسوط القول بالتیمم إذا منعه الزحام عن الخروج ،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ربما کان مستنده روایة السکونی ، وهی ضعیفة السند جدّاً ، ثم قوله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والأجود عدم الإعادة ، لأنه صلّی صلاة مأموراً بها ، إذ التقدیر عدم التمکن من استعمال الماء قبل فوات الجمعة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روایة السکونی وإن کانت ضعیفة إلا أن ما نقله هنا من روایة ابن سنان لا یخلو من اعتبار ، والجمع بینهما وبین الأخبار الدالة علی نقض الوضوء بالنوم یحتاج إلی ما قاله الشیخ ، فعدم الالتفات إلی ذکر مثل هذا لا یخلو من شی‌ء</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روایة السکونی إذا رُدّت بالضعف ، فجواز التیمم والحال هذه مع عدم التمکن من الماء وصحة الصلاة یقتضی أنّ الجمعة صحیحة ، والجمعة المذکورة فی روایة السکونی ظاهرها أنّها مع أهل الخلاف ، فلو کانت مع غیرهم فالضرورة بعیدة ، إلاّ أن یقال بالإمکان ، وهو کاف</w:t>
      </w:r>
      <w:r>
        <w:rPr>
          <w:rFonts w:eastAsia="IRNazanin" w:cs="IRNazanin"/>
          <w:color w:val="111111"/>
          <w:sz w:val="28"/>
          <w:szCs w:val="28"/>
          <w:rtl w:val="true"/>
          <w:lang w:bidi="fa-IR"/>
        </w:rPr>
        <w:t xml:space="preserve">. </w:t>
      </w:r>
      <w:bookmarkStart w:id="75" w:name="pg17122_169480"/>
    </w:p>
    <w:p>
      <w:pPr>
        <w:pStyle w:val="BookText"/>
        <w:rPr/>
      </w:pPr>
      <w:bookmarkEnd w:id="75"/>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الدیدان</w:t>
      </w:r>
    </w:p>
    <w:p>
      <w:pPr>
        <w:pStyle w:val="BookText"/>
        <w:rPr/>
      </w:pPr>
      <w:r>
        <w:rPr>
          <w:rFonts w:ascii="IRNazanin" w:hAnsi="IRNazanin" w:eastAsia="IRNazanin"/>
          <w:color w:val="111111"/>
          <w:sz w:val="28"/>
          <w:sz w:val="28"/>
          <w:szCs w:val="28"/>
          <w:rtl w:val="true"/>
          <w:lang w:bidi="fa-IR"/>
        </w:rPr>
        <w:t xml:space="preserve">أخبرنی الشیخ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 عن محمد بن الحسن الصفار ، عن أحمد بن محمد ، عن </w:t>
      </w:r>
      <w:r>
        <w:rPr>
          <w:rStyle w:val="FootnoteAnchor"/>
          <w:rtl w:val="true"/>
        </w:rPr>
        <w:footnoteReference w:id="58"/>
      </w:r>
      <w:r>
        <w:rPr>
          <w:rFonts w:ascii="IRNazanin" w:hAnsi="IRNazanin" w:eastAsia="IRNazanin"/>
          <w:color w:val="111111"/>
          <w:sz w:val="28"/>
          <w:sz w:val="28"/>
          <w:szCs w:val="28"/>
          <w:rtl w:val="true"/>
          <w:lang w:bidi="fa-IR"/>
        </w:rPr>
        <w:t xml:space="preserve">الحسین بن الحسن بن أبان ، عن الحسین بن سعید ، عن حماد ، عن حریز ، عمن أخبره ، عن أبی عبد الله علیه السلام ، فی الرجل یسقط منه الدواب وهو فی الصلاة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یمضی علی صلاته ولا ینقض ذلک وضوءه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أبی القاسم جعفر بن محمد ، عن محمد بن یعقوب ، عن عدة من أصحابنا ، عن أحمد بن محمد ، عن محمد بن إسماعیل ، عن ظریف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ابن ناصح عن ثعلبة بن میمون ، عن عبد الله ابن یزید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فی حَبّ القَرْع والدیدان الصغار وضوء ، إنّما هو بمنزلة القمل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لیس 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قدمناه إلاّ 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عبد الله بن یزید ، وهو مشترک بین مهملین فی الرجال </w:t>
      </w:r>
      <w:r>
        <w:rPr>
          <w:rStyle w:val="FootnoteAnchor"/>
          <w:rtl w:val="true"/>
        </w:rPr>
        <w:footnoteReference w:id="61"/>
      </w:r>
      <w:r>
        <w:rPr>
          <w:rFonts w:ascii="IRNazanin" w:hAnsi="IRNazanin" w:eastAsia="IRNazanin"/>
          <w:color w:val="111111"/>
          <w:sz w:val="28"/>
          <w:sz w:val="28"/>
          <w:szCs w:val="28"/>
          <w:rtl w:val="true"/>
          <w:lang w:bidi="fa-IR"/>
        </w:rPr>
        <w:t>، وغیره قد کرّرنا القول فیه</w:t>
      </w:r>
      <w:r>
        <w:rPr>
          <w:rFonts w:eastAsia="IRNazanin" w:cs="IRNazanin"/>
          <w:color w:val="111111"/>
          <w:sz w:val="28"/>
          <w:szCs w:val="28"/>
          <w:rtl w:val="true"/>
          <w:lang w:bidi="fa-IR"/>
        </w:rPr>
        <w:t>.</w:t>
      </w:r>
    </w:p>
    <w:p>
      <w:pPr>
        <w:pStyle w:val="Heading3"/>
        <w:numPr>
          <w:ilvl w:val="2"/>
          <w:numId w:val="1"/>
        </w:numPr>
        <w:rPr/>
      </w:pPr>
      <w:bookmarkStart w:id="76" w:name="__RefHeading___Toc38944_2142443653"/>
      <w:bookmarkStart w:id="77" w:name="_Toc30"/>
      <w:bookmarkEnd w:id="76"/>
      <w:r>
        <w:rPr>
          <w:rtl w:val="true"/>
        </w:rPr>
        <w:t>الدیدان</w:t>
      </w:r>
      <w:bookmarkEnd w:id="7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8" w:name="__RefHeading___Toc38946_2142443653"/>
      <w:bookmarkStart w:id="79" w:name="_Toc31"/>
      <w:bookmarkEnd w:id="78"/>
      <w:r>
        <w:rPr>
          <w:rtl w:val="true"/>
        </w:rPr>
        <w:t>عبدالله بن یزید مشترک بین مهملین</w:t>
      </w:r>
      <w:bookmarkStart w:id="80" w:name="pg17122_169481"/>
      <w:bookmarkEnd w:id="79"/>
    </w:p>
    <w:p>
      <w:pPr>
        <w:pStyle w:val="BookText"/>
        <w:rPr/>
      </w:pPr>
      <w:bookmarkEnd w:id="80"/>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الدلالة ، وحَبّ القَرْع نوع من الدود یتولد فی الإنسان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ابن أبی عمیر ، عن ابن أخی فضیل </w:t>
      </w:r>
      <w:r>
        <w:rPr>
          <w:rStyle w:val="FootnoteAnchor"/>
          <w:rtl w:val="true"/>
        </w:rPr>
        <w:footnoteReference w:id="62"/>
      </w:r>
      <w:r>
        <w:rPr>
          <w:rFonts w:ascii="IRNazanin" w:hAnsi="IRNazanin" w:eastAsia="IRNazanin"/>
          <w:color w:val="111111"/>
          <w:sz w:val="28"/>
          <w:sz w:val="28"/>
          <w:szCs w:val="28"/>
          <w:rtl w:val="true"/>
          <w:lang w:bidi="fa-IR"/>
        </w:rPr>
        <w:t xml:space="preserve">،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الرجل یخرج منه مثل حَبّ القَرْع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فیه أن نحمله علی أنّه إذا کان متلطّخا بالعذرة ولا یکون نظیفاً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یدل علی هذا التفصیل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أخبرنی به الحسین بن عبید الله ، عن أحمد بن محمد بن یحیی ، عن أبیه ،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بن یحیی ، عن أحمد بن الحسن بن علی بن فضّال ، عن عمرو بن سعید المدائنی ، عن مصدق ابن صدقة ، عن عمار بن موسی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الرجل </w:t>
      </w:r>
      <w:r>
        <w:rPr>
          <w:rStyle w:val="FootnoteAnchor"/>
          <w:rtl w:val="true"/>
        </w:rPr>
        <w:footnoteReference w:id="64"/>
      </w:r>
      <w:r>
        <w:rPr>
          <w:rFonts w:ascii="IRNazanin" w:hAnsi="IRNazanin" w:eastAsia="IRNazanin"/>
          <w:color w:val="111111"/>
          <w:sz w:val="28"/>
          <w:sz w:val="28"/>
          <w:szCs w:val="28"/>
          <w:rtl w:val="true"/>
          <w:lang w:bidi="fa-IR"/>
        </w:rPr>
        <w:t xml:space="preserve">یکون فی صلاته فیخرج منه حَبّ القَرْع کیف یصنع؟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خرج نظیفاً من العذرة فلیس علیه شی‌ء ولم ینقض وضوءه ، وإن خرج متلطخاً بالعذرة فعلیه أن یعید الوضوء ، وإن کان فی صلاته قطع الصلاة وأعاد الوضوء والصلاة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1" w:name="__RefHeading___Toc38948_2142443653"/>
      <w:bookmarkStart w:id="82" w:name="_Toc32"/>
      <w:bookmarkEnd w:id="81"/>
      <w:r>
        <w:rPr>
          <w:rtl w:val="true"/>
        </w:rPr>
        <w:t xml:space="preserve">معنی </w:t>
      </w:r>
      <w:r>
        <w:rPr>
          <w:rtl w:val="true"/>
        </w:rPr>
        <w:t xml:space="preserve">: </w:t>
      </w:r>
      <w:r>
        <w:rPr>
          <w:rtl w:val="true"/>
        </w:rPr>
        <w:t>حَبّ القَرَع</w:t>
      </w:r>
      <w:bookmarkStart w:id="83" w:name="pg17122_169482"/>
      <w:bookmarkEnd w:id="82"/>
    </w:p>
    <w:p>
      <w:pPr>
        <w:pStyle w:val="BookText"/>
        <w:rPr/>
      </w:pPr>
      <w:bookmarkEnd w:id="83"/>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أخی فضیل واسمه الحسن ، کما صرّح به فی الکافی فی باب ما ینقض الوضوء </w:t>
      </w:r>
      <w:r>
        <w:rPr>
          <w:rStyle w:val="FootnoteAnchor"/>
          <w:rtl w:val="true"/>
        </w:rPr>
        <w:footnoteReference w:id="65"/>
      </w:r>
      <w:r>
        <w:rPr>
          <w:rFonts w:ascii="IRNazanin" w:hAnsi="IRNazanin" w:eastAsia="IRNazanin"/>
          <w:color w:val="111111"/>
          <w:sz w:val="28"/>
          <w:sz w:val="28"/>
          <w:szCs w:val="28"/>
          <w:rtl w:val="true"/>
          <w:lang w:bidi="fa-IR"/>
        </w:rPr>
        <w:t>، إلاّ أنّه غیر معلوم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کما تکرر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ذکره الشیخ فیه قد یتخیل عدم تمامیّته ، لأنّ الخبر یفید إطلاق الحکم فیقرب من الألغاز ، إلاّ أنّه مدفوع بما أسلفنا القول فیه ، من جواز حصول المبیّن عند وقت الحاجة للسائل ، کما فی غیره من المطلقات ؛ وقد یحتمل الحمل علی الاستحباب فی الخبر الأوّل ، وأمّا الخبر الثانی فلا ریب فی دلالته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أنّه یبقی الإشکال فی أنّه هل یحکم بعدم الانتقاض إلاّ إذا علم التلطخ </w:t>
      </w:r>
      <w:r>
        <w:rPr>
          <w:rStyle w:val="FootnoteAnchor"/>
          <w:rtl w:val="true"/>
        </w:rPr>
        <w:footnoteReference w:id="66"/>
      </w:r>
      <w:r>
        <w:rPr>
          <w:rFonts w:ascii="IRNazanin" w:hAnsi="IRNazanin" w:eastAsia="IRNazanin"/>
          <w:color w:val="111111"/>
          <w:sz w:val="28"/>
          <w:sz w:val="28"/>
          <w:szCs w:val="28"/>
          <w:rtl w:val="true"/>
          <w:lang w:bidi="fa-IR"/>
        </w:rPr>
        <w:t>، أو یجب التفحص عن حال الدود لیعلم خلوّه؟ لم أجد فی کلام الأصحاب تفصیل الحال ، ولعل الأوّل لا یخلو من وجه ، لتحقق الوضوء المتوقف زواله علی العلم الشرعی بالرافع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القی‌ء</w:t>
      </w:r>
    </w:p>
    <w:p>
      <w:pPr>
        <w:pStyle w:val="BookText"/>
        <w:rPr/>
      </w:pPr>
      <w:r>
        <w:rPr>
          <w:rFonts w:ascii="IRNazanin" w:hAnsi="IRNazanin" w:eastAsia="IRNazanin"/>
          <w:color w:val="111111"/>
          <w:sz w:val="28"/>
          <w:sz w:val="28"/>
          <w:szCs w:val="28"/>
          <w:rtl w:val="true"/>
          <w:lang w:bidi="fa-IR"/>
        </w:rPr>
        <w:t xml:space="preserve">أخبرنی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عن أبی القاسم جعفر بن محمد ، عن محمد بن یعقوب ، عن علی بن إبراهیم ، عن أبیه ، عن ابن أبی عمیر ،</w:t>
      </w:r>
    </w:p>
    <w:p>
      <w:pPr>
        <w:pStyle w:val="Heading3"/>
        <w:numPr>
          <w:ilvl w:val="2"/>
          <w:numId w:val="1"/>
        </w:numPr>
        <w:rPr/>
      </w:pPr>
      <w:bookmarkStart w:id="84" w:name="__RefHeading___Toc38950_2142443653"/>
      <w:bookmarkStart w:id="85" w:name="_Toc33"/>
      <w:bookmarkEnd w:id="84"/>
      <w:r>
        <w:rPr>
          <w:rtl w:val="true"/>
        </w:rPr>
        <w:t>القی‌ء</w:t>
      </w:r>
      <w:bookmarkEnd w:id="8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6" w:name="__RefHeading___Toc38952_2142443653"/>
      <w:bookmarkStart w:id="87" w:name="_Toc34"/>
      <w:bookmarkEnd w:id="86"/>
      <w:r>
        <w:rPr>
          <w:rtl w:val="true"/>
        </w:rPr>
        <w:t>بحث حول غالب بن عثمان</w:t>
      </w:r>
      <w:bookmarkEnd w:id="87"/>
    </w:p>
    <w:p>
      <w:pPr>
        <w:pStyle w:val="BookText"/>
        <w:rPr/>
      </w:pPr>
      <w:r>
        <w:rPr>
          <w:rFonts w:ascii="IRNazanin" w:hAnsi="IRNazanin" w:eastAsia="IRNazanin"/>
          <w:color w:val="111111"/>
          <w:sz w:val="28"/>
          <w:sz w:val="28"/>
          <w:szCs w:val="28"/>
          <w:rtl w:val="true"/>
          <w:lang w:bidi="fa-IR"/>
        </w:rPr>
        <w:t xml:space="preserve">عن ابن أُذینة ، عن أبی أُسامة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القی‌ء هل ینقض الوضوء؟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الحسین بن عبید الله ، عن أحمد بن محمد بن یحیی ، عن أبیه ، عن محمد بن علی بن محبوب ، عن علی بن الحسن الکوفی </w:t>
      </w:r>
      <w:r>
        <w:rPr>
          <w:rStyle w:val="FootnoteAnchor"/>
          <w:rtl w:val="true"/>
        </w:rPr>
        <w:footnoteReference w:id="67"/>
      </w:r>
      <w:r>
        <w:rPr>
          <w:rFonts w:ascii="IRNazanin" w:hAnsi="IRNazanin" w:eastAsia="IRNazanin"/>
          <w:color w:val="111111"/>
          <w:sz w:val="28"/>
          <w:sz w:val="28"/>
          <w:szCs w:val="28"/>
          <w:rtl w:val="true"/>
          <w:lang w:bidi="fa-IR"/>
        </w:rPr>
        <w:t xml:space="preserve">، عن الحسن بن علی بن فضال ، عن غالب بن عثمان ، عن روح بن عبد الرحیم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القی‌ء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فیه وضوء وإن تقیّأ متعمّداً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الشیخ رحمه الله عن أحمد بن محمد </w:t>
      </w:r>
      <w:r>
        <w:rPr>
          <w:rStyle w:val="FootnoteAnchor"/>
          <w:rtl w:val="true"/>
        </w:rPr>
        <w:footnoteReference w:id="68"/>
      </w:r>
      <w:r>
        <w:rPr>
          <w:rFonts w:ascii="IRNazanin" w:hAnsi="IRNazanin" w:eastAsia="IRNazanin"/>
          <w:color w:val="111111"/>
          <w:sz w:val="28"/>
          <w:sz w:val="28"/>
          <w:szCs w:val="28"/>
          <w:rtl w:val="true"/>
          <w:lang w:bidi="fa-IR"/>
        </w:rPr>
        <w:t xml:space="preserve">، عن أبیه ، عن الصفار ، عن أحمد بن محمد ، عن الحسن بن علی ، عن ابن سنان ، عن ابن مسکان ، عن أبی بصیر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فی القی‌ء 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علی بن الحسن الکوفی ، وهو فی النسخ التی رأیناها ، وفی التهذیب محمد بن علی بن محبوب ، عن الحسن بن علی الکوفی </w:t>
      </w:r>
      <w:r>
        <w:rPr>
          <w:rStyle w:val="FootnoteAnchor"/>
          <w:rtl w:val="true"/>
        </w:rPr>
        <w:footnoteReference w:id="69"/>
      </w:r>
      <w:r>
        <w:rPr>
          <w:rFonts w:ascii="IRNazanin" w:hAnsi="IRNazanin" w:eastAsia="IRNazanin"/>
          <w:color w:val="111111"/>
          <w:sz w:val="28"/>
          <w:sz w:val="28"/>
          <w:szCs w:val="28"/>
          <w:rtl w:val="true"/>
          <w:lang w:bidi="fa-IR"/>
        </w:rPr>
        <w:t xml:space="preserve">، إلی آخره ، وهو الظاهر ؛ وفیه غالب بن عثمان ، والراوی عنه الحسن بن علی بن فضّال ، مهمل فی الرجال </w:t>
      </w:r>
      <w:r>
        <w:rPr>
          <w:rStyle w:val="FootnoteAnchor"/>
          <w:rtl w:val="true"/>
        </w:rPr>
        <w:footnoteReference w:id="70"/>
      </w:r>
      <w:r>
        <w:rPr>
          <w:rFonts w:ascii="IRNazanin" w:hAnsi="IRNazanin" w:eastAsia="IRNazanin"/>
          <w:color w:val="111111"/>
          <w:sz w:val="28"/>
          <w:sz w:val="28"/>
          <w:szCs w:val="28"/>
          <w:rtl w:val="true"/>
          <w:lang w:bidi="fa-IR"/>
        </w:rPr>
        <w:t xml:space="preserve">، وفی کتاب رجال الشیخ </w:t>
      </w:r>
      <w:r>
        <w:rPr>
          <w:rFonts w:eastAsia="IRNazanin" w:cs="IRNazanin"/>
          <w:color w:val="111111"/>
          <w:sz w:val="28"/>
          <w:szCs w:val="28"/>
          <w:rtl w:val="true"/>
          <w:lang w:bidi="fa-IR"/>
        </w:rPr>
        <w:t xml:space="preserve">: </w:t>
      </w:r>
      <w:bookmarkStart w:id="88" w:name="pg17122_169484"/>
    </w:p>
    <w:p>
      <w:pPr>
        <w:pStyle w:val="BookText"/>
        <w:rPr/>
      </w:pPr>
      <w:bookmarkEnd w:id="88"/>
      <w:r>
        <w:rPr>
          <w:rFonts w:ascii="IRNazanin" w:hAnsi="IRNazanin" w:eastAsia="IRNazanin"/>
          <w:color w:val="111111"/>
          <w:sz w:val="28"/>
          <w:sz w:val="28"/>
          <w:szCs w:val="28"/>
          <w:rtl w:val="true"/>
          <w:lang w:bidi="fa-IR"/>
        </w:rPr>
        <w:t xml:space="preserve">غالب بن عثمان واقفی </w:t>
      </w:r>
      <w:r>
        <w:rPr>
          <w:rStyle w:val="FootnoteAnchor"/>
          <w:rtl w:val="true"/>
        </w:rPr>
        <w:footnoteReference w:id="71"/>
      </w:r>
      <w:r>
        <w:rPr>
          <w:rFonts w:ascii="IRNazanin" w:hAnsi="IRNazanin" w:eastAsia="IRNazanin"/>
          <w:color w:val="111111"/>
          <w:sz w:val="28"/>
          <w:sz w:val="28"/>
          <w:szCs w:val="28"/>
          <w:rtl w:val="true"/>
          <w:lang w:bidi="fa-IR"/>
        </w:rPr>
        <w:t xml:space="preserve">، ویحتمل الاتحاد ، والضرورة إلی الجزم غیر داعیة ؛ وفیه أیضا روح بن عبد الرحیم ثقة فی النجاشی </w:t>
      </w:r>
      <w:r>
        <w:rPr>
          <w:rStyle w:val="FootnoteAnchor"/>
          <w:rtl w:val="true"/>
        </w:rPr>
        <w:footnoteReference w:id="72"/>
      </w:r>
      <w:r>
        <w:rPr>
          <w:rFonts w:ascii="IRNazanin" w:hAnsi="IRNazanin" w:eastAsia="IRNazanin"/>
          <w:color w:val="111111"/>
          <w:sz w:val="28"/>
          <w:sz w:val="28"/>
          <w:szCs w:val="28"/>
          <w:rtl w:val="true"/>
          <w:lang w:bidi="fa-IR"/>
        </w:rPr>
        <w:t>؛ والحسن بن علی الکوفی هو ابن عبد الله بن المغیرة الثقة ؛ وابن فضّال حاله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حاله ، غیر أنّه ینبغی أن یعلم أن المعروف من ابن مسکان عند الإطلاق عبد الله الثقة ، ومحمد بن مسکان وإن کان مذکوراً فی کتاب الشیخ مهملا </w:t>
      </w:r>
      <w:r>
        <w:rPr>
          <w:rStyle w:val="FootnoteAnchor"/>
          <w:rtl w:val="true"/>
        </w:rPr>
        <w:footnoteReference w:id="73"/>
      </w:r>
      <w:r>
        <w:rPr>
          <w:rFonts w:ascii="IRNazanin" w:hAnsi="IRNazanin" w:eastAsia="IRNazanin"/>
          <w:color w:val="111111"/>
          <w:sz w:val="28"/>
          <w:sz w:val="28"/>
          <w:szCs w:val="28"/>
          <w:rtl w:val="true"/>
          <w:lang w:bidi="fa-IR"/>
        </w:rPr>
        <w:t>، إلاّ أن إرادته فی غایة البعد ، بل یکاد أن یقطع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لابن إدریس فی آخر السرائر ، أنّه ذکر الأحادیث التی استطرفها من کتاب محمد بن علی بن محبوب ، بهذه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 عن الحسن بن سعید ، عن فضالة ، عن حسین بن عثمان ، عن ابن مسکان ، قال محمد 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ابن مسکان الحسن ، وهو ابن أخی جابر الجعفی غریق فی ولایته لأهل البیت علیهم السلام </w:t>
      </w:r>
      <w:r>
        <w:rPr>
          <w:rStyle w:val="FootnoteAnchor"/>
          <w:rtl w:val="true"/>
        </w:rPr>
        <w:footnoteReference w:id="7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لا یخلو من غرابة ، لأنّ روایة الحسین بن عثمان عن الحسن بن مسکان لم نقف علیها فی شی‌ء من الأحادیث ، والحسن بن مسکان غیر موجود فی الرجال علی ما رأیناه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أنّه یستلزم ضعف الأخبار الواردة عن الحسین بن عثمان عن ابن مسکان ، ولم أر من ذکر ذلک غیره ، ولا یبعد أن یکون الوهم من ابن إدریس ، وفی الرجال الحسین بن مسکان </w:t>
      </w:r>
      <w:r>
        <w:rPr>
          <w:rStyle w:val="FootnoteAnchor"/>
          <w:rtl w:val="true"/>
        </w:rPr>
        <w:footnoteReference w:id="75"/>
      </w:r>
      <w:r>
        <w:rPr>
          <w:rFonts w:ascii="IRNazanin" w:hAnsi="IRNazanin" w:eastAsia="IRNazanin"/>
          <w:color w:val="111111"/>
          <w:sz w:val="28"/>
          <w:sz w:val="28"/>
          <w:szCs w:val="28"/>
          <w:rtl w:val="true"/>
          <w:lang w:bidi="fa-IR"/>
        </w:rPr>
        <w:t>، فیحتمل أن یکون الحسن</w:t>
      </w:r>
    </w:p>
    <w:p>
      <w:pPr>
        <w:pStyle w:val="Heading4"/>
        <w:numPr>
          <w:ilvl w:val="3"/>
          <w:numId w:val="1"/>
        </w:numPr>
        <w:rPr/>
      </w:pPr>
      <w:bookmarkStart w:id="89" w:name="__RefHeading___Toc38954_2142443653"/>
      <w:bookmarkStart w:id="90" w:name="_Toc35"/>
      <w:bookmarkEnd w:id="89"/>
      <w:r>
        <w:rPr>
          <w:rtl w:val="true"/>
        </w:rPr>
        <w:t>روح بن عبد الرحیم ثقة</w:t>
      </w:r>
      <w:bookmarkEnd w:id="90"/>
    </w:p>
    <w:p>
      <w:pPr>
        <w:pStyle w:val="Heading4"/>
        <w:numPr>
          <w:ilvl w:val="3"/>
          <w:numId w:val="1"/>
        </w:numPr>
        <w:rPr/>
      </w:pPr>
      <w:bookmarkStart w:id="91" w:name="__RefHeading___Toc38956_2142443653"/>
      <w:bookmarkStart w:id="92" w:name="_Toc36"/>
      <w:bookmarkEnd w:id="91"/>
      <w:r>
        <w:rPr>
          <w:rtl w:val="true"/>
        </w:rPr>
        <w:t>الحسن بن علی الکوفی هو ابن عبدالله بن المغیرة ثقة</w:t>
      </w:r>
      <w:bookmarkEnd w:id="9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3" w:name="__RefHeading___Toc38958_2142443653"/>
      <w:bookmarkStart w:id="94" w:name="_Toc37"/>
      <w:bookmarkEnd w:id="93"/>
      <w:r>
        <w:rPr>
          <w:rtl w:val="true"/>
        </w:rPr>
        <w:t xml:space="preserve">بحث حول ابن مسکان </w:t>
      </w:r>
      <w:r>
        <w:rPr>
          <w:rtl w:val="true"/>
        </w:rPr>
        <w:t xml:space="preserve">« </w:t>
      </w:r>
      <w:r>
        <w:rPr>
          <w:rtl w:val="true"/>
        </w:rPr>
        <w:t xml:space="preserve">عبدالله </w:t>
      </w:r>
      <w:r>
        <w:rPr>
          <w:rtl w:val="true"/>
        </w:rPr>
        <w:t xml:space="preserve">» « </w:t>
      </w:r>
      <w:r>
        <w:rPr>
          <w:rtl w:val="true"/>
        </w:rPr>
        <w:t xml:space="preserve">محمد </w:t>
      </w:r>
      <w:r>
        <w:rPr>
          <w:rtl w:val="true"/>
        </w:rPr>
        <w:t xml:space="preserve">» « </w:t>
      </w:r>
      <w:r>
        <w:rPr>
          <w:rtl w:val="true"/>
        </w:rPr>
        <w:t xml:space="preserve">الحسن </w:t>
      </w:r>
      <w:r>
        <w:rPr>
          <w:rtl w:val="true"/>
        </w:rPr>
        <w:t xml:space="preserve">» « </w:t>
      </w:r>
      <w:r>
        <w:rPr>
          <w:rtl w:val="true"/>
        </w:rPr>
        <w:t xml:space="preserve">الحسین </w:t>
      </w:r>
      <w:r>
        <w:rPr>
          <w:rtl w:val="true"/>
        </w:rPr>
        <w:t>»</w:t>
      </w:r>
      <w:r>
        <w:rPr>
          <w:rtl w:val="true"/>
        </w:rPr>
        <w:t>ُ</w:t>
      </w:r>
      <w:bookmarkEnd w:id="94"/>
    </w:p>
    <w:p>
      <w:pPr>
        <w:pStyle w:val="BookText"/>
        <w:rPr/>
      </w:pPr>
      <w:r>
        <w:rPr>
          <w:rFonts w:ascii="IRNazanin" w:hAnsi="IRNazanin" w:eastAsia="IRNazanin"/>
          <w:color w:val="111111"/>
          <w:sz w:val="28"/>
          <w:sz w:val="28"/>
          <w:szCs w:val="28"/>
          <w:rtl w:val="true"/>
          <w:lang w:bidi="fa-IR"/>
        </w:rPr>
        <w:t>سهواً ، إلاّ أن إرادته من روایة الحسین بن عثمان فی غایة البعد ، بل یکاد أن یقطع نفیها من تتبّع الأحادیث ، والحسین بن مسکان غیر معتبر فی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العلاّمة فی الخلاصة عن ابن الغضائری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جعفر بن محمد بن مالک ، روی عنه أحادیث فاسدة </w:t>
      </w:r>
      <w:r>
        <w:rPr>
          <w:rStyle w:val="FootnoteAnchor"/>
          <w:rtl w:val="true"/>
        </w:rPr>
        <w:footnoteReference w:id="76"/>
      </w:r>
      <w:r>
        <w:rPr>
          <w:rFonts w:ascii="IRNazanin" w:hAnsi="IRNazanin" w:eastAsia="IRNazanin"/>
          <w:color w:val="111111"/>
          <w:sz w:val="28"/>
          <w:sz w:val="28"/>
          <w:szCs w:val="28"/>
          <w:rtl w:val="true"/>
          <w:lang w:bidi="fa-IR"/>
        </w:rPr>
        <w:t>، وجعفر بن محمد بن مالک متأخّر ، والحسین بن عثمان متقدم ، إذ هو من أصحاب الصادق علیه السلام ، واحتمال إرادة الروایة بالإرسال أو بإسناده بعید عن المساق ؛ وهذا الذی ذکرناه وإن لم یکن له فیما نحن فیه فائدة ، إلاّ أنّ الغرض التنبیه علی حقیقة الحال ، ویظهر فائدته فی موضع آخر ، فلا ینبغی الغفلة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الأخبار ظاهر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ما رواه الحسین بن سعید ، عن الحسن ، عن زرعة ، عن سماعة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عما ینقض الوضوء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الحدث تسمع صوته أو تجد ریحه ، والقرقرة فی البطن إلاّ شی‌ء تصبر علیه ، والضحک فی الصلاة ، والقی‌ء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محمد بن علی بن محبوب ، عن محمد بن عبد الجبار ، عن الحسن بن علی بن فضال ، عن صفوان ، عن منصور ، عن </w:t>
      </w:r>
      <w:bookmarkStart w:id="95" w:name="pg17122_169486"/>
    </w:p>
    <w:p>
      <w:pPr>
        <w:pStyle w:val="BookText"/>
        <w:rPr/>
      </w:pPr>
      <w:bookmarkEnd w:id="95"/>
      <w:r>
        <w:rPr>
          <w:rFonts w:ascii="IRNazanin" w:hAnsi="IRNazanin" w:eastAsia="IRNazanin"/>
          <w:color w:val="111111"/>
          <w:sz w:val="28"/>
          <w:sz w:val="28"/>
          <w:szCs w:val="28"/>
          <w:rtl w:val="true"/>
          <w:lang w:bidi="fa-IR"/>
        </w:rPr>
        <w:t xml:space="preserve">أبی عبیدة الحذاء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الرعاف والقی‌ء </w:t>
      </w:r>
      <w:r>
        <w:rPr>
          <w:rStyle w:val="FootnoteAnchor"/>
          <w:rtl w:val="true"/>
        </w:rPr>
        <w:footnoteReference w:id="77"/>
      </w:r>
      <w:r>
        <w:rPr>
          <w:rFonts w:ascii="IRNazanin" w:hAnsi="IRNazanin" w:eastAsia="IRNazanin"/>
          <w:color w:val="111111"/>
          <w:sz w:val="28"/>
          <w:sz w:val="28"/>
          <w:szCs w:val="28"/>
          <w:rtl w:val="true"/>
          <w:lang w:bidi="fa-IR"/>
        </w:rPr>
        <w:t xml:space="preserve">والتخلیل یسیل الدم إذا استکرهت شیئاً ینقض الوضوء ، وإن لم تستکرهه لم ینقض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فهذان الخبران یحتملان وجهین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یکونا وردا مورد التقیة ، لأن ذلک مذهب بعض العامة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یکونا محمولین علی ضرب من الاستحباب لئلاّ تتناقض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علی ما قدّمناه ، والحسن فیه أخو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یخفی أن الأوّل لا یخلو من إجمال ، من حیث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والقرقرة فی البطن إلاّ شی‌ء تصبر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ظاهره أن القرقرة التی لا تصبر علیها قسیمة للحدث ، والحال أنها متحدة إن خرجت ، ومع عدم الخروج فالصبر علیها غیر واضح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الضحک فی الصلاة لا یخلو إمّا أن یراد به أنّه ناقض للوضوء ، وحینئذ لم یتقدم له معارض ، وإن أُرید به نقض الصلاة لم یناسب ذکره مع غیره ، بل یحتمل کون القی‌ء مثله فی إبطال الصلاة ، وحمل الشیخ له علی الاستحباب یقتضی الشمول للضحک وهو غیر واضح ؛ فلعل الاقتصار علی الحمل علی التقیة فیه أولی</w:t>
      </w:r>
      <w:r>
        <w:rPr>
          <w:rFonts w:eastAsia="IRNazanin" w:cs="IRNazanin"/>
          <w:color w:val="111111"/>
          <w:sz w:val="28"/>
          <w:szCs w:val="28"/>
          <w:rtl w:val="true"/>
          <w:lang w:bidi="fa-IR"/>
        </w:rPr>
        <w:t>.</w:t>
      </w:r>
    </w:p>
    <w:p>
      <w:pPr>
        <w:pStyle w:val="Heading4"/>
        <w:numPr>
          <w:ilvl w:val="3"/>
          <w:numId w:val="1"/>
        </w:numPr>
        <w:rPr/>
      </w:pPr>
      <w:bookmarkStart w:id="96" w:name="__RefHeading___Toc38960_2142443653"/>
      <w:bookmarkStart w:id="97" w:name="_Toc38"/>
      <w:bookmarkEnd w:id="96"/>
      <w:r>
        <w:rPr>
          <w:rtl w:val="true"/>
        </w:rPr>
        <w:t>حکم القرقرة فی البطن</w:t>
      </w:r>
      <w:bookmarkEnd w:id="9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8" w:name="__RefHeading___Toc38962_2142443653"/>
      <w:bookmarkStart w:id="99" w:name="_Toc39"/>
      <w:bookmarkEnd w:id="98"/>
      <w:r>
        <w:rPr>
          <w:rtl w:val="true"/>
        </w:rPr>
        <w:t>عدم ناقضیة الضحک للوضوء</w:t>
      </w:r>
      <w:bookmarkEnd w:id="99"/>
    </w:p>
    <w:p>
      <w:pPr>
        <w:pStyle w:val="BookText"/>
        <w:rPr/>
      </w:pPr>
      <w:r>
        <w:rPr>
          <w:rFonts w:ascii="IRNazanin" w:hAnsi="IRNazanin" w:eastAsia="IRNazanin"/>
          <w:color w:val="111111"/>
          <w:sz w:val="28"/>
          <w:sz w:val="28"/>
          <w:szCs w:val="28"/>
          <w:rtl w:val="true"/>
          <w:lang w:bidi="fa-IR"/>
        </w:rPr>
        <w:t xml:space="preserve">ثمّ إن القرقرة فی البطن ورد فی معتبر الأخبار ما ینافی حکمها </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رواه الفضیل بن یسار قال قلت لأبی جعفر علیه السلام </w:t>
      </w:r>
      <w:r>
        <w:rPr>
          <w:rFonts w:eastAsia="IRNazanin" w:cs="IRNazanin"/>
          <w:color w:val="111111"/>
          <w:sz w:val="28"/>
          <w:szCs w:val="28"/>
          <w:rtl w:val="true"/>
          <w:lang w:bidi="fa-IR"/>
        </w:rPr>
        <w:t xml:space="preserve">) </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أکون فی الصلاة فأجد غمزاً فی بطنی ، أو أذی أو ضرباناً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انصرف ثم توضّأ فابنِ علی ما مضی من صلاتک ، ما لم تنقض الصلاة بالکلام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ذکرنا ما لا بد منه فی موضعه ، وکان علی الشیخ أن یذکره فی مقام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ورد فی حسنة زرارة أنّ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القهقهة لا تنقض الوضوء وتنقض الصلاة </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الخبر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فحمله علی التقیة مع قوله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استکرهت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واضح ، إلاّ أن یکون موافقاً لهم فی ذلک ؛ وذکر شیخنا المحقق سلّمه الله فی فوائده علی الکتاب أنّ حمل الخبر الثانی علی التنظیف أولی ، کما ینبّه علیه الاستکراه ، وربما حمل الأوّل علی قهقهة وقی‌ء تغیّب </w:t>
      </w:r>
      <w:r>
        <w:rPr>
          <w:rStyle w:val="FootnoteAnchor"/>
          <w:rtl w:val="true"/>
        </w:rPr>
        <w:footnoteReference w:id="82"/>
      </w:r>
      <w:r>
        <w:rPr>
          <w:rFonts w:ascii="IRNazanin" w:hAnsi="IRNazanin" w:eastAsia="IRNazanin"/>
          <w:color w:val="111111"/>
          <w:sz w:val="28"/>
          <w:sz w:val="28"/>
          <w:szCs w:val="28"/>
          <w:rtl w:val="true"/>
          <w:lang w:bidi="fa-IR"/>
        </w:rPr>
        <w:t>عنه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علیک أنّ التنظیف فی الرعاف والتخلیل الذی یسیل منه الدم لا یخلو من خفاء ، والحمل المذکور للأول فی غایة البعد ، وسیأتی من الشیخ ذکره فی الباب الآتی ، وسنبیّن القول فیه</w:t>
      </w:r>
      <w:r>
        <w:rPr>
          <w:rFonts w:eastAsia="IRNazanin" w:cs="IRNazanin"/>
          <w:color w:val="111111"/>
          <w:sz w:val="28"/>
          <w:szCs w:val="28"/>
          <w:rtl w:val="true"/>
          <w:lang w:bidi="fa-IR"/>
        </w:rPr>
        <w:t xml:space="preserve">. </w:t>
      </w:r>
      <w:bookmarkStart w:id="100" w:name="pg17122_169488"/>
    </w:p>
    <w:p>
      <w:pPr>
        <w:pStyle w:val="BookText"/>
        <w:rPr/>
      </w:pPr>
      <w:bookmarkEnd w:id="100"/>
      <w:r>
        <w:rPr>
          <w:rFonts w:ascii="IRNazanin" w:hAnsi="IRNazanin" w:eastAsia="IRNazanin"/>
          <w:color w:val="111111"/>
          <w:sz w:val="28"/>
          <w:sz w:val="28"/>
          <w:szCs w:val="28"/>
          <w:rtl w:val="true"/>
          <w:lang w:bidi="fa-IR"/>
        </w:rPr>
        <w:t xml:space="preserve">إذا عرفت هذا فاعلم أنّ العلاّمة فی المختلف نقل عن ابن الجنید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قهقه فی صلاته متعمداً لنظر أو سماع ما أضحکه قطع صلاته وأعاد وضوءه ، ثم حکی احتجاجه بروایة سماعة ، وأجاب بأن سماعة وزرعة فی طریق الحدیث وهما وإن کانا ثقتین إلاّ أنهما واقفیان ، ومع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سماعة لم یسنده إلی إمام </w:t>
      </w:r>
      <w:r>
        <w:rPr>
          <w:rStyle w:val="FootnoteAnchor"/>
          <w:rtl w:val="true"/>
        </w:rPr>
        <w:footnoteReference w:id="83"/>
      </w:r>
      <w:r>
        <w:rPr>
          <w:rFonts w:ascii="IRNazanin" w:hAnsi="IRNazanin" w:eastAsia="IRNazanin"/>
          <w:color w:val="111111"/>
          <w:sz w:val="28"/>
          <w:sz w:val="28"/>
          <w:szCs w:val="28"/>
          <w:rtl w:val="true"/>
          <w:lang w:bidi="fa-IR"/>
        </w:rPr>
        <w:t>؛ وأنت خبیر بأن عدم الإسناد إلی إمام غیر وارد ، لما قررناه سابقا من أن مثل هذا الإضمار غیر مضر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الرعاف</w:t>
      </w:r>
    </w:p>
    <w:p>
      <w:pPr>
        <w:pStyle w:val="BookText"/>
        <w:rPr/>
      </w:pPr>
      <w:r>
        <w:rPr>
          <w:rFonts w:ascii="IRNazanin" w:hAnsi="IRNazanin" w:eastAsia="IRNazanin"/>
          <w:color w:val="111111"/>
          <w:sz w:val="28"/>
          <w:sz w:val="28"/>
          <w:szCs w:val="28"/>
          <w:rtl w:val="true"/>
          <w:lang w:bidi="fa-IR"/>
        </w:rPr>
        <w:t xml:space="preserve">أخبرنی الشیخ رحمه الله عن أبی القاسم جعفر بن محمد بن قولویه ، عن محمد بن یعقوب الکلینی ، عن محمد بن الحسن ، عن سهل بن زیاد ، عن محمد بن سنان ، عن ابن مسکان ، عن أبی بصیر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الرعاف والحجامة وکل دم سائل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فی هذا وضوء ، إنّما الوضوء من طرفیک اللذین أنعم الله بهما علیک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الحسین بن عبید الله ، عن أحمد بن محمد بن یحیی ، عن أبیه ، عن محمد بن أحمد بن یحیی ، عن أحمد بن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عن أحمد بن النضر ، عن عمرو بن شمر ، عن جابر ، 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رعفت دورقاً ما زدت علی أن أمسح منّی الدم وأُصلّی </w:t>
      </w:r>
      <w:r>
        <w:rPr>
          <w:rFonts w:eastAsia="IRNazanin" w:cs="IRNazanin"/>
          <w:color w:val="111111"/>
          <w:sz w:val="28"/>
          <w:szCs w:val="28"/>
          <w:rtl w:val="true"/>
          <w:lang w:bidi="fa-IR"/>
        </w:rPr>
        <w:t>».</w:t>
      </w:r>
    </w:p>
    <w:p>
      <w:pPr>
        <w:pStyle w:val="Heading4"/>
        <w:numPr>
          <w:ilvl w:val="3"/>
          <w:numId w:val="1"/>
        </w:numPr>
        <w:rPr/>
      </w:pPr>
      <w:bookmarkStart w:id="101" w:name="__RefHeading___Toc38964_2142443653"/>
      <w:bookmarkStart w:id="102" w:name="_Toc40"/>
      <w:bookmarkEnd w:id="101"/>
      <w:r>
        <w:rPr>
          <w:rtl w:val="true"/>
        </w:rPr>
        <w:t>قول ابن الجنید بناقضیة الضحک</w:t>
      </w:r>
      <w:bookmarkEnd w:id="102"/>
    </w:p>
    <w:p>
      <w:pPr>
        <w:pStyle w:val="Heading3"/>
        <w:numPr>
          <w:ilvl w:val="2"/>
          <w:numId w:val="1"/>
        </w:numPr>
        <w:rPr/>
      </w:pPr>
      <w:bookmarkStart w:id="103" w:name="__RefHeading___Toc38966_2142443653"/>
      <w:bookmarkStart w:id="104" w:name="_Toc41"/>
      <w:bookmarkEnd w:id="103"/>
      <w:r>
        <w:rPr>
          <w:rtl w:val="true"/>
        </w:rPr>
        <w:t>الرعاف</w:t>
      </w:r>
      <w:bookmarkEnd w:id="10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5" w:name="__RefHeading___Toc38968_2142443653"/>
      <w:bookmarkStart w:id="106" w:name="_Toc42"/>
      <w:bookmarkEnd w:id="105"/>
      <w:r>
        <w:rPr>
          <w:rtl w:val="true"/>
        </w:rPr>
        <w:t>اشارة</w:t>
      </w:r>
      <w:bookmarkStart w:id="107" w:name="pg17122_169489"/>
      <w:bookmarkEnd w:id="106"/>
    </w:p>
    <w:p>
      <w:pPr>
        <w:pStyle w:val="BookText"/>
        <w:rPr/>
      </w:pPr>
      <w:bookmarkEnd w:id="107"/>
      <w:r>
        <w:rPr>
          <w:rFonts w:ascii="IRNazanin" w:hAnsi="IRNazanin" w:eastAsia="IRNazanin"/>
          <w:color w:val="111111"/>
          <w:sz w:val="28"/>
          <w:sz w:val="28"/>
          <w:szCs w:val="28"/>
          <w:rtl w:val="true"/>
          <w:lang w:bidi="fa-IR"/>
        </w:rPr>
        <w:t xml:space="preserve">وبهذا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 عن محمد بن علی بن محبوب ، عن أحمد ، عن إبراهیم بن أبی محمود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علیه السلام عن القی‌ء والرعاف والمدّة أینقض الوضوء أم لا؟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عمرو بن شمر وقد ضعّفه النجاشی </w:t>
      </w:r>
      <w:r>
        <w:rPr>
          <w:rStyle w:val="FootnoteAnchor"/>
          <w:rtl w:val="true"/>
        </w:rPr>
        <w:footnoteReference w:id="86"/>
      </w:r>
      <w:r>
        <w:rPr>
          <w:rFonts w:ascii="IRNazanin" w:hAnsi="IRNazanin" w:eastAsia="IRNazanin"/>
          <w:color w:val="111111"/>
          <w:sz w:val="28"/>
          <w:sz w:val="28"/>
          <w:szCs w:val="28"/>
          <w:rtl w:val="true"/>
          <w:lang w:bidi="fa-IR"/>
        </w:rPr>
        <w:t xml:space="preserve">وغیره </w:t>
      </w:r>
      <w:r>
        <w:rPr>
          <w:rStyle w:val="FootnoteAnchor"/>
          <w:rtl w:val="true"/>
        </w:rPr>
        <w:footnoteReference w:id="87"/>
      </w:r>
      <w:r>
        <w:rPr>
          <w:rFonts w:ascii="IRNazanin" w:hAnsi="IRNazanin" w:eastAsia="IRNazanin"/>
          <w:color w:val="111111"/>
          <w:sz w:val="28"/>
          <w:sz w:val="28"/>
          <w:szCs w:val="28"/>
          <w:rtl w:val="true"/>
          <w:lang w:bidi="fa-IR"/>
        </w:rPr>
        <w:t xml:space="preserve">؛ وجابر هو ابن یزید بقرینة روایة عمرو بن شمر عنه ، وقد ذکر النجاشی أنّه مختلط </w:t>
      </w:r>
      <w:r>
        <w:rPr>
          <w:rStyle w:val="FootnoteAnchor"/>
          <w:rtl w:val="true"/>
        </w:rPr>
        <w:footnoteReference w:id="88"/>
      </w:r>
      <w:r>
        <w:rPr>
          <w:rFonts w:ascii="IRNazanin" w:hAnsi="IRNazanin" w:eastAsia="IRNazanin"/>
          <w:color w:val="111111"/>
          <w:sz w:val="28"/>
          <w:sz w:val="28"/>
          <w:szCs w:val="28"/>
          <w:rtl w:val="true"/>
          <w:lang w:bidi="fa-IR"/>
        </w:rPr>
        <w:t xml:space="preserve">، ومن غیره لم یثبت توثیقه ولا مدحه </w:t>
      </w:r>
      <w:r>
        <w:rPr>
          <w:rStyle w:val="FootnoteAnchor"/>
          <w:rtl w:val="true"/>
        </w:rPr>
        <w:footnoteReference w:id="89"/>
      </w:r>
      <w:r>
        <w:rPr>
          <w:rFonts w:ascii="IRNazanin" w:hAnsi="IRNazanin" w:eastAsia="IRNazanin"/>
          <w:color w:val="111111"/>
          <w:sz w:val="28"/>
          <w:sz w:val="28"/>
          <w:szCs w:val="28"/>
          <w:rtl w:val="true"/>
          <w:lang w:bidi="fa-IR"/>
        </w:rPr>
        <w:t xml:space="preserve">، والأخبار التی فی الکشّی غیر سلیمة الطرق </w:t>
      </w:r>
      <w:r>
        <w:rPr>
          <w:rStyle w:val="FootnoteAnchor"/>
          <w:rtl w:val="true"/>
        </w:rPr>
        <w:footnoteReference w:id="90"/>
      </w:r>
      <w:r>
        <w:rPr>
          <w:rFonts w:ascii="IRNazanin" w:hAnsi="IRNazanin" w:eastAsia="IRNazanin"/>
          <w:color w:val="111111"/>
          <w:sz w:val="28"/>
          <w:sz w:val="28"/>
          <w:szCs w:val="28"/>
          <w:rtl w:val="true"/>
          <w:lang w:bidi="fa-IR"/>
        </w:rPr>
        <w:t>، کما یعلم من مراجعتها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غریب ما اتفق للعلاّمة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روی الکشّی فیه مدحاً وبعض الذم ، والطریقان ضعیفان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نَقلَ عن العقیقی روایة عن أبیه ، عن أبان ، أن الصادق علیه السلام ترحّم علیه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کان </w:t>
      </w:r>
      <w:r>
        <w:rPr>
          <w:rStyle w:val="FootnoteAnchor"/>
          <w:rtl w:val="true"/>
        </w:rPr>
        <w:footnoteReference w:id="91"/>
      </w:r>
      <w:r>
        <w:rPr>
          <w:rFonts w:ascii="IRNazanin" w:hAnsi="IRNazanin" w:eastAsia="IRNazanin"/>
          <w:color w:val="111111"/>
          <w:sz w:val="28"/>
          <w:sz w:val="28"/>
          <w:szCs w:val="28"/>
          <w:rtl w:val="true"/>
          <w:lang w:bidi="fa-IR"/>
        </w:rPr>
        <w:t xml:space="preserve">یصدق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عن ابن عقدة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الغضائری أن جابر ثقة فی نفسه ، ولکن جُلّ من روی عنه ضعیف ، فممّن أکثر عنه من الضعفاء عمرو بن شمر ، ومفضل بن صالح</w:t>
      </w:r>
    </w:p>
    <w:p>
      <w:pPr>
        <w:pStyle w:val="Heading4"/>
        <w:numPr>
          <w:ilvl w:val="3"/>
          <w:numId w:val="1"/>
        </w:numPr>
        <w:rPr/>
      </w:pPr>
      <w:bookmarkStart w:id="108" w:name="__RefHeading___Toc38970_2142443653"/>
      <w:bookmarkStart w:id="109" w:name="_Toc43"/>
      <w:bookmarkEnd w:id="108"/>
      <w:r>
        <w:rPr>
          <w:rtl w:val="true"/>
        </w:rPr>
        <w:t>عمرو بن شمر ضعیف</w:t>
      </w:r>
      <w:bookmarkEnd w:id="10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0" w:name="__RefHeading___Toc38972_2142443653"/>
      <w:bookmarkStart w:id="111" w:name="_Toc44"/>
      <w:bookmarkEnd w:id="110"/>
      <w:r>
        <w:rPr>
          <w:rtl w:val="true"/>
        </w:rPr>
        <w:t>بحث حول جابر بن یزید</w:t>
      </w:r>
      <w:bookmarkEnd w:id="111"/>
    </w:p>
    <w:p>
      <w:pPr>
        <w:pStyle w:val="BookText"/>
        <w:rPr/>
      </w:pPr>
      <w:r>
        <w:rPr>
          <w:rFonts w:ascii="IRNazanin" w:hAnsi="IRNazanin" w:eastAsia="IRNazanin"/>
          <w:color w:val="111111"/>
          <w:sz w:val="28"/>
          <w:sz w:val="28"/>
          <w:szCs w:val="28"/>
          <w:rtl w:val="true"/>
          <w:lang w:bidi="fa-IR"/>
        </w:rPr>
        <w:t>السکونی ، ومنخل بن جمیل الأسدی ، وأری الترک لما روی هؤلاء عنه والتوقف فی الباقی إلاّ ما خرج شاهداً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والأقوی عندی التوقف فیما یرویه هؤلاء عنه کما قاله الشیخ ابن الغضائری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وأنت خبیر بأنّ قول ابن الغضائری ترک ما روی هؤلاء والتوقف فی الباقی ، لا ما قاله العلاّمة من التوقف فیما روی هؤلاء ، فإنه یقتضی قبول قول جابر علی تقدیر روایة غیر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أراد بالتوقف الرد کما یظهر منه فی الخلاصة فلا یدفع الإیراد عنه ، علی أن قبول قوله فی عدا المذکورین إن کان لتوثیق ابن الغضائری کما هو الظاهر إذ لا وجود لتوثیقه فی کلام غیره وقد عدّه العلاّمة فی القسم الأوّل ، ففیه دلالة علی ما قدمناه من العمل بقول ابن الغضائری ، وهو توثیق له ، غیر أن ابن الغضائری قد توقف بعد ذکر التوثیق ، فلا وثوق بتوثیقه ولا وجه لعدّه فی القسم الأوّل ، وإن کان من جهة انضمام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القرائن من الإخبار التی فی الکشی </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وغیرها ، أمکن إلاّ أنّه کان ینبغی التنبیه علیه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ارتیاب فیه ، وأحمد هو بن محمد بن عیسی ، لأنه هو الراوی عن إبراهیم بن أبی محمود ، ولا ضیر فی روایة محمد بن یحیی عنه بواسطة ، وإن کان ترکها فی بعض الطرق بل أکثرها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الجمیع ظاهر فی عدم نقض الوضوء بالرعاف ، وفی الأوّل زیادة </w:t>
      </w:r>
      <w:r>
        <w:rPr>
          <w:rFonts w:eastAsia="IRNazanin" w:cs="IRNazanin"/>
          <w:color w:val="111111"/>
          <w:sz w:val="28"/>
          <w:szCs w:val="28"/>
          <w:rtl w:val="true"/>
          <w:lang w:bidi="fa-IR"/>
        </w:rPr>
        <w:t xml:space="preserve">: </w:t>
      </w:r>
      <w:bookmarkStart w:id="112" w:name="pg17122_169491"/>
    </w:p>
    <w:p>
      <w:pPr>
        <w:pStyle w:val="BookText"/>
        <w:rPr/>
      </w:pPr>
      <w:bookmarkEnd w:id="112"/>
      <w:r>
        <w:rPr>
          <w:rFonts w:ascii="IRNazanin" w:hAnsi="IRNazanin" w:eastAsia="IRNazanin"/>
          <w:color w:val="111111"/>
          <w:sz w:val="28"/>
          <w:sz w:val="28"/>
          <w:szCs w:val="28"/>
          <w:rtl w:val="true"/>
          <w:lang w:bidi="fa-IR"/>
        </w:rPr>
        <w:t xml:space="preserve">کل دم سائل ؛ وفی الثالث 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نقض القی‌ء والمدّة ، فیتعین حمل ما یخالف علی الاستحباب أو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الأوّل من حصر الناقض فی الخارج من الطرفین قد تقدم فیه القول ، ویزید 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اللذین أنعم الله بهما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دل علی ما أشرنا إلیه سابقاً ، لولا الإجماع وضعف الحدیث ، إلاّ أن له مساعداً من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الدورق الجرّة ذات عروة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الدورق مکیال للشراب فارسی معرّب </w:t>
      </w:r>
      <w:r>
        <w:rPr>
          <w:rStyle w:val="FootnoteAnchor"/>
          <w:rtl w:val="true"/>
        </w:rPr>
        <w:footnoteReference w:id="95"/>
      </w:r>
      <w:r>
        <w:rPr>
          <w:rFonts w:ascii="IRNazanin" w:hAnsi="IRNazanin" w:eastAsia="IRNazanin"/>
          <w:color w:val="111111"/>
          <w:sz w:val="28"/>
          <w:sz w:val="28"/>
          <w:szCs w:val="28"/>
          <w:rtl w:val="true"/>
          <w:lang w:bidi="fa-IR"/>
        </w:rPr>
        <w:t xml:space="preserve">، والمدّة بالکسر والتشدید ما یجتمع فی الجروح من القیح علی ما فی الحبل المتین </w:t>
      </w:r>
      <w:r>
        <w:rPr>
          <w:rStyle w:val="FootnoteAnchor"/>
          <w:rtl w:val="true"/>
        </w:rPr>
        <w:footnoteReference w:id="96"/>
      </w:r>
      <w:r>
        <w:rPr>
          <w:rFonts w:ascii="Amiri" w:hAnsi="Amiri" w:eastAsia="Amiri" w:cs="Amiri"/>
          <w:color w:val="111111"/>
          <w:sz w:val="28"/>
          <w:sz w:val="28"/>
          <w:szCs w:val="28"/>
          <w:rtl w:val="true"/>
          <w:lang w:bidi="ar-SA"/>
        </w:rPr>
        <w:t>، معرّب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أبو عبیدة الحذّاء فی الخبر الذی ذکرناه فی الباب الذی قبل هذا </w:t>
      </w:r>
      <w:r>
        <w:rPr>
          <w:rStyle w:val="FootnoteAnchor"/>
          <w:rtl w:val="true"/>
        </w:rPr>
        <w:footnoteReference w:id="97"/>
      </w:r>
      <w:r>
        <w:rPr>
          <w:rFonts w:ascii="IRNazanin" w:hAnsi="IRNazanin" w:eastAsia="IRNazanin"/>
          <w:color w:val="111111"/>
          <w:sz w:val="28"/>
          <w:sz w:val="28"/>
          <w:szCs w:val="28"/>
          <w:rtl w:val="true"/>
          <w:lang w:bidi="fa-IR"/>
        </w:rPr>
        <w:t xml:space="preserve">،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استکره الدم نقض وإن لم یستکره لم ینقض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أیوب بن الحرّ ، عن عبید بن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w:t>
      </w:r>
      <w:r>
        <w:rPr>
          <w:rStyle w:val="FootnoteAnchor"/>
          <w:rtl w:val="true"/>
        </w:rPr>
        <w:footnoteReference w:id="98"/>
      </w:r>
      <w:r>
        <w:rPr>
          <w:rFonts w:ascii="IRNazanin" w:hAnsi="IRNazanin" w:eastAsia="IRNazanin"/>
          <w:color w:val="111111"/>
          <w:sz w:val="28"/>
          <w:sz w:val="28"/>
          <w:szCs w:val="28"/>
          <w:rtl w:val="true"/>
          <w:lang w:bidi="fa-IR"/>
        </w:rPr>
        <w:t xml:space="preserve">أصابه دم سائل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یتوضّأ ویعید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Heading4"/>
        <w:numPr>
          <w:ilvl w:val="3"/>
          <w:numId w:val="1"/>
        </w:numPr>
        <w:rPr/>
      </w:pPr>
      <w:bookmarkStart w:id="113" w:name="__RefHeading___Toc38974_2142443653"/>
      <w:bookmarkStart w:id="114" w:name="_Toc45"/>
      <w:bookmarkEnd w:id="113"/>
      <w:r>
        <w:rPr>
          <w:rtl w:val="true"/>
        </w:rPr>
        <w:t>معنی الدورق</w:t>
      </w:r>
      <w:bookmarkEnd w:id="11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5" w:name="__RefHeading___Toc38976_2142443653"/>
      <w:bookmarkStart w:id="116" w:name="_Toc46"/>
      <w:bookmarkEnd w:id="115"/>
      <w:r>
        <w:rPr>
          <w:rtl w:val="true"/>
        </w:rPr>
        <w:t>معنی المدّة</w:t>
      </w:r>
      <w:bookmarkEnd w:id="11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یکن سائلاً توضّأ وبنی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ویصنع ذلک بین الصفا والمروة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بن عیسی ، عن الحسن بن علی بن بنت إلیاس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رأیت أبی علیه السلام وقد رعف بعد ما توضّأ دماً سائلاً فتوضّأ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فیحتمل وجوها ،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تحمل علی ضرب من التقیة علی ما قدمنا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نحملها علی الاستحباب دون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نحملها علی غسل الموضع ، لأنّ ذلک یسمّی وضوءاً علی ما بیّناه فی کتاب تهذیب الأحکام </w:t>
      </w:r>
      <w:r>
        <w:rPr>
          <w:rStyle w:val="FootnoteAnchor"/>
          <w:rtl w:val="true"/>
        </w:rPr>
        <w:footnoteReference w:id="99"/>
      </w:r>
      <w:r>
        <w:rPr>
          <w:rFonts w:ascii="IRNazanin" w:hAnsi="IRNazanin" w:eastAsia="IRNazanin"/>
          <w:color w:val="111111"/>
          <w:sz w:val="28"/>
          <w:sz w:val="28"/>
          <w:szCs w:val="28"/>
          <w:rtl w:val="true"/>
          <w:lang w:bidi="fa-IR"/>
        </w:rPr>
        <w:t xml:space="preserve">، ویدل علی هذا المعنی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أخبرنی به الشیخ قدس سره ، عن أبی القاسم جعفر بن محمد ، عن أبیه ، عن سعد بن عبد الله ، عن محمد بن الحسین بن أبی الخطاب ، عن جعفر بن بشیر ، عن أبی حبیب الأسدی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فی الرجل یرعف وهو علی وضوء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 آثار الدم ویصلّی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 عن أحمد بن محمد ، عن أبیه ، عن الحسین بن الحسن ابن أبان ، عن الحسین بن سعید ، عن عثمان ، عن سماعة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قاء الرجل وهو علی طهر فلیتمضمض ، وإذا رعف وهو علی وضوء فلیغسل أنفه ، فإنّ ذلک یجزیه ولا یبعد وضوءه </w:t>
      </w:r>
      <w:r>
        <w:rPr>
          <w:rFonts w:eastAsia="IRNazanin" w:cs="IRNazanin"/>
          <w:color w:val="111111"/>
          <w:sz w:val="28"/>
          <w:szCs w:val="28"/>
          <w:rtl w:val="true"/>
          <w:lang w:bidi="fa-IR"/>
        </w:rPr>
        <w:t xml:space="preserve">». </w:t>
      </w:r>
      <w:bookmarkStart w:id="117" w:name="pg17122_169493"/>
    </w:p>
    <w:p>
      <w:pPr>
        <w:pStyle w:val="BookText"/>
        <w:rPr/>
      </w:pPr>
      <w:bookmarkEnd w:id="117"/>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یعلم الطریق من الشیخ إلی أیوب بن الحر ؛ إذ لیس فی المشیخة ، وفی الفهرست طریقه إلی کتابه غیر سلیم </w:t>
      </w:r>
      <w:r>
        <w:rPr>
          <w:rStyle w:val="FootnoteAnchor"/>
          <w:rtl w:val="true"/>
        </w:rPr>
        <w:footnoteReference w:id="101"/>
      </w:r>
      <w:r>
        <w:rPr>
          <w:rFonts w:ascii="IRNazanin" w:hAnsi="IRNazanin" w:eastAsia="IRNazanin"/>
          <w:color w:val="111111"/>
          <w:sz w:val="28"/>
          <w:sz w:val="28"/>
          <w:szCs w:val="28"/>
          <w:rtl w:val="true"/>
          <w:lang w:bidi="fa-IR"/>
        </w:rPr>
        <w:t>، ولا ینفع بتقدیر صحته هنا ، إلاّ إذا علم أنّ الحدیث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اشتبه علی بعض الأصحاب الحال فی طرق الفهرست ، فظن أنّ الطریق فی الفهرست کاف لما هنا ، والحق أنّ ما یذکره الشیخ فی الفهرست إن ورد بلفظ جمیع روایات الرجل یشمل ما یذکره هنا ، وإلاّ فالمشمول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وجه عدم الوضوح؟</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الشیخ فی المشیخة لهذا الکتاب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سلکت فی أول الکتاب إیراد الأحادیث بأسانیدها ، وعلی ذلک اعتمدت فی الجزء الأوّل والثانی ، ثم اختصرت فی الجزء الثالث وعوّلت علی الابتداء بذکر الراوی الذی أخذت الحدیث من کتابه وأصله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کما تری یدل علی أنّه فی هذا الجزء الأوّل لم یعتمد علی ذکر الرجل الذی أخذت الحدیث من کتابه ، وإذا لم یکن ذلک ، لم یعلم أنّ الحدیث من کتاب الرجل ، فإذا قال فی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 وذکر الطریق إلیه ، لم یدخل ما فی الجزء الأوّل والثانی من الکتاب إذا بدأ بالرجل</w:t>
      </w:r>
      <w:r>
        <w:rPr>
          <w:rFonts w:eastAsia="IRNazanin" w:cs="IRNazanin"/>
          <w:color w:val="111111"/>
          <w:sz w:val="28"/>
          <w:szCs w:val="28"/>
          <w:rtl w:val="true"/>
          <w:lang w:bidi="fa-IR"/>
        </w:rPr>
        <w:t>.</w:t>
      </w:r>
    </w:p>
    <w:p>
      <w:pPr>
        <w:pStyle w:val="Heading4"/>
        <w:numPr>
          <w:ilvl w:val="3"/>
          <w:numId w:val="1"/>
        </w:numPr>
        <w:rPr/>
      </w:pPr>
      <w:bookmarkStart w:id="118" w:name="__RefHeading___Toc38978_2142443653"/>
      <w:bookmarkStart w:id="119" w:name="_Toc47"/>
      <w:bookmarkEnd w:id="118"/>
      <w:r>
        <w:rPr>
          <w:rtl w:val="true"/>
        </w:rPr>
        <w:t>طریق الشیخ فی الفهرست إلی کتاب أیوب بن الحر غیر سلیم</w:t>
      </w:r>
      <w:bookmarkEnd w:id="11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0" w:name="__RefHeading___Toc38980_2142443653"/>
      <w:bookmarkStart w:id="121" w:name="_Toc48"/>
      <w:bookmarkEnd w:id="120"/>
      <w:r>
        <w:rPr>
          <w:rtl w:val="true"/>
        </w:rPr>
        <w:t>طرق الشیخ فی الفهرست إلی کتب الرواة غیر شاملة لسائر روایاتهم</w:t>
      </w:r>
      <w:bookmarkStart w:id="122" w:name="pg17122_169494"/>
      <w:bookmarkEnd w:id="121"/>
    </w:p>
    <w:p>
      <w:pPr>
        <w:pStyle w:val="BookText"/>
        <w:rPr/>
      </w:pPr>
      <w:bookmarkEnd w:id="122"/>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غیر مطرد فی الجزءین الأولین ، لأن الشیخ کثیراً ما یبدأ بالرجل الذی لم یلقه ، وقد صرح فی المشیخة بذکر الأحادیث بأسانیدها فی الجزءین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کثیراً ما یخطر بالبال ولم أعلم وجهه ، إلاّ أنّه لیس بنافع فی الاکتفاء بالطریق الذی فی الفهرست إلی کتاب الرجل ، علی أنّ الذی نجده فی الجزء الثالث علی نحو ما فی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یقال إنّ قول الشیخ رحمه الله فی آخر المشیخة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ولتفصیل ذلک شرح یطول هو مذکور فی الفهارس للشیوخ ، ربما یدل علی أنّ الطرق فی الفهرست مشترکة ، فإذا أخبر بأنّ فلاناً مثل أیوب بن الحرّ له کتاب وذکر الطریق إلیه ، قد یظن منه أنّ الحدیث من کتابه ، لکن لا یخفی أنّ للکلام فیه مجالاً واسعاً ، فینبغی التأمّل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بالحسن علی ما أظن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جهالة أبی حبیب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عثمان بن عیسی علی الظاهر ، وأبو بصیر وسماعة ، حالهما علی ما قدمناه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سبق فیه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الفرق بین السیلان وعدمه بالنسبة إلی إعادة الصلاة والبناء ، إلاّ أنّه واضح الدلالة علی نقض الوضوء فی الحالتین</w:t>
      </w:r>
      <w:r>
        <w:rPr>
          <w:rFonts w:eastAsia="IRNazanin" w:cs="IRNazanin"/>
          <w:color w:val="111111"/>
          <w:sz w:val="28"/>
          <w:szCs w:val="28"/>
          <w:rtl w:val="true"/>
          <w:lang w:bidi="fa-IR"/>
        </w:rPr>
        <w:t>.</w:t>
      </w:r>
    </w:p>
    <w:p>
      <w:pPr>
        <w:pStyle w:val="Heading4"/>
        <w:numPr>
          <w:ilvl w:val="3"/>
          <w:numId w:val="1"/>
        </w:numPr>
        <w:rPr/>
      </w:pPr>
      <w:bookmarkStart w:id="123" w:name="__RefHeading___Toc38982_2142443653"/>
      <w:bookmarkStart w:id="124" w:name="_Toc49"/>
      <w:bookmarkEnd w:id="123"/>
      <w:r>
        <w:rPr>
          <w:rtl w:val="true"/>
        </w:rPr>
        <w:t>الحسن بن علی بن بنت إلیاس حسن</w:t>
      </w:r>
      <w:bookmarkEnd w:id="12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5" w:name="__RefHeading___Toc38984_2142443653"/>
      <w:bookmarkStart w:id="126" w:name="_Toc50"/>
      <w:bookmarkEnd w:id="125"/>
      <w:r>
        <w:rPr>
          <w:rtl w:val="true"/>
        </w:rPr>
        <w:t>ابو حبیب الأسدی مجهول</w:t>
      </w:r>
      <w:bookmarkEnd w:id="126"/>
    </w:p>
    <w:p>
      <w:pPr>
        <w:pStyle w:val="BookText"/>
        <w:rPr/>
      </w:pPr>
      <w:r>
        <w:rPr>
          <w:rFonts w:ascii="IRNazanin" w:hAnsi="IRNazanin" w:eastAsia="IRNazanin"/>
          <w:color w:val="111111"/>
          <w:sz w:val="28"/>
          <w:sz w:val="28"/>
          <w:szCs w:val="28"/>
          <w:rtl w:val="true"/>
          <w:lang w:bidi="fa-IR"/>
        </w:rPr>
        <w:t xml:space="preserve">والشیخ فی التهذیب ادعی الإجماع علی عدم البناء مع نقض الوضوء ، لأنّه قال فی باب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بین أصحابنا أن من أحدث فی الصلاة ما یقطع صلاته یجب علیه استئنافه </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وإن کان محل کلام ذکرناه فی موضعه ، إلاّ أنّ إطلاق القول هنا بالحمل علی الاستحباب فی جملة الوجوه لا یخلو من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الخبر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أوضحت القول فیه فی حاشیة التهذیب ، والحاصل من الکلام فیه الحمل علی التقیة ، غیر أنّ القول لا یخرج عن مطابقة الواقع ، إذ لا مانع من وقوع الوضوء بعد الرعاف لکن لا بسبب الرعاف ، وحکایته عن أبیه علیه السلام لأنّ الواقع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لما </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احتاج إلی النقل عن أبیه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قاله الشیخ رحمه الله هنا من الحمل علی التقیة مجمل ، أمّا فی الحدیث الأوّل فلما قدمناه من أنّ الفرق بین الاستکراه وعدمه مبنی علی موافقة أهل الخلاف ، لیتم الحمل فیه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فلما ذکرناه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الحمل علی غَسل الموضع فمستبعد فی الأخیر ، لأن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ما توضأ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بظاهره علی أنّ الوضوء واحد فی الموضعین ، غیر أن استعمال کل من أفراد المشترک مع اللفظ الموضوع له لا ریب فیه ، والإجمال فیه بسبب التقیة ، فهو راجع فی الحقیقة إلیها ، أو أن السائل فهم ذلک بقرینة ، وکان علی الشیخ أن ینبه علی ذلک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والخبران المذکوران واضحا الدلالة علی عدم النقض ، فإن أراد الشیخ </w:t>
      </w:r>
      <w:bookmarkStart w:id="127" w:name="pg17122_169496"/>
    </w:p>
    <w:p>
      <w:pPr>
        <w:pStyle w:val="BookText"/>
        <w:rPr/>
      </w:pPr>
      <w:bookmarkEnd w:id="127"/>
      <w:r>
        <w:rPr>
          <w:rFonts w:ascii="IRNazanin" w:hAnsi="IRNazanin" w:eastAsia="IRNazanin"/>
          <w:color w:val="111111"/>
          <w:sz w:val="28"/>
          <w:sz w:val="28"/>
          <w:szCs w:val="28"/>
          <w:rtl w:val="true"/>
          <w:lang w:bidi="fa-IR"/>
        </w:rPr>
        <w:t>دلالتهما علی الغَسل فلا ریب فیه ولا احتیاج إلی الخبرین ، وإن أراد الدلالة علی عدم النقض فلیس بمطلوب ، وإن أراد الدلالة علی إطلاق الوضوء علی الغَسل فلا یخلو من خفاء ، غیر أنّه یمکن توجیهه بأنّ الخبرین إذا دلاّ علی عدم النقض بل الغَسل علمنا أن المراد بالوضوء الغَسل ، وأنت خبیر بأنّ الأولی بیان صحة إطلاق الوضوء علی الغَسل مع الخبرین ، بل إذا ثبت ذلک یستغنی به عن الخبرین ، والأمر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الضحک والقهقهة</w:t>
      </w:r>
    </w:p>
    <w:p>
      <w:pPr>
        <w:pStyle w:val="BookText"/>
        <w:rPr/>
      </w:pPr>
      <w:r>
        <w:rPr>
          <w:rFonts w:ascii="IRNazanin" w:hAnsi="IRNazanin" w:eastAsia="IRNazanin"/>
          <w:color w:val="111111"/>
          <w:sz w:val="28"/>
          <w:sz w:val="28"/>
          <w:szCs w:val="28"/>
          <w:rtl w:val="true"/>
          <w:lang w:bidi="fa-IR"/>
        </w:rPr>
        <w:t xml:space="preserve">أخبرنی الشیخ رحمه الله عن أبی القاسم جعفر بن محمد ، عن محمد بن یعقوب ، عن محمد بن إسماعیل ، عن الفضل بن شاذان ، عن صفوان بن یحیی ، عن سالم أبی الفضل </w:t>
      </w:r>
      <w:r>
        <w:rPr>
          <w:rStyle w:val="FootnoteAnchor"/>
          <w:rtl w:val="true"/>
        </w:rPr>
        <w:footnoteReference w:id="106"/>
      </w:r>
      <w:r>
        <w:rPr>
          <w:rFonts w:ascii="IRNazanin" w:hAnsi="IRNazanin" w:eastAsia="IRNazanin"/>
          <w:color w:val="111111"/>
          <w:sz w:val="28"/>
          <w:sz w:val="28"/>
          <w:szCs w:val="28"/>
          <w:rtl w:val="true"/>
          <w:lang w:bidi="fa-IR"/>
        </w:rPr>
        <w:t xml:space="preserve">،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ینقض الوضوء إلاّ ما خرج من طرفیک الأسفلین اللذین أنعم الله بهما علیک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أحمد بن محمد ، عن أبیه ، عن الصفار ، عن أحمد بن محمد ، عن محمد بن سهل ، عن زکریا بن آدم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علیه السلام عن الناصور </w:t>
      </w:r>
      <w:r>
        <w:rPr>
          <w:rStyle w:val="FootnoteAnchor"/>
          <w:rtl w:val="true"/>
        </w:rPr>
        <w:footnoteReference w:id="107"/>
      </w:r>
      <w:r>
        <w:rPr>
          <w:rFonts w:ascii="IRNazanin" w:hAnsi="IRNazanin" w:eastAsia="IRNazanin"/>
          <w:color w:val="111111"/>
          <w:sz w:val="28"/>
          <w:sz w:val="28"/>
          <w:szCs w:val="28"/>
          <w:rtl w:val="true"/>
          <w:lang w:bidi="fa-IR"/>
        </w:rPr>
        <w:t xml:space="preserve">، قال </w:t>
      </w:r>
      <w:r>
        <w:rPr>
          <w:rStyle w:val="FootnoteAnchor"/>
          <w:rtl w:val="true"/>
        </w:rPr>
        <w:footnoteReference w:id="10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ینقض الوضوء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البول ، والغائط ، والریح </w:t>
      </w:r>
      <w:r>
        <w:rPr>
          <w:rFonts w:eastAsia="IRNazanin" w:cs="IRNazanin"/>
          <w:color w:val="111111"/>
          <w:sz w:val="28"/>
          <w:szCs w:val="28"/>
          <w:rtl w:val="true"/>
          <w:lang w:bidi="fa-IR"/>
        </w:rPr>
        <w:t>».</w:t>
      </w:r>
    </w:p>
    <w:p>
      <w:pPr>
        <w:pStyle w:val="Heading3"/>
        <w:numPr>
          <w:ilvl w:val="2"/>
          <w:numId w:val="1"/>
        </w:numPr>
        <w:rPr/>
      </w:pPr>
      <w:bookmarkStart w:id="128" w:name="__RefHeading___Toc38986_2142443653"/>
      <w:bookmarkStart w:id="129" w:name="_Toc51"/>
      <w:bookmarkEnd w:id="128"/>
      <w:r>
        <w:rPr>
          <w:rtl w:val="true"/>
        </w:rPr>
        <w:t>الضحک والقهقهة</w:t>
      </w:r>
      <w:bookmarkEnd w:id="12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0" w:name="__RefHeading___Toc38988_2142443653"/>
      <w:bookmarkStart w:id="131" w:name="_Toc52"/>
      <w:bookmarkEnd w:id="130"/>
      <w:r>
        <w:rPr>
          <w:rtl w:val="true"/>
        </w:rPr>
        <w:t>اشارة</w:t>
      </w:r>
      <w:bookmarkStart w:id="132" w:name="pg17122_169497"/>
      <w:bookmarkEnd w:id="131"/>
    </w:p>
    <w:p>
      <w:pPr>
        <w:pStyle w:val="BookText"/>
        <w:rPr/>
      </w:pPr>
      <w:bookmarkEnd w:id="132"/>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ذکرنا القول فیه ، وسالم أبو الفضل فیه ثقة ، وقد یصغّر الفضل ، وظن بعض المغایرة بین أبی الفضل وأبی الفضیل ، کما یعلم من کتاب شیخنا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الرجال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سهل ، وهو ابن سهل بن الیسع ، بقرینة روایة أحمد بن محمد بن عیسی عنه ، کما قال فی الفهرست </w:t>
      </w:r>
      <w:r>
        <w:rPr>
          <w:rStyle w:val="FootnoteAnchor"/>
          <w:rtl w:val="true"/>
        </w:rPr>
        <w:footnoteReference w:id="110"/>
      </w:r>
      <w:r>
        <w:rPr>
          <w:rFonts w:ascii="IRNazanin" w:hAnsi="IRNazanin" w:eastAsia="IRNazanin"/>
          <w:color w:val="111111"/>
          <w:sz w:val="28"/>
          <w:sz w:val="28"/>
          <w:szCs w:val="28"/>
          <w:rtl w:val="true"/>
          <w:lang w:bidi="fa-IR"/>
        </w:rPr>
        <w:t xml:space="preserve">، وما فی النجاشی من أن الراوی عنه أحمد بن محمد عن أبیه </w:t>
      </w:r>
      <w:r>
        <w:rPr>
          <w:rStyle w:val="FootnoteAnchor"/>
          <w:rtl w:val="true"/>
        </w:rPr>
        <w:footnoteReference w:id="111"/>
      </w:r>
      <w:r>
        <w:rPr>
          <w:rFonts w:ascii="IRNazanin" w:hAnsi="IRNazanin" w:eastAsia="IRNazanin"/>
          <w:color w:val="111111"/>
          <w:sz w:val="28"/>
          <w:sz w:val="28"/>
          <w:szCs w:val="28"/>
          <w:rtl w:val="true"/>
          <w:lang w:bidi="fa-IR"/>
        </w:rPr>
        <w:t xml:space="preserve">، 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مانع من روایة أحمد عنه کأبیه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أن یکون الشیخ فی الفهرست قد سها قلمه عن ذکر أبیه ممکن ، إلاّ أن وجود روایة أحمد عنه فی هذه الروایة قرینة الصحة ، واحتمال کون محمد بن سهل غیر ابن الیسع لما ذکر بعید ، وعلی کل حال ، محمد المذکور مهمل فی الرجال ؛ وأمّا زکریا بن آدم فقد وثّقه النجاشی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ظن الشیخ منه أنّ الحصر المستفاد من الخبرین یفید نفی الوضوء من القهقهة والضحک ، وقد یتوجه علیه أنّ الحصر لا بُدّ من کونه إضافیاً ، وحینئذ لا ینافی ما دل علی أنّ الضحک والقهقهة تنقضان الوضوء ، کما ثبت</w:t>
      </w:r>
    </w:p>
    <w:p>
      <w:pPr>
        <w:pStyle w:val="Heading4"/>
        <w:numPr>
          <w:ilvl w:val="3"/>
          <w:numId w:val="1"/>
        </w:numPr>
        <w:rPr/>
      </w:pPr>
      <w:bookmarkStart w:id="133" w:name="__RefHeading___Toc38990_2142443653"/>
      <w:bookmarkStart w:id="134" w:name="_Toc53"/>
      <w:bookmarkEnd w:id="133"/>
      <w:r>
        <w:rPr>
          <w:rtl w:val="true"/>
        </w:rPr>
        <w:t>بحث حول سالم أبی الفضل</w:t>
      </w:r>
      <w:bookmarkEnd w:id="134"/>
    </w:p>
    <w:p>
      <w:pPr>
        <w:pStyle w:val="Heading4"/>
        <w:numPr>
          <w:ilvl w:val="3"/>
          <w:numId w:val="1"/>
        </w:numPr>
        <w:rPr/>
      </w:pPr>
      <w:bookmarkStart w:id="135" w:name="__RefHeading___Toc38992_2142443653"/>
      <w:bookmarkStart w:id="136" w:name="_Toc54"/>
      <w:bookmarkEnd w:id="135"/>
      <w:r>
        <w:rPr>
          <w:rtl w:val="true"/>
        </w:rPr>
        <w:t>بحث حول محمد بن سهل بن الیسع</w:t>
      </w:r>
      <w:bookmarkEnd w:id="136"/>
    </w:p>
    <w:p>
      <w:pPr>
        <w:pStyle w:val="Heading4"/>
        <w:numPr>
          <w:ilvl w:val="3"/>
          <w:numId w:val="1"/>
        </w:numPr>
        <w:rPr/>
      </w:pPr>
      <w:bookmarkStart w:id="137" w:name="__RefHeading___Toc38994_2142443653"/>
      <w:bookmarkStart w:id="138" w:name="_Toc55"/>
      <w:bookmarkEnd w:id="137"/>
      <w:r>
        <w:rPr>
          <w:rtl w:val="true"/>
        </w:rPr>
        <w:t>زکریا بن آدم ثقة</w:t>
      </w:r>
      <w:bookmarkEnd w:id="13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9" w:name="__RefHeading___Toc38996_2142443653"/>
      <w:bookmarkStart w:id="140" w:name="_Toc56"/>
      <w:bookmarkEnd w:id="139"/>
      <w:r>
        <w:rPr>
          <w:rtl w:val="true"/>
        </w:rPr>
        <w:t>حصر النواقض فی ما یخرج من الطرفین إضافی لا ینافی نقض غیره</w:t>
      </w:r>
      <w:bookmarkStart w:id="141" w:name="pg17122_169498"/>
      <w:bookmarkEnd w:id="140"/>
    </w:p>
    <w:p>
      <w:pPr>
        <w:pStyle w:val="BookText"/>
        <w:rPr/>
      </w:pPr>
      <w:bookmarkEnd w:id="141"/>
      <w:r>
        <w:rPr>
          <w:rFonts w:ascii="IRNazanin" w:hAnsi="IRNazanin" w:eastAsia="IRNazanin"/>
          <w:color w:val="111111"/>
          <w:sz w:val="28"/>
          <w:sz w:val="28"/>
          <w:szCs w:val="28"/>
          <w:rtl w:val="true"/>
          <w:lang w:bidi="fa-IR"/>
        </w:rPr>
        <w:t>النقض بغیرهما فی الأخبار ، وحینئذ لا یتم الحمل الآتی منه فی المعارض ، وستسمع القول فی ذلک مع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الخبر الأوّل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اللذین أنعم الله بهما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یؤیّده غیره من الأخبار الدالّة علیه ، کما تقدم عن قریب ، فإذا خرج من هذا ما انعقد علیه الاتفاق وهو ما اعتاد من غیرهما ، أو انسد الطبیعی ، بقی الإشکال فی خروج الغائط والبول من غیر ما ذکر ، بل ربما یرجح عدم النقض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ظن بعض کالشیخ أنّ خروج الغائط من تحت المعدة ناقض </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مطلق الأخبار الدالة علی ذلک بل والقرآن یقید بمثل هذا الخبر ، کما ذکرنا مفصّلاً فی حاشیة التهذیب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حاله بمحمد بن إسماعیل غیر خفیة ، وغیره ممّا تقدم لیس بسلیم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روی الشیخ فی التهذیب بسند لا ارتیاب فیه عند الأصحاب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وأبی عبد الله علیه السلام ما ینقض الوضوء؟ فقالا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خرج من طرفیک الأسفلین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أنّ روایة محمد بن اسماعیل ؛ لا أری فرقاً بینها وبین روایة أحمد بن محمد بن الحسن بن الولید الواقع فی طریق روایة زرارة المذکورة ، وکذلک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یحیی ، وما ضاهاهما ممّن لم ینص أصحاب الرجال علی توثیقهما ، فالحکم بصحة ما رواه أحمد بن محمد بن الولید ونحوه ، دون ما رواه محمد بن إسماعیل غیر واضح</w:t>
      </w:r>
    </w:p>
    <w:p>
      <w:pPr>
        <w:pStyle w:val="Heading4"/>
        <w:numPr>
          <w:ilvl w:val="3"/>
          <w:numId w:val="1"/>
        </w:numPr>
        <w:rPr/>
      </w:pPr>
      <w:bookmarkStart w:id="142" w:name="__RefHeading___Toc38998_2142443653"/>
      <w:bookmarkStart w:id="143" w:name="_Toc57"/>
      <w:bookmarkEnd w:id="142"/>
      <w:r>
        <w:rPr>
          <w:rtl w:val="true"/>
        </w:rPr>
        <w:t>هل ینقض الوضوء ما یخرج من غیر السبیلین</w:t>
      </w:r>
      <w:bookmarkEnd w:id="14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4" w:name="__RefHeading___Toc39000_2142443653"/>
      <w:bookmarkStart w:id="145" w:name="_Toc58"/>
      <w:bookmarkEnd w:id="144"/>
      <w:r>
        <w:rPr>
          <w:rtl w:val="true"/>
        </w:rPr>
        <w:t>اشتراک محمد بن اسماعیل مع غیره من مشایخ الإجازة فی عدم التنصیص بالتوثیق</w:t>
      </w:r>
      <w:bookmarkEnd w:id="145"/>
    </w:p>
    <w:p>
      <w:pPr>
        <w:pStyle w:val="BookText"/>
        <w:rPr/>
      </w:pPr>
      <w:r>
        <w:rPr>
          <w:rFonts w:ascii="IRNazanin" w:hAnsi="IRNazanin" w:eastAsia="IRNazanin"/>
          <w:color w:val="111111"/>
          <w:sz w:val="28"/>
          <w:sz w:val="28"/>
          <w:szCs w:val="28"/>
          <w:rtl w:val="true"/>
          <w:lang w:bidi="fa-IR"/>
        </w:rPr>
        <w:t>الوجه ، بل کلما یقال فی أحمد من جهة کونه من مشایخ الإجازة یقال فی محمد بن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وتصحیح العلاّمة لبعض الطرق الواقع فیها </w:t>
      </w:r>
      <w:r>
        <w:rPr>
          <w:rStyle w:val="FootnoteAnchor"/>
          <w:rtl w:val="true"/>
        </w:rPr>
        <w:footnoteReference w:id="115"/>
      </w:r>
      <w:r>
        <w:rPr>
          <w:rFonts w:ascii="IRNazanin" w:hAnsi="IRNazanin" w:eastAsia="IRNazanin"/>
          <w:color w:val="111111"/>
          <w:sz w:val="28"/>
          <w:sz w:val="28"/>
          <w:szCs w:val="28"/>
          <w:rtl w:val="true"/>
          <w:lang w:bidi="fa-IR"/>
        </w:rPr>
        <w:t xml:space="preserve">غیر المنصوص علیه بالتوثیق مشترک ، وحینئذ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أن تردّ جمیع الروایات ، أو یقبل جمیعها ، فالفرق لا یظهر لی وجهه ، وذکر أحمد بن محمد بن یحیی من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لا یسمن ولا یغنی من جوع ، فینبغی من جوع ، فینبغی التأمل فیما قلته ، لیتضح الفرق أو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عرفت هذا یظهر لک أنّ ما قیل من أنّ البول والغائط إذا خرجا من غیر السبیلین نقضا مطلقاً </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من تأمّل عند من یعمل بالأخبار ، أمّا مثل ابن إدریس کما نقل عنه القول بذلک </w:t>
      </w:r>
      <w:r>
        <w:rPr>
          <w:rStyle w:val="FootnoteAnchor"/>
          <w:rtl w:val="true"/>
        </w:rPr>
        <w:footnoteReference w:id="118"/>
      </w:r>
      <w:r>
        <w:rPr>
          <w:rFonts w:ascii="IRNazanin" w:hAnsi="IRNazanin" w:eastAsia="IRNazanin"/>
          <w:color w:val="111111"/>
          <w:sz w:val="28"/>
          <w:sz w:val="28"/>
          <w:szCs w:val="28"/>
          <w:rtl w:val="true"/>
          <w:lang w:bidi="fa-IR"/>
        </w:rPr>
        <w:t>، فیمکن توجیه کلامه ، نظراً إلی إطلاق الآیة ، وإن أمکن المناقشة أیضاً باحتمال انصراف المطلق إلی الفرد الشائع</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ما نقل عن الشیخ فی المبسوط والخلاف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الفرق بین ما یخرج من تحت المعدة وما یخرج من فوقها ، فإنّه حکم بأنّ ما یخرج من تحت المعدة ینقض وإن لم یکن معتاداً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کلام ، وتوجیه بعض محققی المتأخّرین </w:t>
      </w:r>
      <w:r>
        <w:rPr>
          <w:rStyle w:val="FootnoteAnchor"/>
          <w:rtl w:val="true"/>
        </w:rPr>
        <w:footnoteReference w:id="120"/>
      </w:r>
      <w:r>
        <w:rPr>
          <w:rFonts w:ascii="IRNazanin" w:hAnsi="IRNazanin" w:eastAsia="IRNazanin"/>
          <w:color w:val="111111"/>
          <w:sz w:val="28"/>
          <w:sz w:val="28"/>
          <w:szCs w:val="28"/>
          <w:rtl w:val="true"/>
          <w:lang w:bidi="fa-IR"/>
        </w:rPr>
        <w:t xml:space="preserve">لکلام الشیخ حق ، إلاّ أنّه لا بُدّ من نوع تقیید بما أشرنا </w:t>
      </w:r>
      <w:bookmarkStart w:id="146" w:name="pg17122_169500"/>
    </w:p>
    <w:p>
      <w:pPr>
        <w:pStyle w:val="BookText"/>
        <w:rPr/>
      </w:pPr>
      <w:bookmarkEnd w:id="146"/>
      <w:r>
        <w:rPr>
          <w:rFonts w:ascii="IRNazanin" w:hAnsi="IRNazanin" w:eastAsia="IRNazanin"/>
          <w:color w:val="111111"/>
          <w:sz w:val="28"/>
          <w:sz w:val="28"/>
          <w:szCs w:val="28"/>
          <w:rtl w:val="true"/>
          <w:lang w:bidi="fa-IR"/>
        </w:rPr>
        <w:t>إلیه ، وقد ذکرنا جمیع ذلک فی موضعه ممّا قدمنا إلیه الإشارة ، والله تعالی أعلم بحقائق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الناصور ، قرحة غائرة قلّما تندمل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رواه الحسین بن سعید ، عن الحسن أخیه ، عن زرعة ،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عمّا ینقض الوضوء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الحدث تسمع صوته أو تجد ریحه ، والقرقرة فی البطن ، إلاّ شیئاً </w:t>
      </w:r>
      <w:r>
        <w:rPr>
          <w:rStyle w:val="FootnoteAnchor"/>
          <w:rtl w:val="true"/>
        </w:rPr>
        <w:footnoteReference w:id="122"/>
      </w:r>
      <w:r>
        <w:rPr>
          <w:rFonts w:ascii="IRNazanin" w:hAnsi="IRNazanin" w:eastAsia="IRNazanin"/>
          <w:color w:val="111111"/>
          <w:sz w:val="28"/>
          <w:sz w:val="28"/>
          <w:szCs w:val="28"/>
          <w:rtl w:val="true"/>
          <w:lang w:bidi="fa-IR"/>
        </w:rPr>
        <w:t xml:space="preserve">تبصر علیه ، والضحک فی الصلاة ، والقی‌ء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هذا الخبر أن نحمله علی ضرب من الاستحباب ، أو علی الضحک الذی لا یملک معه نفسه ، ولا یأمن أن یکون قد أحدث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الحسین بن سعید ، عن ابن أبی عمیر ، عن رهط سمعوه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التبسم فی الصلاة لا ینقض الصلاة ولا ینقض الوضوء ، إنّما یقطع الضحک الذی فیه القهقهة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یقطع الضحک الذی فیه القهقهة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راجع إلی الصلاة دون الوضوء ألا تری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یقطع الضحک الذی فیه القهقهة </w:t>
      </w:r>
      <w:r>
        <w:rPr>
          <w:rFonts w:eastAsia="IRNazanin" w:cs="IRNazanin"/>
          <w:color w:val="111111"/>
          <w:sz w:val="28"/>
          <w:szCs w:val="28"/>
          <w:rtl w:val="true"/>
          <w:lang w:bidi="fa-IR"/>
        </w:rPr>
        <w:t>» )</w:t>
      </w:r>
      <w:r>
        <w:rPr>
          <w:rStyle w:val="FootnoteAnchor"/>
          <w:rtl w:val="true"/>
        </w:rPr>
        <w:footnoteReference w:id="123"/>
      </w:r>
      <w:r>
        <w:rPr>
          <w:rFonts w:ascii="IRNazanin" w:hAnsi="IRNazanin" w:eastAsia="IRNazanin"/>
          <w:color w:val="111111"/>
          <w:sz w:val="28"/>
          <w:sz w:val="28"/>
          <w:szCs w:val="28"/>
          <w:rtl w:val="true"/>
          <w:lang w:bidi="fa-IR"/>
        </w:rPr>
        <w:t>والقطع لا یقال إلاّ فی الصلاة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7" w:name="__RefHeading___Toc39002_2142443653"/>
      <w:bookmarkStart w:id="148" w:name="_Toc59"/>
      <w:bookmarkEnd w:id="147"/>
      <w:r>
        <w:rPr>
          <w:rtl w:val="true"/>
        </w:rPr>
        <w:t>معنی الناصور</w:t>
      </w:r>
      <w:bookmarkStart w:id="149" w:name="pg17122_169501"/>
      <w:bookmarkEnd w:id="148"/>
    </w:p>
    <w:p>
      <w:pPr>
        <w:pStyle w:val="BookText"/>
        <w:rPr/>
      </w:pPr>
      <w:bookmarkEnd w:id="149"/>
      <w:r>
        <w:rPr>
          <w:rFonts w:ascii="IRNazanin" w:hAnsi="IRNazanin" w:eastAsia="IRNazanin"/>
          <w:color w:val="111111"/>
          <w:sz w:val="28"/>
          <w:sz w:val="28"/>
          <w:szCs w:val="28"/>
          <w:rtl w:val="true"/>
          <w:lang w:bidi="fa-IR"/>
        </w:rPr>
        <w:t xml:space="preserve">لأنه لم تجر العادة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انقطع الوضوء ، وإنّما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انقطعت الصلاة ، ویحتمل أن یکون الخبران وردا مورد التقیة ، لأنّهما موافقان لمذاهب </w:t>
      </w:r>
      <w:r>
        <w:rPr>
          <w:rStyle w:val="FootnoteAnchor"/>
          <w:rtl w:val="true"/>
        </w:rPr>
        <w:footnoteReference w:id="124"/>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Amiri" w:hAnsi="Amiri" w:eastAsia="Amiri" w:cs="Amiri"/>
          <w:color w:val="111111"/>
          <w:sz w:val="28"/>
          <w:sz w:val="28"/>
          <w:szCs w:val="28"/>
          <w:rtl w:val="true"/>
          <w:lang w:bidi="ar-SA"/>
        </w:rPr>
        <w:t xml:space="preserve">فی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 وقد تقدّم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 وکونه من ابن أبی عمیر سبق القول فیه </w:t>
      </w:r>
      <w:r>
        <w:rPr>
          <w:rStyle w:val="FootnoteAnchor"/>
          <w:rtl w:val="true"/>
        </w:rPr>
        <w:footnoteReference w:id="126"/>
      </w:r>
      <w:r>
        <w:rPr>
          <w:rFonts w:ascii="IRNazanin" w:hAnsi="IRNazanin" w:eastAsia="IRNazanin"/>
          <w:color w:val="111111"/>
          <w:sz w:val="28"/>
          <w:sz w:val="28"/>
          <w:szCs w:val="28"/>
          <w:rtl w:val="true"/>
          <w:lang w:bidi="fa-IR"/>
        </w:rPr>
        <w:t>، وتأیید العمل به لأنّه عن رهط محل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ذکرنا ما فیه عن قریب ، والاحتمال المذکور من الشیخ أنّه محمول علی الضحک الذی لا یملک معه نفسه ولا یأمن أن یکون قد أحدث ، غیر تام ؛ لأنّ احتمال الحدث لا ینقض الطهارة ، ولو أراد ذهاب العقل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احتمال الحدث لا وجه له ، إذ مجرد زوال العقل کاف عند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الحمل علی الاستحباب قد یشکل ، بأنّ ذکر الضحک مع الحدث یقتضی المشارکة فی الاستحباب ، وعدم تمامیته واضح ، واختصاص الاستحباب ببعض ما تضمنه الخبر بعید ، فکان الحمل علی التقیة متعیّناً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الخبر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فتوجیه الشیخ فیه له وجه ، أمّا رجوعه إلی الحمل</w:t>
      </w:r>
    </w:p>
    <w:p>
      <w:pPr>
        <w:pStyle w:val="Heading4"/>
        <w:numPr>
          <w:ilvl w:val="3"/>
          <w:numId w:val="1"/>
        </w:numPr>
        <w:rPr/>
      </w:pPr>
      <w:bookmarkStart w:id="150" w:name="__RefHeading___Toc39004_2142443653"/>
      <w:bookmarkStart w:id="151" w:name="_Toc60"/>
      <w:bookmarkEnd w:id="150"/>
      <w:r>
        <w:rPr>
          <w:rtl w:val="true"/>
        </w:rPr>
        <w:t>توجیه الأخبار الدالّة علی أنّ الضحک ینقض الوضوء</w:t>
      </w:r>
      <w:bookmarkEnd w:id="15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2" w:name="__RefHeading___Toc39006_2142443653"/>
      <w:bookmarkStart w:id="153" w:name="_Toc61"/>
      <w:bookmarkEnd w:id="152"/>
      <w:r>
        <w:rPr>
          <w:rtl w:val="true"/>
        </w:rPr>
        <w:t>معنی القهقهة</w:t>
      </w:r>
      <w:bookmarkStart w:id="154" w:name="pg17122_169502"/>
      <w:bookmarkEnd w:id="153"/>
    </w:p>
    <w:p>
      <w:pPr>
        <w:pStyle w:val="BookText"/>
        <w:rPr/>
      </w:pPr>
      <w:bookmarkEnd w:id="154"/>
      <w:r>
        <w:rPr>
          <w:rFonts w:ascii="IRNazanin" w:hAnsi="IRNazanin" w:eastAsia="IRNazanin"/>
          <w:color w:val="111111"/>
          <w:sz w:val="28"/>
          <w:sz w:val="28"/>
          <w:szCs w:val="28"/>
          <w:rtl w:val="true"/>
          <w:lang w:bidi="fa-IR"/>
        </w:rPr>
        <w:t xml:space="preserve">علی التقیة بعد جعله دالاًّ علی عدم نقض الوضوء فقد ینکر إلاّ أنّ التوجیه لیس بالبعید ، فیقال علی تقدیر الدلالة هو محمول علی التقیة ، وقد عرفت ممّا تقدم النقل عن ابن الجنید </w:t>
      </w:r>
      <w:r>
        <w:rPr>
          <w:rStyle w:val="FootnoteAnchor"/>
          <w:rtl w:val="true"/>
        </w:rPr>
        <w:footnoteReference w:id="127"/>
      </w:r>
      <w:r>
        <w:rPr>
          <w:rFonts w:ascii="IRNazanin" w:hAnsi="IRNazanin" w:eastAsia="IRNazanin"/>
          <w:color w:val="111111"/>
          <w:sz w:val="28"/>
          <w:sz w:val="28"/>
          <w:szCs w:val="28"/>
          <w:rtl w:val="true"/>
          <w:lang w:bidi="fa-IR"/>
        </w:rPr>
        <w:t>واحتجاجه بالخبر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وتخیل صلاحیة الاستدلال بهذا الخبر المرسل نظراً إلی المفهوم ، أو لأنّ القطع یتناول ، مدفوع بأدنی ملاحظة فی المفهوم ، وبما قاله الشیخ فی القطع ، ولو ذکر الشیخ روایة زرارة السابق نقلها منّا ، کان أولی فی حسم مادّة الاحتمال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القهقهة ، هی الترجیع فی الضحک ، أو شدة الضحک </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القهقهة فی الضحک معروف ، وهو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 قه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إنشاد الشعر</w:t>
      </w:r>
    </w:p>
    <w:p>
      <w:pPr>
        <w:pStyle w:val="BookText"/>
        <w:rPr/>
      </w:pPr>
      <w:r>
        <w:rPr>
          <w:rFonts w:ascii="IRNazanin" w:hAnsi="IRNazanin" w:eastAsia="IRNazanin"/>
          <w:color w:val="111111"/>
          <w:sz w:val="28"/>
          <w:sz w:val="28"/>
          <w:szCs w:val="28"/>
          <w:rtl w:val="true"/>
          <w:lang w:bidi="fa-IR"/>
        </w:rPr>
        <w:t xml:space="preserve">أخبرنی الشیخ قدس سره عن أحمد بن محمد ، عن أبیه ، عن سعد ابن عبد الله ، عن أحمد بن محمد بن عیسی ، عن علی بن الحکم ، عن معاویة بن میسرة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 عن إنشاد الشعر ، هل ینقض الوضوء؟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Heading3"/>
        <w:numPr>
          <w:ilvl w:val="2"/>
          <w:numId w:val="1"/>
        </w:numPr>
        <w:rPr/>
      </w:pPr>
      <w:bookmarkStart w:id="155" w:name="__RefHeading___Toc39008_2142443653"/>
      <w:bookmarkStart w:id="156" w:name="_Toc62"/>
      <w:bookmarkEnd w:id="155"/>
      <w:r>
        <w:rPr>
          <w:rtl w:val="true"/>
        </w:rPr>
        <w:t>إنشاد الشعر</w:t>
      </w:r>
      <w:bookmarkEnd w:id="15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7" w:name="__RefHeading___Toc39010_2142443653"/>
      <w:bookmarkStart w:id="158" w:name="_Toc63"/>
      <w:bookmarkEnd w:id="157"/>
      <w:r>
        <w:rPr>
          <w:rtl w:val="true"/>
        </w:rPr>
        <w:t>اشارة</w:t>
      </w:r>
      <w:bookmarkStart w:id="159" w:name="pg17122_169503"/>
      <w:bookmarkEnd w:id="158"/>
    </w:p>
    <w:p>
      <w:pPr>
        <w:pStyle w:val="BookText"/>
        <w:rPr/>
      </w:pPr>
      <w:bookmarkEnd w:id="159"/>
      <w:r>
        <w:rPr>
          <w:rFonts w:ascii="IRNazanin" w:hAnsi="IRNazanin" w:eastAsia="IRNazanin"/>
          <w:color w:val="111111"/>
          <w:sz w:val="28"/>
          <w:sz w:val="28"/>
          <w:szCs w:val="28"/>
          <w:rtl w:val="true"/>
          <w:lang w:bidi="fa-IR"/>
        </w:rPr>
        <w:t xml:space="preserve">فأمّا ما رواه الحسین بن سعید ، عن أخیه الحسن ، عن زرعة ، عن </w:t>
      </w:r>
      <w:r>
        <w:rPr>
          <w:rStyle w:val="FootnoteAnchor"/>
          <w:rtl w:val="true"/>
        </w:rPr>
        <w:footnoteReference w:id="130"/>
      </w:r>
      <w:r>
        <w:rPr>
          <w:rFonts w:ascii="Amiri" w:hAnsi="Amiri" w:eastAsia="Amiri" w:cs="Amiri"/>
          <w:color w:val="111111"/>
          <w:sz w:val="28"/>
          <w:sz w:val="28"/>
          <w:szCs w:val="28"/>
          <w:rtl w:val="true"/>
          <w:lang w:bidi="ar-SA"/>
        </w:rPr>
        <w:t xml:space="preserve">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نشد </w:t>
      </w:r>
      <w:r>
        <w:rPr>
          <w:rStyle w:val="FootnoteAnchor"/>
          <w:rtl w:val="true"/>
        </w:rPr>
        <w:footnoteReference w:id="131"/>
      </w:r>
      <w:r>
        <w:rPr>
          <w:rFonts w:ascii="IRNazanin" w:hAnsi="IRNazanin" w:eastAsia="IRNazanin"/>
          <w:color w:val="111111"/>
          <w:sz w:val="28"/>
          <w:sz w:val="28"/>
          <w:szCs w:val="28"/>
          <w:rtl w:val="true"/>
          <w:lang w:bidi="fa-IR"/>
        </w:rPr>
        <w:t xml:space="preserve">الشعر هل ینقض الوضوء ، أو ظلم الرجل صاحبه ، أو الکذب؟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یکون شعراً یصدق فیه ، أو یکون یسیرا من الشعر الأبیات الثلاثة والأربعة ، فأمّا إن یکثر من الشعر الباطل فهو ینقض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فیحتمل الخبر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تصحّف </w:t>
      </w:r>
      <w:r>
        <w:rPr>
          <w:rStyle w:val="FootnoteAnchor"/>
          <w:rtl w:val="true"/>
        </w:rPr>
        <w:footnoteReference w:id="132"/>
      </w:r>
      <w:r>
        <w:rPr>
          <w:rFonts w:ascii="IRNazanin" w:hAnsi="IRNazanin" w:eastAsia="IRNazanin"/>
          <w:color w:val="111111"/>
          <w:sz w:val="28"/>
          <w:sz w:val="28"/>
          <w:szCs w:val="28"/>
          <w:rtl w:val="true"/>
          <w:lang w:bidi="fa-IR"/>
        </w:rPr>
        <w:t xml:space="preserve">علی الراوی ، فیکون </w:t>
      </w:r>
      <w:r>
        <w:rPr>
          <w:rStyle w:val="FootnoteAnchor"/>
          <w:rtl w:val="true"/>
        </w:rPr>
        <w:footnoteReference w:id="133"/>
      </w:r>
      <w:r>
        <w:rPr>
          <w:rFonts w:ascii="IRNazanin" w:hAnsi="IRNazanin" w:eastAsia="IRNazanin"/>
          <w:color w:val="111111"/>
          <w:sz w:val="28"/>
          <w:sz w:val="28"/>
          <w:szCs w:val="28"/>
          <w:rtl w:val="true"/>
          <w:lang w:bidi="fa-IR"/>
        </w:rPr>
        <w:t>روی بالصاد غیر المعجمة دون الضاد المنقطة ، لأنّ ذلک ممّا ینقص ثواب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محمولاً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بن میسرة وهو مهمل فی الرجال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تقدیر تساوی الخبرین فی العمل یمکن حمل المطلق علی المقید ، إذ الثانی مقیّد ، غیر أنّ الشیخ کما تری ذکر فی التوجیه أمرین ، وأوّلهما غیر واضح ، لأنّ الراوی إن نقل من الکتابة غیر خط الإمام علیه السلام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0" w:name="__RefHeading___Toc39012_2142443653"/>
      <w:bookmarkStart w:id="161" w:name="_Toc64"/>
      <w:bookmarkEnd w:id="160"/>
      <w:r>
        <w:rPr>
          <w:rtl w:val="true"/>
        </w:rPr>
        <w:t>معاویة بن میسرة مهمل</w:t>
      </w:r>
      <w:bookmarkStart w:id="162" w:name="pg17122_169504"/>
      <w:bookmarkEnd w:id="161"/>
    </w:p>
    <w:p>
      <w:pPr>
        <w:pStyle w:val="BookText"/>
        <w:rPr/>
      </w:pPr>
      <w:bookmarkEnd w:id="162"/>
      <w:r>
        <w:rPr>
          <w:rFonts w:ascii="IRNazanin" w:hAnsi="IRNazanin" w:eastAsia="IRNazanin"/>
          <w:color w:val="111111"/>
          <w:sz w:val="28"/>
          <w:sz w:val="28"/>
          <w:szCs w:val="28"/>
          <w:rtl w:val="true"/>
          <w:lang w:bidi="fa-IR"/>
        </w:rPr>
        <w:t>أمکن التصحیف ، إلا أنّ الظاهر السماع من الإمام ، فلا مجال لتصحیف الراوی الأوّل ، وإن کان من الراوی الذی نقل عن الراوی عنه علیه السلام من خطه أمکن ، لکنه غیر متعین ، لجواز أن یکون من غیره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الحمل علی الاستحباب ، فیحتاج ترجیحه علی ما قدمناه من إمکان حمل المطلق علی المقید إلی ثبوت أنّ الکذب غیر ناقض مطلقاً ، وکأنّه للإجماع وظاهر الأخبار الدالة علی النواقض ، وأنت خبیر بأنّ الأخبار لا یخلو من کلام ، فالاعتماد علی الإجماع أولی ، هذا کله علی تقدیر العمل بالخبر الموثق ، وبدونه فالأمر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القُبلة ومسّ الفرج</w:t>
      </w:r>
    </w:p>
    <w:p>
      <w:pPr>
        <w:pStyle w:val="BookText"/>
        <w:rPr/>
      </w:pPr>
      <w:r>
        <w:rPr>
          <w:rFonts w:ascii="IRNazanin" w:hAnsi="IRNazanin" w:eastAsia="IRNazanin"/>
          <w:color w:val="111111"/>
          <w:sz w:val="28"/>
          <w:sz w:val="28"/>
          <w:szCs w:val="28"/>
          <w:rtl w:val="true"/>
          <w:lang w:bidi="fa-IR"/>
        </w:rPr>
        <w:t xml:space="preserve">أخبرنی الشیخ رحمه الله عن أحمد بن محمد ، عن أبیه ، عن سعد بن عبد الله ، عن أحمد بن محمد ، عن الحسین بن سعید ، عن فضالة بن أیوب ومحمد بن أبی عمیر ، عن جمیل بن دراج وحماد بن عثمان ، عن زرارة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فی القُبلة ولا فی المباشرة ولا مسّ الفرج 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سعید ، عن أحمد بن محمد ، عن أبان بن عثمان ، عن أبی مریم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 ، ما تقول فی الرجل یتوضّأ ثم یدعو جاریته فتأخذ بیده حتی ینتهی إلی المسجد فإنّ من عندنا یزعمون أنّه</w:t>
      </w:r>
      <w:r>
        <w:rPr>
          <w:rStyle w:val="FootnoteAnchor"/>
          <w:rtl w:val="true"/>
        </w:rPr>
        <w:footnoteReference w:id="135"/>
      </w:r>
      <w:r>
        <w:rPr>
          <w:rFonts w:ascii="IRNazanin" w:hAnsi="IRNazanin" w:eastAsia="IRNazanin"/>
          <w:color w:val="111111"/>
          <w:sz w:val="28"/>
          <w:sz w:val="28"/>
          <w:szCs w:val="28"/>
          <w:rtl w:val="true"/>
          <w:lang w:bidi="fa-IR"/>
        </w:rPr>
        <w:t xml:space="preserve">الملامسة؟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والله ما بذلک بأس ،</w:t>
      </w:r>
    </w:p>
    <w:p>
      <w:pPr>
        <w:pStyle w:val="Heading3"/>
        <w:numPr>
          <w:ilvl w:val="2"/>
          <w:numId w:val="1"/>
        </w:numPr>
        <w:rPr/>
      </w:pPr>
      <w:bookmarkStart w:id="163" w:name="__RefHeading___Toc39014_2142443653"/>
      <w:bookmarkStart w:id="164" w:name="_Toc65"/>
      <w:bookmarkEnd w:id="163"/>
      <w:r>
        <w:rPr>
          <w:rtl w:val="true"/>
        </w:rPr>
        <w:t>القُبلة ومسّ الفرج</w:t>
      </w:r>
      <w:bookmarkEnd w:id="16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5" w:name="__RefHeading___Toc39016_2142443653"/>
      <w:bookmarkStart w:id="166" w:name="_Toc66"/>
      <w:bookmarkEnd w:id="165"/>
      <w:r>
        <w:rPr>
          <w:rtl w:val="true"/>
        </w:rPr>
        <w:t>اشارة</w:t>
      </w:r>
      <w:bookmarkStart w:id="167" w:name="pg17122_169505"/>
      <w:bookmarkEnd w:id="166"/>
    </w:p>
    <w:p>
      <w:pPr>
        <w:pStyle w:val="BookText"/>
        <w:rPr/>
      </w:pPr>
      <w:bookmarkEnd w:id="167"/>
      <w:r>
        <w:rPr>
          <w:rFonts w:ascii="IRNazanin" w:hAnsi="IRNazanin" w:eastAsia="IRNazanin"/>
          <w:color w:val="111111"/>
          <w:sz w:val="28"/>
          <w:sz w:val="28"/>
          <w:szCs w:val="28"/>
          <w:rtl w:val="true"/>
          <w:lang w:bidi="fa-IR"/>
        </w:rPr>
        <w:t xml:space="preserve">وربما فعلته ، وما یعنی بهذا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لامستم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المواقعة فی الفرج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سعید ، عن صفوان ، عن ابن مسکان ، عن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القُبلة تنقض الوضوء؟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فیه هو ابن أبی نصر علی الظاهر ، لأنّه الراوی عن أبان بن عثمان فی الفهرست </w:t>
      </w:r>
      <w:r>
        <w:rPr>
          <w:rStyle w:val="FootnoteAnchor"/>
          <w:rtl w:val="true"/>
        </w:rPr>
        <w:footnoteReference w:id="136"/>
      </w:r>
      <w:r>
        <w:rPr>
          <w:rFonts w:ascii="IRNazanin" w:hAnsi="IRNazanin" w:eastAsia="IRNazanin"/>
          <w:color w:val="111111"/>
          <w:sz w:val="28"/>
          <w:sz w:val="28"/>
          <w:szCs w:val="28"/>
          <w:rtl w:val="true"/>
          <w:lang w:bidi="fa-IR"/>
        </w:rPr>
        <w:t>؛ وأبو مریم هو الأنصاری الثقة ، واسمه عبد الغفار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الأوّل عدم الوضوء من القُبلة والمباشرة ومسّ الفرج ، وبه یندفع قول ابن الجنید علی ما حکاه عنه العلاّمة فی المختلف ، من أن من قبّل بشهوة الجماع ولذة فی المحرّم نقض الطهارة ، والاحتیاط إذا کان فی محلّل إعادة الوضوء </w:t>
      </w:r>
      <w:r>
        <w:rPr>
          <w:rStyle w:val="FootnoteAnchor"/>
          <w:rtl w:val="true"/>
        </w:rPr>
        <w:footnoteReference w:id="137"/>
      </w:r>
      <w:r>
        <w:rPr>
          <w:rFonts w:ascii="IRNazanin" w:hAnsi="IRNazanin" w:eastAsia="IRNazanin"/>
          <w:color w:val="111111"/>
          <w:sz w:val="28"/>
          <w:sz w:val="28"/>
          <w:szCs w:val="28"/>
          <w:rtl w:val="true"/>
          <w:lang w:bidi="fa-IR"/>
        </w:rPr>
        <w:t>، واحتجاجه علی ما حکاه العلاّمة بروایة أبی بصیر الآتیة غیر ظاهر الدلالة علی مطلوبه ، ولو دلّ لم یصلح للاعتماد علیه ، وسیأتی جواب العلاّمة عنه عند ذکر الروایة</w:t>
      </w:r>
      <w:r>
        <w:rPr>
          <w:rFonts w:eastAsia="IRNazanin" w:cs="IRNazanin"/>
          <w:color w:val="111111"/>
          <w:sz w:val="28"/>
          <w:szCs w:val="28"/>
          <w:rtl w:val="true"/>
          <w:lang w:bidi="fa-IR"/>
        </w:rPr>
        <w:t>.</w:t>
      </w:r>
    </w:p>
    <w:p>
      <w:pPr>
        <w:pStyle w:val="Heading4"/>
        <w:numPr>
          <w:ilvl w:val="3"/>
          <w:numId w:val="1"/>
        </w:numPr>
        <w:rPr/>
      </w:pPr>
      <w:bookmarkStart w:id="168" w:name="__RefHeading___Toc39018_2142443653"/>
      <w:bookmarkStart w:id="169" w:name="_Toc67"/>
      <w:bookmarkEnd w:id="168"/>
      <w:r>
        <w:rPr>
          <w:rtl w:val="true"/>
        </w:rPr>
        <w:t>أحمد بن محمد الراوی عن أبان بن عثمان هو ابن أبی نصر</w:t>
      </w:r>
      <w:bookmarkEnd w:id="16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0" w:name="__RefHeading___Toc39020_2142443653"/>
      <w:bookmarkStart w:id="171" w:name="_Toc68"/>
      <w:bookmarkEnd w:id="170"/>
      <w:r>
        <w:rPr>
          <w:rtl w:val="true"/>
        </w:rPr>
        <w:t>ابو مریم الأنصاری ثقة</w:t>
      </w:r>
      <w:bookmarkStart w:id="172" w:name="pg17122_169506"/>
      <w:bookmarkEnd w:id="171"/>
    </w:p>
    <w:p>
      <w:pPr>
        <w:pStyle w:val="BookText"/>
        <w:rPr/>
      </w:pPr>
      <w:bookmarkEnd w:id="172"/>
      <w:r>
        <w:rPr>
          <w:rFonts w:ascii="IRNazanin" w:hAnsi="IRNazanin" w:eastAsia="IRNazanin"/>
          <w:color w:val="111111"/>
          <w:sz w:val="28"/>
          <w:sz w:val="28"/>
          <w:szCs w:val="28"/>
          <w:rtl w:val="true"/>
          <w:lang w:bidi="fa-IR"/>
        </w:rPr>
        <w:t xml:space="preserve">وبالخبر أیضاً یندفع ما ینقل عن ابن الجنید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 ظاهر الفرج من الغیر إذا کان بشهوة فیه الطهارة واجبة فی المحرّم والمحلّل احتیاطاً ، ومسّ باطن الفرجین من الغیر ناقض للطهارة من المحلّل والمحرّم </w:t>
      </w:r>
      <w:r>
        <w:rPr>
          <w:rStyle w:val="FootnoteAnchor"/>
          <w:rtl w:val="true"/>
        </w:rPr>
        <w:footnoteReference w:id="138"/>
      </w:r>
      <w:r>
        <w:rPr>
          <w:rFonts w:ascii="IRNazanin" w:hAnsi="IRNazanin" w:eastAsia="IRNazanin"/>
          <w:color w:val="111111"/>
          <w:sz w:val="28"/>
          <w:sz w:val="28"/>
          <w:szCs w:val="28"/>
          <w:rtl w:val="true"/>
          <w:lang w:bidi="fa-IR"/>
        </w:rPr>
        <w:t xml:space="preserve">، واحتجاج العلاّمة له بروایة أبی بصیر الآتیة </w:t>
      </w:r>
      <w:r>
        <w:rPr>
          <w:rStyle w:val="FootnoteAnchor"/>
          <w:rtl w:val="true"/>
        </w:rPr>
        <w:footnoteReference w:id="139"/>
      </w:r>
      <w:r>
        <w:rPr>
          <w:rFonts w:ascii="IRNazanin" w:hAnsi="IRNazanin" w:eastAsia="IRNazanin"/>
          <w:color w:val="111111"/>
          <w:sz w:val="28"/>
          <w:sz w:val="28"/>
          <w:szCs w:val="28"/>
          <w:rtl w:val="true"/>
          <w:lang w:bidi="fa-IR"/>
        </w:rPr>
        <w:t>فیه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الخبر الثانی فواضح الدلالة ، وفی التهذیب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المواقعة دون الفرج </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وما هنا أوضح ، وعبارة الحدیث فی التهذیب لا تخلو من خفاء ، وأظنّ أنّ المراد بها دون إرادة لمس الفرج ، وتفسیرها بغیر ذلک لیس بواضح ، وربما یستفاد من الخبر علی تقدیر ما هنا أنّ المواقعة فی الدبر بدون إنزال لا یوجب الغسل ، إلاّ أنّ فیه کلاما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علیه السلام فی الخبر الثالث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احتمالات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بأس بعدم الوضوء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المسئول عنه نقض الوضوء والجواب لا یطابقه حینئذ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نفی البأس لا یوافقه إلاّ هذا ، وفیه ما فیه مما یذکر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بأس بالنقض ، ویکون فائدة نفی البأس إرادة الاستحباب فیدل علی أنّها لا تنقض ولکن یستحب الوضوء ، وعلی هذین الاحتمالین یتم مطلوب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لا بأس بنقض الوضوء علی سبیل اللزوم ، وفیه بُعد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الجواب مجملاً للتقیة ، فیحمله کل من المخالف</w:t>
      </w:r>
    </w:p>
    <w:p>
      <w:pPr>
        <w:pStyle w:val="Heading4"/>
        <w:numPr>
          <w:ilvl w:val="3"/>
          <w:numId w:val="1"/>
        </w:numPr>
        <w:rPr/>
      </w:pPr>
      <w:bookmarkStart w:id="173" w:name="__RefHeading___Toc39022_2142443653"/>
      <w:bookmarkStart w:id="174" w:name="_Toc69"/>
      <w:bookmarkEnd w:id="173"/>
      <w:r>
        <w:rPr>
          <w:rtl w:val="true"/>
        </w:rPr>
        <w:t>قول ابن الجنید بناقضیة القبلة ومسّ الفرج للوضوء ، وجوابه</w:t>
      </w:r>
      <w:bookmarkEnd w:id="17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5" w:name="__RefHeading___Toc39024_2142443653"/>
      <w:bookmarkStart w:id="176" w:name="_Toc70"/>
      <w:bookmarkEnd w:id="175"/>
      <w:r>
        <w:rPr>
          <w:rtl w:val="true"/>
        </w:rPr>
        <w:t xml:space="preserve">احتمالات فی المراد بقوله علیه السلام فی روایة الحلبی </w:t>
      </w:r>
      <w:r>
        <w:rPr>
          <w:rtl w:val="true"/>
        </w:rPr>
        <w:t xml:space="preserve">: « </w:t>
      </w:r>
      <w:r>
        <w:rPr>
          <w:rtl w:val="true"/>
        </w:rPr>
        <w:t xml:space="preserve">لا بأس </w:t>
      </w:r>
      <w:r>
        <w:rPr>
          <w:rtl w:val="true"/>
        </w:rPr>
        <w:t>»</w:t>
      </w:r>
      <w:bookmarkEnd w:id="176"/>
    </w:p>
    <w:p>
      <w:pPr>
        <w:pStyle w:val="BookText"/>
        <w:rPr/>
      </w:pPr>
      <w:r>
        <w:rPr>
          <w:rFonts w:ascii="IRNazanin" w:hAnsi="IRNazanin" w:eastAsia="IRNazanin"/>
          <w:color w:val="111111"/>
          <w:sz w:val="28"/>
          <w:sz w:val="28"/>
          <w:szCs w:val="28"/>
          <w:rtl w:val="true"/>
          <w:lang w:bidi="fa-IR"/>
        </w:rPr>
        <w:t xml:space="preserve">والمؤالف علی </w:t>
      </w:r>
      <w:r>
        <w:rPr>
          <w:rStyle w:val="FootnoteAnchor"/>
          <w:rtl w:val="true"/>
        </w:rPr>
        <w:footnoteReference w:id="141"/>
      </w:r>
      <w:r>
        <w:rPr>
          <w:rFonts w:ascii="IRNazanin" w:hAnsi="IRNazanin" w:eastAsia="IRNazanin"/>
          <w:color w:val="111111"/>
          <w:sz w:val="28"/>
          <w:sz w:val="28"/>
          <w:szCs w:val="28"/>
          <w:rtl w:val="true"/>
          <w:lang w:bidi="fa-IR"/>
        </w:rPr>
        <w:t xml:space="preserve">مذهبه ، غیر أنّه لا یصلح للاستدلال علی عدم النقض ، کما یظهر من الشیخ والعلاّمة فی المختلف حیث استدل به علی عدم نقض القُبلة </w:t>
      </w:r>
      <w:r>
        <w:rPr>
          <w:rStyle w:val="FootnoteAnchor"/>
          <w:rtl w:val="true"/>
        </w:rPr>
        <w:footnoteReference w:id="142"/>
      </w:r>
      <w:r>
        <w:rPr>
          <w:rFonts w:ascii="IRNazanin" w:hAnsi="IRNazanin" w:eastAsia="IRNazanin"/>
          <w:color w:val="111111"/>
          <w:sz w:val="28"/>
          <w:sz w:val="28"/>
          <w:szCs w:val="28"/>
          <w:rtl w:val="true"/>
          <w:lang w:bidi="fa-IR"/>
        </w:rPr>
        <w:t>، والحال 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صفوان </w:t>
      </w:r>
      <w:r>
        <w:rPr>
          <w:rStyle w:val="FootnoteAnchor"/>
          <w:rtl w:val="true"/>
        </w:rPr>
        <w:footnoteReference w:id="143"/>
      </w:r>
      <w:r>
        <w:rPr>
          <w:rFonts w:ascii="IRNazanin" w:hAnsi="IRNazanin" w:eastAsia="IRNazanin"/>
          <w:color w:val="111111"/>
          <w:sz w:val="28"/>
          <w:sz w:val="28"/>
          <w:szCs w:val="28"/>
          <w:rtl w:val="true"/>
          <w:lang w:bidi="fa-IR"/>
        </w:rPr>
        <w:t xml:space="preserve">، عن عثمان ، عن ابن مسکان ، عن أبی بصیر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قبّل الرجل المرأة من شهوة ، أو مسّ فرجها أعاد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هذا الخبر أن نحمله علی ضرب من الاستحباب ، أو علی أنّه یغسل یده ، وذلک یسمی وضوءاً علی ما تقدم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یدل علی هذا التأویل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الحسین بن سعید ، عن القاسم بن محمد ، عن أبان بن عثمان ، بن </w:t>
      </w:r>
      <w:r>
        <w:rPr>
          <w:rStyle w:val="FootnoteAnchor"/>
          <w:rtl w:val="true"/>
        </w:rPr>
        <w:footnoteReference w:id="144"/>
      </w:r>
      <w:r>
        <w:rPr>
          <w:rFonts w:ascii="IRNazanin" w:hAnsi="IRNazanin" w:eastAsia="IRNazanin"/>
          <w:color w:val="111111"/>
          <w:sz w:val="28"/>
          <w:sz w:val="28"/>
          <w:szCs w:val="28"/>
          <w:rtl w:val="true"/>
          <w:lang w:bidi="fa-IR"/>
        </w:rPr>
        <w:t xml:space="preserve">عبد الرحمن بن أبی عبد الله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مسّ فرج امرأته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علیه شی‌ء وإن شاء غسل یده ، والقُبلة لا یتوضّأ منها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بن سعید ، عن فضالة ، عن معاویة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 عن الرجل یعبث بذکره فی الصلاة المکتوبة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bookmarkStart w:id="177" w:name="pg17122_169508"/>
    </w:p>
    <w:p>
      <w:pPr>
        <w:pStyle w:val="BookText"/>
        <w:rPr/>
      </w:pPr>
      <w:bookmarkEnd w:id="177"/>
      <w:r>
        <w:rPr>
          <w:rFonts w:ascii="IRNazanin" w:hAnsi="IRNazanin" w:eastAsia="IRNazanin"/>
          <w:color w:val="111111"/>
          <w:sz w:val="28"/>
          <w:sz w:val="28"/>
          <w:szCs w:val="28"/>
          <w:rtl w:val="true"/>
          <w:lang w:bidi="fa-IR"/>
        </w:rPr>
        <w:t xml:space="preserve">عنه ، عن أخیه </w:t>
      </w:r>
      <w:r>
        <w:rPr>
          <w:rStyle w:val="FootnoteAnchor"/>
          <w:rtl w:val="true"/>
        </w:rPr>
        <w:footnoteReference w:id="145"/>
      </w:r>
      <w:r>
        <w:rPr>
          <w:rFonts w:ascii="IRNazanin" w:hAnsi="IRNazanin" w:eastAsia="IRNazanin"/>
          <w:color w:val="111111"/>
          <w:sz w:val="28"/>
          <w:sz w:val="28"/>
          <w:szCs w:val="28"/>
          <w:rtl w:val="true"/>
          <w:lang w:bidi="fa-IR"/>
        </w:rPr>
        <w:t xml:space="preserve">، عن زرعة ، عن سماعة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 عن الرجل یمسّ ذکره ، أو فرجه ، أو أسفل من ذلک ، وهو قائم یصلی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یعید وضوءه؟ قال </w:t>
      </w:r>
      <w:r>
        <w:rPr>
          <w:rFonts w:eastAsia="IRNazanin" w:cs="IRNazanin"/>
          <w:color w:val="111111"/>
          <w:sz w:val="28"/>
          <w:szCs w:val="28"/>
          <w:rtl w:val="true"/>
          <w:lang w:bidi="fa-IR"/>
        </w:rPr>
        <w:t xml:space="preserve">) </w:t>
      </w:r>
      <w:r>
        <w:rPr>
          <w:rStyle w:val="FootnoteAnchor"/>
          <w:rtl w:val="true"/>
        </w:rPr>
        <w:footnoteReference w:id="14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بذلک إنّما هو من جسده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معلوم ؛ وکذا الثانی بالقاسم بن محمد الجوهری ؛ والثالث معتبر ؛ والرابع موثّق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ذکره الشیخ فی الأوّل من الاستحباب له وجه </w:t>
      </w:r>
      <w:r>
        <w:rPr>
          <w:rStyle w:val="FootnoteAnchor"/>
          <w:rtl w:val="true"/>
        </w:rPr>
        <w:footnoteReference w:id="148"/>
      </w:r>
      <w:r>
        <w:rPr>
          <w:rFonts w:ascii="IRNazanin" w:hAnsi="IRNazanin" w:eastAsia="IRNazanin"/>
          <w:color w:val="111111"/>
          <w:sz w:val="28"/>
          <w:sz w:val="28"/>
          <w:szCs w:val="28"/>
          <w:rtl w:val="true"/>
          <w:lang w:bidi="fa-IR"/>
        </w:rPr>
        <w:t xml:space="preserve">، وقد ذکرنا سابقاً أن العلاّمة فی المختلف جعله دلیلاً لابن الجنید ، وهو غیر دال علی جمیع </w:t>
      </w:r>
      <w:r>
        <w:rPr>
          <w:rStyle w:val="FootnoteAnchor"/>
          <w:rtl w:val="true"/>
        </w:rPr>
        <w:footnoteReference w:id="149"/>
      </w:r>
      <w:r>
        <w:rPr>
          <w:rFonts w:ascii="IRNazanin" w:hAnsi="IRNazanin" w:eastAsia="IRNazanin"/>
          <w:color w:val="111111"/>
          <w:sz w:val="28"/>
          <w:sz w:val="28"/>
          <w:szCs w:val="28"/>
          <w:rtl w:val="true"/>
          <w:lang w:bidi="fa-IR"/>
        </w:rPr>
        <w:t xml:space="preserve">مطلوبه ، وأجاب عنه بقصور السند </w:t>
      </w:r>
      <w:r>
        <w:rPr>
          <w:rStyle w:val="FootnoteAnchor"/>
          <w:rtl w:val="true"/>
        </w:rPr>
        <w:footnoteReference w:id="150"/>
      </w:r>
      <w:r>
        <w:rPr>
          <w:rFonts w:ascii="IRNazanin" w:hAnsi="IRNazanin" w:eastAsia="IRNazanin"/>
          <w:color w:val="111111"/>
          <w:sz w:val="28"/>
          <w:sz w:val="28"/>
          <w:szCs w:val="28"/>
          <w:rtl w:val="true"/>
          <w:lang w:bidi="fa-IR"/>
        </w:rPr>
        <w:t>وما ذکره الشیخ من غَسل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خبیر بأنّ الحمل علی غَسل الید یتم فی مسّ الفرج ، والروایة کما تری وقع الجواب بالوضوء عن الأمرین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القُبلة والمسّ ، فالحمل لا یخفی ما فیه ، وما ذکره من الخبر الدال علی غَسل الید صحیح ظاهر الدلالة ، إلاّ أنّه خاص واضح الدلالة علی أنّ القُبلة لا یتوضّأ منها ، وحمل</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8" w:name="__RefHeading___Toc39026_2142443653"/>
      <w:bookmarkStart w:id="179" w:name="_Toc71"/>
      <w:bookmarkEnd w:id="178"/>
      <w:r>
        <w:rPr>
          <w:rtl w:val="true"/>
        </w:rPr>
        <w:t>مناقشة فی حمل الشیخ الوضوء علی غَسل الید</w:t>
      </w:r>
      <w:bookmarkStart w:id="180" w:name="pg17122_169509"/>
      <w:bookmarkEnd w:id="179"/>
    </w:p>
    <w:p>
      <w:pPr>
        <w:pStyle w:val="BookText"/>
        <w:rPr/>
      </w:pPr>
      <w:bookmarkEnd w:id="180"/>
      <w:r>
        <w:rPr>
          <w:rFonts w:ascii="IRNazanin" w:hAnsi="IRNazanin" w:eastAsia="IRNazanin"/>
          <w:color w:val="111111"/>
          <w:sz w:val="28"/>
          <w:sz w:val="28"/>
          <w:szCs w:val="28"/>
          <w:rtl w:val="true"/>
          <w:lang w:bidi="fa-IR"/>
        </w:rPr>
        <w:t>الوضوء علی غَسل الید لا وجه له ، بل هو قرینة علی أنّ الوضوء فی الأوّل علی الاستحباب 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الخبر الثالث </w:t>
      </w:r>
      <w:r>
        <w:rPr>
          <w:rStyle w:val="FootnoteAnchor"/>
          <w:rtl w:val="true"/>
        </w:rPr>
        <w:footnoteReference w:id="151"/>
      </w:r>
      <w:r>
        <w:rPr>
          <w:rFonts w:ascii="Amiri" w:hAnsi="Amiri" w:eastAsia="Amiri" w:cs="Amiri"/>
          <w:color w:val="111111"/>
          <w:sz w:val="28"/>
          <w:sz w:val="28"/>
          <w:szCs w:val="28"/>
          <w:rtl w:val="true"/>
          <w:lang w:bidi="ar-SA"/>
        </w:rPr>
        <w:t>فواضح الدلالة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السائل فی الخبر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فرجه ، یحتمل أن یرید به المخرج ، واحتمال الدبر لا یخفی ما فیه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الحدیث بتقدیر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به دلالة بتقدیر </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 xml:space="preserve">الاحتمال الأوّل بإطلاقه علی ردّ ما ینقل عن ابن بابویه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باطن الدبر والإحلیل ناقض للوضوء </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ما ینقل عن ابن الجنید ، من أنّ مسّ ما انضم إلیه الثقبان ینقض الوضوء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تقدیر عدم العمل بالخبر فیمکن دفع قولهما بالأخبار الدالة علی الحصر ، والأخبار الدالة علی النقض بغیر ما نحن فیه ، فیبقی إثبات النقض به موقوفاً علی الدلیل ، وسیأتی القول فیما استدل به القائلون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علی الحصر لا ریب أنّ الحصر فیها إضافی فلا ینافی نقض غیرها ، والأخبار الدالة علی نقض غیر ما تضمنه الحصر لا یدل علی الحصر ، وحینئذ یمکن الاستدلال بأنّ الآیة الشریفة تضمنت وجوب الوضوء علی کل من أراد القیام إلی الصلاة ، فإذا خرج المتطهّر بلا خلاف بقی ما عداه ، ومن جملته ما فیه الخلاف ، وهو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ذکرت وجه ، إلاّ أنّه من المقرر أنّ الخطاب فی الآیة</w:t>
      </w:r>
    </w:p>
    <w:p>
      <w:pPr>
        <w:pStyle w:val="Heading4"/>
        <w:numPr>
          <w:ilvl w:val="3"/>
          <w:numId w:val="1"/>
        </w:numPr>
        <w:rPr/>
      </w:pPr>
      <w:bookmarkStart w:id="181" w:name="__RefHeading___Toc39028_2142443653"/>
      <w:bookmarkStart w:id="182" w:name="_Toc72"/>
      <w:bookmarkEnd w:id="181"/>
      <w:r>
        <w:rPr>
          <w:rtl w:val="true"/>
        </w:rPr>
        <w:t>قول ابن بابویه بناقضیة مسّ باطن الدبر ، وقول ابن الجنید بناقضیة مسّ ما انضمّ الیه الثقبان ، والجواب عنهما</w:t>
      </w:r>
      <w:bookmarkEnd w:id="18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3" w:name="__RefHeading___Toc39030_2142443653"/>
      <w:bookmarkStart w:id="184" w:name="_Toc73"/>
      <w:bookmarkEnd w:id="183"/>
      <w:r>
        <w:rPr>
          <w:rtl w:val="true"/>
        </w:rPr>
        <w:t>حصر النواقض فی الأخبار الدالّة علیه إضافی</w:t>
      </w:r>
      <w:bookmarkEnd w:id="184"/>
    </w:p>
    <w:p>
      <w:pPr>
        <w:pStyle w:val="BookText"/>
        <w:rPr/>
      </w:pPr>
      <w:r>
        <w:rPr>
          <w:rFonts w:ascii="IRNazanin" w:hAnsi="IRNazanin" w:eastAsia="IRNazanin"/>
          <w:color w:val="111111"/>
          <w:sz w:val="28"/>
          <w:sz w:val="28"/>
          <w:szCs w:val="28"/>
          <w:rtl w:val="true"/>
          <w:lang w:bidi="fa-IR"/>
        </w:rPr>
        <w:t>للمحدثین ، وکون المبحوث عنه من المحدثین ، محل کلام ، وإن کان فی هذا بحث حررناه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فی روایة زرارة المتقدمة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مسّ الفرج </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دلالة علی نفی الوضوء ، إذ الفرج یتناول الذکر علی ما یظهر من شیخنا قدس سره والعلاّمة فی المختلف </w:t>
      </w:r>
      <w:r>
        <w:rPr>
          <w:rStyle w:val="FootnoteAnchor"/>
          <w:rtl w:val="true"/>
        </w:rPr>
        <w:footnoteReference w:id="157"/>
      </w:r>
      <w:r>
        <w:rPr>
          <w:rFonts w:ascii="IRNazanin" w:hAnsi="IRNazanin" w:eastAsia="IRNazanin"/>
          <w:color w:val="111111"/>
          <w:sz w:val="28"/>
          <w:sz w:val="28"/>
          <w:szCs w:val="28"/>
          <w:rtl w:val="true"/>
          <w:lang w:bidi="fa-IR"/>
        </w:rPr>
        <w:t>وإن أمکن المناقشة فی ذلک وادعاء عدم صراحة کلامهما أیضاً ، وبالجملة لا خروج عن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أحمد بن یحیی عن أحمد بن الحسن بن علی بن فضال ، عن عمرو بن سعید ، عن مصدق بن صدقة ، عن عمار بن موسی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الرجل یتوضّأ ثم یمس باطن دبره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نقض وضوءه ، وإن مسّ باطن إحلیله فعلیه أن یعید الوضوء ، وإن کان فی الصلاة قطع الصلاة ویتوضّأ ویعید الصلاة ، وإن فتح إحلیله أعاد الوضوء وأعاد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هذا الخبر أن نحمله علی أنّه إذا صادف هناک شیئاً من النجاسة ، فإنه یجب علیه حینئذ إعادة الوضوء والصلاة ، ومتی لم یصادف شیئاً من ذلک لم یکن علیه شی‌ء حسب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 xml:space="preserve">. </w:t>
      </w:r>
      <w:bookmarkStart w:id="185" w:name="pg17122_169511"/>
    </w:p>
    <w:p>
      <w:pPr>
        <w:pStyle w:val="BookText"/>
        <w:rPr/>
      </w:pPr>
      <w:bookmarkEnd w:id="185"/>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ذکره العلاّمة فی المختلف دلیلاً لابن بابویه وابن الجنید ، مع روایة أبی بصیر السابقة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روایة أبی بصیر غیر وافیة بقول ابن الجنید ؛ وهذه الروایة أیضاً کذلک ، ودلالتها علی قول ابن بابویه ظاهرة ، والعامل بالموثق فی الظن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مستبعد منه إنکار </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بذلک ، لأن الأخبار الدالة علی الحصر غیر وافیة بردّ مدلول هذا الخبر ، لما قدمناه من أنّه إضافی ، وما دل علی مس الفرج بتقدیر الاحتمال السابق ،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الخبر ظاهر والاحتمال المقدم مرجوح ، إذ المتبادر من الفرج غیر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استدل به العلاّمة ، مع ما أشرنا إلیه من روایة ابن أبی عمیر ، عن غیر واحد من أصحابنا ، عن أبی عبد الله علیه السلام وسیأتی ، حیث قال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فی المذی من الشهوة ولا من الإنعاظ ولا من القُبلة ولا من مسّ الفرج ولا من المضاجعة وضوء ، ولا یغسل منه الثوب </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فیه نظر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الظاهر من الروایة أنّ المذی الحاصل من المذکورات لیس فیه وضوء ، بقرینة قوله علیه السلام أخیراً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یغسل منه الثوب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تقدیر عدم الظهور فالاحتمال کاف فی ردّ الاستدلال ، مضافا إلی ما ذکرناه من أنّ الفرج لا یتبادر منه الذکر ، ویبقی مع القائل بالنقض الآیة الشریفة مؤیدة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6" w:name="__RefHeading___Toc39032_2142443653"/>
      <w:bookmarkStart w:id="187" w:name="_Toc74"/>
      <w:bookmarkEnd w:id="186"/>
      <w:r>
        <w:rPr>
          <w:rtl w:val="true"/>
        </w:rPr>
        <w:t>دلالة موثّقة عمار علی قول ابن بابویه ظاهرة</w:t>
      </w:r>
      <w:bookmarkStart w:id="188" w:name="pg17122_169512"/>
      <w:bookmarkEnd w:id="187"/>
    </w:p>
    <w:p>
      <w:pPr>
        <w:pStyle w:val="BookText"/>
        <w:rPr/>
      </w:pPr>
      <w:bookmarkEnd w:id="188"/>
      <w:r>
        <w:rPr>
          <w:rFonts w:ascii="IRNazanin" w:hAnsi="IRNazanin" w:eastAsia="IRNazanin"/>
          <w:color w:val="111111"/>
          <w:sz w:val="28"/>
          <w:sz w:val="28"/>
          <w:szCs w:val="28"/>
          <w:rtl w:val="true"/>
          <w:lang w:bidi="fa-IR"/>
        </w:rPr>
        <w:t xml:space="preserve">ومن هنا یعلم أن ما أجاب به العلاّمة عن حجة ابن بابویه وابن الجنید ؛ من الحمل علی الاستحباب </w:t>
      </w:r>
      <w:r>
        <w:rPr>
          <w:rStyle w:val="FootnoteAnchor"/>
          <w:rtl w:val="true"/>
        </w:rPr>
        <w:footnoteReference w:id="161"/>
      </w:r>
      <w:r>
        <w:rPr>
          <w:rFonts w:ascii="IRNazanin" w:hAnsi="IRNazanin" w:eastAsia="IRNazanin"/>
          <w:color w:val="111111"/>
          <w:sz w:val="28"/>
          <w:sz w:val="28"/>
          <w:szCs w:val="28"/>
          <w:rtl w:val="true"/>
          <w:lang w:bidi="fa-IR"/>
        </w:rPr>
        <w:t>، لأن ما ذکرناه یعنی به الأخبار التی أشرنا إلیها یدل علی نفی الوجوب ، فلو لم یحمل الأمر هنا علی الاستحباب لزم الجمع بین الضدین ؛ محل بحث علی تقدیر العمل بالموثق ، فلیتأمّل فی هذا حق 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عرفت حقیقة الحال فما ذکره الشیخ فی توجیه الخبر لا یخفی ما فیه من البُعد ، ولو حمل علی التقیة أمکن ، والاستحباب ربما أمکن أیضا ، إلاّ أن 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مصافحة الکافر ومسّ الکلب</w:t>
      </w:r>
    </w:p>
    <w:p>
      <w:pPr>
        <w:pStyle w:val="BookText"/>
        <w:rPr/>
      </w:pPr>
      <w:r>
        <w:rPr>
          <w:rFonts w:ascii="IRNazanin" w:hAnsi="IRNazanin" w:eastAsia="IRNazanin"/>
          <w:color w:val="111111"/>
          <w:sz w:val="28"/>
          <w:sz w:val="28"/>
          <w:szCs w:val="28"/>
          <w:rtl w:val="true"/>
          <w:lang w:bidi="fa-IR"/>
        </w:rPr>
        <w:t xml:space="preserve">أخبرنی الحسین بن عبید الله ، عن أحمد بن محمد ، عن أبیه ، عن محمد بن علی بن محبوب ، عن أبی عبد الله الرازی ، عن الحسن ابن علی بن أبی حمزة ، عن سیف بن عمیرة ، عن عیسی بن عمر </w:t>
      </w:r>
      <w:r>
        <w:rPr>
          <w:rStyle w:val="FootnoteAnchor"/>
          <w:rtl w:val="true"/>
        </w:rPr>
        <w:footnoteReference w:id="162"/>
      </w:r>
      <w:r>
        <w:rPr>
          <w:rFonts w:ascii="IRNazanin" w:hAnsi="IRNazanin" w:eastAsia="IRNazanin"/>
          <w:color w:val="111111"/>
          <w:sz w:val="28"/>
          <w:sz w:val="28"/>
          <w:szCs w:val="28"/>
          <w:rtl w:val="true"/>
          <w:lang w:bidi="fa-IR"/>
        </w:rPr>
        <w:t>مولی الأنصار ، أنّه سأل أبا عبد الله علیه السلام عن رجل یحل له أن یصافح المجوسی</w:t>
      </w:r>
      <w:r>
        <w:rPr>
          <w:rStyle w:val="FootnoteAnchor"/>
          <w:rtl w:val="true"/>
        </w:rPr>
        <w:footnoteReference w:id="163"/>
      </w:r>
      <w:r>
        <w:rPr>
          <w:rFonts w:ascii="IRNazanin" w:hAnsi="IRNazanin" w:eastAsia="IRNazanin"/>
          <w:color w:val="111111"/>
          <w:sz w:val="28"/>
          <w:sz w:val="28"/>
          <w:szCs w:val="28"/>
          <w:rtl w:val="true"/>
          <w:lang w:bidi="fa-IR"/>
        </w:rPr>
        <w:t xml:space="preserve">؟ قال </w:t>
      </w:r>
      <w:r>
        <w:rPr>
          <w:rStyle w:val="FootnoteAnchor"/>
          <w:rtl w:val="true"/>
        </w:rPr>
        <w:footnoteReference w:id="16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أیتوضّأ </w:t>
      </w:r>
      <w:r>
        <w:rPr>
          <w:rStyle w:val="FootnoteAnchor"/>
          <w:rtl w:val="true"/>
        </w:rPr>
        <w:footnoteReference w:id="165"/>
      </w:r>
      <w:r>
        <w:rPr>
          <w:rFonts w:ascii="IRNazanin" w:hAnsi="IRNazanin" w:eastAsia="IRNazanin"/>
          <w:color w:val="111111"/>
          <w:sz w:val="28"/>
          <w:sz w:val="28"/>
          <w:szCs w:val="28"/>
          <w:rtl w:val="true"/>
          <w:lang w:bidi="fa-IR"/>
        </w:rPr>
        <w:t xml:space="preserve">إذا صافحهم؟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إنّ مصافحتهم تنقض الوضوء </w:t>
      </w:r>
      <w:r>
        <w:rPr>
          <w:rFonts w:eastAsia="IRNazanin" w:cs="IRNazanin"/>
          <w:color w:val="111111"/>
          <w:sz w:val="28"/>
          <w:szCs w:val="28"/>
          <w:rtl w:val="true"/>
          <w:lang w:bidi="fa-IR"/>
        </w:rPr>
        <w:t>».</w:t>
      </w:r>
    </w:p>
    <w:p>
      <w:pPr>
        <w:pStyle w:val="Heading4"/>
        <w:numPr>
          <w:ilvl w:val="3"/>
          <w:numId w:val="1"/>
        </w:numPr>
        <w:rPr/>
      </w:pPr>
      <w:bookmarkStart w:id="189" w:name="__RefHeading___Toc39034_2142443653"/>
      <w:bookmarkStart w:id="190" w:name="_Toc75"/>
      <w:bookmarkEnd w:id="189"/>
      <w:r>
        <w:rPr>
          <w:rtl w:val="true"/>
        </w:rPr>
        <w:t>المناقشة فی جواب العلّامة عن حجّة ابن بابویه وابن الجنید</w:t>
      </w:r>
      <w:bookmarkEnd w:id="190"/>
    </w:p>
    <w:p>
      <w:pPr>
        <w:pStyle w:val="Heading3"/>
        <w:numPr>
          <w:ilvl w:val="2"/>
          <w:numId w:val="1"/>
        </w:numPr>
        <w:rPr/>
      </w:pPr>
      <w:bookmarkStart w:id="191" w:name="__RefHeading___Toc39036_2142443653"/>
      <w:bookmarkStart w:id="192" w:name="_Toc76"/>
      <w:bookmarkEnd w:id="191"/>
      <w:r>
        <w:rPr>
          <w:rtl w:val="true"/>
        </w:rPr>
        <w:t>مصافحة الکافر ومسّ الکلب</w:t>
      </w:r>
      <w:bookmarkEnd w:id="19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3" w:name="__RefHeading___Toc39038_2142443653"/>
      <w:bookmarkStart w:id="194" w:name="_Toc77"/>
      <w:bookmarkEnd w:id="193"/>
      <w:r>
        <w:rPr>
          <w:rtl w:val="true"/>
        </w:rPr>
        <w:t>اشارة</w:t>
      </w:r>
      <w:bookmarkStart w:id="195" w:name="pg17122_169513"/>
      <w:bookmarkEnd w:id="194"/>
    </w:p>
    <w:p>
      <w:pPr>
        <w:pStyle w:val="BookText"/>
        <w:rPr/>
      </w:pPr>
      <w:bookmarkEnd w:id="195"/>
      <w:r>
        <w:rPr>
          <w:rFonts w:ascii="IRNazanin" w:hAnsi="IRNazanin" w:eastAsia="IRNazanin"/>
          <w:color w:val="111111"/>
          <w:sz w:val="28"/>
          <w:sz w:val="28"/>
          <w:szCs w:val="28"/>
          <w:rtl w:val="true"/>
          <w:lang w:bidi="fa-IR"/>
        </w:rPr>
        <w:t xml:space="preserve">قال </w:t>
      </w:r>
      <w:r>
        <w:rPr>
          <w:rStyle w:val="FootnoteAnchor"/>
          <w:rtl w:val="true"/>
        </w:rPr>
        <w:footnoteReference w:id="166"/>
      </w:r>
      <w:r>
        <w:rPr>
          <w:rFonts w:ascii="IRNazanin" w:hAnsi="IRNazanin" w:eastAsia="IRNazanin"/>
          <w:color w:val="111111"/>
          <w:sz w:val="28"/>
          <w:sz w:val="28"/>
          <w:szCs w:val="28"/>
          <w:rtl w:val="true"/>
          <w:lang w:bidi="fa-IR"/>
        </w:rPr>
        <w:t xml:space="preserve">أبو جعفر </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فی هذا الخبر أن نحمله علی غَسل الید ، لأنّ ذلک یسمی وضوءاً علی ما بیّناه ، وإنّما یجب ذلک لکونهم أنجاساً ، وإنّما قلنا ذلک لإجماع الطائفة علی أنّ ذلک لا یوجب نقض الوضوء ، وأیضاً فقد قدّمنا الأخبار التی تضمنت أنّه لا ینقض الوضوء إلاّ ما خرج من السبیلین أو النوم ، وهی محمولة علی عمومها ، لا یجوز تخصیصها لأجل هذا الخبر الشاذ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فیه أبو عبد الله الرازی وهو الجامورانی ، ولم یوثّقه أصحاب الرجال ولا مدحوة ، بل قیل إنّه ضعیف </w:t>
      </w:r>
      <w:r>
        <w:rPr>
          <w:rStyle w:val="FootnoteAnchor"/>
          <w:rtl w:val="true"/>
        </w:rPr>
        <w:footnoteReference w:id="168"/>
      </w:r>
      <w:r>
        <w:rPr>
          <w:rFonts w:ascii="IRNazanin" w:hAnsi="IRNazanin" w:eastAsia="IRNazanin"/>
          <w:color w:val="111111"/>
          <w:sz w:val="28"/>
          <w:sz w:val="28"/>
          <w:szCs w:val="28"/>
          <w:rtl w:val="true"/>
          <w:lang w:bidi="fa-IR"/>
        </w:rPr>
        <w:t xml:space="preserve">؛ والحسن بن علی بن أبی حمزة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واقفی ورمی بالکذب </w:t>
      </w:r>
      <w:r>
        <w:rPr>
          <w:rStyle w:val="FootnoteAnchor"/>
          <w:rtl w:val="true"/>
        </w:rPr>
        <w:footnoteReference w:id="169"/>
      </w:r>
      <w:r>
        <w:rPr>
          <w:rFonts w:ascii="IRNazanin" w:hAnsi="IRNazanin" w:eastAsia="IRNazanin"/>
          <w:color w:val="111111"/>
          <w:sz w:val="28"/>
          <w:sz w:val="28"/>
          <w:szCs w:val="28"/>
          <w:rtl w:val="true"/>
          <w:lang w:bidi="fa-IR"/>
        </w:rPr>
        <w:t xml:space="preserve">؛ وعیسی بن عمر مجهول الحال لإهماله فی الرجال </w:t>
      </w:r>
      <w:r>
        <w:rPr>
          <w:rStyle w:val="FootnoteAnchor"/>
          <w:rtl w:val="true"/>
        </w:rPr>
        <w:footnoteReference w:id="170"/>
      </w:r>
      <w:r>
        <w:rPr>
          <w:rFonts w:ascii="IRNazanin" w:hAnsi="IRNazanin" w:eastAsia="IRNazanin"/>
          <w:color w:val="111111"/>
          <w:sz w:val="28"/>
          <w:sz w:val="28"/>
          <w:szCs w:val="28"/>
          <w:rtl w:val="true"/>
          <w:lang w:bidi="fa-IR"/>
        </w:rPr>
        <w:t xml:space="preserve">، والذی فی رجال الصادق والباقر علیهماالسلام من کتاب الشیخ عیسی بن عمرو مولی الأنصار </w:t>
      </w:r>
      <w:r>
        <w:rPr>
          <w:rStyle w:val="FootnoteAnchor"/>
          <w:rtl w:val="true"/>
        </w:rPr>
        <w:footnoteReference w:id="171"/>
      </w:r>
      <w:r>
        <w:rPr>
          <w:rFonts w:ascii="IRNazanin" w:hAnsi="IRNazanin" w:eastAsia="IRNazanin"/>
          <w:color w:val="111111"/>
          <w:sz w:val="28"/>
          <w:sz w:val="28"/>
          <w:szCs w:val="28"/>
          <w:rtl w:val="true"/>
          <w:lang w:bidi="fa-IR"/>
        </w:rPr>
        <w:t>، والأمر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قاله الشیخ فیه بعید عن ظاهر اللفظ ، لأنّ نقض الوضوء لا یفید ذلک ، ولعلّ الحمل علی الاستحباب أولی</w:t>
      </w:r>
      <w:r>
        <w:rPr>
          <w:rFonts w:eastAsia="IRNazanin" w:cs="IRNazanin"/>
          <w:color w:val="111111"/>
          <w:sz w:val="28"/>
          <w:szCs w:val="28"/>
          <w:rtl w:val="true"/>
          <w:lang w:bidi="fa-IR"/>
        </w:rPr>
        <w:t>.</w:t>
      </w:r>
    </w:p>
    <w:p>
      <w:pPr>
        <w:pStyle w:val="Heading4"/>
        <w:numPr>
          <w:ilvl w:val="3"/>
          <w:numId w:val="1"/>
        </w:numPr>
        <w:rPr/>
      </w:pPr>
      <w:bookmarkStart w:id="196" w:name="__RefHeading___Toc39040_2142443653"/>
      <w:bookmarkStart w:id="197" w:name="_Toc78"/>
      <w:bookmarkEnd w:id="196"/>
      <w:r>
        <w:rPr>
          <w:rtl w:val="true"/>
        </w:rPr>
        <w:t>أبو عبدالله الرازی الجامورانی ضعیف</w:t>
      </w:r>
      <w:bookmarkEnd w:id="197"/>
    </w:p>
    <w:p>
      <w:pPr>
        <w:pStyle w:val="Heading4"/>
        <w:numPr>
          <w:ilvl w:val="3"/>
          <w:numId w:val="1"/>
        </w:numPr>
        <w:rPr/>
      </w:pPr>
      <w:bookmarkStart w:id="198" w:name="__RefHeading___Toc39042_2142443653"/>
      <w:bookmarkStart w:id="199" w:name="_Toc79"/>
      <w:bookmarkEnd w:id="198"/>
      <w:r>
        <w:rPr>
          <w:rtl w:val="true"/>
        </w:rPr>
        <w:t>الحسن بن علی بن أبی حمزة واقفی رمی بالکذب</w:t>
      </w:r>
      <w:bookmarkEnd w:id="19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0" w:name="__RefHeading___Toc39044_2142443653"/>
      <w:bookmarkStart w:id="201" w:name="_Toc80"/>
      <w:bookmarkEnd w:id="200"/>
      <w:r>
        <w:rPr>
          <w:rtl w:val="true"/>
        </w:rPr>
        <w:t>عیسی بن عمر مجهول الحال</w:t>
      </w:r>
      <w:bookmarkStart w:id="202" w:name="pg17122_169514"/>
      <w:bookmarkEnd w:id="201"/>
    </w:p>
    <w:p>
      <w:pPr>
        <w:pStyle w:val="BookText"/>
        <w:rPr/>
      </w:pPr>
      <w:bookmarkEnd w:id="202"/>
      <w:r>
        <w:rPr>
          <w:rFonts w:ascii="IRNazanin" w:hAnsi="IRNazanin" w:eastAsia="IRNazanin"/>
          <w:color w:val="111111"/>
          <w:sz w:val="28"/>
          <w:sz w:val="28"/>
          <w:szCs w:val="28"/>
          <w:rtl w:val="true"/>
          <w:lang w:bidi="fa-IR"/>
        </w:rPr>
        <w:t xml:space="preserve">وقول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إجماع الطائفة علی أنّ ذلک لا یوجب نقض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یقتضی الحصر فی الحمل علی غَسل الید ، بل الاستحباب ممکن ، والأخبار التی أشار إلیها قد قدّمنا القول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ظاهر کلام الشیخ یعطی حمل الروایة علی غَسل الید ، سواء کانت المصافحة برطوبة أو لا ، وهذا الحکم غیر معلوم القائل ، سوی الشیخ هنا ، والعلاّمة فی المختلف حکی عن ابن حمزة إیجاب رشّ الثوب من ملاقاة الکافر بالیبوسة </w:t>
      </w:r>
      <w:r>
        <w:rPr>
          <w:rStyle w:val="FootnoteAnchor"/>
          <w:rtl w:val="true"/>
        </w:rPr>
        <w:footnoteReference w:id="172"/>
      </w:r>
      <w:r>
        <w:rPr>
          <w:rFonts w:ascii="IRNazanin" w:hAnsi="IRNazanin" w:eastAsia="IRNazanin"/>
          <w:color w:val="111111"/>
          <w:sz w:val="28"/>
          <w:sz w:val="28"/>
          <w:szCs w:val="28"/>
          <w:rtl w:val="true"/>
          <w:lang w:bidi="fa-IR"/>
        </w:rPr>
        <w:t>، ولم ینقل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والشیخ رحمه الله روی فی الصحیح ، عن عبید الله بن علی الحلبی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 عن الصلاة فی ثوب المجوسی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یرشّ بالماء </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أیضاً فی الصحیح ، عن معاویة بن عمار ، عنه علیه السلام ، فی الثیاب السابریة یعملها المجوسی ، ألبسها ولا أغسلها وأصلّی فیها؟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یبعد أن یکون مراد الشیخ هنا مع الرطوبة ، علی أنّ قوله فی آخر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الخبر شاذ ، یدل علی عدم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رواه محمد بن علی بن محبوب ، عن أحمد بن محمد ، عن عثمان بن عیسی ، عن عبد الله بن مسکان ، عن أبی بصیر ، عن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3" w:name="__RefHeading___Toc39046_2142443653"/>
      <w:bookmarkStart w:id="204" w:name="_Toc81"/>
      <w:bookmarkEnd w:id="203"/>
      <w:r>
        <w:rPr>
          <w:rtl w:val="true"/>
        </w:rPr>
        <w:t>حکم مصافحة الکافر مع الرطوبة والیبوسة</w:t>
      </w:r>
      <w:bookmarkStart w:id="205" w:name="pg17122_169515"/>
      <w:bookmarkEnd w:id="204"/>
    </w:p>
    <w:p>
      <w:pPr>
        <w:pStyle w:val="BookText"/>
        <w:rPr/>
      </w:pPr>
      <w:bookmarkEnd w:id="205"/>
      <w:r>
        <w:rPr>
          <w:rFonts w:ascii="IRNazanin" w:hAnsi="IRNazanin" w:eastAsia="IRNazanin"/>
          <w:color w:val="111111"/>
          <w:sz w:val="28"/>
          <w:sz w:val="28"/>
          <w:szCs w:val="28"/>
          <w:rtl w:val="true"/>
          <w:lang w:bidi="fa-IR"/>
        </w:rPr>
        <w:t xml:space="preserve">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مسّ کلباً فلیتوضّأ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فالکلام فی هذا الخبر کالکلام علی الخبر الأوّل ، من حمله علی غَسل الید ، للإجماع الذی ذکرناه والأخبار التی قدّمناها ، وأیضاً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روی الحسین بن سعید ، عن حماد ، عن حریز ، عن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 عن الکلب یصیب شیئاً من جسد الرجل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 المکان الذی أصابه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فی الأوّل والأخیر معلوم بالردّ والقبول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ذکره الشیخ فی الأوّل له وجه وجیه ، والفرق بین الأوّل وهذا واضح ، کما قدّمنا إلیه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إطلاق الشیخ الغَسل تبعاً للروایة لعلّه محمول علی الرطوبة ، إذ المنقول عن الشیخ فی المبسوط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نجاسة أصابت الثوب وکانت یابسة لا یجب غَسلها ، إنّما یستحب نضح الثوب </w:t>
      </w:r>
      <w:r>
        <w:rPr>
          <w:rStyle w:val="FootnoteAnchor"/>
          <w:rtl w:val="true"/>
        </w:rPr>
        <w:footnoteReference w:id="175"/>
      </w:r>
      <w:r>
        <w:rPr>
          <w:rFonts w:ascii="IRNazanin" w:hAnsi="IRNazanin" w:eastAsia="IRNazanin"/>
          <w:color w:val="111111"/>
          <w:sz w:val="28"/>
          <w:sz w:val="28"/>
          <w:szCs w:val="28"/>
          <w:rtl w:val="true"/>
          <w:lang w:bidi="fa-IR"/>
        </w:rPr>
        <w:t>، والفرق بین الثوب والید محتمل ، إلاّ أنّی لا أعلم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النهایة للشیخ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أصاب ثوب الإنسان کلب ، أو خنزیر ، أو ثعلب ، أو أرنب ، أو فأرة ، أو وزغة ، وکان یابساً وجب أن یرشّ الموضع بعینه ، فإن لم یتعین رشّ الثوب کله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6" w:name="__RefHeading___Toc39048_2142443653"/>
      <w:bookmarkStart w:id="207" w:name="_Toc82"/>
      <w:bookmarkEnd w:id="206"/>
      <w:r>
        <w:rPr>
          <w:rtl w:val="true"/>
        </w:rPr>
        <w:t>حکم مسّ الکلب والخنزیر مع الرطوبة والیبوسة</w:t>
      </w:r>
      <w:bookmarkStart w:id="208" w:name="pg17122_169516"/>
      <w:bookmarkEnd w:id="207"/>
    </w:p>
    <w:p>
      <w:pPr>
        <w:pStyle w:val="BookText"/>
        <w:rPr/>
      </w:pPr>
      <w:bookmarkEnd w:id="208"/>
      <w:r>
        <w:rPr>
          <w:rFonts w:ascii="IRNazanin" w:hAnsi="IRNazanin" w:eastAsia="IRNazanin"/>
          <w:color w:val="111111"/>
          <w:sz w:val="28"/>
          <w:sz w:val="28"/>
          <w:szCs w:val="28"/>
          <w:rtl w:val="true"/>
          <w:lang w:bidi="fa-IR"/>
        </w:rPr>
        <w:t xml:space="preserve">والمفید فی المقنعة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مسّ ثوب الإنسان کلب ، أو خنزیر ، وکانا یابسین فلیرشّ موضع مسهما منه بالماء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یحتمل أن یرید الشیخ استحباب غَسل الید مع الیبوسة </w:t>
      </w:r>
      <w:r>
        <w:rPr>
          <w:rStyle w:val="FootnoteAnchor"/>
          <w:rtl w:val="true"/>
        </w:rPr>
        <w:footnoteReference w:id="178"/>
      </w:r>
      <w:r>
        <w:rPr>
          <w:rFonts w:ascii="IRNazanin" w:hAnsi="IRNazanin" w:eastAsia="IRNazanin"/>
          <w:color w:val="111111"/>
          <w:sz w:val="28"/>
          <w:sz w:val="28"/>
          <w:szCs w:val="28"/>
          <w:rtl w:val="true"/>
          <w:lang w:bidi="fa-IR"/>
        </w:rPr>
        <w:t>، وعلیه یحمل الخبر الأخیر ، نظراً إلی إطلاقه ، ولو حمل علی الرطوبة کان بعیداً عن 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فی المختلف عن ابن حمزة إیجاب مسح البدن بالتراب إذا أصابه الکلب أو الخنزیر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والشیخ فی النهایة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مسّ الإنسان بیده کلباً ، أو خنزیراً ، أو ثعلباً ، أو أرنباً ، أو فأرة أو وزغة ، أو صافح ذمیا معلناً بعداوة آل محمد علیهم السلام وجب غَسل یده إن کان رطباً ، وإن کان یابساً مسّه بالتراب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المنتهی قال العلاّمة بعد ذکر وجوب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مسح الجسد فشی‌ء ذکره بعض الأصحاب ولم یثبت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الریح یجدها الإنسان فی بطنه</w:t>
      </w:r>
    </w:p>
    <w:p>
      <w:pPr>
        <w:pStyle w:val="BookText"/>
        <w:rPr/>
      </w:pPr>
      <w:r>
        <w:rPr>
          <w:rFonts w:ascii="IRNazanin" w:hAnsi="IRNazanin" w:eastAsia="IRNazanin"/>
          <w:color w:val="111111"/>
          <w:sz w:val="28"/>
          <w:sz w:val="28"/>
          <w:szCs w:val="28"/>
          <w:rtl w:val="true"/>
          <w:lang w:bidi="fa-IR"/>
        </w:rPr>
        <w:t>أخبرنی الشیخ رحمه الله عن أبی القاسم جعفر بن محمد ، عن أبیه ، عن سعد بن عبد الله ، عن الحسن بن علی ، عن أحمد بن هلال ، عن محمد بن الولید ، عن أبان بن عثمان ، عن عبد الرحمن بن أبی</w:t>
      </w:r>
    </w:p>
    <w:p>
      <w:pPr>
        <w:pStyle w:val="Heading3"/>
        <w:numPr>
          <w:ilvl w:val="2"/>
          <w:numId w:val="1"/>
        </w:numPr>
        <w:rPr/>
      </w:pPr>
      <w:bookmarkStart w:id="209" w:name="__RefHeading___Toc39050_2142443653"/>
      <w:bookmarkStart w:id="210" w:name="_Toc83"/>
      <w:bookmarkEnd w:id="209"/>
      <w:r>
        <w:rPr>
          <w:rtl w:val="true"/>
        </w:rPr>
        <w:t>الریح یجدها الإنسان فی بطنه</w:t>
      </w:r>
      <w:bookmarkEnd w:id="21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1" w:name="__RefHeading___Toc39052_2142443653"/>
      <w:bookmarkStart w:id="212" w:name="_Toc84"/>
      <w:bookmarkEnd w:id="211"/>
      <w:r>
        <w:rPr>
          <w:rtl w:val="true"/>
        </w:rPr>
        <w:t>اشارة</w:t>
      </w:r>
      <w:bookmarkStart w:id="213" w:name="pg17122_169517"/>
      <w:bookmarkEnd w:id="212"/>
    </w:p>
    <w:p>
      <w:pPr>
        <w:pStyle w:val="BookText"/>
        <w:rPr/>
      </w:pPr>
      <w:bookmarkEnd w:id="213"/>
      <w:r>
        <w:rPr>
          <w:rFonts w:ascii="IRNazanin" w:hAnsi="IRNazanin" w:eastAsia="IRNazanin"/>
          <w:color w:val="111111"/>
          <w:sz w:val="28"/>
          <w:sz w:val="28"/>
          <w:szCs w:val="28"/>
          <w:rtl w:val="true"/>
          <w:lang w:bidi="fa-IR"/>
        </w:rPr>
        <w:t xml:space="preserve">عبد الله ، عن أبی عبد الله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أجد الریح فی بطنی حتی أظن أنّها قد خرجت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علیک وضوء حتی تسمع الصوت أو تجد الریح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إبلیس یجی‌ء فیجلس بین ألیتی الرجل فیفسو لیشکّکه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 عن فضالة ، عن معاویة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الشیطان ینفخ فی دبر الإنسان حتی یخیل إلیه أنّه قد خرجت منه ریح ، فلا ینقض وضوءه إلاّ ریح یسمعها أو یجد ریحها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هلال ، والشیخ قد ضعّفه وبالغ فیه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والحسن بن علی الراوی عنه ، ذکر شیخنا المحقّق سلّمه الله فی فوائده علی الکتاب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فضّال ، وفیه نظر ، فإنّ ابن فضّال یروی سعد کتبه وروایاته بواسطة أحمد بن محمد ومحمد بن الحسین وبنان </w:t>
      </w:r>
      <w:r>
        <w:rPr>
          <w:rStyle w:val="FootnoteAnchor"/>
          <w:rtl w:val="true"/>
        </w:rPr>
        <w:footnoteReference w:id="183"/>
      </w:r>
      <w:r>
        <w:rPr>
          <w:rFonts w:ascii="IRNazanin" w:hAnsi="IRNazanin" w:eastAsia="IRNazanin"/>
          <w:color w:val="111111"/>
          <w:sz w:val="28"/>
          <w:sz w:val="28"/>
          <w:szCs w:val="28"/>
          <w:rtl w:val="true"/>
          <w:lang w:bidi="fa-IR"/>
        </w:rPr>
        <w:t xml:space="preserve">بن محمّد ونحوهم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الزیتونی الأشعری ، إذ یروی عنه محمد بن یحیی ، وهو فی مرتبة سعد ، والحسن بن علی بن النعمان ، إذ </w:t>
      </w:r>
      <w:r>
        <w:rPr>
          <w:rStyle w:val="FootnoteAnchor"/>
          <w:rtl w:val="true"/>
        </w:rPr>
        <w:footnoteReference w:id="184"/>
      </w:r>
      <w:r>
        <w:rPr>
          <w:rFonts w:ascii="IRNazanin" w:hAnsi="IRNazanin" w:eastAsia="IRNazanin"/>
          <w:color w:val="111111"/>
          <w:sz w:val="28"/>
          <w:sz w:val="28"/>
          <w:szCs w:val="28"/>
          <w:rtl w:val="true"/>
          <w:lang w:bidi="fa-IR"/>
        </w:rPr>
        <w:t>روی عنه الصفار ،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کما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ومحمد بن الولید مشترک بین ضعیف ومن فیه کلام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 w:name="__RefHeading___Toc39054_2142443653"/>
      <w:bookmarkStart w:id="215" w:name="_Toc85"/>
      <w:bookmarkEnd w:id="214"/>
      <w:r>
        <w:rPr>
          <w:rtl w:val="true"/>
        </w:rPr>
        <w:t>أحمد بن هلال ضعیف</w:t>
      </w:r>
      <w:bookmarkEnd w:id="215"/>
    </w:p>
    <w:p>
      <w:pPr>
        <w:pStyle w:val="Heading4"/>
        <w:numPr>
          <w:ilvl w:val="3"/>
          <w:numId w:val="1"/>
        </w:numPr>
        <w:rPr/>
      </w:pPr>
      <w:bookmarkStart w:id="216" w:name="__RefHeading___Toc39056_2142443653"/>
      <w:bookmarkStart w:id="217" w:name="_Toc86"/>
      <w:bookmarkEnd w:id="216"/>
      <w:r>
        <w:rPr>
          <w:rtl w:val="true"/>
        </w:rPr>
        <w:t>من هو الحسن بن علی الراوی عن أحمد بن هلال؟</w:t>
      </w:r>
      <w:bookmarkEnd w:id="21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8" w:name="__RefHeading___Toc39058_2142443653"/>
      <w:bookmarkStart w:id="219" w:name="_Toc87"/>
      <w:bookmarkEnd w:id="218"/>
      <w:r>
        <w:rPr>
          <w:rtl w:val="true"/>
        </w:rPr>
        <w:t>محمد بن الولید مشترک بین ضعیف ومن فیه کلام</w:t>
      </w:r>
      <w:bookmarkEnd w:id="219"/>
    </w:p>
    <w:p>
      <w:pPr>
        <w:pStyle w:val="BookText"/>
        <w:rPr/>
      </w:pPr>
      <w:r>
        <w:rPr>
          <w:rFonts w:ascii="IRNazanin" w:hAnsi="IRNazanin" w:eastAsia="IRNazanin"/>
          <w:color w:val="111111"/>
          <w:sz w:val="28"/>
          <w:sz w:val="28"/>
          <w:szCs w:val="28"/>
          <w:rtl w:val="true"/>
          <w:lang w:bidi="fa-IR"/>
        </w:rPr>
        <w:t xml:space="preserve">وفی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فیه بعد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الخبرین ظاهر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أخیه الحسن ، عن زرعة ،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عما ینقض الوضوء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الحدث تسمع صوته أو تجد ریحه ، والقرقرة فی البطن إلاّ شیئاً </w:t>
      </w:r>
      <w:r>
        <w:rPr>
          <w:rStyle w:val="FootnoteAnchor"/>
          <w:rtl w:val="true"/>
        </w:rPr>
        <w:footnoteReference w:id="186"/>
      </w:r>
      <w:r>
        <w:rPr>
          <w:rFonts w:ascii="IRNazanin" w:hAnsi="IRNazanin" w:eastAsia="IRNazanin"/>
          <w:color w:val="111111"/>
          <w:sz w:val="28"/>
          <w:sz w:val="28"/>
          <w:szCs w:val="28"/>
          <w:rtl w:val="true"/>
          <w:lang w:bidi="fa-IR"/>
        </w:rPr>
        <w:t xml:space="preserve">تصبر علیه و </w:t>
      </w:r>
      <w:r>
        <w:rPr>
          <w:rStyle w:val="FootnoteAnchor"/>
          <w:rtl w:val="true"/>
        </w:rPr>
        <w:footnoteReference w:id="187"/>
      </w:r>
      <w:r>
        <w:rPr>
          <w:rFonts w:ascii="IRNazanin" w:hAnsi="IRNazanin" w:eastAsia="IRNazanin"/>
          <w:color w:val="111111"/>
          <w:sz w:val="28"/>
          <w:sz w:val="28"/>
          <w:szCs w:val="28"/>
          <w:rtl w:val="true"/>
          <w:lang w:bidi="fa-IR"/>
        </w:rPr>
        <w:t xml:space="preserve">الضحک فی الصلاة والقی‌ء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تکلّمنا علی هذا الخبر فیما تقدم وقلنا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فیه أن نحمله علی حال لا یملک الإنسان فیها نفسه لیعلم </w:t>
      </w:r>
      <w:r>
        <w:rPr>
          <w:rStyle w:val="FootnoteAnchor"/>
          <w:rtl w:val="true"/>
        </w:rPr>
        <w:footnoteReference w:id="188"/>
      </w:r>
      <w:r>
        <w:rPr>
          <w:rFonts w:ascii="IRNazanin" w:hAnsi="IRNazanin" w:eastAsia="IRNazanin"/>
          <w:color w:val="111111"/>
          <w:sz w:val="28"/>
          <w:sz w:val="28"/>
          <w:szCs w:val="28"/>
          <w:rtl w:val="true"/>
          <w:lang w:bidi="fa-IR"/>
        </w:rPr>
        <w:t>ما یکون منه ، ویجوز أن نحمله أیضاً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قد تقدم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 إلاّ أنّ الشیخ رحمه الله کلامه غیر واف بالمطلوب ، لأنّ المتقدم </w:t>
      </w:r>
      <w:bookmarkStart w:id="220" w:name="pg17122_169519"/>
    </w:p>
    <w:p>
      <w:pPr>
        <w:pStyle w:val="BookText"/>
        <w:rPr/>
      </w:pPr>
      <w:bookmarkEnd w:id="220"/>
      <w:r>
        <w:rPr>
          <w:rFonts w:ascii="IRNazanin" w:hAnsi="IRNazanin" w:eastAsia="IRNazanin"/>
          <w:color w:val="111111"/>
          <w:sz w:val="28"/>
          <w:sz w:val="28"/>
          <w:szCs w:val="28"/>
          <w:rtl w:val="true"/>
          <w:lang w:bidi="fa-IR"/>
        </w:rPr>
        <w:t>منه علی ما ذکره هنا فی الضحک ، والمعارضة فی المقام إنّما هی من حیث إنّه ذکر القرقرة ، ولا مناسبة لما سبق منه للتوجیه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تقدم منه سابقاً علی ما ذکره أنّ الخبر محمول علی التقیة ، والمتبادر من ذلک وإن کان من جهة الضحک والقی‌ء ، إلاّ أنّه محتمل للشمول للقرقرة ، غیر أنّه موقوف علی العلم بمذهب أهل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ذکره من الاستحباب هنا فیمکن تناوله للقرقرة وإن کان فیه إشکال قد قدمناه فینبغی مراجعته ، وبالجملة فالشیخ لا یخلو کلامه هنا من غرابة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حکم المذی والوذی</w:t>
      </w:r>
    </w:p>
    <w:p>
      <w:pPr>
        <w:pStyle w:val="BookText"/>
        <w:rPr/>
      </w:pPr>
      <w:r>
        <w:rPr>
          <w:rFonts w:ascii="IRNazanin" w:hAnsi="IRNazanin" w:eastAsia="IRNazanin"/>
          <w:color w:val="111111"/>
          <w:sz w:val="28"/>
          <w:sz w:val="28"/>
          <w:szCs w:val="28"/>
          <w:rtl w:val="true"/>
          <w:lang w:bidi="fa-IR"/>
        </w:rPr>
        <w:t xml:space="preserve">أخبرنی الشیخ رحمه الله عن أحمد بن محمد ، عن أبیه ، عن سعد بن عبد الله ، عن أحمد بن محمد بن عیسی ، عن الحسن بن علی بن فضال ، عن عبد الله بن بکیر ، عن عمر بن حنظلة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المذی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هو عندی إلاّ کالنخامة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عنه ، عن أحمد بن محمد ، عن أبیه ، عن الصفار ، عن أحمد بن محمد بن عیسی والحسین بن الحسن بن أبان جمیعاً ، عن الحسین بن سعید ، عن صفوان ، عن إسحاق بن عمار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المذی؟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علیاً علیه السلام کان رجلاً مذّاءً فاستحیی أن یسأل رسول الله صلی الله علیه و آله لمکان فاطمة علیهاالسلام ، فأمر المقداد أن یسأله وهو</w:t>
      </w:r>
    </w:p>
    <w:p>
      <w:pPr>
        <w:pStyle w:val="Heading3"/>
        <w:numPr>
          <w:ilvl w:val="2"/>
          <w:numId w:val="1"/>
        </w:numPr>
        <w:rPr/>
      </w:pPr>
      <w:bookmarkStart w:id="221" w:name="__RefHeading___Toc39060_2142443653"/>
      <w:bookmarkStart w:id="222" w:name="_Toc88"/>
      <w:bookmarkEnd w:id="221"/>
      <w:r>
        <w:rPr>
          <w:rtl w:val="true"/>
        </w:rPr>
        <w:t>حکم المذی والوذی</w:t>
      </w:r>
      <w:bookmarkEnd w:id="22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3" w:name="__RefHeading___Toc39062_2142443653"/>
      <w:bookmarkStart w:id="224" w:name="_Toc89"/>
      <w:bookmarkEnd w:id="223"/>
      <w:r>
        <w:rPr>
          <w:rtl w:val="true"/>
        </w:rPr>
        <w:t>اشارة</w:t>
      </w:r>
      <w:bookmarkStart w:id="225" w:name="pg17122_169520"/>
      <w:bookmarkEnd w:id="224"/>
    </w:p>
    <w:p>
      <w:pPr>
        <w:pStyle w:val="BookText"/>
        <w:rPr/>
      </w:pPr>
      <w:bookmarkEnd w:id="225"/>
      <w:r>
        <w:rPr>
          <w:rFonts w:ascii="IRNazanin" w:hAnsi="IRNazanin" w:eastAsia="IRNazanin"/>
          <w:color w:val="111111"/>
          <w:sz w:val="28"/>
          <w:sz w:val="28"/>
          <w:szCs w:val="28"/>
          <w:rtl w:val="true"/>
          <w:lang w:bidi="fa-IR"/>
        </w:rPr>
        <w:t xml:space="preserve">جالس ، فسأله ، فقال له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الإسناد ، عن الصفار ، عن أحمد بن محمد بن عیسی ، عن أبیه ، عن ابن أبی عمیر ، عن ابن أُذینة ، عن زید الشحّام ،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المذی لا ینقض </w:t>
      </w:r>
      <w:r>
        <w:rPr>
          <w:rStyle w:val="FootnoteAnchor"/>
          <w:rtl w:val="true"/>
        </w:rPr>
        <w:footnoteReference w:id="190"/>
      </w:r>
      <w:r>
        <w:rPr>
          <w:rFonts w:ascii="IRNazanin" w:hAnsi="IRNazanin" w:eastAsia="IRNazanin"/>
          <w:color w:val="111111"/>
          <w:sz w:val="28"/>
          <w:sz w:val="28"/>
          <w:szCs w:val="28"/>
          <w:rtl w:val="true"/>
          <w:lang w:bidi="fa-IR"/>
        </w:rPr>
        <w:t xml:space="preserve">الوضوء؟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ولا یغسل منه الثوب ولا الجسد ، إنّما هو بمنزلة البزاق والمخاط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الشیخ رحمه الله عن أبی القاسم جعفر بن محمد ، عن محمد ابن یعقوب ، عن الحسین بن محمد ، عن معلّی بن محمد ، عن الوشّاء ، عن أبان ، عن عنبسة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علیّ علیه السلام لا یری فی المذی وضوءاً ولا غَسل </w:t>
      </w:r>
      <w:r>
        <w:rPr>
          <w:rStyle w:val="FootnoteAnchor"/>
          <w:rtl w:val="true"/>
        </w:rPr>
        <w:footnoteReference w:id="191"/>
      </w:r>
      <w:r>
        <w:rPr>
          <w:rFonts w:ascii="IRNazanin" w:hAnsi="IRNazanin" w:eastAsia="IRNazanin"/>
          <w:color w:val="111111"/>
          <w:sz w:val="28"/>
          <w:sz w:val="28"/>
          <w:szCs w:val="28"/>
          <w:rtl w:val="true"/>
          <w:lang w:bidi="fa-IR"/>
        </w:rPr>
        <w:t xml:space="preserve">ما أصاب الثوب منه إلاّ فی الماء الأکبر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حنظلة وهو غیر معلوم الحال ، إذ لم یزد ذکره فی الرجال علی الإهمال </w:t>
      </w:r>
      <w:r>
        <w:rPr>
          <w:rStyle w:val="FootnoteAnchor"/>
          <w:rtl w:val="true"/>
        </w:rPr>
        <w:footnoteReference w:id="192"/>
      </w:r>
      <w:r>
        <w:rPr>
          <w:rFonts w:ascii="IRNazanin" w:hAnsi="IRNazanin" w:eastAsia="IRNazanin"/>
          <w:color w:val="111111"/>
          <w:sz w:val="28"/>
          <w:sz w:val="28"/>
          <w:szCs w:val="28"/>
          <w:rtl w:val="true"/>
          <w:lang w:bidi="fa-IR"/>
        </w:rPr>
        <w:t xml:space="preserve">، وما ذکره جدی قدس سره فی الدرایة أظنّه توهّماً من حدیث غیر سلیم السند ولا واضح الدلالة علی التوثیق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 والحسین بن الحسن بن أبان فیه معطوف علی الصفار ، فیکون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ولأحمد بن محمد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محمد بن عیسی الأشعری ، ولم یوثقه أصحاب</w:t>
      </w:r>
    </w:p>
    <w:p>
      <w:pPr>
        <w:pStyle w:val="Heading4"/>
        <w:numPr>
          <w:ilvl w:val="3"/>
          <w:numId w:val="1"/>
        </w:numPr>
        <w:rPr/>
      </w:pPr>
      <w:bookmarkStart w:id="226" w:name="__RefHeading___Toc39064_2142443653"/>
      <w:bookmarkStart w:id="227" w:name="_Toc90"/>
      <w:bookmarkEnd w:id="226"/>
      <w:r>
        <w:rPr>
          <w:rtl w:val="true"/>
        </w:rPr>
        <w:t>عمر بن حنظلة غیر معلوم الحال</w:t>
      </w:r>
      <w:bookmarkEnd w:id="22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8" w:name="__RefHeading___Toc39066_2142443653"/>
      <w:bookmarkStart w:id="229" w:name="_Toc91"/>
      <w:bookmarkEnd w:id="228"/>
      <w:r>
        <w:rPr>
          <w:rtl w:val="true"/>
        </w:rPr>
        <w:t>محمد بن عیسی الأشعری غیر موثّق</w:t>
      </w:r>
      <w:bookmarkStart w:id="230" w:name="pg17122_169521"/>
      <w:bookmarkEnd w:id="229"/>
    </w:p>
    <w:p>
      <w:pPr>
        <w:pStyle w:val="BookText"/>
        <w:rPr/>
      </w:pPr>
      <w:bookmarkEnd w:id="230"/>
      <w:r>
        <w:rPr>
          <w:rFonts w:ascii="IRNazanin" w:hAnsi="IRNazanin" w:eastAsia="IRNazanin"/>
          <w:color w:val="111111"/>
          <w:sz w:val="28"/>
          <w:sz w:val="28"/>
          <w:szCs w:val="28"/>
          <w:rtl w:val="true"/>
          <w:lang w:bidi="fa-IR"/>
        </w:rPr>
        <w:t xml:space="preserve">الرجال </w:t>
      </w:r>
      <w:r>
        <w:rPr>
          <w:rStyle w:val="FootnoteAnchor"/>
          <w:rtl w:val="true"/>
        </w:rPr>
        <w:footnoteReference w:id="194"/>
      </w:r>
      <w:r>
        <w:rPr>
          <w:rFonts w:ascii="IRNazanin" w:hAnsi="IRNazanin" w:eastAsia="IRNazanin"/>
          <w:color w:val="111111"/>
          <w:sz w:val="28"/>
          <w:sz w:val="28"/>
          <w:szCs w:val="28"/>
          <w:rtl w:val="true"/>
          <w:lang w:bidi="fa-IR"/>
        </w:rPr>
        <w:t>، وکونه شیخ القمیین ووجه الأشاعرة لا یفید التوثیق علی ما أظن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معلّی بن محمد ، وهو مضطرب الحدیث والمذهب علی ما ذکره النجاشی </w:t>
      </w:r>
      <w:r>
        <w:rPr>
          <w:rStyle w:val="FootnoteAnchor"/>
          <w:rtl w:val="true"/>
        </w:rPr>
        <w:footnoteReference w:id="195"/>
      </w:r>
      <w:r>
        <w:rPr>
          <w:rFonts w:ascii="IRNazanin" w:hAnsi="IRNazanin" w:eastAsia="IRNazanin"/>
          <w:color w:val="111111"/>
          <w:sz w:val="28"/>
          <w:sz w:val="28"/>
          <w:szCs w:val="28"/>
          <w:rtl w:val="true"/>
          <w:lang w:bidi="fa-IR"/>
        </w:rPr>
        <w:t xml:space="preserve">، وعنبسة مشترک بین مهملین وثقة </w:t>
      </w:r>
      <w:r>
        <w:rPr>
          <w:rStyle w:val="FootnoteAnchor"/>
          <w:rtl w:val="true"/>
        </w:rPr>
        <w:footnoteReference w:id="196"/>
      </w:r>
      <w:r>
        <w:rPr>
          <w:rFonts w:ascii="IRNazanin" w:hAnsi="IRNazanin" w:eastAsia="IRNazanin"/>
          <w:color w:val="111111"/>
          <w:sz w:val="28"/>
          <w:sz w:val="28"/>
          <w:szCs w:val="28"/>
          <w:rtl w:val="true"/>
          <w:lang w:bidi="fa-IR"/>
        </w:rPr>
        <w:t>، ولا یبعد أن یکون الثقة وهو ابن بِجاد ، غیر أن الفائدة فی تعیینه منتفیة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الدلالة فی الجمیع علی أنّ المذی لا ینقض الوضوء ، وأنّه طاهر ، وما تضمنه الحدیث الثالث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الموجود فی النسخ التی رأیناها ، وأمره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سؤال علی علیه السلام یحتمل أن یکون من جهة الطهارة لا نقض الوضوء فلا یکون ظاهراً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جوابه 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بشی‌ء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 الوضوء وغیره ، واحتمال أنه لیس بشی‌ء من جهة المسئول عنه وهو النجاسة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الخبر الرابع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غَسل </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 xml:space="preserve">بفتح الغین ، إلاّ 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أصاب الثوب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من شی‌ء ، وکأنه نقل بالمعنی ،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فی الماء الأکبر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بالنسبة إلی الماء وغَسل الثوب ، واحتمال العود إلی الوضوء أیضاً ممکن ، ویراد بالوضوء الموجود فی ضمن الغسل من الجنابة ، بمعنی القائم مقامه ، لا الوضوء معه ، فإنه منفی کما سیأتی إن شاء الله</w:t>
      </w:r>
      <w:r>
        <w:rPr>
          <w:rFonts w:eastAsia="IRNazanin" w:cs="IRNazanin"/>
          <w:color w:val="111111"/>
          <w:sz w:val="28"/>
          <w:szCs w:val="28"/>
          <w:rtl w:val="true"/>
          <w:lang w:bidi="fa-IR"/>
        </w:rPr>
        <w:t>.</w:t>
      </w:r>
    </w:p>
    <w:p>
      <w:pPr>
        <w:pStyle w:val="Heading4"/>
        <w:numPr>
          <w:ilvl w:val="3"/>
          <w:numId w:val="1"/>
        </w:numPr>
        <w:rPr/>
      </w:pPr>
      <w:bookmarkStart w:id="231" w:name="__RefHeading___Toc39068_2142443653"/>
      <w:bookmarkStart w:id="232" w:name="_Toc92"/>
      <w:bookmarkEnd w:id="231"/>
      <w:r>
        <w:rPr>
          <w:rtl w:val="true"/>
        </w:rPr>
        <w:t>معلی بن محمد مضطرب الحدیث والمذهب</w:t>
      </w:r>
      <w:bookmarkEnd w:id="23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3" w:name="__RefHeading___Toc39070_2142443653"/>
      <w:bookmarkStart w:id="234" w:name="_Toc93"/>
      <w:bookmarkEnd w:id="233"/>
      <w:r>
        <w:rPr>
          <w:rtl w:val="true"/>
        </w:rPr>
        <w:t>عنبسة مشترک بین مهملین وثقة</w:t>
      </w:r>
      <w:bookmarkStart w:id="235" w:name="pg17122_169522"/>
      <w:bookmarkEnd w:id="234"/>
    </w:p>
    <w:p>
      <w:pPr>
        <w:pStyle w:val="BookText"/>
        <w:rPr/>
      </w:pPr>
      <w:bookmarkEnd w:id="235"/>
      <w:r>
        <w:rPr>
          <w:rFonts w:ascii="IRNazanin" w:hAnsi="IRNazanin" w:eastAsia="IRNazanin"/>
          <w:color w:val="111111"/>
          <w:sz w:val="28"/>
          <w:sz w:val="28"/>
          <w:szCs w:val="28"/>
          <w:rtl w:val="true"/>
          <w:lang w:bidi="fa-IR"/>
        </w:rPr>
        <w:t xml:space="preserve">وربما یستفاد من الخبر الثانی أن خبر الواحد لا یعوّل علیه ، لأن علیاً علیه السلام أمر المقداد أن یسأل وهو جالس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علیه السلام حکمه خاص باتباع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فی کتاب أحکام الأحکام </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 xml:space="preserve">هذا الخبر علی وجه مغایر لما هنا ، وصورته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أبی طالب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أرسلنا المقداد بن الأسود إلی رسول الله صلی الله علیه و آله فسأله عن المذی یخرج من الإنسان کیف یفعل به؟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توضّأ وانضح فرجک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تُمسّک به فی قبول خبر الواحد ، واعترض علیه بأنّه إثبات للشی‌ء بنفسه ، وهو محال ، وأجاب ابن الأثیر بجواز أن یکون المقداد سأل النبی صلی الله علیه و آله فسمع علیّ علیه السلام الجواب ،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ذکر ذلک </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 xml:space="preserve">هنا أن الخبر الآتی المتضمن لما یخالف هذا یقرب الحمل فیه علی التقیة بسبب ما نقلناه لولا ما یأتی من قول ابن بزیع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أتوضأ؟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ستسمع القول فیه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استحیاء علیّ علیه السلام لمکان فاطمة علیهاالسلام یندفع بإجمال السؤال ففیه أن الخبر لو صح اندفع السؤال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الأثیر </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المذی مفتوح المیم ساکن الذال المعجمة مخفف</w:t>
      </w:r>
    </w:p>
    <w:p>
      <w:pPr>
        <w:pStyle w:val="Heading4"/>
        <w:numPr>
          <w:ilvl w:val="3"/>
          <w:numId w:val="1"/>
        </w:numPr>
        <w:rPr/>
      </w:pPr>
      <w:bookmarkStart w:id="236" w:name="__RefHeading___Toc39072_2142443653"/>
      <w:bookmarkStart w:id="237" w:name="_Toc94"/>
      <w:bookmarkEnd w:id="236"/>
      <w:r>
        <w:rPr>
          <w:rtl w:val="true"/>
        </w:rPr>
        <w:t>هل یستفاد من خبر اسحاق بن عمار أنّ خبر الواحد لا یعوّل علیه؟</w:t>
      </w:r>
      <w:bookmarkEnd w:id="23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8" w:name="__RefHeading___Toc39074_2142443653"/>
      <w:bookmarkStart w:id="239" w:name="_Toc95"/>
      <w:bookmarkEnd w:id="238"/>
      <w:r>
        <w:rPr>
          <w:rtl w:val="true"/>
        </w:rPr>
        <w:t>معنی المذی</w:t>
      </w:r>
      <w:bookmarkEnd w:id="239"/>
    </w:p>
    <w:p>
      <w:pPr>
        <w:pStyle w:val="BookText"/>
        <w:rPr/>
      </w:pPr>
      <w:r>
        <w:rPr>
          <w:rFonts w:ascii="IRNazanin" w:hAnsi="IRNazanin" w:eastAsia="IRNazanin"/>
          <w:color w:val="111111"/>
          <w:sz w:val="28"/>
          <w:sz w:val="28"/>
          <w:szCs w:val="28"/>
          <w:rtl w:val="true"/>
          <w:lang w:bidi="fa-IR"/>
        </w:rPr>
        <w:t xml:space="preserve">الیاء هو المشهور ، وقیل فیه لغة أُخری وهی کسر الذال وتشدید الیاء ، وهو الماء الذی یخرج من الذکر عند الإنعاظ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من قول 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کنت رجلاً مذّاءً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صیغة مبالغة علی زنة فعّال من المذی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مذی یمذی وأمذی یمذی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فاستحییت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 اللغة الفصیحة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أحمد بن محمد بن عیسی ، عن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إسماعیل </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بن بزیع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علیه السلام عن المذی فأمرنی بالوضوء منه ثم عدت علیه فی سنة أُخری فأمرنی بالوضوء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علیّ بن أبی طالب علیه السلام أمر المقداد بن الأسود أن یسأل النبی صلی الله علیه و آله واستحیا أن یسأله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الوضوء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الخبر لا یعارض ما قدّمناه من الأخبار لأنه خبر واحد ، وقد </w:t>
      </w:r>
      <w:r>
        <w:rPr>
          <w:rStyle w:val="FootnoteAnchor"/>
          <w:rtl w:val="true"/>
        </w:rPr>
        <w:footnoteReference w:id="202"/>
      </w:r>
      <w:r>
        <w:rPr>
          <w:rFonts w:ascii="IRNazanin" w:hAnsi="IRNazanin" w:eastAsia="IRNazanin"/>
          <w:color w:val="111111"/>
          <w:sz w:val="28"/>
          <w:sz w:val="28"/>
          <w:szCs w:val="28"/>
          <w:rtl w:val="true"/>
          <w:lang w:bidi="fa-IR"/>
        </w:rPr>
        <w:t xml:space="preserve">تضمن من قصة أمیر المؤمنین علیه السلام وأمره المقداد بمسألة النبی صلی الله علیه و آله وجوابه له ما ینافیه </w:t>
      </w:r>
      <w:r>
        <w:rPr>
          <w:rStyle w:val="FootnoteAnchor"/>
          <w:rtl w:val="true"/>
        </w:rPr>
        <w:footnoteReference w:id="203"/>
      </w:r>
      <w:r>
        <w:rPr>
          <w:rFonts w:ascii="IRNazanin" w:hAnsi="IRNazanin" w:eastAsia="IRNazanin"/>
          <w:color w:val="111111"/>
          <w:sz w:val="28"/>
          <w:sz w:val="28"/>
          <w:szCs w:val="28"/>
          <w:rtl w:val="true"/>
          <w:lang w:bidi="fa-IR"/>
        </w:rPr>
        <w:t xml:space="preserve">المعروف فی هذه القصة ، وهو الذی تضمنته روایة إسحاق بن عمار وأنّه حین سأله 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بشی‌ء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یحتمل أن یکون الراوی قد ترک بعض الخبر ، لأن محمد بن إسماعیل راوی هذا الخبر روی هذه القصة بعینها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أمرنی بإعادة الوضوء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أتوضّأ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bookmarkStart w:id="240" w:name="pg17122_169524"/>
    </w:p>
    <w:p>
      <w:pPr>
        <w:pStyle w:val="BookText"/>
        <w:rPr/>
      </w:pPr>
      <w:bookmarkEnd w:id="240"/>
      <w:r>
        <w:rPr>
          <w:rFonts w:ascii="IRNazanin" w:hAnsi="IRNazanin" w:eastAsia="IRNazanin"/>
          <w:color w:val="111111"/>
          <w:sz w:val="28"/>
          <w:sz w:val="28"/>
          <w:szCs w:val="28"/>
          <w:rtl w:val="true"/>
          <w:lang w:bidi="fa-IR"/>
        </w:rPr>
        <w:t xml:space="preserve">روی ذلک الحسین بن سعید ، عن محمد بن إسماعیل ، عن أبی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المذی ، فأمرنی بالوضوء منه ، ثم أعدت علیه سنة أُخری ، فأمرنی بالوضوء منه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علیاً علیه السلام أمر المقداد أن یسأل رسول الله صلی الله علیه و آله واستحیا أن یسأله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أتوضّأ؟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هذا الخبر مبیّناً مشروحاً دالاّ علی أن الأمر بالوضوء منه إنّما کان لضرب من الاستحباب دون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الخبر الأوّل لا ارتیاب فیه إلاّ من جهة روایة أحمد عن ابن بزیع بغیر واسطة ، وقد یظن استبعاده ، من حیث إن روایة الحسین بن سعید عن ابن بزیع ، ومن جملة طرق الشیخ إلی الحسین بن سعید ما یرویه أحمد بن محمد عن الحسین </w:t>
      </w:r>
      <w:r>
        <w:rPr>
          <w:rStyle w:val="FootnoteAnchor"/>
          <w:rtl w:val="true"/>
        </w:rPr>
        <w:footnoteReference w:id="204"/>
      </w:r>
      <w:r>
        <w:rPr>
          <w:rFonts w:ascii="IRNazanin" w:hAnsi="IRNazanin" w:eastAsia="IRNazanin"/>
          <w:color w:val="111111"/>
          <w:sz w:val="28"/>
          <w:sz w:val="28"/>
          <w:szCs w:val="28"/>
          <w:rtl w:val="true"/>
          <w:lang w:bidi="fa-IR"/>
        </w:rPr>
        <w:t>، فتکون روایة أحمد عن ابن بزیع بواسطة ، ویدفعه أنّه لا مانع من روایة أحمد تارة بواسطة الحسین ، وتارة بعدمها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خبر إسحاق فقد تقدم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والخبر الأخیر واضح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ظاهر الدلالة علی الأمر بالوضوء من الإمام والنبی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قاله الشیخ من أنّه خبر واحد ، یرید به خلوّه عن القرائن الموجبة</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1" w:name="__RefHeading___Toc39076_2142443653"/>
      <w:bookmarkStart w:id="242" w:name="_Toc96"/>
      <w:bookmarkEnd w:id="241"/>
      <w:r>
        <w:rPr>
          <w:rtl w:val="true"/>
        </w:rPr>
        <w:t>روایة أحمد بن محمد عن ابن بزیع بلا واسطة لا مانع منه</w:t>
      </w:r>
      <w:bookmarkStart w:id="243" w:name="pg17122_169525"/>
      <w:bookmarkEnd w:id="242"/>
    </w:p>
    <w:p>
      <w:pPr>
        <w:pStyle w:val="BookText"/>
        <w:rPr/>
      </w:pPr>
      <w:bookmarkEnd w:id="243"/>
      <w:r>
        <w:rPr>
          <w:rFonts w:ascii="IRNazanin" w:hAnsi="IRNazanin" w:eastAsia="IRNazanin"/>
          <w:color w:val="111111"/>
          <w:sz w:val="28"/>
          <w:sz w:val="28"/>
          <w:szCs w:val="28"/>
          <w:rtl w:val="true"/>
          <w:lang w:bidi="fa-IR"/>
        </w:rPr>
        <w:t xml:space="preserve">للعمل ، لکن الشیخ قد سبق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یطعن فی الخبر من جهة السند إلاّ إذا تعذّر التأویل ، والتأویل هنا مذکور ، غیر أنّ الخبر </w:t>
      </w:r>
      <w:r>
        <w:rPr>
          <w:rStyle w:val="FootnoteAnchor"/>
          <w:rtl w:val="true"/>
        </w:rPr>
        <w:footnoteReference w:id="205"/>
      </w:r>
      <w:r>
        <w:rPr>
          <w:rFonts w:ascii="IRNazanin" w:hAnsi="IRNazanin" w:eastAsia="IRNazanin"/>
          <w:color w:val="111111"/>
          <w:sz w:val="28"/>
          <w:sz w:val="28"/>
          <w:szCs w:val="28"/>
          <w:rtl w:val="true"/>
          <w:lang w:bidi="fa-IR"/>
        </w:rPr>
        <w:t>لا طعن فیه من جهة السند کما یعرف بالملاحظة ، نعم یشکل الحال بأنّ عدم حجّیة الخبر یقتضی ترکه من أوّل الأمر ، ولعلّ مراد الشیخ فی أوّل الکتاب ما یتناول هذا الطعن بنوع من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قاله رحمه الله من أن الخبر ینافی ما هو المعروف من القصة حقّ علی تقدیر العمل بخبر إسحاق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والاحتمال المذکور من أنّ الراوی قد ترک بعض الخبر ، ثم قول الشیخ بعد خبر محمد بن إسماعیل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جاء مبیّناً مشروحاً دالاّ علی أن الأمر بالوضوء إنّما کان لضرب من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نظری القاصر أنه غیر تام ، لأنّ المطلوب بذلک إن کان دفع المنافاة للقصة المذکورة فی خبر إسحاق فغیر خفیّ أنّها غیر مندفعة بل التنافی فی القصة 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المراد دفع التنافی بین الروایات الدالة علی أنّ المذی لا وضوء منه وبین ما دل علی الوضوء بحمل الدال علی الوضوء علی الاستحباب فله وجه ، إلاّ أنّ کلام الشیخ سیاقه یدل علی غیر هذا ، والسکوت عن المنافاة بین ما دل علی القصّة غیر لائق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یبعد حمل ما دل علی الضوء من النبی صلی الله علیه و آله علی التقیة لولا الخبر الأخیر ، فإنّ أهل الخلاف نقلوا فی أحادیثهم القصة بما هذه صورته غیر ما تقدم نقله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النسائی عن سلیمان بن یسار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علیّ بن أبی طالب المقداد بن الأسود إلی رسول الله صلی الله علیه و آله یسأله عن الرجل یجد المذی ، فقال</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4" w:name="__RefHeading___Toc39078_2142443653"/>
      <w:bookmarkStart w:id="245" w:name="_Toc97"/>
      <w:bookmarkEnd w:id="244"/>
      <w:r>
        <w:rPr>
          <w:rtl w:val="true"/>
        </w:rPr>
        <w:t>دفع التنافی بین ما دل علی عدم وجوب الوضوء للمذی وما أمر به</w:t>
      </w:r>
      <w:bookmarkStart w:id="246" w:name="pg17122_169526"/>
      <w:bookmarkEnd w:id="245"/>
    </w:p>
    <w:p>
      <w:pPr>
        <w:pStyle w:val="BookText"/>
        <w:rPr/>
      </w:pPr>
      <w:bookmarkEnd w:id="246"/>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 ذکره ثم لیتوضّأ </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علیّ بن أبی طالب رضی الله عنه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کنت رجلاً مذّاءً فاستحییت أن أسأل رسول الله صلی الله علیه و آله لمکان ابنته فأمرت المقداد بن الأسود فسأله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یغسل ذکره ویتوضّأ </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وأنت خبیر بأنّ مثل هذه الأخبار قرینة علی أن الأمر بالوضوء فی أخبارنا وذکر قصة النبی صلی الله علیه و آله للتقیة لولا منافاة ما رواه محمد بن إسماعیل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أتوضّأ؟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یمکن التوجیه بأنّ السؤال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حال قول الإمام علیه السلام حاکیاً لقصّة علیّ علیه السلام ، 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 الأمن من المخالف ، وإن کان لا یخلو من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ذکره شیخنا البهائی سلّمه الله فی الحبل المتین من أنه یمکن أن یستنبط من الحدیث یعنی الأخیر عدم لزوم التعرض فی نیة الوضوء للوجه ، وأنّ مطلق القربة کاف ، وبیّن ذلک بأنّ وجوب الوضوء هو المستفاد من ظاهر أمره علیه السلام لمحمد بن إسماعیل فی السنة الأُولی ، وقوله علیه السلام فی السنة الثانیة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الأمر إنّما کان للاستحباب ، فلو کان قصد الوجه فی نیة الوضوء لازماً للزم تأخیر البیان </w:t>
      </w:r>
      <w:r>
        <w:rPr>
          <w:rStyle w:val="FootnoteAnchor"/>
          <w:rtl w:val="true"/>
        </w:rPr>
        <w:footnoteReference w:id="210"/>
      </w:r>
      <w:r>
        <w:rPr>
          <w:rFonts w:ascii="Amiri" w:hAnsi="Amiri" w:eastAsia="Amiri" w:cs="Amiri"/>
          <w:color w:val="111111"/>
          <w:sz w:val="28"/>
          <w:sz w:val="28"/>
          <w:szCs w:val="28"/>
          <w:rtl w:val="true"/>
          <w:lang w:bidi="ar-SA"/>
        </w:rPr>
        <w:t xml:space="preserve">عن وقت الحاجة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7" w:name="__RefHeading___Toc39080_2142443653"/>
      <w:bookmarkStart w:id="248" w:name="_Toc98"/>
      <w:bookmarkEnd w:id="247"/>
      <w:r>
        <w:rPr>
          <w:rtl w:val="true"/>
        </w:rPr>
        <w:t>کلام الشیخ البهائی فی أنّ خبر محمد بن اسماعیل یستفاد منه عدم لزوم قصد الوجه فی الوضوء</w:t>
      </w:r>
      <w:bookmarkStart w:id="249" w:name="pg17122_169527"/>
      <w:bookmarkEnd w:id="248"/>
    </w:p>
    <w:p>
      <w:pPr>
        <w:pStyle w:val="BookText"/>
        <w:rPr/>
      </w:pPr>
      <w:bookmarkEnd w:id="249"/>
      <w:r>
        <w:rPr>
          <w:rFonts w:ascii="IRNazanin" w:hAnsi="IRNazanin" w:eastAsia="IRNazanin"/>
          <w:color w:val="111111"/>
          <w:sz w:val="28"/>
          <w:sz w:val="28"/>
          <w:szCs w:val="28"/>
          <w:rtl w:val="true"/>
          <w:lang w:bidi="fa-IR"/>
        </w:rPr>
        <w:t xml:space="preserve">ففی نظری القاصر فیه کلام أنهیته فی حاشیة التهذیب ، والذی یمکن ذکره هنا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إذا کان حقیقة فی الوجوب فاعتقاد الوجوب من محمد بن إسماعیل کما هو مقتضی الأمر فیه </w:t>
      </w:r>
      <w:r>
        <w:rPr>
          <w:rStyle w:val="FootnoteAnchor"/>
          <w:rtl w:val="true"/>
        </w:rPr>
        <w:footnoteReference w:id="212"/>
      </w:r>
      <w:r>
        <w:rPr>
          <w:rFonts w:ascii="IRNazanin" w:hAnsi="IRNazanin" w:eastAsia="IRNazanin"/>
          <w:color w:val="111111"/>
          <w:sz w:val="28"/>
          <w:sz w:val="28"/>
          <w:szCs w:val="28"/>
          <w:rtl w:val="true"/>
          <w:lang w:bidi="fa-IR"/>
        </w:rPr>
        <w:t>إغراء بالجهل ، وذلک غیر موافق للحکمة فی عدم بیان ما یردّ هذا الاعتقاد ، وعدم القصد حال الفعل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اعتقاد الوجوب إذا حصل یجوز حضوره حال الفعل وإن لم یکن متعیناً نظراً إلی عدم وجوب نیة الوجه ، لکن احتمال وقوع القصد کاف فی محذور منافاة الحکمة ، واحتمال علم الإمام بعدم الوقوع یقال مثله فی احتمال عدم الاحتیاج إلی الوضوء من المذی لیلزم تأخیر البیان ، والجواب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لو کان للوجوب لما ناسب قول ابن بزیع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الحقیقة إذا تحققت أعنی إرادة الوجوب لا وجه للسؤال ، واحتمال أن یکون السؤال لدفع شوب الارتیاب یشکل بتکرّر الأمر فی العامین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یظن أنّ هذا الخبر بالدلالة علی أنّ الأمر لیس للوجوب فی عرف الشارع أقرب منه دلالةً علی الوجوب ، غیر أنه یختلج الشک حینئذ بأن الأمر إمّا للاستحباب أو هو مشترک بین الوجوب والاستحباب ، فإن کان الأوّل فالسؤال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فائدة فیه ، وإن کان الثانی لم تحصل الفائدة من الجواب ، إذ لا یخرج عن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استفادة مطلق الرجحان من المشترک فیعمل به کما ظنه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0" w:name="__RefHeading___Toc39082_2142443653"/>
      <w:bookmarkStart w:id="251" w:name="_Toc99"/>
      <w:bookmarkEnd w:id="250"/>
      <w:r>
        <w:rPr>
          <w:rtl w:val="true"/>
        </w:rPr>
        <w:t>هل الأمر فی حدیث محمد بن اسماعیل حقیقة فی الوجوب؟</w:t>
      </w:r>
      <w:bookmarkEnd w:id="251"/>
    </w:p>
    <w:p>
      <w:pPr>
        <w:pStyle w:val="BookText"/>
        <w:rPr/>
      </w:pPr>
      <w:r>
        <w:rPr>
          <w:rFonts w:ascii="IRNazanin" w:hAnsi="IRNazanin" w:eastAsia="IRNazanin"/>
          <w:color w:val="111111"/>
          <w:sz w:val="28"/>
          <w:sz w:val="28"/>
          <w:szCs w:val="28"/>
          <w:rtl w:val="true"/>
          <w:lang w:bidi="fa-IR"/>
        </w:rPr>
        <w:t xml:space="preserve">الوالد قدس سره فی الأُصول </w:t>
      </w:r>
      <w:r>
        <w:rPr>
          <w:rStyle w:val="FootnoteAnchor"/>
          <w:rtl w:val="true"/>
        </w:rPr>
        <w:footnoteReference w:id="213"/>
      </w:r>
      <w:r>
        <w:rPr>
          <w:rFonts w:ascii="IRNazanin" w:hAnsi="IRNazanin" w:eastAsia="IRNazanin"/>
          <w:color w:val="111111"/>
          <w:sz w:val="28"/>
          <w:sz w:val="28"/>
          <w:szCs w:val="28"/>
          <w:rtl w:val="true"/>
          <w:lang w:bidi="fa-IR"/>
        </w:rPr>
        <w:t>وغیره من الأُصولیین لا یخلو من تأمّل فی نظری القاصر ، لأنّ الأحکام الشرعیة منحصرة فی الخمسة ، ومطلق الرجحان إن أُرید به من غیر فصل فلا تکلیف به ، ومع الفصل لا بُدّ من العلم به ، إذ التکلیف فرع العلم بالحکم ، ومع الإجمال لا علم ، فالإتیان بمطلق الرجحان علی أن یکون حکماً غیر واضح کما ذکرته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فائدة هذا الکلام هنا غیر ظاهرة ، لکن ذکرتها بالعارض لدفع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فالخبر المبحوث عنه المتضمن لأمر </w:t>
      </w:r>
      <w:r>
        <w:rPr>
          <w:rStyle w:val="FootnoteAnchor"/>
          <w:rtl w:val="true"/>
        </w:rPr>
        <w:footnoteReference w:id="214"/>
      </w:r>
      <w:r>
        <w:rPr>
          <w:rFonts w:ascii="IRNazanin" w:hAnsi="IRNazanin" w:eastAsia="IRNazanin"/>
          <w:color w:val="111111"/>
          <w:sz w:val="28"/>
          <w:sz w:val="28"/>
          <w:szCs w:val="28"/>
          <w:rtl w:val="true"/>
          <w:lang w:bidi="fa-IR"/>
        </w:rPr>
        <w:t xml:space="preserve">محمد بن إسماعیل یحتمل أن یکون فهم منه الاستحباب ، وإعادة السؤال فی السنة الثانیة علی تقدیر الاستحباب جوابها کالجواب علی تقدیر الوجوب حذو النعل بالنعل ، غیر أنّ قوله فی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أتوضّأ ، أقرب إلی إرادة الاستحباب ، وفائدته وإن خفیت ، إلاّ أنّ احتمال إرادة دفع الارتیاب فی الاستحباب ممکن وله قرب بالنسبة إلی إرادة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یظهر وجه نظر فی کلام شیخنا البهائی سلمه الله </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کما یعلم بصحیح التأمّل ، وتوضیح الحال فی حاشیة التهذیب</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ذکره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الراوی إذا روی الحدیث تارة مع زیادة وتارة بدونها ، عمل علی تلک الزیادة إن لم تکن مغیّرة ویکون بمنزلة الروایتین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قلنا فیه کلام أیضاً فی الحاشیة ، والقدر المطلوب ذکره هنا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أنه یبقی شی‌ء لا بدّ من التنبیه علیه ، وهو أنّ خبر إسحاق بن عمار تضمّن أن النبی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بشی‌ء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یتناول </w:t>
      </w:r>
      <w:r>
        <w:rPr>
          <w:rStyle w:val="FootnoteAnchor"/>
          <w:rtl w:val="true"/>
        </w:rPr>
        <w:footnoteReference w:id="217"/>
      </w:r>
      <w:r>
        <w:rPr>
          <w:rFonts w:ascii="IRNazanin" w:hAnsi="IRNazanin" w:eastAsia="IRNazanin"/>
          <w:color w:val="111111"/>
          <w:sz w:val="28"/>
          <w:sz w:val="28"/>
          <w:szCs w:val="28"/>
          <w:rtl w:val="true"/>
          <w:lang w:bidi="fa-IR"/>
        </w:rPr>
        <w:t>نفی النجاسة ونفی الوضوء ، فإذا عارضه ما دلّ علی الوضوء حمل النفی فی خبر إسحاق علی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وجوابه یظهر بالتأمل فی ذکر جواب النبی صلی الله علیه و آله فی الأخبار ، فإنه لا مساغ </w:t>
      </w:r>
      <w:r>
        <w:rPr>
          <w:rStyle w:val="FootnoteAnchor"/>
          <w:rtl w:val="true"/>
        </w:rPr>
        <w:footnoteReference w:id="218"/>
      </w:r>
      <w:r>
        <w:rPr>
          <w:rFonts w:ascii="IRNazanin" w:hAnsi="IRNazanin" w:eastAsia="IRNazanin"/>
          <w:color w:val="111111"/>
          <w:sz w:val="28"/>
          <w:sz w:val="28"/>
          <w:szCs w:val="28"/>
          <w:rtl w:val="true"/>
          <w:lang w:bidi="fa-IR"/>
        </w:rPr>
        <w:t>لدخول التخصیص فی الباب إذا أعطاها الناظر حق النظر ، ولو تم بالتکلّف لم یتم التخصیص أیضا ، کما هو واضح ، والله الموفق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ویمکن أن یکون الاستحباب فی إعادة الوضوء من المذی إنّما یتوجه إلی من یخرج منه المذی بشهوة ، 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محمد بن الحسن الصفار ، عن موسی بن عمر ، عن علیّ ابن النعمان ، عن أبی سعید المکاری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المذی یخرج من الرجل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أحدّ لک فیه 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جعلت فداک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خرج منک علی شهوة فتوضّأ ، وإن خرج منک علی غیر ذلک فلیس علیک فیه وضوء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الصفار ، عن أحمد بن محمد ، عن الحسن بن علی بن یقطین ، عن أخیه الحسین ، عن أبیه علی بن یقطین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w:t>
      </w:r>
      <w:bookmarkStart w:id="252" w:name="pg17122_169530"/>
    </w:p>
    <w:p>
      <w:pPr>
        <w:pStyle w:val="BookText"/>
        <w:rPr/>
      </w:pPr>
      <w:bookmarkEnd w:id="252"/>
      <w:r>
        <w:rPr>
          <w:rFonts w:ascii="IRNazanin" w:hAnsi="IRNazanin" w:eastAsia="IRNazanin"/>
          <w:color w:val="111111"/>
          <w:sz w:val="28"/>
          <w:sz w:val="28"/>
          <w:szCs w:val="28"/>
          <w:rtl w:val="true"/>
          <w:lang w:bidi="fa-IR"/>
        </w:rPr>
        <w:t xml:space="preserve">عن المذی أینقض الوضوء؟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من شهوة نقض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الصفار ، عن معاویة بن حکیم ، عن علیّ بن الحسن بن رباط ، عن الکاهلی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المذی؟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کان منه بشهوة فتوضّأ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عمر ، والظاهر أنّه ابن یزید الصیقل ، لأن الراوی عنه سعد وهو فی مرتبة الصفار ، وموسی غیر ثقة علی ما وقفت علیه فی الرجال </w:t>
      </w:r>
      <w:r>
        <w:rPr>
          <w:rStyle w:val="FootnoteAnchor"/>
          <w:rtl w:val="true"/>
        </w:rPr>
        <w:footnoteReference w:id="220"/>
      </w:r>
      <w:r>
        <w:rPr>
          <w:rFonts w:ascii="IRNazanin" w:hAnsi="IRNazanin" w:eastAsia="IRNazanin"/>
          <w:color w:val="111111"/>
          <w:sz w:val="28"/>
          <w:sz w:val="28"/>
          <w:szCs w:val="28"/>
          <w:rtl w:val="true"/>
          <w:lang w:bidi="fa-IR"/>
        </w:rPr>
        <w:t xml:space="preserve">، واحتمال کونه ابن بزیع الثقة بعید ، لأن الطریق إلیه علی ما فی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أبی عبد الله ، عن عبد الرحمن بن حماد ، عنه </w:t>
      </w:r>
      <w:r>
        <w:rPr>
          <w:rStyle w:val="FootnoteAnchor"/>
          <w:rtl w:val="true"/>
        </w:rPr>
        <w:footnoteReference w:id="221"/>
      </w:r>
      <w:r>
        <w:rPr>
          <w:rFonts w:ascii="IRNazanin" w:hAnsi="IRNazanin" w:eastAsia="IRNazanin"/>
          <w:color w:val="111111"/>
          <w:sz w:val="28"/>
          <w:sz w:val="28"/>
          <w:szCs w:val="28"/>
          <w:rtl w:val="true"/>
          <w:lang w:bidi="fa-IR"/>
        </w:rPr>
        <w:t xml:space="preserve">؛ علی أن الاحتمال لا یفید شیئاً بدون الظهور ، مضافاً إلی اشتمال الطریق علی أبی سعید وأبی بصیر ، فإن الأوّل مذکور فی الرجال مهملا </w:t>
      </w:r>
      <w:r>
        <w:rPr>
          <w:rStyle w:val="FootnoteAnchor"/>
          <w:rtl w:val="true"/>
        </w:rPr>
        <w:footnoteReference w:id="222"/>
      </w:r>
      <w:r>
        <w:rPr>
          <w:rFonts w:ascii="IRNazanin" w:hAnsi="IRNazanin" w:eastAsia="IRNazanin"/>
          <w:color w:val="111111"/>
          <w:sz w:val="28"/>
          <w:sz w:val="28"/>
          <w:szCs w:val="28"/>
          <w:rtl w:val="true"/>
          <w:lang w:bidi="fa-IR"/>
        </w:rPr>
        <w:t xml:space="preserve">، واسمه هاشم ابن حیّان ، وأبو بصیر تکرّر القول فیه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والخبر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معاویة بن حکیم ، وقد وثّقه النجاشی </w:t>
      </w:r>
      <w:r>
        <w:rPr>
          <w:rStyle w:val="FootnoteAnchor"/>
          <w:rtl w:val="true"/>
        </w:rPr>
        <w:footnoteReference w:id="224"/>
      </w:r>
      <w:r>
        <w:rPr>
          <w:rFonts w:ascii="IRNazanin" w:hAnsi="IRNazanin" w:eastAsia="IRNazanin"/>
          <w:color w:val="111111"/>
          <w:sz w:val="28"/>
          <w:sz w:val="28"/>
          <w:szCs w:val="28"/>
          <w:rtl w:val="true"/>
          <w:lang w:bidi="fa-IR"/>
        </w:rPr>
        <w:t xml:space="preserve">، وقال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فطحی </w:t>
      </w:r>
      <w:r>
        <w:rPr>
          <w:rStyle w:val="FootnoteAnchor"/>
          <w:rtl w:val="true"/>
        </w:rPr>
        <w:footnoteReference w:id="225"/>
      </w:r>
      <w:r>
        <w:rPr>
          <w:rFonts w:ascii="IRNazanin" w:hAnsi="IRNazanin" w:eastAsia="IRNazanin"/>
          <w:color w:val="111111"/>
          <w:sz w:val="28"/>
          <w:sz w:val="28"/>
          <w:szCs w:val="28"/>
          <w:rtl w:val="true"/>
          <w:lang w:bidi="fa-IR"/>
        </w:rPr>
        <w:t xml:space="preserve">وابن رباط ثقة فی النجاشی </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الکاهلی فالظاهر</w:t>
      </w:r>
    </w:p>
    <w:p>
      <w:pPr>
        <w:pStyle w:val="Heading4"/>
        <w:numPr>
          <w:ilvl w:val="3"/>
          <w:numId w:val="1"/>
        </w:numPr>
        <w:rPr/>
      </w:pPr>
      <w:bookmarkStart w:id="253" w:name="__RefHeading___Toc39084_2142443653"/>
      <w:bookmarkStart w:id="254" w:name="_Toc100"/>
      <w:bookmarkEnd w:id="253"/>
      <w:r>
        <w:rPr>
          <w:rtl w:val="true"/>
        </w:rPr>
        <w:t>موسی بن عمر بن یزید الصیقل غیر ثقة</w:t>
      </w:r>
      <w:bookmarkEnd w:id="254"/>
    </w:p>
    <w:p>
      <w:pPr>
        <w:pStyle w:val="Heading4"/>
        <w:numPr>
          <w:ilvl w:val="3"/>
          <w:numId w:val="1"/>
        </w:numPr>
        <w:rPr/>
      </w:pPr>
      <w:bookmarkStart w:id="255" w:name="__RefHeading___Toc39086_2142443653"/>
      <w:bookmarkStart w:id="256" w:name="_Toc101"/>
      <w:bookmarkEnd w:id="255"/>
      <w:r>
        <w:rPr>
          <w:rtl w:val="true"/>
        </w:rPr>
        <w:t>طریق الشیخ فی الفهرست إلی موسی بن عمر بن بزیع</w:t>
      </w:r>
      <w:bookmarkEnd w:id="256"/>
    </w:p>
    <w:p>
      <w:pPr>
        <w:pStyle w:val="Heading4"/>
        <w:numPr>
          <w:ilvl w:val="3"/>
          <w:numId w:val="1"/>
        </w:numPr>
        <w:rPr/>
      </w:pPr>
      <w:bookmarkStart w:id="257" w:name="__RefHeading___Toc39088_2142443653"/>
      <w:bookmarkStart w:id="258" w:name="_Toc102"/>
      <w:bookmarkEnd w:id="257"/>
      <w:r>
        <w:rPr>
          <w:rtl w:val="true"/>
        </w:rPr>
        <w:t>ابو سعید المکاری مهمل</w:t>
      </w:r>
      <w:bookmarkEnd w:id="258"/>
    </w:p>
    <w:p>
      <w:pPr>
        <w:pStyle w:val="Heading4"/>
        <w:numPr>
          <w:ilvl w:val="3"/>
          <w:numId w:val="1"/>
        </w:numPr>
        <w:rPr/>
      </w:pPr>
      <w:bookmarkStart w:id="259" w:name="__RefHeading___Toc39090_2142443653"/>
      <w:bookmarkStart w:id="260" w:name="_Toc103"/>
      <w:bookmarkEnd w:id="259"/>
      <w:r>
        <w:rPr>
          <w:rtl w:val="true"/>
        </w:rPr>
        <w:t>معاویة بن حکیم ثقة فطحی</w:t>
      </w:r>
      <w:bookmarkEnd w:id="26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1" w:name="__RefHeading___Toc39092_2142443653"/>
      <w:bookmarkStart w:id="262" w:name="_Toc104"/>
      <w:bookmarkEnd w:id="261"/>
      <w:r>
        <w:rPr>
          <w:rtl w:val="true"/>
        </w:rPr>
        <w:t>علی بن الحسین بن رباط ثقة</w:t>
      </w:r>
      <w:bookmarkStart w:id="263" w:name="pg17122_169531"/>
      <w:bookmarkEnd w:id="262"/>
    </w:p>
    <w:p>
      <w:pPr>
        <w:pStyle w:val="BookText"/>
        <w:rPr/>
      </w:pPr>
      <w:bookmarkEnd w:id="263"/>
      <w:r>
        <w:rPr>
          <w:rFonts w:ascii="IRNazanin" w:hAnsi="IRNazanin" w:eastAsia="IRNazanin"/>
          <w:color w:val="111111"/>
          <w:sz w:val="28"/>
          <w:sz w:val="28"/>
          <w:szCs w:val="28"/>
          <w:rtl w:val="true"/>
          <w:lang w:bidi="fa-IR"/>
        </w:rPr>
        <w:t xml:space="preserve">أنه عبد الله بن یحیی کما صرّح به العلاّمة فی الخلاصة </w:t>
      </w:r>
      <w:r>
        <w:rPr>
          <w:rStyle w:val="FootnoteAnchor"/>
          <w:rtl w:val="true"/>
        </w:rPr>
        <w:footnoteReference w:id="227"/>
      </w:r>
      <w:r>
        <w:rPr>
          <w:rFonts w:ascii="IRNazanin" w:hAnsi="IRNazanin" w:eastAsia="IRNazanin"/>
          <w:color w:val="111111"/>
          <w:sz w:val="28"/>
          <w:sz w:val="28"/>
          <w:szCs w:val="28"/>
          <w:rtl w:val="true"/>
          <w:lang w:bidi="fa-IR"/>
        </w:rPr>
        <w:t xml:space="preserve">، ویأتی لأخیه إسحاق أیضاً ، وعبد الله یستفاد من الرجال مدحه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الجمیع ظاهر الدلالة علی أن المذی إذا خرج بشهوة نقض الوضوء ، إلاّ أنّه سیأتی فی خبر ابن رباط المرسل أن المذی یخرج من الشهوة ، وظاهره الحصر فی ذلک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کلام بعض أهل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المذی ماء أبیض رقیق لزج یخرج عند شهوة ، لا بشهوة ، ولا دفق ، ولا یعقّبه فتور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قدّمنا أیضاً عن بعض أنّ المذی ما یخرج من الذکر عند الإنعاظ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کلام بعض أیضاً إن المذی یخرج عقیب شهوة الجماع والملاعبة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وأنت خبیر بأنّ معنی الشهوة المذکورة لا یخلو من غموض ، وبتقدیر تحقق المعنی فحصول المذی لا عن شهوة لا یوافقه الخبر الآتی ، وکان علی الشیخ أن یحقّق الحال ، والأخبار المبحوث عنها صحیحها دال علی أن</w:t>
      </w:r>
    </w:p>
    <w:p>
      <w:pPr>
        <w:pStyle w:val="Heading4"/>
        <w:numPr>
          <w:ilvl w:val="3"/>
          <w:numId w:val="1"/>
        </w:numPr>
        <w:rPr/>
      </w:pPr>
      <w:bookmarkStart w:id="264" w:name="__RefHeading___Toc39094_2142443653"/>
      <w:bookmarkStart w:id="265" w:name="_Toc105"/>
      <w:bookmarkEnd w:id="264"/>
      <w:r>
        <w:rPr>
          <w:rtl w:val="true"/>
        </w:rPr>
        <w:t>عبدالله بن یحیی الکاهلی ممدوح</w:t>
      </w:r>
      <w:bookmarkEnd w:id="26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6" w:name="__RefHeading___Toc39096_2142443653"/>
      <w:bookmarkStart w:id="267" w:name="_Toc106"/>
      <w:bookmarkEnd w:id="266"/>
      <w:r>
        <w:rPr>
          <w:rtl w:val="true"/>
        </w:rPr>
        <w:t>معنی المذی</w:t>
      </w:r>
      <w:bookmarkStart w:id="268" w:name="pg17122_169532"/>
      <w:bookmarkEnd w:id="267"/>
    </w:p>
    <w:p>
      <w:pPr>
        <w:pStyle w:val="BookText"/>
        <w:rPr/>
      </w:pPr>
      <w:bookmarkEnd w:id="268"/>
      <w:r>
        <w:rPr>
          <w:rFonts w:ascii="IRNazanin" w:hAnsi="IRNazanin" w:eastAsia="IRNazanin"/>
          <w:color w:val="111111"/>
          <w:sz w:val="28"/>
          <w:sz w:val="28"/>
          <w:szCs w:val="28"/>
          <w:rtl w:val="true"/>
          <w:lang w:bidi="fa-IR"/>
        </w:rPr>
        <w:t>للمذی حالتین بحسب المفهوم ، إلاّ أنّه قابل للتوجیه إذا لم یتحقق المذی من دون الشهوة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فما قاله الشیخ رحمه الله من إمکان أن یکون الاستحباب فی إعادة الوضوء إذا کان المذی بشهوة ، إن أراد به بیان الجمع بین الأخبار السابقة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خبر إسحاق أنّ المذی لیس بشی‌ء ، وکذلک خبر عنبسة نظراً إلی الإطلاق ، ومفاد خبر محمد بن إسماعیل الوضوء من المذی مطلقاً ، وذکر قصة النبی صلی الله علیه و آله مؤیّدة العموم فی الجانبین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فالحمل علی المذی الحاصل من الشهوة یحتاج تمامیته إلی تکلف زائد ، بل فی الظن أنّه لا یسلم من المناقشة کما یعلم من مراجعة الأخبار وإعطائها حق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العلاّمة فی المختلف عن ابن الجنید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المذی عقیب شهوة نقض الوضوء ، ثم 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أنّه ممّا یعمّ به البلوی ویحصل لأکثر الناس فی أکثر الأوقات ، فلو کان ناقضاً لوجب أن یعلم من الدین کما یعلم نقض البول والغائط </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وأطال التوجیه بما لا یخلو من تأمّل ، وقد ذکرته فی حاشیة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بقیة الوجوه کاستصحاب الحال ، لأنّه قبل خروج المذی متطهر فکذلک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معارض بأنّ مقتضی الآیة الشریفة وجوب الوضوء علی کل من أراد القیام إلی الصلاة ، فإذا خرج المتطهر بما اتفق علیه بقی غیره ، ومنه من أمذی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9" w:name="__RefHeading___Toc39098_2142443653"/>
      <w:bookmarkStart w:id="270" w:name="_Toc107"/>
      <w:bookmarkEnd w:id="269"/>
      <w:r>
        <w:rPr>
          <w:rtl w:val="true"/>
        </w:rPr>
        <w:t>دلائل عدم ناقضیة المذی والمناقشة فیها</w:t>
      </w:r>
      <w:bookmarkEnd w:id="270"/>
    </w:p>
    <w:p>
      <w:pPr>
        <w:pStyle w:val="BookText"/>
        <w:rPr/>
      </w:pPr>
      <w:r>
        <w:rPr>
          <w:rFonts w:ascii="IRNazanin" w:hAnsi="IRNazanin" w:eastAsia="IRNazanin"/>
          <w:color w:val="111111"/>
          <w:sz w:val="28"/>
          <w:sz w:val="28"/>
          <w:szCs w:val="28"/>
          <w:rtl w:val="true"/>
          <w:lang w:bidi="fa-IR"/>
        </w:rPr>
        <w:t>ومثل هذا یقال فی الاستدلال بالرجوع إلی حکم الأصل ، لأنّه قبل الشرع لا یوجب حکماً فکذلک بعده ، لأنّ الأصل بقاء ما کان علی 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ترک مثل هذا الاستدلال والرجوع إلی الأخبار عند العامل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لمّا کانت الأخبار لا تخلو من معارضة أمکن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براءة الذمّة من الوجوب یؤیّده الأخبار الواردة بعدم الوضوء ، وستسمع بقیة الکلام فی المسألة بعد ذکر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یدل علی أن هذه الأخبار محمولة علی الاستحباب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أخبرنی به الشیخ رحمه الله عن أحمد بن محمد ، عن أبیه ، عن الصفار ، عن أحمد بن محمد بن عیسی ، عن الحسین بن سعید ، عن ابن أبی عمیر ، عن غیر واحد من أصحابنا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فی المذی من الشهوة ، ولا من الإنعاظ ، ولا من القُبلة ، ولا من مسّ الفرج ولا من المضاجعة وضوء ، ولا یغسل منه الثوب ولا الجسد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الاسناد عن الصفار ، عن الهیثم بن أبی مسروق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النهدی </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 xml:space="preserve">، عن علی بن الحسن </w:t>
      </w:r>
      <w:r>
        <w:rPr>
          <w:rStyle w:val="FootnoteAnchor"/>
          <w:rtl w:val="true"/>
        </w:rPr>
        <w:footnoteReference w:id="234"/>
      </w:r>
      <w:r>
        <w:rPr>
          <w:rFonts w:ascii="IRNazanin" w:hAnsi="IRNazanin" w:eastAsia="IRNazanin"/>
          <w:color w:val="111111"/>
          <w:sz w:val="28"/>
          <w:sz w:val="28"/>
          <w:szCs w:val="28"/>
          <w:rtl w:val="true"/>
          <w:lang w:bidi="fa-IR"/>
        </w:rPr>
        <w:t xml:space="preserve">الطاطری ، عن ابن رباط ، عن بعض أصحابنا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یخرج من الإحلیل المنی والمذی</w:t>
      </w:r>
      <w:r>
        <w:rPr>
          <w:rStyle w:val="FootnoteAnchor"/>
          <w:rtl w:val="true"/>
        </w:rPr>
        <w:footnoteReference w:id="235"/>
      </w:r>
      <w:r>
        <w:rPr>
          <w:rFonts w:ascii="IRNazanin" w:hAnsi="IRNazanin" w:eastAsia="IRNazanin"/>
          <w:color w:val="111111"/>
          <w:sz w:val="28"/>
          <w:sz w:val="28"/>
          <w:szCs w:val="28"/>
          <w:rtl w:val="true"/>
          <w:lang w:bidi="fa-IR"/>
        </w:rPr>
        <w:t xml:space="preserve">والوذی ، فأمّا المنی فهو الذی تسترخی </w:t>
      </w:r>
      <w:r>
        <w:rPr>
          <w:rStyle w:val="FootnoteAnchor"/>
          <w:rtl w:val="true"/>
        </w:rPr>
        <w:footnoteReference w:id="236"/>
      </w:r>
      <w:r>
        <w:rPr>
          <w:rFonts w:ascii="IRNazanin" w:hAnsi="IRNazanin" w:eastAsia="IRNazanin"/>
          <w:color w:val="111111"/>
          <w:sz w:val="28"/>
          <w:sz w:val="28"/>
          <w:szCs w:val="28"/>
          <w:rtl w:val="true"/>
          <w:lang w:bidi="fa-IR"/>
        </w:rPr>
        <w:t xml:space="preserve">له العظام ویفتر </w:t>
      </w:r>
      <w:bookmarkStart w:id="271" w:name="pg17122_169534"/>
    </w:p>
    <w:p>
      <w:pPr>
        <w:pStyle w:val="BookText"/>
        <w:rPr/>
      </w:pPr>
      <w:bookmarkEnd w:id="271"/>
      <w:r>
        <w:rPr>
          <w:rFonts w:ascii="IRNazanin" w:hAnsi="IRNazanin" w:eastAsia="IRNazanin"/>
          <w:color w:val="111111"/>
          <w:sz w:val="28"/>
          <w:sz w:val="28"/>
          <w:szCs w:val="28"/>
          <w:rtl w:val="true"/>
          <w:lang w:bidi="fa-IR"/>
        </w:rPr>
        <w:t xml:space="preserve">منه الجسد وفیه الغُسل ، وأمّا المذی فإنه یخرج من الشهوة ولا شی‌ء فیه ، وأمّا الودی </w:t>
      </w:r>
      <w:r>
        <w:rPr>
          <w:rStyle w:val="FootnoteAnchor"/>
          <w:rtl w:val="true"/>
        </w:rPr>
        <w:footnoteReference w:id="237"/>
      </w:r>
      <w:r>
        <w:rPr>
          <w:rFonts w:ascii="IRNazanin" w:hAnsi="IRNazanin" w:eastAsia="IRNazanin"/>
          <w:color w:val="111111"/>
          <w:sz w:val="28"/>
          <w:sz w:val="28"/>
          <w:szCs w:val="28"/>
          <w:rtl w:val="true"/>
          <w:lang w:bidi="fa-IR"/>
        </w:rPr>
        <w:t xml:space="preserve">فهو الذی یخرج بعد البول ، وأمّا الوذی </w:t>
      </w:r>
      <w:r>
        <w:rPr>
          <w:rStyle w:val="FootnoteAnchor"/>
          <w:rtl w:val="true"/>
        </w:rPr>
        <w:footnoteReference w:id="238"/>
      </w:r>
      <w:r>
        <w:rPr>
          <w:rFonts w:ascii="IRNazanin" w:hAnsi="IRNazanin" w:eastAsia="IRNazanin"/>
          <w:color w:val="111111"/>
          <w:sz w:val="28"/>
          <w:sz w:val="28"/>
          <w:szCs w:val="28"/>
          <w:rtl w:val="true"/>
          <w:lang w:bidi="fa-IR"/>
        </w:rPr>
        <w:t xml:space="preserve">فهو الذی یخرج من الأدواء </w:t>
      </w:r>
      <w:r>
        <w:rPr>
          <w:rStyle w:val="FootnoteAnchor"/>
          <w:rtl w:val="true"/>
        </w:rPr>
        <w:footnoteReference w:id="239"/>
      </w:r>
      <w:r>
        <w:rPr>
          <w:rFonts w:ascii="IRNazanin" w:hAnsi="IRNazanin" w:eastAsia="IRNazanin"/>
          <w:color w:val="111111"/>
          <w:sz w:val="28"/>
          <w:sz w:val="28"/>
          <w:szCs w:val="28"/>
          <w:rtl w:val="true"/>
          <w:lang w:bidi="fa-IR"/>
        </w:rPr>
        <w:t xml:space="preserve">فلا شی‌ء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معدود من الصحیح حتی عند من لا یعمل بمراسیل ابن أبی عمیر نظراً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غیر واحد ، وفیه تأمّل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من شیخنا قدس سره أنّه قال بعد نقلها فی المدارک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یضر إرسالها لأن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غیر واحد من أصحابه ، إشعاراً بثبوت مدلولها عنده </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ثبوت المدلول عنده لا یقتضی وجوب العمل عند غیره ، ولو تم لزم ثبوت العمل وإن لم ترد الروایة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واحد ،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الهیثم بن أبی مسروق وقد تقدم فیه القول </w:t>
      </w:r>
      <w:r>
        <w:rPr>
          <w:rStyle w:val="FootnoteAnchor"/>
          <w:rtl w:val="true"/>
        </w:rPr>
        <w:footnoteReference w:id="241"/>
      </w:r>
      <w:r>
        <w:rPr>
          <w:rFonts w:ascii="IRNazanin" w:hAnsi="IRNazanin" w:eastAsia="IRNazanin"/>
          <w:color w:val="111111"/>
          <w:sz w:val="28"/>
          <w:sz w:val="28"/>
          <w:szCs w:val="28"/>
          <w:rtl w:val="true"/>
          <w:lang w:bidi="fa-IR"/>
        </w:rPr>
        <w:t xml:space="preserve">؛ والطاطری ثقة واقفیّ ؛ وابن رباط محتمل لأن یکون الثقة وهو علی بن الحسن بن رباط ، وغیره وهو الحسن بن رباط وعلی بن رباط بتقدیر المغایرة لعلی بن الحسن بن رباط ، کما قد یفهم من رجال الشیخ </w:t>
      </w:r>
      <w:r>
        <w:rPr>
          <w:rStyle w:val="FootnoteAnchor"/>
          <w:rtl w:val="true"/>
        </w:rPr>
        <w:footnoteReference w:id="242"/>
      </w:r>
      <w:r>
        <w:rPr>
          <w:rFonts w:ascii="IRNazanin" w:hAnsi="IRNazanin" w:eastAsia="IRNazanin"/>
          <w:color w:val="111111"/>
          <w:sz w:val="28"/>
          <w:sz w:val="28"/>
          <w:szCs w:val="28"/>
          <w:rtl w:val="true"/>
          <w:lang w:bidi="fa-IR"/>
        </w:rPr>
        <w:t>، وإن أمکن الاتحاد ، وفیه کلام ، وعلی کل حال فالحدیث ضعیف بالإرسال</w:t>
      </w:r>
      <w:r>
        <w:rPr>
          <w:rFonts w:eastAsia="IRNazanin" w:cs="IRNazanin"/>
          <w:color w:val="111111"/>
          <w:sz w:val="28"/>
          <w:szCs w:val="28"/>
          <w:rtl w:val="true"/>
          <w:lang w:bidi="fa-IR"/>
        </w:rPr>
        <w:t>.</w:t>
      </w:r>
    </w:p>
    <w:p>
      <w:pPr>
        <w:pStyle w:val="Heading4"/>
        <w:numPr>
          <w:ilvl w:val="3"/>
          <w:numId w:val="1"/>
        </w:numPr>
        <w:rPr/>
      </w:pPr>
      <w:bookmarkStart w:id="272" w:name="__RefHeading___Toc39100_2142443653"/>
      <w:bookmarkStart w:id="273" w:name="_Toc108"/>
      <w:bookmarkEnd w:id="272"/>
      <w:r>
        <w:rPr>
          <w:rtl w:val="true"/>
        </w:rPr>
        <w:t xml:space="preserve">قول ابن ابی عمیر </w:t>
      </w:r>
      <w:r>
        <w:rPr>
          <w:rtl w:val="true"/>
        </w:rPr>
        <w:t xml:space="preserve">: </w:t>
      </w:r>
      <w:r>
        <w:rPr>
          <w:rtl w:val="true"/>
        </w:rPr>
        <w:t>عن غیر واحد ، لا یقتضی صحّة المرسلة</w:t>
      </w:r>
      <w:bookmarkEnd w:id="273"/>
    </w:p>
    <w:p>
      <w:pPr>
        <w:pStyle w:val="Heading4"/>
        <w:numPr>
          <w:ilvl w:val="3"/>
          <w:numId w:val="1"/>
        </w:numPr>
        <w:rPr/>
      </w:pPr>
      <w:bookmarkStart w:id="274" w:name="__RefHeading___Toc39102_2142443653"/>
      <w:bookmarkStart w:id="275" w:name="_Toc109"/>
      <w:bookmarkEnd w:id="274"/>
      <w:r>
        <w:rPr>
          <w:rtl w:val="true"/>
        </w:rPr>
        <w:t>الطاطری ثقة واقفی</w:t>
      </w:r>
      <w:bookmarkEnd w:id="27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6" w:name="__RefHeading___Toc39104_2142443653"/>
      <w:bookmarkStart w:id="277" w:name="_Toc110"/>
      <w:bookmarkEnd w:id="276"/>
      <w:r>
        <w:rPr>
          <w:rtl w:val="true"/>
        </w:rPr>
        <w:t>من هو ابن رباط؟</w:t>
      </w:r>
      <w:bookmarkStart w:id="278" w:name="pg17122_169535"/>
      <w:bookmarkEnd w:id="277"/>
    </w:p>
    <w:p>
      <w:pPr>
        <w:pStyle w:val="BookText"/>
        <w:rPr/>
      </w:pPr>
      <w:bookmarkEnd w:id="278"/>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الأوّل عدم الوضوء من المذی وإن کان بشهوة ، ومعارضة ما تقدم من الخبر الصحیح عن علی بن یقطین یقتضی إرادة نفی الوجوب فی خبر ابن أبی عمیر إن عملنا به ، لکن الحال غیر 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دلّ من معتبر الأخبار علی أن المذی لا ینقض الوضوء علی الإطلاق لا مانع من تقییده کروایة زید الشحام ومحمد بن مسلم وزرارة الصحیحة الآتیة </w:t>
      </w:r>
      <w:r>
        <w:rPr>
          <w:rStyle w:val="FootnoteAnchor"/>
          <w:rtl w:val="true"/>
        </w:rPr>
        <w:footnoteReference w:id="24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هو بمنزلة النخامة کل شی‌ء خرج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الوضوء </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 xml:space="preserve">فإنه من الحبائل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یمکن أن یراد بالوضوء فی خبر ابن أبی عمیر الاستنجاء ، فلا یعارض خبر ابن یقطین ، وفیه بُعد ، إلاّ أن أهل الخلاف یذهبون إلی نجاسته ووجوب الاستنجاء منه </w:t>
      </w:r>
      <w:r>
        <w:rPr>
          <w:rStyle w:val="FootnoteAnchor"/>
          <w:rtl w:val="true"/>
        </w:rPr>
        <w:footnoteReference w:id="245"/>
      </w:r>
      <w:r>
        <w:rPr>
          <w:rFonts w:ascii="IRNazanin" w:hAnsi="IRNazanin" w:eastAsia="IRNazanin"/>
          <w:color w:val="111111"/>
          <w:sz w:val="28"/>
          <w:sz w:val="28"/>
          <w:szCs w:val="28"/>
          <w:rtl w:val="true"/>
          <w:lang w:bidi="fa-IR"/>
        </w:rPr>
        <w:t xml:space="preserve">، بل ذهب بعضهم إلی وجوب غَسل جمیع الذکر منه وإن لم یصبه منه شی‌ء </w:t>
      </w:r>
      <w:r>
        <w:rPr>
          <w:rStyle w:val="FootnoteAnchor"/>
          <w:rtl w:val="true"/>
        </w:rPr>
        <w:footnoteReference w:id="246"/>
      </w:r>
      <w:r>
        <w:rPr>
          <w:rFonts w:ascii="IRNazanin" w:hAnsi="IRNazanin" w:eastAsia="IRNazanin"/>
          <w:color w:val="111111"/>
          <w:sz w:val="28"/>
          <w:sz w:val="28"/>
          <w:szCs w:val="28"/>
          <w:rtl w:val="true"/>
          <w:lang w:bidi="fa-IR"/>
        </w:rPr>
        <w:t>، وحینئذ ربما قرب الخبر من الردّ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الخبر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کما تری ذکر فیه ثلاثة فی الإجمال ، وفی التفصیل زاد رابعاً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والوذی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الودی </w:t>
      </w:r>
      <w:r>
        <w:rPr>
          <w:rStyle w:val="FootnoteAnchor"/>
          <w:rtl w:val="true"/>
        </w:rPr>
        <w:footnoteReference w:id="247"/>
      </w:r>
      <w:r>
        <w:rPr>
          <w:rFonts w:ascii="IRNazanin" w:hAnsi="IRNazanin" w:eastAsia="IRNazanin"/>
          <w:color w:val="111111"/>
          <w:sz w:val="28"/>
          <w:sz w:val="28"/>
          <w:szCs w:val="28"/>
          <w:rtl w:val="true"/>
          <w:lang w:bidi="fa-IR"/>
        </w:rPr>
        <w:t xml:space="preserve">، وربما یظن أنّه الصواب ، إلاّ أنّ شیخنا المحقّق میرزا محمد أیّده الله قال فی فوائده علی الکتاب </w:t>
      </w:r>
      <w:r>
        <w:rPr>
          <w:rFonts w:eastAsia="IRNazanin" w:cs="IRNazanin"/>
          <w:color w:val="111111"/>
          <w:sz w:val="28"/>
          <w:szCs w:val="28"/>
          <w:rtl w:val="true"/>
          <w:lang w:bidi="fa-IR"/>
        </w:rPr>
        <w:t>:</w:t>
      </w:r>
    </w:p>
    <w:p>
      <w:pPr>
        <w:pStyle w:val="Heading4"/>
        <w:numPr>
          <w:ilvl w:val="3"/>
          <w:numId w:val="1"/>
        </w:numPr>
        <w:rPr/>
      </w:pPr>
      <w:bookmarkStart w:id="279" w:name="__RefHeading___Toc39106_2142443653"/>
      <w:bookmarkStart w:id="280" w:name="_Toc111"/>
      <w:bookmarkEnd w:id="279"/>
      <w:r>
        <w:rPr>
          <w:rtl w:val="true"/>
        </w:rPr>
        <w:t>حکم الودی والوذی</w:t>
      </w:r>
      <w:bookmarkEnd w:id="28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1" w:name="__RefHeading___Toc39108_2142443653"/>
      <w:bookmarkStart w:id="282" w:name="_Toc112"/>
      <w:bookmarkEnd w:id="281"/>
      <w:r>
        <w:rPr>
          <w:rtl w:val="true"/>
        </w:rPr>
        <w:t>لیس فی المذی وضوء وإن کان بشهوة</w:t>
      </w:r>
      <w:bookmarkStart w:id="283" w:name="pg17122_169536"/>
      <w:bookmarkEnd w:id="282"/>
    </w:p>
    <w:p>
      <w:pPr>
        <w:pStyle w:val="BookText"/>
        <w:rPr/>
      </w:pPr>
      <w:bookmarkEnd w:id="283"/>
      <w:r>
        <w:rPr>
          <w:rFonts w:ascii="IRNazanin" w:hAnsi="IRNazanin" w:eastAsia="IRNazanin"/>
          <w:color w:val="111111"/>
          <w:sz w:val="28"/>
          <w:sz w:val="28"/>
          <w:szCs w:val="28"/>
          <w:rtl w:val="true"/>
          <w:lang w:bidi="fa-IR"/>
        </w:rPr>
        <w:t>ومخالفته فی البیان لما تقدم ربما اقتضی خلاف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إذا تأمّلت الخبر فی التهذیب وفی الکتاب تری أنّه لا یخلو من شی‌ء کما ذکرته فی حاشیة التهذیب ، وما قدّمناه من دلالته علی حصر المذی فی الخارج من الشهوة هو الظاهر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الودی </w:t>
      </w:r>
      <w:r>
        <w:rPr>
          <w:rStyle w:val="FootnoteAnchor"/>
          <w:rtl w:val="true"/>
        </w:rPr>
        <w:footnoteReference w:id="248"/>
      </w:r>
      <w:r>
        <w:rPr>
          <w:rFonts w:ascii="IRNazanin" w:hAnsi="IRNazanin" w:eastAsia="IRNazanin"/>
          <w:color w:val="111111"/>
          <w:sz w:val="28"/>
          <w:sz w:val="28"/>
          <w:szCs w:val="28"/>
          <w:rtl w:val="true"/>
          <w:lang w:bidi="fa-IR"/>
        </w:rPr>
        <w:t>من غیر تعرض إیجاب الوضوء وعدمه غیر واضح الوجه ، ولعلّه اکتفی بالنفی فی بقیة الأقسام ، وفیه ما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الودی بسکون الدال یعنی المهملة وکسرها وتشدید الیاء ، البلل اللزج الذی یخرج من الذکر بعد البول </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بعض المتأخّرین أنّ الوذی بالمعجمة ما یخرج عقیب إنزال المنی </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علی مأخذه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الحسن بن محبوب ، عن ابن سنان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یخرجن من الإحلیل وهی المنی وفیه الغسل ، والودی فمنه الوضوء لأنه یخرج من دریرة البول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والمذی لیس فیه وضوء وإنّما هو بمنزلة ما یخرج من الأنف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والودی فمنه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علی أنّه إذا لم یکن قد استبرأ من البول علی ما ذکرناه وخرج منه بعد ذلک شی‌ء وجب</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4" w:name="__RefHeading___Toc39110_2142443653"/>
      <w:bookmarkStart w:id="285" w:name="_Toc113"/>
      <w:bookmarkEnd w:id="284"/>
      <w:r>
        <w:rPr>
          <w:rtl w:val="true"/>
        </w:rPr>
        <w:t>معنی الوَدی والوَذی</w:t>
      </w:r>
      <w:bookmarkStart w:id="286" w:name="pg17122_169537"/>
      <w:bookmarkEnd w:id="285"/>
    </w:p>
    <w:p>
      <w:pPr>
        <w:pStyle w:val="BookText"/>
        <w:rPr/>
      </w:pPr>
      <w:bookmarkEnd w:id="286"/>
      <w:r>
        <w:rPr>
          <w:rFonts w:ascii="IRNazanin" w:hAnsi="IRNazanin" w:eastAsia="IRNazanin"/>
          <w:color w:val="111111"/>
          <w:sz w:val="28"/>
          <w:sz w:val="28"/>
          <w:szCs w:val="28"/>
          <w:rtl w:val="true"/>
          <w:lang w:bidi="fa-IR"/>
        </w:rPr>
        <w:t xml:space="preserve">علیه إعادة الوضوء ، لأنه یکون من بقیة البول ، وقد نبّه علی ذلک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لأنه یخرج من دریرة البول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أن ذلک إما بول أو یخالطه البول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والذی یکشف عما ذکرناه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محمد بن أحمد بن یحیی ، عن یعقوب بن یزید ، عن ابن أبی عمیر ، عن جمیل بن صالح ، عن عبد الملک بن عمرو ، عن أبی عبد الله علیه السلام فی الرجل یبول ثم یستنجی ثم یجد بعد ذلک بللاً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بال فخرط ما بین المقعدة والأُنثیین ثلاث مرّات وغمز ما بینهما ثم استنجی فإن سال حتی یبلغ السوق فلا یبالی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واضح </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 xml:space="preserve">لأنّ الطریق فی المشیخة إلی الحسن بن محبوب صحیح فیما کان من کتبه ومصنفاته </w:t>
      </w:r>
      <w:r>
        <w:rPr>
          <w:rStyle w:val="FootnoteAnchor"/>
          <w:rtl w:val="true"/>
        </w:rPr>
        <w:footnoteReference w:id="253"/>
      </w:r>
      <w:r>
        <w:rPr>
          <w:rFonts w:ascii="IRNazanin" w:hAnsi="IRNazanin" w:eastAsia="IRNazanin"/>
          <w:color w:val="111111"/>
          <w:sz w:val="28"/>
          <w:sz w:val="28"/>
          <w:szCs w:val="28"/>
          <w:rtl w:val="true"/>
          <w:lang w:bidi="fa-IR"/>
        </w:rPr>
        <w:t xml:space="preserve">،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فالطریق حسن بإبراهیم فی بعضها وصحیح فی آخر ، وحینئذ یتحقق للشیخ طریق صحیح إلی الحسن بن محبوب من غیر کتبه ومصنفاته </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وأمّا ابن سنان فالظاهر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7" w:name="__RefHeading___Toc39112_2142443653"/>
      <w:bookmarkStart w:id="288" w:name="_Toc114"/>
      <w:bookmarkEnd w:id="287"/>
      <w:r>
        <w:rPr>
          <w:rtl w:val="true"/>
        </w:rPr>
        <w:t>بحث حول طرق الشیخ إلی الحسن بن محبوب</w:t>
      </w:r>
      <w:bookmarkStart w:id="289" w:name="pg17122_169538"/>
      <w:bookmarkEnd w:id="288"/>
    </w:p>
    <w:p>
      <w:pPr>
        <w:pStyle w:val="BookText"/>
        <w:rPr/>
      </w:pPr>
      <w:bookmarkEnd w:id="289"/>
      <w:r>
        <w:rPr>
          <w:rFonts w:ascii="IRNazanin" w:hAnsi="IRNazanin" w:eastAsia="IRNazanin"/>
          <w:color w:val="111111"/>
          <w:sz w:val="28"/>
          <w:sz w:val="28"/>
          <w:szCs w:val="28"/>
          <w:rtl w:val="true"/>
          <w:lang w:bidi="fa-IR"/>
        </w:rPr>
        <w:t xml:space="preserve">أنّه عبد الله ، لأنّه الراوی عن أبی عبد الله کما یستفاد من الرجال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عبد الملک بن عمرو ، وهو غیر معلوم التوثیق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الأوّل وجوب الوضوء من الودی ، ومعارضه هنا هو الخبر المرسل ، ولیس فیه ذکر للوضوء ولا لعدمه کما سبق فیه القول ، وروایة زید الشحام تدل علی الوذی المعجمة ، وحینئذ فالحمل المذکور فی کلام الشیخ محل نظر بالنسبة إلی ما هنا من الأخبار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یستفاد من الروایة الثانیة أنّ الودی لا ینقض الوضوء بعد الاستبراء وإن أمکن أن یقال باحتمال أن یراد نفی النجاسة من الروایة نظراً إلی وجود المعارض الدال علی وجوب الوضوء منه عند الشیخ العامل بالخبر الأوّل</w:t>
      </w:r>
      <w:r>
        <w:rPr>
          <w:rFonts w:eastAsia="IRNazanin" w:cs="IRNazanin"/>
          <w:color w:val="111111"/>
          <w:sz w:val="28"/>
          <w:szCs w:val="28"/>
          <w:rtl w:val="true"/>
          <w:lang w:bidi="fa-IR"/>
        </w:rPr>
        <w:t>.</w:t>
      </w:r>
    </w:p>
    <w:p>
      <w:pPr>
        <w:pStyle w:val="Heading4"/>
        <w:numPr>
          <w:ilvl w:val="3"/>
          <w:numId w:val="1"/>
        </w:numPr>
        <w:rPr/>
      </w:pPr>
      <w:bookmarkStart w:id="290" w:name="__RefHeading___Toc39114_2142443653"/>
      <w:bookmarkStart w:id="291" w:name="_Toc115"/>
      <w:bookmarkEnd w:id="290"/>
      <w:r>
        <w:rPr>
          <w:rtl w:val="true"/>
        </w:rPr>
        <w:t>ابن سنان الراوی عن أبی عبدالله علیه السلام هو عبدالله</w:t>
      </w:r>
      <w:bookmarkEnd w:id="291"/>
    </w:p>
    <w:p>
      <w:pPr>
        <w:pStyle w:val="Heading4"/>
        <w:numPr>
          <w:ilvl w:val="3"/>
          <w:numId w:val="1"/>
        </w:numPr>
        <w:rPr/>
      </w:pPr>
      <w:bookmarkStart w:id="292" w:name="__RefHeading___Toc39116_2142443653"/>
      <w:bookmarkStart w:id="293" w:name="_Toc116"/>
      <w:bookmarkEnd w:id="292"/>
      <w:r>
        <w:rPr>
          <w:rtl w:val="true"/>
        </w:rPr>
        <w:t>عبدالملک بن عمرو غیر معلوم التوثیق</w:t>
      </w:r>
      <w:bookmarkEnd w:id="29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4" w:name="__RefHeading___Toc39118_2142443653"/>
      <w:bookmarkStart w:id="295" w:name="_Toc117"/>
      <w:bookmarkEnd w:id="294"/>
      <w:r>
        <w:rPr>
          <w:rtl w:val="true"/>
        </w:rPr>
        <w:t>وجه الجمع بین ما دل علی وجوب الوضوء من الودی وما یعارضه</w:t>
      </w:r>
      <w:bookmarkStart w:id="296" w:name="pg17122_169539"/>
      <w:bookmarkEnd w:id="295"/>
    </w:p>
    <w:p>
      <w:pPr>
        <w:pStyle w:val="BookText"/>
        <w:rPr/>
      </w:pPr>
      <w:bookmarkEnd w:id="296"/>
      <w:r>
        <w:rPr>
          <w:rFonts w:ascii="IRNazanin" w:hAnsi="IRNazanin" w:eastAsia="IRNazanin"/>
          <w:color w:val="111111"/>
          <w:sz w:val="28"/>
          <w:sz w:val="28"/>
          <w:szCs w:val="28"/>
          <w:rtl w:val="true"/>
          <w:lang w:bidi="fa-IR"/>
        </w:rPr>
        <w:t>ویمکن الجواب بأنّ ظاهر الخبر الثانی عموم عدم المبالاة من جهة النجاسة ونقض الوضوء ، ویؤیّده الخبر الآتی ، ولعلّ الشیخ لو قدّم الخبر المرسل عن حریز کان أولی لصراحته فی عدم نقض الوضوء فتتحقق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 ما تضمنه الخبر الثانی من کیفیة الاستبراء لا یخلو من إجمال ، فإنّ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وغمز ما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لأن یعود الضمیر إلی الأُنثیین ویراد بما بینهما الجزء المتصل بهما من الذکر ، ویحتمل أن یعود إلی الأُنثیین وبقیة الذکر ، ویحتمل أن یعود إلی المقعدة والأُنثیین ، فتکون الواو بمعنی أو ، ویحتمل الجمع بین الأمرین لما سیأتی من تفسیر الغمز والخرط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النبات التفّ ، والناقة بلبنها أدرّته ، والفرس تدرّ دریراً عَدا شدیداً أو عَدواً سهلاً ، والعرق سال ، وفیه أیضا الدِّرّة بالکسر سیلان اللبن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خرط الشجر یخرِطه ، ویخرُطه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انتزع الورق منه اجتذابا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العصر والکبس بالید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والسوق جمع ساق وهو ما بین الکعب والرکبة</w:t>
      </w:r>
      <w:r>
        <w:rPr>
          <w:rFonts w:eastAsia="IRNazanin" w:cs="IRNazanin"/>
          <w:color w:val="111111"/>
          <w:sz w:val="28"/>
          <w:szCs w:val="28"/>
          <w:rtl w:val="true"/>
          <w:lang w:bidi="fa-IR"/>
        </w:rPr>
        <w:t>.</w:t>
      </w:r>
    </w:p>
    <w:p>
      <w:pPr>
        <w:pStyle w:val="Heading4"/>
        <w:numPr>
          <w:ilvl w:val="3"/>
          <w:numId w:val="1"/>
        </w:numPr>
        <w:rPr/>
      </w:pPr>
      <w:bookmarkStart w:id="297" w:name="__RefHeading___Toc39120_2142443653"/>
      <w:bookmarkStart w:id="298" w:name="_Toc118"/>
      <w:bookmarkEnd w:id="297"/>
      <w:r>
        <w:rPr>
          <w:rtl w:val="true"/>
        </w:rPr>
        <w:t>کیفیة الاستبراء فی خبر عبدالملک بن عمرو مجملة</w:t>
      </w:r>
      <w:bookmarkEnd w:id="29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9" w:name="__RefHeading___Toc39122_2142443653"/>
      <w:bookmarkStart w:id="300" w:name="_Toc119"/>
      <w:bookmarkEnd w:id="299"/>
      <w:r>
        <w:rPr>
          <w:rtl w:val="true"/>
        </w:rPr>
        <w:t>معنی الدَرّ والخرط والغمز والسوق</w:t>
      </w:r>
      <w:bookmarkEnd w:id="300"/>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ویزید ذلک بیاناً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الحسین بن سعید ، عن حماد ، عن حریز ، عمّن أخبره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الوذی لا ینقض الوضوء إنّما هو بمنزلة المخاط والبصاق </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 عن حماد ، عن حریز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زید الشحام وزرارة ومحمد بن مسلم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سال من ذکرک شی‌ء من مذی أو وذی فلا تغسله ، ولا تقطع الصلاة ، ولا تنقض له الوضوء ، إنّما هو بمنزلة النخامة ، کل شی‌ء خرج منک بعد الوضوء فإنّه من الحبائل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ابن أبی عمیر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یعقوب بن یقطین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الرجل یمذی وهو فی الصلاة من شهوة أو من غیر شهوة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المذی منه الوضوء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المذی منه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حمله علی التعجب منه ، فکأنّه </w:t>
      </w:r>
      <w:r>
        <w:rPr>
          <w:rStyle w:val="FootnoteAnchor"/>
          <w:rtl w:val="true"/>
        </w:rPr>
        <w:footnoteReference w:id="260"/>
      </w:r>
      <w:r>
        <w:rPr>
          <w:rFonts w:ascii="IRNazanin" w:hAnsi="IRNazanin" w:eastAsia="IRNazanin"/>
          <w:color w:val="111111"/>
          <w:sz w:val="28"/>
          <w:sz w:val="28"/>
          <w:szCs w:val="28"/>
          <w:rtl w:val="true"/>
          <w:lang w:bidi="fa-IR"/>
        </w:rPr>
        <w:t xml:space="preserve">من شهرته وظهوره فی ترک إعادة الوضوء منه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شی‌ء یُتوضّأ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یحمل </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علی ضرب من التقیّة ، لأنّ ذلک مذهب أکثر العامة</w:t>
      </w:r>
      <w:r>
        <w:rPr>
          <w:rFonts w:eastAsia="IRNazanin" w:cs="IRNazanin"/>
          <w:color w:val="111111"/>
          <w:sz w:val="28"/>
          <w:szCs w:val="28"/>
          <w:rtl w:val="true"/>
          <w:lang w:bidi="fa-IR"/>
        </w:rPr>
        <w:t xml:space="preserve">. </w:t>
      </w:r>
      <w:bookmarkStart w:id="301" w:name="pg17122_169541"/>
    </w:p>
    <w:p>
      <w:pPr>
        <w:pStyle w:val="BookText"/>
        <w:rPr/>
      </w:pPr>
      <w:bookmarkEnd w:id="301"/>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فی الأوّل مرسل ؛ والثانی صحیح ؛ وکذلک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صریح الأوّل أنّ الوذی لا ینقض الوضوء مطلقا إلاّ أنّه یقید بالاستبراء ، 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 عدم الاستبراء لا یکون النقض مستنداً للوذی بل للبول ، 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الفرض اشتباهه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الجواب عنه بأن المرجع إلی حکم الشارع ، ویجوز أن یکون احتمال البول هنا موجباً للوضوء ، غایة الأمر قد یشکل الحال بالنسبة إلی الطهارة وحیث لم یتحقق البول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الاشتباه </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ولزوم الوضوء لا یستلزم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أمکن الجواب بأنّ ظاهر الأخبار الواردة فی الاستبراء یعطی النجاسة ، بل لا یبعد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اشتباه مع عدم الاستبراء ، کما یستفاد من الأخبار ، وسیأتی إن شاء الله الکلام فی ذلک فی باب الجنابة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تضمنه الخبر الثانی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شی‌ء خرج منک بعد الوضوء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لعل المراد بالوضوء الاستبراء مع الاستنجاء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الخبر الثالث فالتوجیه بغیر التقیة تکلف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الحِبال فی الذکر عروقها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2" w:name="__RefHeading___Toc39124_2142443653"/>
      <w:bookmarkStart w:id="303" w:name="_Toc120"/>
      <w:bookmarkEnd w:id="302"/>
      <w:r>
        <w:rPr>
          <w:rtl w:val="true"/>
        </w:rPr>
        <w:t xml:space="preserve">الوَذی مع الاستبراء لا ینقض الوضوء </w:t>
      </w:r>
      <w:r>
        <w:rPr>
          <w:rtl w:val="true"/>
        </w:rPr>
        <w:t>.</w:t>
      </w:r>
      <w:bookmarkEnd w:id="303"/>
    </w:p>
    <w:p>
      <w:pPr>
        <w:pStyle w:val="Heading4"/>
        <w:numPr>
          <w:ilvl w:val="3"/>
          <w:numId w:val="1"/>
        </w:numPr>
        <w:rPr/>
      </w:pPr>
      <w:bookmarkStart w:id="304" w:name="__RefHeading___Toc39126_2142443653"/>
      <w:bookmarkStart w:id="305" w:name="_Toc121"/>
      <w:bookmarkEnd w:id="304"/>
      <w:r>
        <w:rPr>
          <w:rtl w:val="true"/>
        </w:rPr>
        <w:t>حکم الوَذی من حیث الطهارة والنجاسة</w:t>
      </w:r>
      <w:bookmarkEnd w:id="30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6" w:name="__RefHeading___Toc39128_2142443653"/>
      <w:bookmarkStart w:id="307" w:name="_Toc122"/>
      <w:bookmarkEnd w:id="306"/>
      <w:r>
        <w:rPr>
          <w:rtl w:val="true"/>
        </w:rPr>
        <w:t>معنی الحِبال والحبائل</w:t>
      </w:r>
      <w:bookmarkStart w:id="308" w:name="pg17122_169542"/>
      <w:bookmarkEnd w:id="307"/>
    </w:p>
    <w:p>
      <w:pPr>
        <w:pStyle w:val="BookText"/>
        <w:rPr/>
      </w:pPr>
      <w:bookmarkEnd w:id="308"/>
      <w:r>
        <w:rPr>
          <w:rFonts w:ascii="IRNazanin" w:hAnsi="IRNazanin" w:eastAsia="IRNazanin"/>
          <w:color w:val="111111"/>
          <w:sz w:val="28"/>
          <w:sz w:val="28"/>
          <w:szCs w:val="28"/>
          <w:rtl w:val="true"/>
          <w:lang w:bidi="fa-IR"/>
        </w:rPr>
        <w:t xml:space="preserve">وفی الحبل المتین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الحبائل بالحاء المهملة والباء الموحدة یراد بها عروق فی الظهر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مسّ الحدید</w:t>
      </w:r>
    </w:p>
    <w:p>
      <w:pPr>
        <w:pStyle w:val="BookText"/>
        <w:rPr/>
      </w:pPr>
      <w:r>
        <w:rPr>
          <w:rFonts w:ascii="IRNazanin" w:hAnsi="IRNazanin" w:eastAsia="IRNazanin"/>
          <w:color w:val="111111"/>
          <w:sz w:val="28"/>
          <w:sz w:val="28"/>
          <w:szCs w:val="28"/>
          <w:rtl w:val="true"/>
          <w:lang w:bidi="fa-IR"/>
        </w:rPr>
        <w:t xml:space="preserve">أخبرنی الشیخ رحمه الله عن أبی القاسم جعفر بن محمد ، عن محمد ابن یعقوب ، عن محمد بن إسماعیل ، عن الفضل بن شاذان ، عن صفوان ، عن ابن مسکان ، عن محمد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یکون علی طُهر یأخذ من أظفاره أو شعره أیعید الصلاة </w:t>
      </w:r>
      <w:r>
        <w:rPr>
          <w:rStyle w:val="FootnoteAnchor"/>
          <w:rtl w:val="true"/>
        </w:rPr>
        <w:footnoteReference w:id="266"/>
      </w:r>
      <w:r>
        <w:rPr>
          <w:rFonts w:ascii="IRNazanin" w:hAnsi="IRNazanin" w:eastAsia="IRNazanin"/>
          <w:color w:val="111111"/>
          <w:sz w:val="28"/>
          <w:sz w:val="28"/>
          <w:szCs w:val="28"/>
          <w:rtl w:val="true"/>
          <w:lang w:bidi="fa-IR"/>
        </w:rPr>
        <w:t xml:space="preserve">؟ قال </w:t>
      </w:r>
      <w:r>
        <w:rPr>
          <w:rStyle w:val="FootnoteAnchor"/>
          <w:rtl w:val="true"/>
        </w:rPr>
        <w:footnoteReference w:id="26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ولکن یمسح رأسه وأظفاره بالماء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یزعمون أنّ فیه الوضوء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خاصموکم فلا تخاصموهم وقولوا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 عن حماد بن عیسی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حریز </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 xml:space="preserve">،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یقلم أظفاره ویجزّ شاربه ویأخذ من شعر رأسه ولحیته هل ینقض ذلک وضوءه؟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زرارة کلّ هذا سنّة والوضوء فریضة ، ولیس شی‌ء من السنّة ینقض الفریضة ، وإنّ ذلک لیزیده تطهیراً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 عن أیوب بن نوح ، عن صفوان بن یحیی ، عن سعید بن</w:t>
      </w:r>
    </w:p>
    <w:p>
      <w:pPr>
        <w:pStyle w:val="Heading3"/>
        <w:numPr>
          <w:ilvl w:val="2"/>
          <w:numId w:val="1"/>
        </w:numPr>
        <w:rPr/>
      </w:pPr>
      <w:bookmarkStart w:id="309" w:name="__RefHeading___Toc39130_2142443653"/>
      <w:bookmarkStart w:id="310" w:name="_Toc123"/>
      <w:bookmarkEnd w:id="309"/>
      <w:r>
        <w:rPr>
          <w:rtl w:val="true"/>
        </w:rPr>
        <w:t>مسّ الحدید</w:t>
      </w:r>
      <w:bookmarkEnd w:id="31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1" w:name="__RefHeading___Toc39132_2142443653"/>
      <w:bookmarkStart w:id="312" w:name="_Toc124"/>
      <w:bookmarkEnd w:id="311"/>
      <w:r>
        <w:rPr>
          <w:rtl w:val="true"/>
        </w:rPr>
        <w:t>اشارة</w:t>
      </w:r>
      <w:bookmarkStart w:id="313" w:name="pg17122_169543"/>
      <w:bookmarkEnd w:id="312"/>
    </w:p>
    <w:p>
      <w:pPr>
        <w:pStyle w:val="BookText"/>
        <w:rPr/>
      </w:pPr>
      <w:bookmarkEnd w:id="313"/>
      <w:r>
        <w:rPr>
          <w:rFonts w:ascii="IRNazanin" w:hAnsi="IRNazanin" w:eastAsia="IRNazanin"/>
          <w:color w:val="111111"/>
          <w:sz w:val="28"/>
          <w:sz w:val="28"/>
          <w:szCs w:val="28"/>
          <w:rtl w:val="true"/>
          <w:lang w:bidi="fa-IR"/>
        </w:rPr>
        <w:t xml:space="preserve">عبد الله الأعرج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آخذ من أظفاری ومن شاربی وأحلق رأسی أفأغتسل؟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لیس علیک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فأتوضّأ؟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لیس علیک 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فأمسح </w:t>
      </w:r>
      <w:r>
        <w:rPr>
          <w:rStyle w:val="FootnoteAnchor"/>
          <w:rtl w:val="true"/>
        </w:rPr>
        <w:footnoteReference w:id="269"/>
      </w:r>
      <w:r>
        <w:rPr>
          <w:rFonts w:ascii="IRNazanin" w:hAnsi="IRNazanin" w:eastAsia="IRNazanin"/>
          <w:color w:val="111111"/>
          <w:sz w:val="28"/>
          <w:sz w:val="28"/>
          <w:szCs w:val="28"/>
          <w:rtl w:val="true"/>
          <w:lang w:bidi="fa-IR"/>
        </w:rPr>
        <w:t xml:space="preserve">علی أظفاری بالماء </w:t>
      </w:r>
      <w:r>
        <w:rPr>
          <w:rStyle w:val="FootnoteAnchor"/>
          <w:rtl w:val="true"/>
        </w:rPr>
        <w:footnoteReference w:id="270"/>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طهور لیس علیک مسح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تکرر القول فیه ، ووجدت الآن کلاماً لبعض المتأخّرین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محمد بن إسماعیل هذا ابن بزیع ، وقد صرّح به فی التهذیب ، وأمّا کلام ابن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لقاء الکلینی له نظراً من جهة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جیّد ، لکن الاستدلال به علی الإرسال وعدم صحة الروایة استدلال بنفی الخاص علی نفی العام ، فإنّ طریق التحمل والروایة لا ینحصر فی الملاقاة ، وحینئذ فلا یعدل عن ظاهر الکلینی فإنه روی عنه أکثر من أن یُعدّ ، ویبعد عن العدل مثله فی صورة الإرسال ، وهو معدود من التدلیس لا یکاد یظن بمثله </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إذا تأمّلت تراه لا یخلو من تخلیط ، أمّا ما ذکره من تصریح الشیخ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 فقد وقع ذلک فی کتاب الحدود ، والذی فهمته من الوالد قدس سره أنّه سَبْق قلمٍ من الشیخ ، والظاهر ذلک ، لأن ابن بزیع لا یروی عن ابن شاذان ، بل ابن شاذان یروی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کتاب الروضة من الکافی اتفق التصریح بابن بزیع </w:t>
      </w:r>
      <w:r>
        <w:rPr>
          <w:rStyle w:val="FootnoteAnchor"/>
          <w:rtl w:val="true"/>
        </w:rPr>
        <w:footnoteReference w:id="272"/>
      </w:r>
      <w:r>
        <w:rPr>
          <w:rFonts w:ascii="IRNazanin" w:hAnsi="IRNazanin" w:eastAsia="IRNazanin"/>
          <w:color w:val="111111"/>
          <w:sz w:val="28"/>
          <w:sz w:val="28"/>
          <w:szCs w:val="28"/>
          <w:rtl w:val="true"/>
          <w:lang w:bidi="fa-IR"/>
        </w:rPr>
        <w:t>، وهذا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4" w:name="__RefHeading___Toc39134_2142443653"/>
      <w:bookmarkStart w:id="315" w:name="_Toc125"/>
      <w:bookmarkEnd w:id="314"/>
      <w:r>
        <w:rPr>
          <w:rtl w:val="true"/>
        </w:rPr>
        <w:t>من هو محمد بن اسماعیل الذی یروی عنه الکلینی؟</w:t>
      </w:r>
      <w:bookmarkStart w:id="316" w:name="pg17122_169544"/>
      <w:bookmarkEnd w:id="315"/>
    </w:p>
    <w:p>
      <w:pPr>
        <w:pStyle w:val="BookText"/>
        <w:rPr/>
      </w:pPr>
      <w:bookmarkEnd w:id="316"/>
      <w:r>
        <w:rPr>
          <w:rFonts w:ascii="IRNazanin" w:hAnsi="IRNazanin" w:eastAsia="IRNazanin"/>
          <w:color w:val="111111"/>
          <w:sz w:val="28"/>
          <w:sz w:val="28"/>
          <w:szCs w:val="28"/>
          <w:rtl w:val="true"/>
          <w:lang w:bidi="fa-IR"/>
        </w:rPr>
        <w:t>یوجب الریب ، إلاّ أنّ احتمال الوهم قائم ، واحتمال روایة کل منهما عن الآخر وإن أمکن ، إلاّ أنّ الممارسة للأخبار تنفیه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طریق التحمل والروایة لا ینحصر فی 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 إلاّ أن إطلاق الروایة من دون التصریح بالإجازة خلاف ما علیه أهل التحقیق فی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ویبعد عن العدل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 لأول الکلام کما لا یخفی علی ذوی الأفهام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الخبران الآخران فالسند فیهما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ظاهر فی مسح الرأس والأظفار بالماء ، وهو مطلق فی أن الأخذ بالحدید وغیره ، وسیأتی من الشیخ حمل ما دل علی المسح بالماء إذا کان بالحدید ، لکن ستعلم أن ما یدل علی ذلک لا یقاوم هذا الخبر لیحمل مطلقه علی المقید ، إلاّ أن جماعة من الأصحاب وعَدّ منهم الشیخَ والدی قدس سره ولعلّه من کلام الشیخ فی غیر الکتاب ، أمّا استفادته من کلامه هنا ففیه ما فیه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یستحب لمن قصّ أظفاره بالحدید أو أخذ من شعره أو حلق أن یمسح الموضع بالماء ، واستندوا إلی الخبرین الآتیین </w:t>
      </w:r>
      <w:r>
        <w:rPr>
          <w:rStyle w:val="FootnoteAnchor"/>
          <w:rtl w:val="true"/>
        </w:rPr>
        <w:footnoteReference w:id="273"/>
      </w:r>
      <w:r>
        <w:rPr>
          <w:rFonts w:ascii="IRNazanin" w:hAnsi="IRNazanin" w:eastAsia="IRNazanin"/>
          <w:color w:val="111111"/>
          <w:sz w:val="28"/>
          <w:sz w:val="28"/>
          <w:szCs w:val="28"/>
          <w:rtl w:val="true"/>
          <w:lang w:bidi="fa-IR"/>
        </w:rPr>
        <w:t xml:space="preserve">، وهذا الخبر له نوع اعتبار ، بل هو معدود من الصحیح عند بعض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قدمنا أنّ مرتبة محمد بن إسماعیل لا تقصر عن مرتبة </w:t>
      </w:r>
      <w:r>
        <w:rPr>
          <w:rStyle w:val="FootnoteAnchor"/>
          <w:rtl w:val="true"/>
        </w:rPr>
        <w:footnoteReference w:id="275"/>
      </w:r>
      <w:r>
        <w:rPr>
          <w:rFonts w:ascii="IRNazanin" w:hAnsi="IRNazanin" w:eastAsia="IRNazanin"/>
          <w:color w:val="111111"/>
          <w:sz w:val="28"/>
          <w:sz w:val="28"/>
          <w:szCs w:val="28"/>
          <w:rtl w:val="true"/>
          <w:lang w:bidi="fa-IR"/>
        </w:rPr>
        <w:t>ابن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7" w:name="__RefHeading___Toc39136_2142443653"/>
      <w:bookmarkStart w:id="318" w:name="_Toc126"/>
      <w:bookmarkEnd w:id="317"/>
      <w:r>
        <w:rPr>
          <w:rtl w:val="true"/>
        </w:rPr>
        <w:t>استحباب مسح الموضع بالماء لمن قصّ أظفاره أو حلق بالحدید</w:t>
      </w:r>
      <w:bookmarkEnd w:id="318"/>
    </w:p>
    <w:p>
      <w:pPr>
        <w:pStyle w:val="BookText"/>
        <w:rPr/>
      </w:pPr>
      <w:r>
        <w:rPr>
          <w:rFonts w:ascii="IRNazanin" w:hAnsi="IRNazanin" w:eastAsia="IRNazanin"/>
          <w:color w:val="111111"/>
          <w:sz w:val="28"/>
          <w:sz w:val="28"/>
          <w:szCs w:val="28"/>
          <w:rtl w:val="true"/>
          <w:lang w:bidi="fa-IR"/>
        </w:rPr>
        <w:t xml:space="preserve">الولید وأضرابه </w:t>
      </w:r>
      <w:r>
        <w:rPr>
          <w:rStyle w:val="FootnoteAnchor"/>
          <w:rtl w:val="true"/>
        </w:rPr>
        <w:footnoteReference w:id="276"/>
      </w:r>
      <w:r>
        <w:rPr>
          <w:rFonts w:ascii="IRNazanin" w:hAnsi="IRNazanin" w:eastAsia="IRNazanin"/>
          <w:color w:val="111111"/>
          <w:sz w:val="28"/>
          <w:sz w:val="28"/>
          <w:szCs w:val="28"/>
          <w:rtl w:val="true"/>
          <w:lang w:bidi="fa-IR"/>
        </w:rPr>
        <w:t>من الشیوخ المحکوم بصحة الحدیث المشتمل علی أحدهم ، وحینئذ ینجبر الوهن الحاصل فی الخبرین الآتیین من جهة رجالهما عند من لا یعمل بالموثق ، غایة الأمر أن فیه الإطلاق ، ولعل ذلک لا یضر بالحال ، لأن المتبادر إرادة الأخذ بالحدید ، وینضاف إلیه عدم ظهور قائل بالاستحباب فی غیر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الخبر الثالث الصحیح یدل علی عدم وجوب المسح ، وربما دلّ لفظ السنة فی هذا الحدیث علیه أیضاً ظاهراً وإن أمکن المناقشة فی ذلک بأن السنّة تطلق علی ما یتناول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خاصموکم فلا تخاصموهم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یخلو من إجمال ، فإنّ الظاهر من الأمر بقول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هکذا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بُدّ فیه </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 xml:space="preserve">من المخاصمة ، حیث إن أهل الخلاف یذهبون إلی الوضوء ، والمتبادر من 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هکذا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إشارة إلی المسح بالماء ، وحینئذ فالمخالفة لاعتقاد أهل الخلاف لازمة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بعدم المخاصمة أن لا تصرّحوا بعدم نقض الوضوء ، بل 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فی المسح بالماء 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أعلم بمقاصد أولیائه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الخبر الثانی من أنّه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شی‌ء من السنّة ینقض الفریضة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 أمّا زیادة التطهیر فلعلّ المراد بها زیادة الثواب ، وإرادة التطهیر الزائد نوع من التجوّز ، والظاهر من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العود إلی الوضوء ، ویحتمل العود إلی المکلّف ، وفیه ما فیه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تضمنه الخبر الثالث من نفی المسح بحسب ظاهره ینافی الخبر </w:t>
      </w:r>
      <w:bookmarkStart w:id="319" w:name="pg17122_169546"/>
    </w:p>
    <w:p>
      <w:pPr>
        <w:pStyle w:val="BookText"/>
        <w:rPr/>
      </w:pPr>
      <w:bookmarkEnd w:id="319"/>
      <w:r>
        <w:rPr>
          <w:rFonts w:ascii="IRNazanin" w:hAnsi="IRNazanin" w:eastAsia="IRNazanin"/>
          <w:color w:val="111111"/>
          <w:sz w:val="28"/>
          <w:sz w:val="28"/>
          <w:szCs w:val="28"/>
          <w:rtl w:val="true"/>
          <w:lang w:bidi="fa-IR"/>
        </w:rPr>
        <w:t xml:space="preserve">الأوّل ، فکان علی الشیخ أن ینبّه علی ذلک بجعله من الأخبار المعارضة ، والجمع بأنّ المراد نفی المسح علی سبیل الوجوب ، وبهذا یتضح </w:t>
      </w:r>
      <w:r>
        <w:rPr>
          <w:rStyle w:val="FootnoteAnchor"/>
          <w:rtl w:val="true"/>
        </w:rPr>
        <w:footnoteReference w:id="278"/>
      </w:r>
      <w:r>
        <w:rPr>
          <w:rFonts w:ascii="IRNazanin" w:hAnsi="IRNazanin" w:eastAsia="IRNazanin"/>
          <w:color w:val="111111"/>
          <w:sz w:val="28"/>
          <w:sz w:val="28"/>
          <w:szCs w:val="28"/>
          <w:rtl w:val="true"/>
          <w:lang w:bidi="fa-IR"/>
        </w:rPr>
        <w:t>حمل الخبر الأوّل علی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الأثیر فی أحکام الأحکام لشرح حدیث سید الأنام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تقلیم الأظفار قطع ما طال عن اللحم منها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أظفاره تقلیماً ، المعروف فیه التشدید ، والقلامة ما یقطع من الظفر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ذلک معنیان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تحسین الهیئة وإزالة القباحة فی طول الأظفار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أقرب إلی تحصیل الطهارة الشرعیة علی أکمل الوجوه ، لما عساه یحصل تحتها من الوسخ المانع من وصول الماء إلی البشرة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کان فی المعنی الثانی دلالة علی أنّ المراد بزیادة التطهیر فی خبر زرارة الحقیقة ، لکن هذا المعنی یختص بالسبق علی الوضوء ، 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الزیادة للوضوء اللاحق ، وقد یتمشی التعلیل للشعر بنوع 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بأن یزول بإزالته الوسخ الکائن تحته ، أو یصل الماء إلی البشرة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الشعر جزّاً وجزّه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رواه محمد بن أحمد بن یحیی ، عن أحمد بن الحسن ، عن عمرو بن سعید ، عن مصدق بن صدقة ، عن عمّار الساباطی ، عن</w:t>
      </w:r>
    </w:p>
    <w:p>
      <w:pPr>
        <w:pStyle w:val="Heading4"/>
        <w:numPr>
          <w:ilvl w:val="3"/>
          <w:numId w:val="1"/>
        </w:numPr>
        <w:rPr/>
      </w:pPr>
      <w:bookmarkStart w:id="320" w:name="__RefHeading___Toc39138_2142443653"/>
      <w:bookmarkStart w:id="321" w:name="_Toc127"/>
      <w:bookmarkEnd w:id="320"/>
      <w:r>
        <w:rPr>
          <w:rtl w:val="true"/>
        </w:rPr>
        <w:t>معنی التقلیم</w:t>
      </w:r>
      <w:bookmarkEnd w:id="32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2" w:name="__RefHeading___Toc39140_2142443653"/>
      <w:bookmarkStart w:id="323" w:name="_Toc128"/>
      <w:bookmarkEnd w:id="322"/>
      <w:r>
        <w:rPr>
          <w:rtl w:val="true"/>
        </w:rPr>
        <w:t>معنی الجزّ</w:t>
      </w:r>
      <w:bookmarkStart w:id="324" w:name="pg17122_169547"/>
      <w:bookmarkEnd w:id="323"/>
    </w:p>
    <w:p>
      <w:pPr>
        <w:pStyle w:val="BookText"/>
        <w:rPr/>
      </w:pPr>
      <w:bookmarkEnd w:id="324"/>
      <w:r>
        <w:rPr>
          <w:rFonts w:ascii="IRNazanin" w:hAnsi="IRNazanin" w:eastAsia="IRNazanin"/>
          <w:color w:val="111111"/>
          <w:sz w:val="28"/>
          <w:sz w:val="28"/>
          <w:szCs w:val="28"/>
          <w:rtl w:val="true"/>
          <w:lang w:bidi="fa-IR"/>
        </w:rPr>
        <w:t xml:space="preserve">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یقرض من شعره بأسنانه یمسحه بالماء قبل أن یصلی؟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إنّما ذلک فی الحدید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ذلک فی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علی ضرب من الاستحباب دون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رواه محمد بن أحمد بن یحیی ، عن أحمد بن الحسن ابن علی بن فضّال ، عن عمرو بن سعید المدائنی ، عن مصدق بن صدقة ، عن عمّار بن موسی ، عن أبی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الرجل إذا قصّ أظفاره بالحدید أو جزّ من شعره أو حلق قفاه فإن علیه أن یمسحه بالماء قبل أن یصلّی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فإن صلّی ولم یمسح من ذلک بالماء؟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 الصلاة لأن الحدید 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الحدید لباس أهل النار ، والذهب لباس أهل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هذا الخبر أن نحمله علی ضرب من الاستحباب دون الإیجاب ، لأنه خبر شاذ مخالف للأخبار کلها </w:t>
      </w:r>
      <w:r>
        <w:rPr>
          <w:rStyle w:val="FootnoteAnchor"/>
          <w:rtl w:val="true"/>
        </w:rPr>
        <w:footnoteReference w:id="280"/>
      </w:r>
      <w:r>
        <w:rPr>
          <w:rFonts w:ascii="IRNazanin" w:hAnsi="IRNazanin" w:eastAsia="IRNazanin"/>
          <w:color w:val="111111"/>
          <w:sz w:val="28"/>
          <w:sz w:val="28"/>
          <w:szCs w:val="28"/>
          <w:rtl w:val="true"/>
          <w:lang w:bidi="fa-IR"/>
        </w:rPr>
        <w:t>، وما یجری هذا المجری لا یعمل علیه علی 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فی الخبرین 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ذلک فی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المسح بالماء ،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احتمل أنّه لا بأس بمسحه بالماء ، إلاّ 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5" w:name="__RefHeading___Toc39142_2142443653"/>
      <w:bookmarkStart w:id="326" w:name="_Toc129"/>
      <w:bookmarkEnd w:id="325"/>
      <w:r>
        <w:rPr>
          <w:rtl w:val="true"/>
        </w:rPr>
        <w:t>بحث حول شذوذ ما دل علی نجاسة الحدید وإعادة الصلاة من مسّه</w:t>
      </w:r>
      <w:bookmarkEnd w:id="326"/>
    </w:p>
    <w:p>
      <w:pPr>
        <w:pStyle w:val="BookText"/>
        <w:rPr/>
      </w:pPr>
      <w:r>
        <w:rPr>
          <w:rFonts w:ascii="IRNazanin" w:hAnsi="IRNazanin" w:eastAsia="IRNazanin"/>
          <w:color w:val="111111"/>
          <w:sz w:val="28"/>
          <w:sz w:val="28"/>
          <w:szCs w:val="28"/>
          <w:rtl w:val="true"/>
          <w:lang w:bidi="fa-IR"/>
        </w:rPr>
        <w:t xml:space="preserve">ذلک فی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یعیّن أنّ المراد لا بأس بعدم 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احتمال إرادة لزوم المسح بالماء فی الحدید ، وفی غیره لیس بلازم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 إلاّ أنّه مدفوع بملاحظة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احتمل أن تعود الإشارة إلی البأس أو إلی المسح ، والمآل </w:t>
      </w:r>
      <w:r>
        <w:rPr>
          <w:rStyle w:val="FootnoteAnchor"/>
          <w:rtl w:val="true"/>
        </w:rPr>
        <w:footnoteReference w:id="281"/>
      </w:r>
      <w:r>
        <w:rPr>
          <w:rFonts w:ascii="IRNazanin" w:hAnsi="IRNazanin" w:eastAsia="IRNazanin"/>
          <w:color w:val="111111"/>
          <w:sz w:val="28"/>
          <w:sz w:val="28"/>
          <w:szCs w:val="28"/>
          <w:rtl w:val="true"/>
          <w:lang w:bidi="fa-IR"/>
        </w:rPr>
        <w:t>واحد بعد تدبّر الأخبار ، وإن أمکن التغایر فی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الخبر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فإعادة الصلاة فیه هی المحمولة علی الاستحباب فی الظاهر من توجیه الشیخ ، ویحتمل إرادة الاستحباب فی المسح بالماء ، ویدفعه أنّ الشیخ لا وجه لفرقه بین الحدیثین حینئذ ، وقوله 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الأوّل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الشذوذ فی کلام الشیخ راجع إلی الإیجاب ، حیث لم یقل به أحد علی ما یظهر من الأصحاب ، لا إلی الاستحباب ، فإنّ القائل به موجود ، والشیخ معترف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مشترک بین الأوّل والثانی ، فإنّ نفی الإیجاب مذکور فیهما ، وکون الشیخ قائلاً بالاستحباب غیر معلوم من هذا الکتاب ، فإنّ الحکم بمذهبه فیه لا یخلو من تأمّل کما یعلم من تدبّره فی مواضع</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قدّمنا عن الوالد قدس سره نقل القول بالاستحباب عن الشیخ </w:t>
      </w:r>
      <w:r>
        <w:rPr>
          <w:rStyle w:val="FootnoteAnchor"/>
          <w:rtl w:val="true"/>
        </w:rPr>
        <w:footnoteReference w:id="282"/>
      </w:r>
      <w:r>
        <w:rPr>
          <w:rFonts w:ascii="IRNazanin" w:hAnsi="IRNazanin" w:eastAsia="IRNazanin"/>
          <w:color w:val="111111"/>
          <w:sz w:val="28"/>
          <w:sz w:val="28"/>
          <w:szCs w:val="28"/>
          <w:rtl w:val="true"/>
          <w:lang w:bidi="fa-IR"/>
        </w:rPr>
        <w:t>وأنّ الظاهر کونه من غیر الکتاب ، لأنه نقل بعد ذلک قول الشیخ فی الاستبصار بأنّ الخبر شاذّ ، وحکی الحمل علی الاستحباب عن الشیخ</w:t>
      </w:r>
      <w:r>
        <w:rPr>
          <w:rFonts w:eastAsia="IRNazanin" w:cs="IRNazanin"/>
          <w:color w:val="111111"/>
          <w:sz w:val="28"/>
          <w:szCs w:val="28"/>
          <w:rtl w:val="true"/>
          <w:lang w:bidi="fa-IR"/>
        </w:rPr>
        <w:t xml:space="preserve">. </w:t>
      </w:r>
      <w:bookmarkStart w:id="327" w:name="pg17122_169549"/>
    </w:p>
    <w:p>
      <w:pPr>
        <w:pStyle w:val="BookText"/>
        <w:rPr/>
      </w:pPr>
      <w:bookmarkEnd w:id="327"/>
      <w:r>
        <w:rPr>
          <w:rFonts w:ascii="IRNazanin" w:hAnsi="IRNazanin" w:eastAsia="IRNazanin"/>
          <w:color w:val="111111"/>
          <w:sz w:val="28"/>
          <w:sz w:val="28"/>
          <w:szCs w:val="28"/>
          <w:rtl w:val="true"/>
          <w:lang w:bidi="fa-IR"/>
        </w:rPr>
        <w:t xml:space="preserve">وفی نظری القاصر أن کلام الوالد قدس سره لا یخلو من تأمّل ، لأنّه </w:t>
      </w:r>
      <w:r>
        <w:rPr>
          <w:rStyle w:val="FootnoteAnchor"/>
          <w:rtl w:val="true"/>
        </w:rPr>
        <w:footnoteReference w:id="283"/>
      </w:r>
      <w:r>
        <w:rPr>
          <w:rFonts w:ascii="IRNazanin" w:hAnsi="IRNazanin" w:eastAsia="IRNazanin"/>
          <w:color w:val="111111"/>
          <w:sz w:val="28"/>
          <w:sz w:val="28"/>
          <w:szCs w:val="28"/>
          <w:rtl w:val="true"/>
          <w:lang w:bidi="fa-IR"/>
        </w:rPr>
        <w:t xml:space="preserve">قال بعد ذکر الخبر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نص فی حصول التنجیس بملاقاة الحدید ، وقد قال الشیخ فی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خبر شاذ مخالف للأخبار الکثیرة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یجری هذا المجری لا یعمل علیه ، وذکر قبل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الوجه حمله علی ضرب من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إذا تأمّلت ما ذکرناه سابقاً تعلم أنّ کلام الشیخ ظاهره العود إلی إعادة الصلاة ، نعم یتوجه علی الشیخ أنّ شذوذ الخبر إن کان من جهة نجاسة الحدید فالتأویل بالاستحباب ممکن ، ویراد بالنجاسة ما لا یخالف الاستحباب ، وترک العمل به حینئذ لا وجه له ؛ وإن کان من جهة المسح بالماء وأنّ اللازم من نجاسته غَسل الموضع فالاستحباب لا یوافق ذلک ؛ وإن کان من جهة أنّ الحدید إذا کان نجساً لا یلزم منه التنجیس إلاّ مع الرطوبة والخبر مطلق ، فهو وإن أمکن توجیهه ، إلاّ أنّ الاستحباب علی الإطلاق أیضاً مشکل ، لأنّ مع الرطوبة لا وجه للاکتفاء بالمسح ، فإطلاق الشیخ الحمل علی الاستحباب مع شذوذ الخبر لا یخلو من نظر ، فینبغی تأمّل المقام فإنّه حریّ بالتأمّل التام ، إلاّ أن من لا یعمل بالموثق فی راحة من بعض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شرب ألبان البقر والإبل وغیرهما</w:t>
      </w:r>
    </w:p>
    <w:p>
      <w:pPr>
        <w:pStyle w:val="BookText"/>
        <w:rPr/>
      </w:pPr>
      <w:r>
        <w:rPr>
          <w:rFonts w:ascii="IRNazanin" w:hAnsi="IRNazanin" w:eastAsia="IRNazanin"/>
          <w:color w:val="111111"/>
          <w:sz w:val="28"/>
          <w:sz w:val="28"/>
          <w:szCs w:val="28"/>
          <w:rtl w:val="true"/>
          <w:lang w:bidi="fa-IR"/>
        </w:rPr>
        <w:t>أخبرنی الشیخ رحمه الله عن أحمد بن محمد ، عن أبیه ، عن</w:t>
      </w:r>
    </w:p>
    <w:p>
      <w:pPr>
        <w:pStyle w:val="Heading3"/>
        <w:numPr>
          <w:ilvl w:val="2"/>
          <w:numId w:val="1"/>
        </w:numPr>
        <w:rPr/>
      </w:pPr>
      <w:bookmarkStart w:id="328" w:name="__RefHeading___Toc39144_2142443653"/>
      <w:bookmarkStart w:id="329" w:name="_Toc130"/>
      <w:bookmarkEnd w:id="328"/>
      <w:r>
        <w:rPr>
          <w:rtl w:val="true"/>
        </w:rPr>
        <w:t>شرب ألبان البقر والإبل وغیرهما</w:t>
      </w:r>
      <w:bookmarkEnd w:id="32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0" w:name="__RefHeading___Toc39146_2142443653"/>
      <w:bookmarkStart w:id="331" w:name="_Toc131"/>
      <w:bookmarkEnd w:id="330"/>
      <w:r>
        <w:rPr>
          <w:rtl w:val="true"/>
        </w:rPr>
        <w:t>اشارة</w:t>
      </w:r>
      <w:bookmarkStart w:id="332" w:name="pg17122_169550"/>
      <w:bookmarkEnd w:id="331"/>
    </w:p>
    <w:p>
      <w:pPr>
        <w:pStyle w:val="BookText"/>
        <w:rPr/>
      </w:pPr>
      <w:bookmarkEnd w:id="332"/>
      <w:r>
        <w:rPr>
          <w:rFonts w:ascii="IRNazanin" w:hAnsi="IRNazanin" w:eastAsia="IRNazanin"/>
          <w:color w:val="111111"/>
          <w:sz w:val="28"/>
          <w:sz w:val="28"/>
          <w:szCs w:val="28"/>
          <w:rtl w:val="true"/>
          <w:lang w:bidi="fa-IR"/>
        </w:rPr>
        <w:t xml:space="preserve">الحسین بن الحسن بن أبان ، عن الحسین بن سعید ، عن النضر ، عن هشام بن سالم ، عن سلیمان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هل یتوضّأ من الطعام أو شرب اللبن ألبان الإبل والبقر والغنم وأبوالها ولحومها؟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یتوضّأ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علی بن محبوب ، عن أحمد بن الحسن ابن علی ، عن عمرو بن سعید ، عن مصدق بن صدقة ، عن عمار </w:t>
      </w:r>
      <w:r>
        <w:rPr>
          <w:rStyle w:val="FootnoteAnchor"/>
          <w:rtl w:val="true"/>
        </w:rPr>
        <w:footnoteReference w:id="284"/>
      </w:r>
      <w:r>
        <w:rPr>
          <w:rFonts w:ascii="IRNazanin" w:hAnsi="IRNazanin" w:eastAsia="IRNazanin"/>
          <w:color w:val="111111"/>
          <w:sz w:val="28"/>
          <w:sz w:val="28"/>
          <w:szCs w:val="28"/>
          <w:rtl w:val="true"/>
          <w:lang w:bidi="fa-IR"/>
        </w:rPr>
        <w:t xml:space="preserve">الساباطی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توضّأ ثم أکل لحماً أو سمناً هل له أن یصلّی من غیر أن یغسل یده؟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وإن کان لبناً </w:t>
      </w:r>
      <w:r>
        <w:rPr>
          <w:rStyle w:val="FootnoteAnchor"/>
          <w:rtl w:val="true"/>
        </w:rPr>
        <w:footnoteReference w:id="285"/>
      </w:r>
      <w:r>
        <w:rPr>
          <w:rFonts w:ascii="IRNazanin" w:hAnsi="IRNazanin" w:eastAsia="IRNazanin"/>
          <w:color w:val="111111"/>
          <w:sz w:val="28"/>
          <w:sz w:val="28"/>
          <w:szCs w:val="28"/>
          <w:rtl w:val="true"/>
          <w:lang w:bidi="fa-IR"/>
        </w:rPr>
        <w:t xml:space="preserve">لم یصلّ حتی یغسل یده ویتمضمض ، وکان رسول الله صلی الله علیه و آله یصلی وقد أکل اللحم من غیر أن یغسل یده ، وإن کان لبناً لم یصلّ حتی یغسل یده ویتمضمض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یتضمن هذا الخبر من الأمر بغسل الیدین والمضمضة والاستنشاق لمن شرب اللبن محمول علی الاستحباب دون الفرض والإیجاب بدلالة الخبر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القول فیه والارتیاب فی سلیمان بن خالد </w:t>
      </w:r>
      <w:r>
        <w:rPr>
          <w:rStyle w:val="FootnoteAnchor"/>
          <w:rtl w:val="true"/>
        </w:rPr>
        <w:footnoteReference w:id="286"/>
      </w:r>
      <w:r>
        <w:rPr>
          <w:rFonts w:ascii="IRNazanin" w:hAnsi="IRNazanin" w:eastAsia="IRNazanin"/>
          <w:color w:val="111111"/>
          <w:sz w:val="28"/>
          <w:sz w:val="28"/>
          <w:szCs w:val="28"/>
          <w:rtl w:val="true"/>
          <w:lang w:bidi="fa-IR"/>
        </w:rPr>
        <w:t xml:space="preserve">، إلاّ أنّه معدود من الصحیح عند المتأخّرین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3" w:name="__RefHeading___Toc39148_2142443653"/>
      <w:bookmarkStart w:id="334" w:name="_Toc132"/>
      <w:bookmarkEnd w:id="333"/>
      <w:r>
        <w:rPr>
          <w:rtl w:val="true"/>
        </w:rPr>
        <w:t>إشارة إلی حال سلیمان بن خالد</w:t>
      </w:r>
      <w:bookmarkEnd w:id="33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5" w:name="__RefHeading___Toc39150_2142443653"/>
      <w:bookmarkStart w:id="336" w:name="_Toc133"/>
      <w:bookmarkEnd w:id="335"/>
      <w:r>
        <w:rPr>
          <w:rtl w:val="true"/>
        </w:rPr>
        <w:t>لا منافاة بین ما دلّ علی نفی الوضوء من شرب اللبن وما أمر بغسل الید منه</w:t>
      </w:r>
      <w:bookmarkStart w:id="337" w:name="pg17122_169551"/>
      <w:bookmarkEnd w:id="336"/>
    </w:p>
    <w:p>
      <w:pPr>
        <w:pStyle w:val="BookText"/>
        <w:rPr/>
      </w:pPr>
      <w:bookmarkEnd w:id="337"/>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الأوّل کما تری ظاهر فی نفی الوضوء ، والمتعارف من الوضوء هو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والخبر الثانی قد تضمّن عدم غَسل الید من أکل اللحم ، ففی الظاهر لا منافاة ، وغَسل الید من اللبن والمضمضة لا ینافی الأوّل المتضمن لنفی الوضوء ، إلاّ أنّ الشیخ رحمه الله کأنّه فهم من الوضوء غَسل الید لتتحقق </w:t>
      </w:r>
      <w:r>
        <w:rPr>
          <w:rStyle w:val="FootnoteAnchor"/>
          <w:rtl w:val="true"/>
        </w:rPr>
        <w:footnoteReference w:id="288"/>
      </w:r>
      <w:r>
        <w:rPr>
          <w:rFonts w:ascii="Amiri" w:hAnsi="Amiri" w:eastAsia="Amiri" w:cs="Amiri"/>
          <w:color w:val="111111"/>
          <w:sz w:val="28"/>
          <w:sz w:val="28"/>
          <w:szCs w:val="28"/>
          <w:rtl w:val="true"/>
          <w:lang w:bidi="ar-SA"/>
        </w:rPr>
        <w:t>المنافاة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یبعد توجیه المنافاة بأنّ الخبر الثانی إذا تضمّن عدم غَسل الید من أکل اللحم فقد استفید منه عدم الوضوء الشرعی ، إلاّ أنّ نظر الشیخ لیس فیه ملاحظة هذا ، کما یعلم من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یظن أنّ اللحم فی الخبر الثانی مطلق وفی الأوّل مقید ، ودفعه غیر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الاستنشاق فلا أدری الوجه فی ذکر الشیخ له مع خلوّ الخبر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الذی فی نسخ الإستبصار التی رأیتها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سمناً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سمکاً </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8" w:name="__RefHeading___Toc39152_2142443653"/>
      <w:bookmarkStart w:id="339" w:name="_Toc134"/>
      <w:bookmarkEnd w:id="338"/>
      <w:r>
        <w:rPr>
          <w:rtl w:val="true"/>
        </w:rPr>
        <w:t>الأغسال المفروضات والمسنونات</w:t>
      </w:r>
      <w:bookmarkEnd w:id="339"/>
    </w:p>
    <w:p>
      <w:pPr>
        <w:pStyle w:val="Heading3"/>
        <w:numPr>
          <w:ilvl w:val="2"/>
          <w:numId w:val="1"/>
        </w:numPr>
        <w:rPr/>
      </w:pPr>
      <w:bookmarkStart w:id="340" w:name="__RefHeading___Toc39154_2142443653"/>
      <w:bookmarkStart w:id="341" w:name="_Toc135"/>
      <w:bookmarkEnd w:id="340"/>
      <w:r>
        <w:rPr>
          <w:rtl w:val="true"/>
        </w:rPr>
        <w:t>وجوب غسل الجنابة والحیض والاستحاضة والنفاس</w:t>
      </w:r>
      <w:bookmarkEnd w:id="34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2" w:name="__RefHeading___Toc39156_2142443653"/>
      <w:bookmarkStart w:id="343" w:name="_Toc136"/>
      <w:bookmarkEnd w:id="342"/>
      <w:r>
        <w:rPr>
          <w:rtl w:val="true"/>
        </w:rPr>
        <w:t>اشارة</w:t>
      </w:r>
      <w:bookmarkStart w:id="344" w:name="pg17122_169552"/>
      <w:bookmarkEnd w:id="343"/>
    </w:p>
    <w:p>
      <w:pPr>
        <w:pStyle w:val="BookText"/>
        <w:rPr/>
      </w:pPr>
      <w:bookmarkEnd w:id="344"/>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أبواب الأغسال المفروضات والمسنونات</w:t>
      </w:r>
    </w:p>
    <w:p>
      <w:pPr>
        <w:pStyle w:val="BookText"/>
        <w:rPr/>
      </w:pPr>
      <w:r>
        <w:rPr>
          <w:rFonts w:ascii="IRNazanin" w:hAnsi="IRNazanin" w:eastAsia="IRNazanin"/>
          <w:color w:val="111111"/>
          <w:sz w:val="28"/>
          <w:sz w:val="28"/>
          <w:szCs w:val="28"/>
          <w:rtl w:val="true"/>
          <w:lang w:bidi="fa-IR"/>
        </w:rPr>
        <w:t>باب وجوب غسل الجنابة والحیض والاستحاضة والنفاس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 الأموات </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أخبرنی الشیخ رحمه الله عن أحمد بن محمد ، عن أبیه ، عن سعد ابن عبد الله ، عن أحمد بن محمد بن عیسی ، عن علی بن الحکم ، عن سیف بن عمیرة ، عن أبی بکر ، قال سألت أبا جعفر علیه السلام کیف أصنع إذا أجنبت؟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اغسل کفیک </w:t>
      </w:r>
      <w:r>
        <w:rPr>
          <w:rStyle w:val="FootnoteAnchor"/>
          <w:rtl w:val="true"/>
        </w:rPr>
        <w:footnoteReference w:id="291"/>
      </w:r>
      <w:r>
        <w:rPr>
          <w:rFonts w:ascii="IRNazanin" w:hAnsi="IRNazanin" w:eastAsia="IRNazanin"/>
          <w:color w:val="111111"/>
          <w:sz w:val="28"/>
          <w:sz w:val="28"/>
          <w:szCs w:val="28"/>
          <w:rtl w:val="true"/>
          <w:lang w:bidi="fa-IR"/>
        </w:rPr>
        <w:t xml:space="preserve">وفرجک وتوضّأ وضوء الصلاة ثم اغتسل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أحمد بن محمد ، عن أبیه ، عن محمد بن یحیی ، عن محمد بن علی بن محبوب ، عن أحمد بن محمد ، عن الحسین بن سعید ، عن عثمان بن عیسی ،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 الجنابة واجب ، وغسل الحائض إذا طَهُرت واجب ، وغسل المستحاضة واجب إذا احتشت بالکرسف فجاز الدم الکرسف فعلیها الغسل لکل صلاتین وللفجر غسل ، فإن لم یجز الدم الکرسف فعلیها الغسل لکل یوم مرّة والوضوء لکل صلاة ، وغسل النفساء واجب ، وغسل المیت واجب ، وغسل من مسّ </w:t>
      </w:r>
      <w:r>
        <w:rPr>
          <w:rStyle w:val="FootnoteAnchor"/>
          <w:rtl w:val="true"/>
        </w:rPr>
        <w:footnoteReference w:id="292"/>
      </w:r>
      <w:r>
        <w:rPr>
          <w:rFonts w:ascii="Amiri" w:hAnsi="Amiri" w:eastAsia="Amiri" w:cs="Amiri"/>
          <w:color w:val="111111"/>
          <w:sz w:val="28"/>
          <w:sz w:val="28"/>
          <w:szCs w:val="28"/>
          <w:rtl w:val="true"/>
          <w:lang w:bidi="ar-SA"/>
        </w:rPr>
        <w:t xml:space="preserve">میتاً واجب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لیس فیه من یتوقف </w:t>
      </w:r>
      <w:r>
        <w:rPr>
          <w:rStyle w:val="FootnoteAnchor"/>
          <w:rtl w:val="true"/>
        </w:rPr>
        <w:footnoteReference w:id="293"/>
      </w:r>
      <w:r>
        <w:rPr>
          <w:rFonts w:ascii="IRNazanin" w:hAnsi="IRNazanin" w:eastAsia="IRNazanin"/>
          <w:color w:val="111111"/>
          <w:sz w:val="28"/>
          <w:sz w:val="28"/>
          <w:szCs w:val="28"/>
          <w:rtl w:val="true"/>
          <w:lang w:bidi="fa-IR"/>
        </w:rPr>
        <w:t>فی شأنه إلاّ أبا بکر ، فإنّه الحضرمی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5" w:name="__RefHeading___Toc39158_2142443653"/>
      <w:bookmarkStart w:id="346" w:name="_Toc137"/>
      <w:bookmarkEnd w:id="345"/>
      <w:r>
        <w:rPr>
          <w:rtl w:val="true"/>
        </w:rPr>
        <w:t>بحث حول أبی بکر الحضرمی</w:t>
      </w:r>
      <w:bookmarkStart w:id="347" w:name="pg17122_169553"/>
      <w:bookmarkEnd w:id="346"/>
    </w:p>
    <w:p>
      <w:pPr>
        <w:pStyle w:val="BookText"/>
        <w:rPr/>
      </w:pPr>
      <w:bookmarkEnd w:id="347"/>
      <w:r>
        <w:rPr>
          <w:rFonts w:ascii="IRNazanin" w:hAnsi="IRNazanin" w:eastAsia="IRNazanin"/>
          <w:color w:val="111111"/>
          <w:sz w:val="28"/>
          <w:sz w:val="28"/>
          <w:szCs w:val="28"/>
          <w:rtl w:val="true"/>
          <w:lang w:bidi="fa-IR"/>
        </w:rPr>
        <w:t xml:space="preserve">وهو مجهول الحال ، لذکره فی الرجال من غیر مدح ولا توثیق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شیخنا قدس سره بعدم ثبوت إیمانه </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یدفعه بعض الأخبار المرویة فی شأنه کما یعلم من کتاب شیخنا المحقّق میرزا محمد أیّده الله فی الرجال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غیر أنّه اتفق فیه شی‌ء لا بأس بالتنبیه علیه ، وهو أنّ العلاّمة فی الخلاصة قال فی ترجمته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یعنی الکشی عنه حدیثین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جعفر ابن محمد علیهماالسلام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النار لا تمسّ من مات وهو یقول بهذا الأمر </w:t>
      </w:r>
      <w:r>
        <w:rPr>
          <w:rFonts w:eastAsia="IRNazanin" w:cs="IRNazanin"/>
          <w:color w:val="111111"/>
          <w:sz w:val="28"/>
          <w:szCs w:val="28"/>
          <w:rtl w:val="true"/>
          <w:lang w:bidi="fa-IR"/>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عن جدّی قدس سره أنّه قال فی فوائده علی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طریق الحدیثین الوشّاء ، عن أبیه ، عن خاله عمرو بن إلیاس ، وحالهما مجهول </w:t>
      </w:r>
      <w:r>
        <w:rPr>
          <w:rStyle w:val="FootnoteAnchor"/>
          <w:rtl w:val="true"/>
        </w:rPr>
        <w:footnoteReference w:id="298"/>
      </w:r>
      <w:r>
        <w:rPr>
          <w:rFonts w:ascii="Amiri" w:hAnsi="Amiri" w:eastAsia="Amiri" w:cs="Amiri"/>
          <w:color w:val="111111"/>
          <w:sz w:val="28"/>
          <w:sz w:val="28"/>
          <w:szCs w:val="28"/>
          <w:rtl w:val="true"/>
          <w:lang w:bidi="ar-SA"/>
        </w:rPr>
        <w:t xml:space="preserve">؛ ونَقَل عن الکشیّ الروایتین ، وهما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حدثنی محمد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 الله بن محمد بن خالد الطیالسی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الوشّاء ، عمّن یثق به </w:t>
      </w:r>
      <w:r>
        <w:rPr>
          <w:rStyle w:val="FootnoteAnchor"/>
          <w:rtl w:val="true"/>
        </w:rPr>
        <w:footnoteReference w:id="299"/>
      </w:r>
      <w:r>
        <w:rPr>
          <w:rFonts w:ascii="IRNazanin" w:hAnsi="IRNazanin" w:eastAsia="IRNazanin"/>
          <w:color w:val="111111"/>
          <w:sz w:val="28"/>
          <w:sz w:val="28"/>
          <w:szCs w:val="28"/>
          <w:rtl w:val="true"/>
          <w:lang w:bidi="fa-IR"/>
        </w:rPr>
        <w:t xml:space="preserve">یعنی أُمّة عن خاله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إلیاس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وأبی إلیاس بن عمرو علی أبی بکر الحضرمی وهو یجود بنفسه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عمرو لیست بساعة الکذب اشهد علی جعفر بن محمد أنّی 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تمسّ النار من مات وهو یقول بهذا الأمر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والحدیث الآخر عن عبد الله بن محمد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الحسن ابن بنت إلیاس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خالی عمرو بن إلیاس ، وذکر الحدیث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8" w:name="__RefHeading___Toc39160_2142443653"/>
      <w:bookmarkStart w:id="349" w:name="_Toc138"/>
      <w:bookmarkEnd w:id="348"/>
      <w:r>
        <w:rPr>
          <w:rtl w:val="true"/>
        </w:rPr>
        <w:t>عمرو بن إلیاس ثقة</w:t>
      </w:r>
      <w:bookmarkStart w:id="350" w:name="pg17122_169554"/>
      <w:bookmarkEnd w:id="349"/>
    </w:p>
    <w:p>
      <w:pPr>
        <w:pStyle w:val="BookText"/>
        <w:rPr/>
      </w:pPr>
      <w:bookmarkEnd w:id="350"/>
      <w:r>
        <w:rPr>
          <w:rFonts w:ascii="IRNazanin" w:hAnsi="IRNazanin" w:eastAsia="IRNazanin"/>
          <w:color w:val="111111"/>
          <w:sz w:val="28"/>
          <w:sz w:val="28"/>
          <w:szCs w:val="28"/>
          <w:rtl w:val="true"/>
          <w:lang w:bidi="fa-IR"/>
        </w:rPr>
        <w:t xml:space="preserve">والذی وجدته أنّ الکلام موهوم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کلام جدّی قدس سره فإنّ فیه الوشّاء ، عن أبیه ، والخبر الأوّل فی نسخة معتبرة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الوشّاء ، عمن یثق به ، یعنی به عن خاله ،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إلیاس ، والظاهر حینئذ صحة الحدیث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توثیق الوشّاء ، وعمرو بن إلیاس ثقة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یثق به ، قرینة علی ذلک ، والخبر الثانی أعدل شاهد علی التعیین ، وعلی هذا فلا حاجة إلی أن یقال </w:t>
      </w:r>
      <w:r>
        <w:rPr>
          <w:rFonts w:eastAsia="IRNazanin" w:cs="IRNazanin"/>
          <w:color w:val="111111"/>
          <w:sz w:val="28"/>
          <w:szCs w:val="28"/>
          <w:rtl w:val="true"/>
          <w:lang w:bidi="fa-IR"/>
        </w:rPr>
        <w:t xml:space="preserve">: ) </w:t>
      </w:r>
      <w:r>
        <w:rPr>
          <w:rStyle w:val="FootnoteAnchor"/>
          <w:rtl w:val="true"/>
        </w:rPr>
        <w:footnoteReference w:id="301"/>
      </w:r>
      <w:r>
        <w:rPr>
          <w:rFonts w:ascii="IRNazanin" w:hAnsi="IRNazanin" w:eastAsia="IRNazanin"/>
          <w:color w:val="111111"/>
          <w:sz w:val="28"/>
          <w:sz w:val="28"/>
          <w:szCs w:val="28"/>
          <w:rtl w:val="true"/>
          <w:lang w:bidi="fa-IR"/>
        </w:rPr>
        <w:t xml:space="preserve">إنّ عمرو بن إلیاس وإن کان مشترکاً بین ثقة ومجهول </w:t>
      </w:r>
      <w:r>
        <w:rPr>
          <w:rStyle w:val="FootnoteAnchor"/>
          <w:rtl w:val="true"/>
        </w:rPr>
        <w:footnoteReference w:id="302"/>
      </w:r>
      <w:r>
        <w:rPr>
          <w:rFonts w:ascii="IRNazanin" w:hAnsi="IRNazanin" w:eastAsia="IRNazanin"/>
          <w:color w:val="111111"/>
          <w:sz w:val="28"/>
          <w:sz w:val="28"/>
          <w:szCs w:val="28"/>
          <w:rtl w:val="true"/>
          <w:lang w:bidi="fa-IR"/>
        </w:rPr>
        <w:t xml:space="preserve">، إلاّ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یثق به قرینة علی أنّه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جدّی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موهوم أیضاً ، بل هو تصحیف قوله عمّن یثق به ، ویبیّن ذلک أنّ عمرو بن إلیاس خال الحسن بن علیّ الوشّاء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الکشی نوع اضطراب لأنّه نقل فی الحسن بن علی الوشّاء أنّه روی عن جدّه إلیاس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حضرته الوفاة قال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أشهدوا علیّ ولیست بساعة الکذب الساعة 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لا یموت عبد یحبّ الله ورسوله فتمسّه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ترجمة أبی بکر الحضرمی نقل ما سمعته ، ولعلّ الجمع ممکن </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کل حال فالروایتان لا تفیدان مدحاً بل تدلان علی الإیمان ، مضافاً إلی روایة من الکافی تدل علی ذلک ، نقلها شیخنا أیّده الله فی کتابه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سلّمه الله فی فوائده علی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أن یکون القدح فی سیف بن عمیرة أولی ، إذ قد قیل فیه بکونه واقفیاً ، صرح به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1" w:name="__RefHeading___Toc39162_2142443653"/>
      <w:bookmarkStart w:id="352" w:name="_Toc139"/>
      <w:bookmarkEnd w:id="351"/>
      <w:r>
        <w:rPr>
          <w:rtl w:val="true"/>
        </w:rPr>
        <w:t>محمد بن شهر آشوب حاله غیر معلوم</w:t>
      </w:r>
      <w:bookmarkStart w:id="353" w:name="pg17122_169555"/>
      <w:bookmarkEnd w:id="352"/>
    </w:p>
    <w:p>
      <w:pPr>
        <w:pStyle w:val="BookText"/>
        <w:rPr/>
      </w:pPr>
      <w:bookmarkEnd w:id="353"/>
      <w:r>
        <w:rPr>
          <w:rFonts w:ascii="IRNazanin" w:hAnsi="IRNazanin" w:eastAsia="IRNazanin"/>
          <w:color w:val="111111"/>
          <w:sz w:val="28"/>
          <w:sz w:val="28"/>
          <w:szCs w:val="28"/>
          <w:rtl w:val="true"/>
          <w:lang w:bidi="fa-IR"/>
        </w:rPr>
        <w:t>الشهید رحمه الله ، وجزم به محمد 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الظن أنّ الأصل محمد بن شهرآشوب ، وحاله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قاله ابن داود فی الکنی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ثقة </w:t>
      </w:r>
      <w:r>
        <w:rPr>
          <w:rStyle w:val="FootnoteAnchor"/>
          <w:rtl w:val="true"/>
        </w:rPr>
        <w:footnoteReference w:id="306"/>
      </w:r>
      <w:r>
        <w:rPr>
          <w:rFonts w:ascii="IRNazanin" w:hAnsi="IRNazanin" w:eastAsia="IRNazanin"/>
          <w:color w:val="111111"/>
          <w:sz w:val="28"/>
          <w:sz w:val="28"/>
          <w:szCs w:val="28"/>
          <w:rtl w:val="true"/>
          <w:lang w:bidi="fa-IR"/>
        </w:rPr>
        <w:t>، نقلاً عن الکشی ، فالظاهر أنّه وهم ، والعجب أنّه لم یوثّقه حال ذکر اسمه ، وبالجملة فکلام ابن داود لا یصلح للاعتماد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عثمان بن عیسی وقد قدّمنا ما فیه ممّا یغنی عن الإعادة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ظاهر فی فعل الوضوء قبل الغسل ، وسیأتی من الشیخ أنّه محمول علی الاستحباب ، وفیه کلام یأتی أیضاً ، والأولی حمله علی التقیة ، وما قاله شیخنا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الحمل علی غسل یده من المرفق کما یغسل للصلاة لا یخلو من وجاهة لولا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اغسل کفیک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التشدید لیس ببعید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ویحتمل أن یراد بالوضوء الاستنجاء ، والإطلاق علیه واقع فی الأخبار ، وفی بعضها أیضاً دلالة علی الاستنجاء قبل الغسل کما سیأتی فی خبر محمد بن مسلم عن أحدهما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غسل الجنابة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تبدأ بکفیک ثم تغسل فرجک </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ینافی ما قلناه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وضوء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الاستنجاء قد یضاف إلی الصلاة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4" w:name="__RefHeading___Toc39164_2142443653"/>
      <w:bookmarkStart w:id="355" w:name="_Toc140"/>
      <w:bookmarkEnd w:id="354"/>
      <w:r>
        <w:rPr>
          <w:rtl w:val="true"/>
        </w:rPr>
        <w:t xml:space="preserve">ما المراد بالوضوء فی قوله علیه السلام فی خبر أبی بکر الحضرمی </w:t>
      </w:r>
      <w:r>
        <w:rPr>
          <w:rtl w:val="true"/>
        </w:rPr>
        <w:t xml:space="preserve">: « </w:t>
      </w:r>
      <w:r>
        <w:rPr>
          <w:rtl w:val="true"/>
        </w:rPr>
        <w:t xml:space="preserve">توضّأ وضوء الصلاة ثم اغتسل </w:t>
      </w:r>
      <w:r>
        <w:rPr>
          <w:rtl w:val="true"/>
        </w:rPr>
        <w:t>»</w:t>
      </w:r>
      <w:r>
        <w:rPr>
          <w:rtl w:val="true"/>
        </w:rPr>
        <w:t>؟</w:t>
      </w:r>
      <w:bookmarkStart w:id="356" w:name="pg17122_169556"/>
      <w:bookmarkEnd w:id="355"/>
    </w:p>
    <w:p>
      <w:pPr>
        <w:pStyle w:val="BookText"/>
        <w:rPr/>
      </w:pPr>
      <w:bookmarkEnd w:id="356"/>
      <w:r>
        <w:rPr>
          <w:rFonts w:ascii="IRNazanin" w:hAnsi="IRNazanin" w:eastAsia="IRNazanin"/>
          <w:color w:val="111111"/>
          <w:sz w:val="28"/>
          <w:sz w:val="28"/>
          <w:szCs w:val="28"/>
          <w:rtl w:val="true"/>
          <w:lang w:bidi="fa-IR"/>
        </w:rPr>
        <w:t xml:space="preserve">وأمّا الخبر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 الجنابة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یستدل به علی أن الغسل واجب لنفسه ، کما هو أحد القولین ، إلاّ أنّ الإطلاق فی بقیة الأغسال مع ادعاء الشهید رحمه الله فی حاشیة القواعد عدم الخلاف فی وجوب غیر غسل الجنابة لغیره یدفع الاستدلال ، وهذه عبارة الشهید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غیره أی غیر غسل الجنابة من أغسال الأحیاء فلا خلاف فی وجوبه لغیره ، کما لا خلاف فی وجوب غسل المیت لنفسه وإن توقفت الصلاة علیه ، فإنّ ذلک من باب الواجب المرتب کترتب الدفن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خروج غیر غسل الجنابة بالإجماع لا یخرج غسل الجنابة مع عدم الإجماع ، فیتم الاستدلال بالخبر علی تقدیر سلامة سنده وفیه بحث ؛ إذ من المستبعد تغایر الأحکام فی خبر واحد ، إلاّ أنّ الأمر سهل بعد عدم صلاحیة الخبر للاستدلال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الخبر من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المستحاضة واجب إذا احتشت بالکرسف فجاز الدم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یستدل به بتقدیر الصلاحیة لذلک علی أنّ المتوسطة لا یلزمها الأغسال الثلاثة کما یقوله البعض </w:t>
      </w:r>
      <w:r>
        <w:rPr>
          <w:rStyle w:val="FootnoteAnchor"/>
          <w:rtl w:val="true"/>
        </w:rPr>
        <w:footnoteReference w:id="310"/>
      </w:r>
      <w:r>
        <w:rPr>
          <w:rFonts w:ascii="IRNazanin" w:hAnsi="IRNazanin" w:eastAsia="IRNazanin"/>
          <w:color w:val="111111"/>
          <w:sz w:val="28"/>
          <w:sz w:val="28"/>
          <w:szCs w:val="28"/>
          <w:rtl w:val="true"/>
          <w:lang w:bidi="fa-IR"/>
        </w:rPr>
        <w:t>، بل علیها غسل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ودلالته علی أنّ الغسل کل یوم مرّة لا تنافی ما دل علی غسل الغداة ، إذ لا یخرج عن الإطلاق ، وغیره إن تم مقید ، إلاّ أنّ وجود ما یصلح للاستدلال محل کلام کما سیأتی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لی فی کلام المتأخّرین المقیدین </w:t>
      </w:r>
      <w:r>
        <w:rPr>
          <w:rStyle w:val="FootnoteAnchor"/>
          <w:rtl w:val="true"/>
        </w:rPr>
        <w:footnoteReference w:id="311"/>
      </w:r>
      <w:r>
        <w:rPr>
          <w:rFonts w:ascii="IRNazanin" w:hAnsi="IRNazanin" w:eastAsia="IRNazanin"/>
          <w:color w:val="111111"/>
          <w:sz w:val="28"/>
          <w:sz w:val="28"/>
          <w:szCs w:val="28"/>
          <w:rtl w:val="true"/>
          <w:lang w:bidi="fa-IR"/>
        </w:rPr>
        <w:t>بغسل الفجر بحثاً ذکرته فی محله ، ولو لا أنّ الحدیث المبحوث عنه لا یصلح للاعتناء به لأوضحنا الحال هنا ، نعم فی</w:t>
      </w:r>
    </w:p>
    <w:p>
      <w:pPr>
        <w:pStyle w:val="Heading4"/>
        <w:numPr>
          <w:ilvl w:val="3"/>
          <w:numId w:val="1"/>
        </w:numPr>
        <w:rPr/>
      </w:pPr>
      <w:bookmarkStart w:id="357" w:name="__RefHeading___Toc39166_2142443653"/>
      <w:bookmarkStart w:id="358" w:name="_Toc141"/>
      <w:bookmarkEnd w:id="357"/>
      <w:r>
        <w:rPr>
          <w:rtl w:val="true"/>
        </w:rPr>
        <w:t>الاستدلال بخبر أبی بکر الحضرمی علی أنّ الغسل واجب لنفسه والمناقشة فیه</w:t>
      </w:r>
      <w:bookmarkEnd w:id="35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9" w:name="__RefHeading___Toc39168_2142443653"/>
      <w:bookmarkStart w:id="360" w:name="_Toc142"/>
      <w:bookmarkEnd w:id="359"/>
      <w:r>
        <w:rPr>
          <w:rtl w:val="true"/>
        </w:rPr>
        <w:t>الاستدلال بخبر سماعة علی أنّ المستحاضة المتوسطة علیها غسل واحد</w:t>
      </w:r>
      <w:bookmarkEnd w:id="360"/>
    </w:p>
    <w:p>
      <w:pPr>
        <w:pStyle w:val="BookText"/>
        <w:rPr/>
      </w:pPr>
      <w:r>
        <w:rPr>
          <w:rFonts w:ascii="IRNazanin" w:hAnsi="IRNazanin" w:eastAsia="IRNazanin"/>
          <w:color w:val="111111"/>
          <w:sz w:val="28"/>
          <w:sz w:val="28"/>
          <w:szCs w:val="28"/>
          <w:rtl w:val="true"/>
          <w:lang w:bidi="fa-IR"/>
        </w:rPr>
        <w:t xml:space="preserve">الحدیث تأیید لما دل علی وجوب غسل المسّ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الاسناد عن محمد بن یحیی ، عن محمد بن أحمد بن یحیی ، عن محمد بن عیسی ، عن یونس ، عن بعض رجاله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الغسل فی سبعة عشر موطناً ، منها الفرض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الفرض منها؟ قال</w:t>
      </w:r>
      <w:r>
        <w:rPr>
          <w:rStyle w:val="FootnoteAnchor"/>
          <w:rtl w:val="true"/>
        </w:rPr>
        <w:footnoteReference w:id="31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 الجنابة وغسل من مسّ </w:t>
      </w:r>
      <w:r>
        <w:rPr>
          <w:rStyle w:val="FootnoteAnchor"/>
          <w:rtl w:val="true"/>
        </w:rPr>
        <w:footnoteReference w:id="314"/>
      </w:r>
      <w:r>
        <w:rPr>
          <w:rFonts w:ascii="IRNazanin" w:hAnsi="IRNazanin" w:eastAsia="IRNazanin"/>
          <w:color w:val="111111"/>
          <w:sz w:val="28"/>
          <w:sz w:val="28"/>
          <w:szCs w:val="28"/>
          <w:rtl w:val="true"/>
          <w:lang w:bidi="fa-IR"/>
        </w:rPr>
        <w:t xml:space="preserve">میتاً والغسل للإحرام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والغسل للإحرام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عندنا فرضاً فمعناه أن ثوابه ثواب الفرض وفضله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أحمد بن عبدون ، عن علی بن محمد بن الزبیر ، عن علی بن فضال ، عن محمد بن عبد الله بن زرارة ، عن محمد بن علی الحلبی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 الحیض والجنابة </w:t>
      </w:r>
      <w:r>
        <w:rPr>
          <w:rStyle w:val="FootnoteAnchor"/>
          <w:rtl w:val="true"/>
        </w:rPr>
        <w:footnoteReference w:id="315"/>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 أبا عبد الله علیه السلام عن الحائض علیها غسل مثل غسل الجنب </w:t>
      </w:r>
      <w:r>
        <w:rPr>
          <w:rStyle w:val="FootnoteAnchor"/>
          <w:rtl w:val="true"/>
        </w:rPr>
        <w:footnoteReference w:id="316"/>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الاسناد عن ابن فضال </w:t>
      </w:r>
      <w:r>
        <w:rPr>
          <w:rStyle w:val="FootnoteAnchor"/>
          <w:rtl w:val="true"/>
        </w:rPr>
        <w:footnoteReference w:id="317"/>
      </w:r>
      <w:r>
        <w:rPr>
          <w:rFonts w:ascii="IRNazanin" w:hAnsi="IRNazanin" w:eastAsia="IRNazanin"/>
          <w:color w:val="111111"/>
          <w:sz w:val="28"/>
          <w:sz w:val="28"/>
          <w:szCs w:val="28"/>
          <w:rtl w:val="true"/>
          <w:lang w:bidi="fa-IR"/>
        </w:rPr>
        <w:t xml:space="preserve">، عن علی بن أسباط ، عن عمه یعقوب بن سالم الأحمر ، عن أبی بصیر ، عن أبی عبد الله علیه السلام قال </w:t>
      </w:r>
      <w:bookmarkStart w:id="361" w:name="pg17122_169558"/>
    </w:p>
    <w:p>
      <w:pPr>
        <w:pStyle w:val="BookText"/>
        <w:rPr/>
      </w:pPr>
      <w:bookmarkEnd w:id="361"/>
      <w:r>
        <w:rPr>
          <w:rFonts w:ascii="IRNazanin" w:hAnsi="IRNazanin" w:eastAsia="IRNazanin"/>
          <w:color w:val="111111"/>
          <w:sz w:val="28"/>
          <w:sz w:val="28"/>
          <w:szCs w:val="28"/>
          <w:rtl w:val="true"/>
          <w:lang w:bidi="fa-IR"/>
        </w:rPr>
        <w:t xml:space="preserve">سألته أعلیها غسل مثل غسل الجنب </w:t>
      </w:r>
      <w:r>
        <w:rPr>
          <w:rStyle w:val="FootnoteAnchor"/>
          <w:rtl w:val="true"/>
        </w:rPr>
        <w:footnoteReference w:id="318"/>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الحائض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استوفینا ما یتعلق بوجوب هذه الأغسال فی کتاب تهذیب الأحکام </w:t>
      </w:r>
      <w:r>
        <w:rPr>
          <w:rStyle w:val="FootnoteAnchor"/>
          <w:rtl w:val="true"/>
        </w:rPr>
        <w:footnoteReference w:id="319"/>
      </w:r>
      <w:r>
        <w:rPr>
          <w:rFonts w:ascii="IRNazanin" w:hAnsi="IRNazanin" w:eastAsia="IRNazanin"/>
          <w:color w:val="111111"/>
          <w:sz w:val="28"/>
          <w:sz w:val="28"/>
          <w:szCs w:val="28"/>
          <w:rtl w:val="true"/>
          <w:lang w:bidi="fa-IR"/>
        </w:rPr>
        <w:t>، وتکلمنا علی ما یخالف ذلک علی غایة الشرح ، غیر أنّا ذکرنا هاهنا جملاً من الأخبار فی ذلک فیها کفایة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عیسی عن یونس ، وقد تقدم القول فیه </w:t>
      </w:r>
      <w:r>
        <w:rPr>
          <w:rStyle w:val="FootnoteAnchor"/>
          <w:rtl w:val="true"/>
        </w:rPr>
        <w:footnoteReference w:id="320"/>
      </w:r>
      <w:r>
        <w:rPr>
          <w:rFonts w:ascii="IRNazanin" w:hAnsi="IRNazanin" w:eastAsia="IRNazanin"/>
          <w:color w:val="111111"/>
          <w:sz w:val="28"/>
          <w:sz w:val="28"/>
          <w:szCs w:val="28"/>
          <w:rtl w:val="true"/>
          <w:lang w:bidi="fa-IR"/>
        </w:rPr>
        <w:t>، وفیه أیضاً 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 ذکرناه سابقاً بما یغنی عن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وذکرنا أیضاً أن محمد بن عبد الله بن زرارة ربما استفید من ترجمة الحسن بن علیّ فضال فی النجاشی مدحه </w:t>
      </w:r>
      <w:r>
        <w:rPr>
          <w:rStyle w:val="FootnoteAnchor"/>
          <w:rtl w:val="true"/>
        </w:rPr>
        <w:footnoteReference w:id="321"/>
      </w:r>
      <w:r>
        <w:rPr>
          <w:rFonts w:ascii="IRNazanin" w:hAnsi="IRNazanin" w:eastAsia="IRNazanin"/>
          <w:color w:val="111111"/>
          <w:sz w:val="28"/>
          <w:sz w:val="28"/>
          <w:szCs w:val="28"/>
          <w:rtl w:val="true"/>
          <w:lang w:bidi="fa-IR"/>
        </w:rPr>
        <w:t xml:space="preserve">، بل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باستفادة التوثیق </w:t>
      </w:r>
      <w:r>
        <w:rPr>
          <w:rStyle w:val="FootnoteAnchor"/>
          <w:rtl w:val="true"/>
        </w:rPr>
        <w:footnoteReference w:id="322"/>
      </w:r>
      <w:r>
        <w:rPr>
          <w:rFonts w:ascii="IRNazanin" w:hAnsi="IRNazanin" w:eastAsia="IRNazanin"/>
          <w:color w:val="111111"/>
          <w:sz w:val="28"/>
          <w:sz w:val="28"/>
          <w:szCs w:val="28"/>
          <w:rtl w:val="true"/>
          <w:lang w:bidi="fa-IR"/>
        </w:rPr>
        <w:t xml:space="preserve">أیضاً ، لأنّ النجاشی بعد أن ذکر حدیثاً فی شأن ابن فضّال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داود یعنی محمد بن أحمد الثقة فی تمام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علیّ بن أسباط فأخبره محمد بن الحسن بن الجهم الخبر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علیّ بن أسباط یلومه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فأخبرت أحمد بن الحسن بن علیّ بن فضال بقول محمد بن عبد الله یعنی ابن زرارة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محمد بن عبد الله علی أبی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والله محمد بن عبد الله أصدق عندی لهجة من أحمد بن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2" w:name="__RefHeading___Toc39170_2142443653"/>
      <w:bookmarkStart w:id="363" w:name="_Toc143"/>
      <w:bookmarkEnd w:id="362"/>
      <w:r>
        <w:rPr>
          <w:rtl w:val="true"/>
        </w:rPr>
        <w:t>بحث حول محمد بن عبدالله بن زرارة</w:t>
      </w:r>
      <w:bookmarkStart w:id="364" w:name="pg17122_169559"/>
      <w:bookmarkEnd w:id="363"/>
    </w:p>
    <w:p>
      <w:pPr>
        <w:pStyle w:val="BookText"/>
        <w:rPr/>
      </w:pPr>
      <w:bookmarkEnd w:id="364"/>
      <w:r>
        <w:rPr>
          <w:rFonts w:ascii="Amiri" w:hAnsi="Amiri" w:eastAsia="Amiri" w:cs="Amiri"/>
          <w:color w:val="111111"/>
          <w:sz w:val="28"/>
          <w:sz w:val="28"/>
          <w:szCs w:val="28"/>
          <w:rtl w:val="true"/>
          <w:lang w:bidi="ar-SA"/>
        </w:rPr>
        <w:t xml:space="preserve">الحسن ، فإنّه رجل فاضل دیِّن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الکلام من ابن داود الثقة ، إلاّ أنّ فی استفادة التوثیق تأمّلاً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قاله جدّی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محمد بن عبد الله مجهول </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نظر بعد ما سمعته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بن فضال فهو ثقة فطحیّ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القول فی رجاله ، غیر أنّا أهملنا القول فی أبی بصیر نظراً إلی أنّی أفردت له تفصیلاً فی بعض ما جمعته فی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ینبغی بیانه هنا أنّ الرجل المذکور فی کتب الرجال مشترک بین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بصیر لیث المرادی الثقة الإمامی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بصیر یوسف بن الحرث من أصحاب الباقر علیه السلام </w:t>
      </w:r>
      <w:r>
        <w:rPr>
          <w:rStyle w:val="FootnoteAnchor"/>
          <w:rtl w:val="true"/>
        </w:rPr>
        <w:footnoteReference w:id="326"/>
      </w:r>
      <w:r>
        <w:rPr>
          <w:rFonts w:ascii="IRNazanin" w:hAnsi="IRNazanin" w:eastAsia="IRNazanin"/>
          <w:color w:val="111111"/>
          <w:sz w:val="28"/>
          <w:sz w:val="28"/>
          <w:szCs w:val="28"/>
          <w:rtl w:val="true"/>
          <w:lang w:bidi="fa-IR"/>
        </w:rPr>
        <w:t xml:space="preserve">، بتریّ علی ما فی الخلاصة وکتاب الشیخ فی الرجال </w:t>
      </w:r>
      <w:r>
        <w:rPr>
          <w:rStyle w:val="FootnoteAnchor"/>
          <w:rtl w:val="true"/>
        </w:rPr>
        <w:footnoteReference w:id="327"/>
      </w:r>
      <w:r>
        <w:rPr>
          <w:rFonts w:ascii="IRNazanin" w:hAnsi="IRNazanin" w:eastAsia="IRNazanin"/>
          <w:color w:val="111111"/>
          <w:sz w:val="28"/>
          <w:sz w:val="28"/>
          <w:szCs w:val="28"/>
          <w:rtl w:val="true"/>
          <w:lang w:bidi="fa-IR"/>
        </w:rPr>
        <w:t xml:space="preserve">، وفی بعض نسخ الکشی أبو نصر بالنون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بصیر عبد الله بن محمد الأسدی وهو فی الکشی مذکور </w:t>
      </w:r>
      <w:r>
        <w:rPr>
          <w:rStyle w:val="FootnoteAnchor"/>
          <w:rtl w:val="true"/>
        </w:rPr>
        <w:footnoteReference w:id="329"/>
      </w:r>
      <w:r>
        <w:rPr>
          <w:rFonts w:ascii="IRNazanin" w:hAnsi="IRNazanin" w:eastAsia="IRNazanin"/>
          <w:color w:val="111111"/>
          <w:sz w:val="28"/>
          <w:sz w:val="28"/>
          <w:szCs w:val="28"/>
          <w:rtl w:val="true"/>
          <w:lang w:bidi="fa-IR"/>
        </w:rPr>
        <w:t xml:space="preserve">، ونقله ابن داود عن رجال الشیخ فیمن روی عن الباقر علیه السلام </w:t>
      </w:r>
      <w:r>
        <w:rPr>
          <w:rStyle w:val="FootnoteAnchor"/>
          <w:rtl w:val="true"/>
        </w:rPr>
        <w:footnoteReference w:id="330"/>
      </w:r>
      <w:r>
        <w:rPr>
          <w:rFonts w:ascii="IRNazanin" w:hAnsi="IRNazanin" w:eastAsia="IRNazanin"/>
          <w:color w:val="111111"/>
          <w:sz w:val="28"/>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5" w:name="__RefHeading___Toc39172_2142443653"/>
      <w:bookmarkStart w:id="366" w:name="_Toc144"/>
      <w:bookmarkEnd w:id="365"/>
      <w:r>
        <w:rPr>
          <w:rtl w:val="true"/>
        </w:rPr>
        <w:t>بحث حول أبی بصیر</w:t>
      </w:r>
      <w:bookmarkEnd w:id="366"/>
    </w:p>
    <w:p>
      <w:pPr>
        <w:pStyle w:val="BookText"/>
        <w:rPr/>
      </w:pPr>
      <w:r>
        <w:rPr>
          <w:rFonts w:ascii="IRNazanin" w:hAnsi="IRNazanin" w:eastAsia="IRNazanin"/>
          <w:color w:val="111111"/>
          <w:sz w:val="28"/>
          <w:sz w:val="28"/>
          <w:szCs w:val="28"/>
          <w:rtl w:val="true"/>
          <w:lang w:bidi="fa-IR"/>
        </w:rPr>
        <w:t xml:space="preserve">والذی یقتضیه النظر أنّه موهوم من الکشی واختیار الشیخ له ، لأنّه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أبی بصیر عبد الله بن محمد الأسدی ، وذکر روایتین لا تعلق لهما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بصیر یحیی بن القاسم الأسدی وهو ثقة کما ذکره النجاشی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 روی عن أبی جعفر وأبی عبد الله علیهماالسلام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أبی القاسم ، واسم أبی القاسم إسحاق ، وروی عن أبی الحسن موسی علیه السلام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والشیخ فی الفهرست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القاسم یکنی أبا بصیر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رجال الباقر علیه السلام من کتابه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أبی القاسم یکنی أبا بصیر مکفوف ، واسم أبی القاسم إسحاق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رجال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القاسم أبو محمد یعرف بأبی بصیر الأسدی مولاهم کوفیّ تابعیّ مات سنة خمسین ومائة بعد أبی عبد الله علیه السلام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رجال الکاظم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القاسم الحذّاء واقفی </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بعد ذکر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أبی القاسم یکنّی أبا بصیر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والعلاّمة فی الخلاصة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القاسم الحذّاء من أصحاب الکاظم علیه السلام ، وکان یکنی أبا بصیر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أبو محمد ، اختلف قول علمائنا فیه ، فالشیخ الطوسی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واقفی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الکشی </w:t>
      </w:r>
    </w:p>
    <w:p>
      <w:pPr>
        <w:pStyle w:val="BookText"/>
        <w:rPr/>
      </w:pPr>
      <w:r>
        <w:rPr>
          <w:rFonts w:ascii="IRNazanin" w:hAnsi="IRNazanin" w:eastAsia="IRNazanin"/>
          <w:color w:val="111111"/>
          <w:sz w:val="28"/>
          <w:sz w:val="28"/>
          <w:szCs w:val="28"/>
          <w:rtl w:val="true"/>
          <w:lang w:bidi="fa-IR"/>
        </w:rPr>
        <w:t xml:space="preserve">ما یتضمن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بصیر یحیی بن القاسم الحذّاء الأزدی هذا یکنی أبا محمد </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جدّی قدس سره فی فوائده علی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الأقوی العمل بروایته ، لتوثیق النجاشی له ، وقول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أحد من </w:t>
      </w:r>
      <w:r>
        <w:rPr>
          <w:rStyle w:val="FootnoteAnchor"/>
          <w:rtl w:val="true"/>
        </w:rPr>
        <w:footnoteReference w:id="338"/>
      </w:r>
      <w:r>
        <w:rPr>
          <w:rFonts w:ascii="IRNazanin" w:hAnsi="IRNazanin" w:eastAsia="IRNazanin"/>
          <w:color w:val="111111"/>
          <w:sz w:val="28"/>
          <w:sz w:val="28"/>
          <w:szCs w:val="28"/>
          <w:rtl w:val="true"/>
          <w:lang w:bidi="fa-IR"/>
        </w:rPr>
        <w:t>اجتمعت العصابة علی تصدیقه والإقرار له بالفقه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الشیخ رحمه الله معارض بما ذکره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مات سنة خمسین ومائة ، فإن ذلک یقتضی تقدم وفاته علی وفاة الکاظم علیه السلام بثلاث وعشرین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 الذی یقتضیه النظر أن أبا بصیر إذا روی عن الباقر علیه السلام فهو مشترک بین غیر الموثق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یوسف بن الحرث علی تقدیر ثبوت الکنیة بأبی بصیر ، وعبد الله بن محمد الأسدی ، قد عرفت أنه موهوم ، فلم یبق إلاّ الاشتراک بین الإمامی الثقة وبین یحیی بن القاسم الواقفی علی قول الشیخ ، وکلام النجاشی له رجحان علی جرح الشیخ ، کما حققناه فی موضعه ، وعلی تقدیر العدم فهو مشترک بین الإمامی الثقة والواقفی الثقة إذا روی عن الصادق علیه السلام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ما ذکره الشیخ فی کتاب الرجال ممّا یقتضی المغایرة بین ابن أبی القاسم وابن القاسم فالتأمل فی کلام النجاشی یدفعه ویفید الاتحاد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جدّی قدس سره منظور فیه ، إذ لا منافاة بین الوقف والثقة علی تقدیر ردّ ما ذکرناه من ترجیح کلام النجاشی ، وما قاله من قصة الموت فی حیاة الکاظم علیه السلام قد یدفع بأن الوقف قد یکون فی حیاة الکاظم علیه السلام کما </w:t>
      </w:r>
    </w:p>
    <w:p>
      <w:pPr>
        <w:pStyle w:val="BookText"/>
        <w:rPr/>
      </w:pPr>
      <w:r>
        <w:rPr>
          <w:rFonts w:ascii="IRNazanin" w:hAnsi="IRNazanin" w:eastAsia="IRNazanin"/>
          <w:color w:val="111111"/>
          <w:sz w:val="28"/>
          <w:sz w:val="28"/>
          <w:szCs w:val="28"/>
          <w:rtl w:val="true"/>
          <w:lang w:bidi="fa-IR"/>
        </w:rPr>
        <w:t>تدل علیه بعض الأخبار والآثار الواردة عن الواقفة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روی الشیخ فی هذا الکتاب والتهذیب ما یتضمن القدح فی أبی بصیر المکفوف ، وهو ما رواه عن أحمد بن محمد بن عیسی ، عن ابن أبی عمیر ، عن شعیب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رجل تزوج امرأة لها زوج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یفرّق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ضرب؟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ما له یضرب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من عنده وأبو بصیر بحیال المیزاب ، فأخبرته بالمسألة والجواب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أنا؟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بحیال المیزاب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یده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 هذا البیت ،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 هذه الکعبة لسمعت جعفراً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علیّاً علیه السلام قضی فی الرجل تزوّج امرأة لها زوج فرجم المرأة وضرب الرجل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علمت أنک علمت لفضخت </w:t>
      </w:r>
      <w:r>
        <w:rPr>
          <w:rStyle w:val="FootnoteAnchor"/>
          <w:rtl w:val="true"/>
        </w:rPr>
        <w:footnoteReference w:id="340"/>
      </w:r>
      <w:r>
        <w:rPr>
          <w:rFonts w:ascii="IRNazanin" w:hAnsi="IRNazanin" w:eastAsia="IRNazanin"/>
          <w:color w:val="111111"/>
          <w:sz w:val="28"/>
          <w:sz w:val="28"/>
          <w:szCs w:val="28"/>
          <w:rtl w:val="true"/>
          <w:lang w:bidi="fa-IR"/>
        </w:rPr>
        <w:t xml:space="preserve">رأسک بالحجارة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أخوفنی أن لا یکون اوتی علمه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الخبر یعطی القدح فی أبی بصیر المکفوف بما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والکشی روی نحو هذا الحدیث عن شعیب </w:t>
      </w:r>
      <w:r>
        <w:rPr>
          <w:rStyle w:val="FootnoteAnchor"/>
          <w:rtl w:val="true"/>
        </w:rPr>
        <w:footnoteReference w:id="342"/>
      </w:r>
      <w:r>
        <w:rPr>
          <w:rFonts w:ascii="IRNazanin" w:hAnsi="IRNazanin" w:eastAsia="IRNazanin"/>
          <w:color w:val="111111"/>
          <w:sz w:val="28"/>
          <w:sz w:val="28"/>
          <w:szCs w:val="28"/>
          <w:rtl w:val="true"/>
          <w:lang w:bidi="fa-IR"/>
        </w:rPr>
        <w:t xml:space="preserve">، لکنّه اضطرب فی نقل أخبار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فحصل نوع تخلیط بین حال أبی بصیر لیث المرادی وحال غیره کما یعلم من مراجعته ، ولو لا خوف الخروج عن سلوک الاختصار لذکرتها ، وإنّما ذکرت ما ذکرته هنا لئلاّ یخلو الکتاب من القول فی أبی بصیر ممّا لا بدّ </w:t>
      </w:r>
      <w:bookmarkStart w:id="367" w:name="pg17122_169563"/>
    </w:p>
    <w:p>
      <w:pPr>
        <w:pStyle w:val="BookText"/>
        <w:rPr/>
      </w:pPr>
      <w:bookmarkEnd w:id="367"/>
      <w:r>
        <w:rPr>
          <w:rFonts w:ascii="IRNazanin" w:hAnsi="IRNazanin" w:eastAsia="IRNazanin"/>
          <w:color w:val="111111"/>
          <w:sz w:val="28"/>
          <w:sz w:val="28"/>
          <w:szCs w:val="28"/>
          <w:rtl w:val="true"/>
          <w:lang w:bidi="fa-IR"/>
        </w:rPr>
        <w:t>منه ، لاشتمال أکثر الأسانید علیه ، وترک التعرض لذلک سابقاً لظن عدم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أعلم بحقائق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الأوّل ظاهره لا یخلو من إشکال لأنّ الفرض کثیراً ما یراد به الثابت بالقرآن ، وغیر الجنابة لا یتم إرادته فی الظاهر ، وحینئذ یراد به الوجوب ، وانحصاره فی الثلاثة غیر واضح الوجه لوجوب أغسال أُخر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أنّ الشیخ روی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الشیخ أیده الله عن أحمد بن محمد ، عن أبیه ، عن الحسین بن الحسن بن أبان ، عن الحسین ابن سعید ، عن حماد ، عن حریز ، عن محمد بن مسلم ، عن أحدهما علیهماالسلام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الغسل فی سبعة عشر موطنا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سبع عشرة من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 الحدیث فی ذکر الأغسال المسنونة ، 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ویوم تُحرِم ، ویوم الزیارة ، ویوم تدخل البیت ، ویوم الترویة ، ویوم عرفة ، وإذا غسلت میتا أو کفّنته أو مسسته بعد ما یبرد ، ویوم الجمعة ، وغسل الجنابة فریضة ، وغسل الکسوف إذا احترق القرص کلّه فاغتسل </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الحدیث کما تری یدل علی أنّ السبعة عشر المجملة فی الخبر المبحوث عنه غیر أغسال النساء من الحیض والاستحاضة والنفاس ، وخصّ غسل الجنابة فیه بکونه فریضة ، فیتم ما ذکره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غسل الإحرام ثوابه ثواب الفرض علی تقدیر عدم رجحان ما یدل علی وجوبه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8" w:name="__RefHeading___Toc39174_2142443653"/>
      <w:bookmarkStart w:id="369" w:name="_Toc145"/>
      <w:bookmarkEnd w:id="368"/>
      <w:r>
        <w:rPr>
          <w:rtl w:val="true"/>
        </w:rPr>
        <w:t xml:space="preserve">ما المراد بقوله علیه السلام </w:t>
      </w:r>
      <w:r>
        <w:rPr>
          <w:rtl w:val="true"/>
        </w:rPr>
        <w:t xml:space="preserve">: </w:t>
      </w:r>
      <w:r>
        <w:rPr>
          <w:rtl w:val="true"/>
        </w:rPr>
        <w:t>غسل الاحرام فرض؟</w:t>
      </w:r>
      <w:bookmarkStart w:id="370" w:name="pg17122_169564"/>
      <w:bookmarkEnd w:id="369"/>
    </w:p>
    <w:p>
      <w:pPr>
        <w:pStyle w:val="BookText"/>
        <w:rPr/>
      </w:pPr>
      <w:bookmarkEnd w:id="370"/>
      <w:r>
        <w:rPr>
          <w:rFonts w:ascii="IRNazanin" w:hAnsi="IRNazanin" w:eastAsia="IRNazanin"/>
          <w:color w:val="111111"/>
          <w:sz w:val="28"/>
          <w:sz w:val="28"/>
          <w:szCs w:val="28"/>
          <w:rtl w:val="true"/>
          <w:lang w:bidi="fa-IR"/>
        </w:rPr>
        <w:t>غایة الأمر أنّه یتوجه علی الشیخ أن الحدیث المفصّل دل علی بیان الأغسال المسنونة ، وخصّ من بینها الجنابة بالفریضة ، فإخراج غسل من مسّ میتاً إلی الوجوب محل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الأخبار الدالة علی وجوب غسل المسّ هی المخرجة ، کما أن الأخبار الدالة علی عدم وجوب غسل الإحرام عند الشیخ أدخلته فی المسنون بمعنی </w:t>
      </w:r>
      <w:r>
        <w:rPr>
          <w:rStyle w:val="FootnoteAnchor"/>
          <w:rtl w:val="true"/>
        </w:rPr>
        <w:footnoteReference w:id="345"/>
      </w:r>
      <w:r>
        <w:rPr>
          <w:rFonts w:ascii="IRNazanin" w:hAnsi="IRNazanin" w:eastAsia="IRNazanin"/>
          <w:color w:val="111111"/>
          <w:sz w:val="28"/>
          <w:sz w:val="28"/>
          <w:szCs w:val="28"/>
          <w:rtl w:val="true"/>
          <w:lang w:bidi="fa-IR"/>
        </w:rPr>
        <w:t>المستحب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یبقی سؤال اختصاص غسل الإحرام باسم الفرض مع کونه مستحبا ، وجواب الشیخ بأن ثوابه ثواب الفرض محل کلام ، إذ المستحب مستبعد بلوغه مرتبة الواجب ، ولعل الاستبعاد یندفع بوجود الدلیل علیه ، إلاّ أن إثباته من مجرد تسمیته فریضة مشکل ، لجواز إرادة زیادة الثواب عن غیره من المستحبات وإن لم یصل إلی حدّ الواجب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إطلاق الفرض علیه یقتضی المساواة ، 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إطلاق الفرض علی غسل من مسّ میتاً یراد به الوجوب ، وحینئذ قد یستبعد استعمال الفرض فی معانی مختلفة فی بعضها حقیقة وبعضها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أنّ الممنوع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إرادة الحقیقة والمجاز من لفظ واحد ، علی أن المنع لیس علی الإطلاق أیضاً کما حقق فی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استعمال اللفظ الموهم لغیر ما هو مطلوب منه ینافی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من قبیل المجمل ، وتأخیر البیان عن وقت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1" w:name="__RefHeading___Toc39176_2142443653"/>
      <w:bookmarkStart w:id="372" w:name="_Toc146"/>
      <w:bookmarkEnd w:id="371"/>
      <w:r>
        <w:rPr>
          <w:rtl w:val="true"/>
        </w:rPr>
        <w:t>هل یجوز استعمال لفظ الفرض فی الوجوب وغیره؟</w:t>
      </w:r>
      <w:bookmarkStart w:id="373" w:name="pg17122_169565"/>
      <w:bookmarkEnd w:id="372"/>
    </w:p>
    <w:p>
      <w:pPr>
        <w:pStyle w:val="BookText"/>
        <w:rPr/>
      </w:pPr>
      <w:bookmarkEnd w:id="373"/>
      <w:r>
        <w:rPr>
          <w:rFonts w:ascii="IRNazanin" w:hAnsi="IRNazanin" w:eastAsia="IRNazanin"/>
          <w:color w:val="111111"/>
          <w:sz w:val="28"/>
          <w:sz w:val="28"/>
          <w:szCs w:val="28"/>
          <w:rtl w:val="true"/>
          <w:lang w:bidi="fa-IR"/>
        </w:rPr>
        <w:t xml:space="preserve">الحاجة غیر معلوم ، والممنوع منه ذلک ، کما بینّاه فیما سبق ، حیث ظن شیخنا قدس سره من بعض ما حمله الشیخ فی الأخبار أن فیه ألغازاً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تأخیراً للبیان عن </w:t>
      </w:r>
      <w:r>
        <w:rPr>
          <w:rFonts w:eastAsia="IRNazanin" w:cs="IRNazanin"/>
          <w:color w:val="111111"/>
          <w:sz w:val="28"/>
          <w:szCs w:val="28"/>
          <w:rtl w:val="true"/>
          <w:lang w:bidi="fa-IR"/>
        </w:rPr>
        <w:t xml:space="preserve">) </w:t>
      </w:r>
      <w:r>
        <w:rPr>
          <w:rStyle w:val="FootnoteAnchor"/>
          <w:rtl w:val="true"/>
        </w:rPr>
        <w:footnoteReference w:id="347"/>
      </w:r>
      <w:r>
        <w:rPr>
          <w:rFonts w:ascii="Amiri" w:hAnsi="Amiri" w:eastAsia="Amiri" w:cs="Amiri"/>
          <w:color w:val="111111"/>
          <w:sz w:val="28"/>
          <w:sz w:val="28"/>
          <w:szCs w:val="28"/>
          <w:rtl w:val="true"/>
          <w:lang w:bidi="ar-SA"/>
        </w:rPr>
        <w:t>وقت 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وأنت إذا تأمّلت ما قلناه تری أن غالب الأخبار المطلقة والمجملة والمقیدة والمبیّنة من هذا القبیل فلا محذور ، فلولا ما قلناه لانسدّ باب حمل المطلق علی المقید ، فینبغی إنعام </w:t>
      </w:r>
      <w:r>
        <w:rPr>
          <w:rStyle w:val="FootnoteAnchor"/>
          <w:rtl w:val="true"/>
        </w:rPr>
        <w:footnoteReference w:id="348"/>
      </w:r>
      <w:r>
        <w:rPr>
          <w:rFonts w:ascii="IRNazanin" w:hAnsi="IRNazanin" w:eastAsia="IRNazanin"/>
          <w:color w:val="111111"/>
          <w:sz w:val="28"/>
          <w:sz w:val="28"/>
          <w:szCs w:val="28"/>
          <w:rtl w:val="true"/>
          <w:lang w:bidi="fa-IR"/>
        </w:rPr>
        <w:t>النظر فی هذا المقام فإنه حریّ بالتأمل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الخبر الثانی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غسل مثل غسل الجنب ، محتمل لأن یراد به السؤال عن الکیفیّة ، فیکون السائل عالماً بالوجوب وإنّما السؤال عن الکیفیة ، ویحتمل أن یراد السؤال عن الوجوب ، أی کما یجب علیها غسل الجنابة یجب علیها غسل الحیض ، والجنب یقال علی الواحد المذکر والمؤنث ، صرّح به ابن الأثیر فی أحکام الأحکام ، إلاّ أنّ الاحتمال الأوّل أقرب ، ولزوم السؤال عن الضروری فیتعین الأوّل ربما کان مشترک الإلزام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الاحتمال الأوّل قد یستفاد من الخبر بتقدیر العمل به عدم وجوب الوضوء مع غسل الحیض ، بل عدم مشروعیّته إلاّ علی وجه غیر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السؤال عن کیفیة الغسل ، والوضوء خارج عنها ، فإذا دل علیه الدلیل عمل به ، فلیتأملّ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4" w:name="__RefHeading___Toc39178_2142443653"/>
      <w:bookmarkStart w:id="375" w:name="_Toc147"/>
      <w:bookmarkEnd w:id="374"/>
      <w:r>
        <w:rPr>
          <w:rtl w:val="true"/>
        </w:rPr>
        <w:t>هل السؤال فی قوله</w:t>
      </w:r>
      <w:r>
        <w:rPr>
          <w:rtl w:val="true"/>
        </w:rPr>
        <w:t>:</w:t>
      </w:r>
      <w:r>
        <w:rPr>
          <w:rtl w:val="true"/>
        </w:rPr>
        <w:t>علیها غسل مثل غسل الجنب، عن الوجوب أو الکیفیة؟</w:t>
      </w:r>
      <w:bookmarkEnd w:id="375"/>
    </w:p>
    <w:p>
      <w:pPr>
        <w:pStyle w:val="BookText"/>
        <w:rPr/>
      </w:pPr>
      <w:r>
        <w:rPr>
          <w:rFonts w:ascii="IRNazanin" w:hAnsi="IRNazanin" w:eastAsia="IRNazanin"/>
          <w:color w:val="111111"/>
          <w:sz w:val="28"/>
          <w:sz w:val="28"/>
          <w:szCs w:val="28"/>
          <w:rtl w:val="true"/>
          <w:lang w:bidi="fa-IR"/>
        </w:rPr>
        <w:t>ثم إن الخبر الثالث فیه الاحتمالان والأقربیة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الجنب علی المذکر والمؤنث لا دخل له فی توجیه الاحتمال ، لأن المذکور فی کلام ابن الأثیر أنّه یجوز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جنب ورجل جنب ، والمقصود هنا فی السؤال أن المرأة علیها غسل مثل غسل الجنب بمعنی غسل الجنابة ، فالأولی إثبات إطلاق الجنب علی الجنابة ، ولیس هذا ثابتاً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مرادنا بالاحتمال أنّ الجنب إذا صدق علی الأُنثی أفاد السؤال أنّ الحائض علیها غسل مثل ما علیها حال کونها جنباً ، أو مثل غسل المرأة الجنب ، ووجه الاحتیاج إلی هذا أنّ المشابهة للرجل بعیدة ، نعم یحتمل إرادة الجنابة ، ویتم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أحمد بن یحیی ، عن الحسن بن الحسین </w:t>
      </w:r>
      <w:r>
        <w:rPr>
          <w:rStyle w:val="FootnoteAnchor"/>
          <w:rtl w:val="true"/>
        </w:rPr>
        <w:footnoteReference w:id="349"/>
      </w:r>
      <w:r>
        <w:rPr>
          <w:rFonts w:ascii="IRNazanin" w:hAnsi="IRNazanin" w:eastAsia="IRNazanin"/>
          <w:color w:val="111111"/>
          <w:sz w:val="28"/>
          <w:sz w:val="28"/>
          <w:szCs w:val="28"/>
          <w:rtl w:val="true"/>
          <w:lang w:bidi="fa-IR"/>
        </w:rPr>
        <w:t xml:space="preserve">اللؤلؤی ، عن أحمد بن محمد ، عن سعد بن أبی خلف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الغسل فی أربعة عشر موطناً ، واحد فریضة والباقی سنة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فالمعنی فیه أن واحداً منها فریضة بظاهر القرآن وإن کانت هناک أغسال أُخر یعلم فرضها بالسنّة</w:t>
      </w:r>
      <w:r>
        <w:rPr>
          <w:rFonts w:eastAsia="IRNazanin" w:cs="IRNazanin"/>
          <w:color w:val="111111"/>
          <w:sz w:val="28"/>
          <w:szCs w:val="28"/>
          <w:rtl w:val="true"/>
          <w:lang w:bidi="fa-IR"/>
        </w:rPr>
        <w:t xml:space="preserve">. </w:t>
      </w:r>
      <w:bookmarkStart w:id="376" w:name="pg17122_169567"/>
    </w:p>
    <w:p>
      <w:pPr>
        <w:pStyle w:val="BookText"/>
        <w:rPr/>
      </w:pPr>
      <w:bookmarkEnd w:id="376"/>
      <w:r>
        <w:rPr>
          <w:rFonts w:ascii="IRNazanin" w:hAnsi="IRNazanin" w:eastAsia="IRNazanin"/>
          <w:color w:val="111111"/>
          <w:sz w:val="28"/>
          <w:sz w:val="28"/>
          <w:szCs w:val="28"/>
          <w:rtl w:val="true"/>
          <w:lang w:bidi="fa-IR"/>
        </w:rPr>
        <w:t xml:space="preserve">فأمّا ما رواه سعد بن عبد الله ، عن علی بن خالد ، عن محمد بن الولید ، عن حماد بن عثمان ، عن معاویة بن عمار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 النفساء </w:t>
      </w:r>
      <w:r>
        <w:rPr>
          <w:rStyle w:val="FootnoteAnchor"/>
          <w:rtl w:val="true"/>
        </w:rPr>
        <w:footnoteReference w:id="350"/>
      </w:r>
      <w:r>
        <w:rPr>
          <w:rFonts w:ascii="IRNazanin" w:hAnsi="IRNazanin" w:eastAsia="IRNazanin"/>
          <w:color w:val="111111"/>
          <w:sz w:val="28"/>
          <w:sz w:val="28"/>
          <w:szCs w:val="28"/>
          <w:rtl w:val="true"/>
          <w:lang w:bidi="fa-IR"/>
        </w:rPr>
        <w:t xml:space="preserve">غسل فی السفر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فیه أنّه لیس علیها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تتمکن من استعمال الماء إما لتعذره أو لحاجتها إلیه أو مخافة البرد ، ولیس المراد به أنّه لیس علیها غسل </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الحسین اللؤلؤی ، وقد وثقه النجاشی </w:t>
      </w:r>
      <w:r>
        <w:rPr>
          <w:rStyle w:val="FootnoteAnchor"/>
          <w:rtl w:val="true"/>
        </w:rPr>
        <w:footnoteReference w:id="352"/>
      </w:r>
      <w:r>
        <w:rPr>
          <w:rFonts w:ascii="IRNazanin" w:hAnsi="IRNazanin" w:eastAsia="IRNazanin"/>
          <w:color w:val="111111"/>
          <w:sz w:val="28"/>
          <w:sz w:val="28"/>
          <w:szCs w:val="28"/>
          <w:rtl w:val="true"/>
          <w:lang w:bidi="fa-IR"/>
        </w:rPr>
        <w:t xml:space="preserve">، وذکر فی ترجمة محمد بن أحمد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محمد بن الحسن بن الولید استثنی من روایة محمد بن أحمد بن یحیی ما ینفرد به الحسن بن الحسین اللؤلؤی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العباس بن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أصاب شیخنا أبو جعفر محمد بن الحسن بن الولید فی ذلک کله ، وتبعه أبو جعفر ابن بابویه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والشیخ رحمه الله قال فی کتاب الرجال فی من لم یرو عن أحد من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الحسین اللؤلؤی یروی عنه محمد بن أحمد بن یحیی ، ضعّفه ابن بابویه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نظری القاصر أن توثیق النجاشی لا معارض له ، وإنّما ظنّ الشیخ من استثنائه الضعف ، وهو غیر ظاهر ، بل یحتمل أن یکون الاستثناء لغیر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7" w:name="__RefHeading___Toc39180_2142443653"/>
      <w:bookmarkStart w:id="378" w:name="_Toc148"/>
      <w:bookmarkEnd w:id="377"/>
      <w:r>
        <w:rPr>
          <w:rtl w:val="true"/>
        </w:rPr>
        <w:t>بحث حول الحسن بن الحسین اللؤلؤی</w:t>
      </w:r>
      <w:bookmarkEnd w:id="378"/>
    </w:p>
    <w:p>
      <w:pPr>
        <w:pStyle w:val="BookText"/>
        <w:rPr/>
      </w:pPr>
      <w:r>
        <w:rPr>
          <w:rFonts w:ascii="IRNazanin" w:hAnsi="IRNazanin" w:eastAsia="IRNazanin"/>
          <w:color w:val="111111"/>
          <w:sz w:val="28"/>
          <w:sz w:val="28"/>
          <w:szCs w:val="28"/>
          <w:rtl w:val="true"/>
          <w:lang w:bidi="fa-IR"/>
        </w:rPr>
        <w:t xml:space="preserve">ذلک کما فی محمد بن عیسی ، إلاّ أن قول ابن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أصاب شیخنا أبو جعفر فی ذلک کله ، وتبعه أبو جعفر بن بابویه إلاّ فی محمد بن عیسی بن عبید ، فلا أدری ما رأیه </w:t>
      </w:r>
      <w:r>
        <w:rPr>
          <w:rStyle w:val="FootnoteAnchor"/>
          <w:rtl w:val="true"/>
        </w:rPr>
        <w:footnoteReference w:id="355"/>
      </w:r>
      <w:r>
        <w:rPr>
          <w:rFonts w:ascii="IRNazanin" w:hAnsi="IRNazanin" w:eastAsia="IRNazanin"/>
          <w:color w:val="111111"/>
          <w:sz w:val="28"/>
          <w:sz w:val="28"/>
          <w:szCs w:val="28"/>
          <w:rtl w:val="true"/>
          <w:lang w:bidi="fa-IR"/>
        </w:rPr>
        <w:t>فیه ، لأنّه کان علی ظاهر العدالة والثقة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الکلام یعطی أنّ المذکورین لیسوا بثقات ، فیفید الطعن فی الحسن بن الحسین اللؤلؤی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کلام ابن نوح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أدری ما رأیه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أنّه لم یعلم من الاستثناء إرادة الضعف ، وإلاّ فلا وجه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ما رأیه فیه ، 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مراده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ما رأیه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لا أعلم وجه ضعفه مع کونه علی ظاهر العدالة ، فیکون قد فهم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خبیر بأن کلامنا فی 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بابویه 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والموجود هو الاستثناء من الروایة عنه ، وهو أعم ، وربما کان ظنّ ابن نوح کما ظنّ الشیخ ، وغیر بعید إرادة الضعف لولا أن النجاشی ظاهر توثیقه عدم فهمه الضعف ، والنجاشی أثبت من غیره کما یعلم من رجاله </w:t>
      </w:r>
      <w:r>
        <w:rPr>
          <w:rStyle w:val="FootnoteAnchor"/>
          <w:rtl w:val="true"/>
        </w:rPr>
        <w:footnoteReference w:id="35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 وقد قدّمنا فی أوّل الکتاب کلاماً فی أنّ المتقدّمین إنّما یعملون بالأخبار مع القرائن مثل کونها مأخوذة من أصل معتمد ، واستثناء من ذکر یقتضی أن العمل بالخبر لیس من جهة القرائن ، بل من نفس الخبر إذا کان رواته معتمداً علیهم ، ولو لا هذا لما کان للاستثناء فائدة ، وقول ابن الولید فی 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ینفرد به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کذلک ؛ لأنّ ما ینفرد به هو وغیره لا یعمل به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ظاهر الکلام یقتضی المغایرة بین الحسن بن الحسین وبین غیره من المذکورین ؛ لأنّ ما ینفرد به الحسن یقتضی أن یکون راویاً عن </w:t>
      </w:r>
      <w:bookmarkStart w:id="379" w:name="pg17122_169569"/>
    </w:p>
    <w:p>
      <w:pPr>
        <w:pStyle w:val="BookText"/>
        <w:rPr/>
      </w:pPr>
      <w:bookmarkEnd w:id="379"/>
      <w:r>
        <w:rPr>
          <w:rFonts w:ascii="IRNazanin" w:hAnsi="IRNazanin" w:eastAsia="IRNazanin"/>
          <w:color w:val="111111"/>
          <w:sz w:val="28"/>
          <w:sz w:val="28"/>
          <w:szCs w:val="28"/>
          <w:rtl w:val="true"/>
          <w:lang w:bidi="fa-IR"/>
        </w:rPr>
        <w:t>محمّد بن أحمد بن یحیی ، وغیره یقتضی أن یکون محمّد راویاً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ینفرد به عن الحسن بن الحسین ، ولفظ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 أو یؤوّل بما یرجع إلی الموافقة ، وعلی کل حال فقد أجبنا فی ما مضی عن الإشکال ، فلیراجع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أن یقال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الردّ لما ذکر من حیث الانفراد إنّما هو عند المتقدّمین ، لعدم علمهم بالخروج حیث هو ، وأمّا المتأخّرون القائلون بالصحیح عندهم لا یضرّهم قول ابن الولید ، کل قائل علی قاعدته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یعلم إمکان القول بقبول روایة محمّد بن عیسی عن یونس عند المتأخّرین ، لأنّ الفرض توثیق کل من الرجلین ، والاستثناء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وجهه بحیث لا یفید القدح ، بل احتمال عدم القرائن له ظهوره وممّا نبّه علی هذا ما نحن فیه ، فلیتأمّل </w:t>
      </w:r>
      <w:r>
        <w:rPr>
          <w:rFonts w:eastAsia="IRNazanin" w:cs="IRNazanin"/>
          <w:color w:val="111111"/>
          <w:sz w:val="28"/>
          <w:szCs w:val="28"/>
          <w:rtl w:val="true"/>
          <w:lang w:bidi="fa-IR"/>
        </w:rPr>
        <w:t xml:space="preserve">) </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أعلم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وأحمد بن محمد المذکور کأنّه ابن أبی نصر ، ویحتمل ابن عیسی ، بل وغیره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سعد بن أبی خلف فهو ثقة من غیر ارتیاب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خالد ، وذکره الشیخ المفید فی إرشاده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زیدیّاً ثم رجع </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أنّ هذا غیر نافع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محمد بن الولید فالظاهر أنّه الخزّاز الذی وثّقه النجاشی ، لأنّه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روی عن حماد بن عثمان </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قاله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محمد بن</w:t>
      </w:r>
    </w:p>
    <w:p>
      <w:pPr>
        <w:pStyle w:val="Heading4"/>
        <w:numPr>
          <w:ilvl w:val="3"/>
          <w:numId w:val="1"/>
        </w:numPr>
        <w:rPr/>
      </w:pPr>
      <w:bookmarkStart w:id="380" w:name="__RefHeading___Toc39182_2142443653"/>
      <w:bookmarkStart w:id="381" w:name="_Toc149"/>
      <w:bookmarkEnd w:id="380"/>
      <w:r>
        <w:rPr>
          <w:rtl w:val="true"/>
        </w:rPr>
        <w:t>ما المراد بأحمد بن محمد الراوی عن سعد بن أبی خلف؟</w:t>
      </w:r>
      <w:bookmarkEnd w:id="381"/>
    </w:p>
    <w:p>
      <w:pPr>
        <w:pStyle w:val="Heading4"/>
        <w:numPr>
          <w:ilvl w:val="3"/>
          <w:numId w:val="1"/>
        </w:numPr>
        <w:rPr/>
      </w:pPr>
      <w:bookmarkStart w:id="382" w:name="__RefHeading___Toc39184_2142443653"/>
      <w:bookmarkStart w:id="383" w:name="_Toc150"/>
      <w:bookmarkEnd w:id="382"/>
      <w:r>
        <w:rPr>
          <w:rtl w:val="true"/>
        </w:rPr>
        <w:t>سعد بن أبی خلف ثقة</w:t>
      </w:r>
      <w:bookmarkEnd w:id="383"/>
    </w:p>
    <w:p>
      <w:pPr>
        <w:pStyle w:val="Heading4"/>
        <w:numPr>
          <w:ilvl w:val="3"/>
          <w:numId w:val="1"/>
        </w:numPr>
        <w:rPr/>
      </w:pPr>
      <w:bookmarkStart w:id="384" w:name="__RefHeading___Toc39186_2142443653"/>
      <w:bookmarkStart w:id="385" w:name="_Toc151"/>
      <w:bookmarkEnd w:id="384"/>
      <w:r>
        <w:rPr>
          <w:rtl w:val="true"/>
        </w:rPr>
        <w:t>علی بن خالد کان زیدیاً ثم رجع</w:t>
      </w:r>
      <w:bookmarkEnd w:id="38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6" w:name="__RefHeading___Toc39188_2142443653"/>
      <w:bookmarkStart w:id="387" w:name="_Toc152"/>
      <w:bookmarkEnd w:id="386"/>
      <w:r>
        <w:rPr>
          <w:rtl w:val="true"/>
        </w:rPr>
        <w:t>بحث حول محمد بن الولید الخزاز</w:t>
      </w:r>
      <w:bookmarkStart w:id="388" w:name="pg17122_169570"/>
      <w:bookmarkEnd w:id="387"/>
    </w:p>
    <w:p>
      <w:pPr>
        <w:pStyle w:val="BookText"/>
        <w:rPr/>
      </w:pPr>
      <w:bookmarkEnd w:id="388"/>
      <w:r>
        <w:rPr>
          <w:rFonts w:ascii="IRNazanin" w:hAnsi="IRNazanin" w:eastAsia="IRNazanin"/>
          <w:color w:val="111111"/>
          <w:sz w:val="28"/>
          <w:sz w:val="28"/>
          <w:szCs w:val="28"/>
          <w:rtl w:val="true"/>
          <w:lang w:bidi="fa-IR"/>
        </w:rPr>
        <w:t xml:space="preserve">الولید الخزاز من الفطحیة فی جملة آخرین </w:t>
      </w:r>
      <w:r>
        <w:rPr>
          <w:rStyle w:val="FootnoteAnchor"/>
          <w:rtl w:val="true"/>
        </w:rPr>
        <w:footnoteReference w:id="361"/>
      </w:r>
      <w:r>
        <w:rPr>
          <w:rFonts w:ascii="IRNazanin" w:hAnsi="IRNazanin" w:eastAsia="IRNazanin"/>
          <w:color w:val="111111"/>
          <w:sz w:val="28"/>
          <w:sz w:val="28"/>
          <w:szCs w:val="28"/>
          <w:rtl w:val="true"/>
          <w:lang w:bidi="fa-IR"/>
        </w:rPr>
        <w:t xml:space="preserve">، فالظاهر أنّه ما ذکره النجاشی ، کما قاله العلاّمة فی الخلاصة </w:t>
      </w:r>
      <w:r>
        <w:rPr>
          <w:rStyle w:val="FootnoteAnchor"/>
          <w:rtl w:val="true"/>
        </w:rPr>
        <w:footnoteReference w:id="362"/>
      </w:r>
      <w:r>
        <w:rPr>
          <w:rFonts w:ascii="IRNazanin" w:hAnsi="IRNazanin" w:eastAsia="IRNazanin"/>
          <w:color w:val="111111"/>
          <w:sz w:val="28"/>
          <w:sz w:val="28"/>
          <w:szCs w:val="28"/>
          <w:rtl w:val="true"/>
          <w:lang w:bidi="fa-IR"/>
        </w:rPr>
        <w:t xml:space="preserve">، غیر أنّ النجاشی مرجح علی غیره ، وعدم ذکر کونه فطحیاً یدل علی تحقق العدم عنده ، لا أنّه لا منافاة بین الحکم منه بالثقة وقول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ظنه بعض المتأخّرین </w:t>
      </w:r>
      <w:r>
        <w:rPr>
          <w:rStyle w:val="FootnoteAnchor"/>
          <w:rtl w:val="true"/>
        </w:rPr>
        <w:footnoteReference w:id="363"/>
      </w:r>
      <w:r>
        <w:rPr>
          <w:rFonts w:ascii="IRNazanin" w:hAnsi="IRNazanin" w:eastAsia="IRNazanin"/>
          <w:color w:val="111111"/>
          <w:sz w:val="28"/>
          <w:sz w:val="28"/>
          <w:szCs w:val="28"/>
          <w:rtl w:val="true"/>
          <w:lang w:bidi="fa-IR"/>
        </w:rPr>
        <w:t xml:space="preserve">، لأنّ النجاشی لو لم یتعرض فی کتابه لذکر الفطحیة وأضرابهم أمکن ذلک ، إلاّ أنّ الواقع خلافه ، وقد ذکرنا هذا فیما مضی ، نعم فیه احتمال الاشتراک بین ضعیف وثقة </w:t>
      </w:r>
      <w:r>
        <w:rPr>
          <w:rStyle w:val="FootnoteAnchor"/>
          <w:rtl w:val="true"/>
        </w:rPr>
        <w:footnoteReference w:id="364"/>
      </w:r>
      <w:r>
        <w:rPr>
          <w:rFonts w:ascii="IRNazanin" w:hAnsi="IRNazanin" w:eastAsia="IRNazanin"/>
          <w:color w:val="111111"/>
          <w:sz w:val="28"/>
          <w:sz w:val="28"/>
          <w:szCs w:val="28"/>
          <w:rtl w:val="true"/>
          <w:lang w:bidi="fa-IR"/>
        </w:rPr>
        <w:t>، إلاّ أنّ قرینة التعیین قد سمعتها ، وإن کان باب الاحتمال واسعاً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الشیخ فیه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یتوجه علی ما قاله الشیخ أنّ تخصیص النفساء بعدم الغسل فی السفر إذا لم یحصل التمکن من الماء غیر ظاهر الوجه ، ویجاب بأن مظنّة الضرر لها أقوی فلهذا خُصّت ، أو لغیر ذلک من وجوه التخصیص ، ولا یراد نفی الحکم عمّا عداها ؛ وغیر ما ذکره الشیخ بعید أیضاً بأن یراد غسل الجمعة کما یفهم من بعض الأخبار ، أو مطلق الغسل المندوب ، والأمر سهل</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9" w:name="__RefHeading___Toc39190_2142443653"/>
      <w:bookmarkStart w:id="390" w:name="_Toc153"/>
      <w:bookmarkEnd w:id="389"/>
      <w:r>
        <w:rPr>
          <w:rtl w:val="true"/>
        </w:rPr>
        <w:t xml:space="preserve">توجیه قوله علیه السلام </w:t>
      </w:r>
      <w:r>
        <w:rPr>
          <w:rtl w:val="true"/>
        </w:rPr>
        <w:t xml:space="preserve">: « </w:t>
      </w:r>
      <w:r>
        <w:rPr>
          <w:rtl w:val="true"/>
        </w:rPr>
        <w:t xml:space="preserve">لیس علی النفساء غسل فی السفر </w:t>
      </w:r>
      <w:r>
        <w:rPr>
          <w:rtl w:val="true"/>
        </w:rPr>
        <w:t>»</w:t>
      </w:r>
      <w:bookmarkStart w:id="391" w:name="pg17122_169571"/>
      <w:bookmarkEnd w:id="390"/>
    </w:p>
    <w:p>
      <w:pPr>
        <w:pStyle w:val="BookText"/>
        <w:rPr/>
      </w:pPr>
      <w:bookmarkEnd w:id="391"/>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وجوب غسل المیت وغسل من مسّ میتاً</w:t>
      </w:r>
    </w:p>
    <w:p>
      <w:pPr>
        <w:pStyle w:val="BookText"/>
        <w:rPr/>
      </w:pPr>
      <w:r>
        <w:rPr>
          <w:rFonts w:ascii="IRNazanin" w:hAnsi="IRNazanin" w:eastAsia="IRNazanin"/>
          <w:color w:val="111111"/>
          <w:sz w:val="28"/>
          <w:sz w:val="28"/>
          <w:szCs w:val="28"/>
          <w:rtl w:val="true"/>
          <w:lang w:bidi="fa-IR"/>
        </w:rPr>
        <w:t xml:space="preserve">أخبرنی الشیخ رحمه الله عن أبی القاسم جعفر بن محمد ، عن محمد ابن یعقوب ، عن علی بن إبراهیم ، عن أبیه ، عن حماد بن عیسی ، عن حریز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غسّل میتاً فلیغتسل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مسّه ما دام حارّاً فلا غسل علیه </w:t>
      </w:r>
      <w:r>
        <w:rPr>
          <w:rStyle w:val="FootnoteAnchor"/>
          <w:rtl w:val="true"/>
        </w:rPr>
        <w:footnoteReference w:id="365"/>
      </w:r>
      <w:r>
        <w:rPr>
          <w:rFonts w:ascii="IRNazanin" w:hAnsi="IRNazanin" w:eastAsia="IRNazanin"/>
          <w:color w:val="111111"/>
          <w:sz w:val="28"/>
          <w:sz w:val="28"/>
          <w:szCs w:val="28"/>
          <w:rtl w:val="true"/>
          <w:lang w:bidi="fa-IR"/>
        </w:rPr>
        <w:t xml:space="preserve">، وإذا برد ثم مسّه فلیغتسل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 أدخله القبر؟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علیه </w:t>
      </w:r>
      <w:r>
        <w:rPr>
          <w:rFonts w:eastAsia="IRNazanin" w:cs="IRNazanin"/>
          <w:color w:val="111111"/>
          <w:sz w:val="28"/>
          <w:szCs w:val="28"/>
          <w:rtl w:val="true"/>
          <w:lang w:bidi="fa-IR"/>
        </w:rPr>
        <w:t xml:space="preserve">] </w:t>
      </w:r>
      <w:r>
        <w:rPr>
          <w:rStyle w:val="FootnoteAnchor"/>
          <w:rtl w:val="true"/>
        </w:rPr>
        <w:footnoteReference w:id="366"/>
      </w:r>
      <w:r>
        <w:rPr>
          <w:rFonts w:ascii="Amiri" w:hAnsi="Amiri" w:eastAsia="Amiri" w:cs="Amiri"/>
          <w:color w:val="111111"/>
          <w:sz w:val="28"/>
          <w:sz w:val="28"/>
          <w:szCs w:val="28"/>
          <w:rtl w:val="true"/>
          <w:lang w:bidi="ar-SA"/>
        </w:rPr>
        <w:t xml:space="preserve">إنّما یمسّ الثیاب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الاسناد عن محمد بن یعقوب ، عن عدّة من أصحابنا ، عن سهل بن زیاد ، عن أحمد بن محمد بن أبی نصر ، عن عبد الله بن سنان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یغتسل الذی غسّل المیت ، وإن قبّل المیت إنسان بعد موته وهو حارّ فلیس علیه غسل ، ولکن إذا مسّه أو قبّله </w:t>
      </w:r>
      <w:r>
        <w:rPr>
          <w:rStyle w:val="FootnoteAnchor"/>
          <w:rtl w:val="true"/>
        </w:rPr>
        <w:footnoteReference w:id="367"/>
      </w:r>
      <w:r>
        <w:rPr>
          <w:rFonts w:ascii="IRNazanin" w:hAnsi="IRNazanin" w:eastAsia="IRNazanin"/>
          <w:color w:val="111111"/>
          <w:sz w:val="28"/>
          <w:sz w:val="28"/>
          <w:szCs w:val="28"/>
          <w:rtl w:val="true"/>
          <w:lang w:bidi="fa-IR"/>
        </w:rPr>
        <w:t xml:space="preserve">وقد برد فعلیه الغسل ، ولا بأس أن یمسّه بعد الغسل ویقبّله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الشیخ رحمه الله عن أحمد بن محمد ، عن أبیه ، عن الصفار ، عن محمد بن عیسی ، عن القاسم الصیقل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هل اغتسل أمیر المؤمنین علیه السلام حین غسّل رسول الله صلی الله علیه و آله عند موته؟ فأجابه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النبی صلی الله علیه و آله طاهر مطهّر ، ولکن أمیر المؤمنین علیه السلام فعل وجرت به السنّة </w:t>
      </w:r>
      <w:r>
        <w:rPr>
          <w:rFonts w:eastAsia="IRNazanin" w:cs="IRNazanin"/>
          <w:color w:val="111111"/>
          <w:sz w:val="28"/>
          <w:szCs w:val="28"/>
          <w:rtl w:val="true"/>
          <w:lang w:bidi="fa-IR"/>
        </w:rPr>
        <w:t>».</w:t>
      </w:r>
    </w:p>
    <w:p>
      <w:pPr>
        <w:pStyle w:val="Heading3"/>
        <w:numPr>
          <w:ilvl w:val="2"/>
          <w:numId w:val="1"/>
        </w:numPr>
        <w:rPr/>
      </w:pPr>
      <w:bookmarkStart w:id="392" w:name="__RefHeading___Toc39192_2142443653"/>
      <w:bookmarkStart w:id="393" w:name="_Toc154"/>
      <w:bookmarkEnd w:id="392"/>
      <w:r>
        <w:rPr>
          <w:rtl w:val="true"/>
        </w:rPr>
        <w:t>وجوب غسل المیت وغسل من مسّ میتاً</w:t>
      </w:r>
      <w:bookmarkEnd w:id="39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4" w:name="__RefHeading___Toc39194_2142443653"/>
      <w:bookmarkStart w:id="395" w:name="_Toc155"/>
      <w:bookmarkEnd w:id="394"/>
      <w:r>
        <w:rPr>
          <w:rtl w:val="true"/>
        </w:rPr>
        <w:t>اشارة</w:t>
      </w:r>
      <w:bookmarkStart w:id="396" w:name="pg17122_169572"/>
      <w:bookmarkEnd w:id="395"/>
    </w:p>
    <w:p>
      <w:pPr>
        <w:pStyle w:val="BookText"/>
        <w:rPr/>
      </w:pPr>
      <w:bookmarkEnd w:id="396"/>
      <w:r>
        <w:rPr>
          <w:rFonts w:ascii="IRNazanin" w:hAnsi="IRNazanin" w:eastAsia="IRNazanin"/>
          <w:color w:val="111111"/>
          <w:sz w:val="28"/>
          <w:sz w:val="28"/>
          <w:szCs w:val="28"/>
          <w:rtl w:val="true"/>
          <w:lang w:bidi="fa-IR"/>
        </w:rPr>
        <w:t xml:space="preserve">الحسین بن سعید ، عن النضر بن سوید ، عن عاصم بن حمید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المیت إذا مسّه الإنسان أفیه غسل؟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مسست جلده </w:t>
      </w:r>
      <w:r>
        <w:rPr>
          <w:rStyle w:val="FootnoteAnchor"/>
          <w:rtl w:val="true"/>
        </w:rPr>
        <w:footnoteReference w:id="368"/>
      </w:r>
      <w:r>
        <w:rPr>
          <w:rFonts w:ascii="IRNazanin" w:hAnsi="IRNazanin" w:eastAsia="IRNazanin"/>
          <w:color w:val="111111"/>
          <w:sz w:val="28"/>
          <w:sz w:val="28"/>
          <w:szCs w:val="28"/>
          <w:rtl w:val="true"/>
          <w:lang w:bidi="fa-IR"/>
        </w:rPr>
        <w:t xml:space="preserve">حین یبرد فاغتسل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عبد الله ، عن أیوب بن نوح ، عن بعض أصحابنا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قطعت </w:t>
      </w:r>
      <w:r>
        <w:rPr>
          <w:rStyle w:val="FootnoteAnchor"/>
          <w:rtl w:val="true"/>
        </w:rPr>
        <w:footnoteReference w:id="369"/>
      </w:r>
      <w:r>
        <w:rPr>
          <w:rFonts w:ascii="IRNazanin" w:hAnsi="IRNazanin" w:eastAsia="IRNazanin"/>
          <w:color w:val="111111"/>
          <w:sz w:val="28"/>
          <w:sz w:val="28"/>
          <w:szCs w:val="28"/>
          <w:rtl w:val="true"/>
          <w:lang w:bidi="fa-IR"/>
        </w:rPr>
        <w:t xml:space="preserve">من الرجل قطعة فهی میتة ، فإذا مسّه الإنسان فکلّ ما کان فیه عظم فقد وجب علی من یمسّه الغسل ، فإن لم یکن فیه عظم فلا غسل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سهل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القاسم الصیقل ، وهو مذکور مهملاً فی رجال الهادی علیه السلام من کتاب الشیخ </w:t>
      </w:r>
      <w:r>
        <w:rPr>
          <w:rStyle w:val="FootnoteAnchor"/>
          <w:rtl w:val="true"/>
        </w:rPr>
        <w:footnoteReference w:id="370"/>
      </w:r>
      <w:r>
        <w:rPr>
          <w:rFonts w:ascii="IRNazanin" w:hAnsi="IRNazanin" w:eastAsia="IRNazanin"/>
          <w:color w:val="111111"/>
          <w:sz w:val="28"/>
          <w:sz w:val="28"/>
          <w:szCs w:val="28"/>
          <w:rtl w:val="true"/>
          <w:lang w:bidi="fa-IR"/>
        </w:rPr>
        <w:t xml:space="preserve">؛ وأمّا محمد بن عیسی فقد تقدم القول فیه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 ارتیاب ، والإضمار لا یضر بالحال کما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الأوّل ظاهر الدلالة علی وجوب غسل المسّ إن ثبت کون الأمر حقیقة فی الوجوب</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7" w:name="__RefHeading___Toc39196_2142443653"/>
      <w:bookmarkStart w:id="398" w:name="_Toc156"/>
      <w:bookmarkEnd w:id="397"/>
      <w:r>
        <w:rPr>
          <w:rtl w:val="true"/>
        </w:rPr>
        <w:t>القاسم الصیقل مهمل</w:t>
      </w:r>
      <w:bookmarkStart w:id="399" w:name="pg17122_169573"/>
      <w:bookmarkEnd w:id="398"/>
    </w:p>
    <w:p>
      <w:pPr>
        <w:pStyle w:val="BookText"/>
        <w:rPr/>
      </w:pPr>
      <w:bookmarkEnd w:id="399"/>
      <w:r>
        <w:rPr>
          <w:rFonts w:ascii="IRNazanin" w:hAnsi="IRNazanin" w:eastAsia="IRNazanin"/>
          <w:color w:val="111111"/>
          <w:sz w:val="28"/>
          <w:sz w:val="28"/>
          <w:szCs w:val="28"/>
          <w:rtl w:val="true"/>
          <w:lang w:bidi="fa-IR"/>
        </w:rPr>
        <w:t xml:space="preserve">وما تضمنه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یمسّ الثیاب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من إجمال ، وقد ذکر شیخنا قدس سره فی فوائده علی الکتاب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أنّ من أدخله القبر لا یمسّ المیت وإنّما یمسّ الثیاب ، فلا وجه للسؤال عن کونه موجباً للغسل ، وإن کان مسّ المیت فی هذه الحالة بعد التغسیل لا یوجب الغسل أیضا ، ولو قلنا باستحباب الغسل بمسّه بعد التغسیل کما تضمنته روایة عمار لم یحتج إلی هذا التکلّف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نظری القاصر أنّ هذا التوجیه لا حاجة إلیه بل غیر تام ، لأنّ الخبر الذی قدّمنا نقله عن الشیخ فی التهذیب </w:t>
      </w:r>
      <w:r>
        <w:rPr>
          <w:rStyle w:val="FootnoteAnchor"/>
          <w:rtl w:val="true"/>
        </w:rPr>
        <w:footnoteReference w:id="372"/>
      </w:r>
      <w:r>
        <w:rPr>
          <w:rFonts w:ascii="IRNazanin" w:hAnsi="IRNazanin" w:eastAsia="IRNazanin"/>
          <w:color w:val="111111"/>
          <w:sz w:val="28"/>
          <w:sz w:val="28"/>
          <w:szCs w:val="28"/>
          <w:rtl w:val="true"/>
          <w:lang w:bidi="fa-IR"/>
        </w:rPr>
        <w:t xml:space="preserve">الوارد فی تعداد الأغسال السبعة عشر صحیح عند شیخنا قدس سره وقد تضمن الغسل لتکفین المیت فی جملة تعداد الأغسال المسنونة </w:t>
      </w:r>
      <w:r>
        <w:rPr>
          <w:rStyle w:val="FootnoteAnchor"/>
          <w:rtl w:val="true"/>
        </w:rPr>
        <w:footnoteReference w:id="373"/>
      </w:r>
      <w:r>
        <w:rPr>
          <w:rFonts w:ascii="IRNazanin" w:hAnsi="IRNazanin" w:eastAsia="IRNazanin"/>
          <w:color w:val="111111"/>
          <w:sz w:val="28"/>
          <w:sz w:val="28"/>
          <w:szCs w:val="28"/>
          <w:rtl w:val="true"/>
          <w:lang w:bidi="fa-IR"/>
        </w:rPr>
        <w:t xml:space="preserve">، وحینئذ یراد بهذا الحدیث نفی الغسل المستحب ، لأن </w:t>
      </w:r>
      <w:r>
        <w:rPr>
          <w:rStyle w:val="FootnoteAnchor"/>
          <w:rtl w:val="true"/>
        </w:rPr>
        <w:footnoteReference w:id="374"/>
      </w:r>
      <w:r>
        <w:rPr>
          <w:rFonts w:ascii="IRNazanin" w:hAnsi="IRNazanin" w:eastAsia="IRNazanin"/>
          <w:color w:val="111111"/>
          <w:sz w:val="28"/>
          <w:sz w:val="28"/>
          <w:szCs w:val="28"/>
          <w:rtl w:val="true"/>
          <w:lang w:bidi="fa-IR"/>
        </w:rPr>
        <w:t>المُدخل له فی القبر إنّما یمسّ الثیاب ، فلا حاجة إلی العمل بخبر عمار الآتی ، بل هو مؤید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الخبر الدال علی الغسل للتکفین یجوز أن یکون المراد به الاستحباب لنفس التکفین لا لمسّ المیت الذی قد غسّل ، فلا یتم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الخبر إذا لم یکن صریحاً فیما ذکر فلیحمل علی هذا </w:t>
      </w:r>
      <w:r>
        <w:rPr>
          <w:rStyle w:val="FootnoteAnchor"/>
          <w:rtl w:val="true"/>
        </w:rPr>
        <w:footnoteReference w:id="375"/>
      </w:r>
      <w:r>
        <w:rPr>
          <w:rFonts w:ascii="IRNazanin" w:hAnsi="IRNazanin" w:eastAsia="IRNazanin"/>
          <w:color w:val="111111"/>
          <w:sz w:val="28"/>
          <w:sz w:val="28"/>
          <w:szCs w:val="28"/>
          <w:rtl w:val="true"/>
          <w:lang w:bidi="fa-IR"/>
        </w:rPr>
        <w:t>الذی یستفاد من هذا الخبر ، ویکون من قبیل المطلق والمقید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وتظهر فائدة ما ذکرناه فیما لو کفّنه إنسان بدون مسّ جسمه ، فإنّ</w:t>
      </w:r>
    </w:p>
    <w:p>
      <w:pPr>
        <w:pStyle w:val="Heading4"/>
        <w:numPr>
          <w:ilvl w:val="3"/>
          <w:numId w:val="1"/>
        </w:numPr>
        <w:rPr/>
      </w:pPr>
      <w:bookmarkStart w:id="400" w:name="__RefHeading___Toc39198_2142443653"/>
      <w:bookmarkStart w:id="401" w:name="_Toc157"/>
      <w:bookmarkEnd w:id="400"/>
      <w:r>
        <w:rPr>
          <w:rtl w:val="true"/>
        </w:rPr>
        <w:t xml:space="preserve">توجیه صاحب المدارک لقوله علیه السلام </w:t>
      </w:r>
      <w:r>
        <w:rPr>
          <w:rtl w:val="true"/>
        </w:rPr>
        <w:t xml:space="preserve">: « </w:t>
      </w:r>
      <w:r>
        <w:rPr>
          <w:rtl w:val="true"/>
        </w:rPr>
        <w:t xml:space="preserve">إنّما یمسّ الثیاب </w:t>
      </w:r>
      <w:r>
        <w:rPr>
          <w:rtl w:val="true"/>
        </w:rPr>
        <w:t xml:space="preserve">» </w:t>
      </w:r>
      <w:r>
        <w:rPr>
          <w:rtl w:val="true"/>
        </w:rPr>
        <w:t>والمناقشة فیه</w:t>
      </w:r>
      <w:bookmarkEnd w:id="40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2" w:name="__RefHeading___Toc39200_2142443653"/>
      <w:bookmarkStart w:id="403" w:name="_Toc158"/>
      <w:bookmarkEnd w:id="402"/>
      <w:r>
        <w:rPr>
          <w:rtl w:val="true"/>
        </w:rPr>
        <w:t>استحباب الغسل لتکفین المیت</w:t>
      </w:r>
      <w:bookmarkStart w:id="404" w:name="pg17122_169574"/>
      <w:bookmarkEnd w:id="403"/>
    </w:p>
    <w:p>
      <w:pPr>
        <w:pStyle w:val="BookText"/>
        <w:rPr/>
      </w:pPr>
      <w:bookmarkEnd w:id="404"/>
      <w:r>
        <w:rPr>
          <w:rFonts w:ascii="IRNazanin" w:hAnsi="IRNazanin" w:eastAsia="IRNazanin"/>
          <w:color w:val="111111"/>
          <w:sz w:val="28"/>
          <w:sz w:val="28"/>
          <w:szCs w:val="28"/>
          <w:rtl w:val="true"/>
          <w:lang w:bidi="fa-IR"/>
        </w:rPr>
        <w:t xml:space="preserve">الغسل یستحب علی ظاهر الخبر السابق ، ولا یستحب علی ظاهر هذا الخبر ، وعلی قدیر حمل المطلق علی المقید یتحد المآل ، غیر أنّ 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فیه باب الاحتمال واسع ، ومعه لا یتم التقیید لذلک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أنّ الظهور لا ینکر من هذا الخبر ، مضافاً إلی تأیید خبر عمّار </w:t>
      </w:r>
      <w:r>
        <w:rPr>
          <w:rStyle w:val="FootnoteAnchor"/>
          <w:rtl w:val="true"/>
        </w:rPr>
        <w:footnoteReference w:id="376"/>
      </w:r>
      <w:r>
        <w:rPr>
          <w:rFonts w:ascii="Amiri" w:hAnsi="Amiri" w:eastAsia="Amiri" w:cs="Amiri"/>
          <w:color w:val="111111"/>
          <w:sz w:val="28"/>
          <w:sz w:val="28"/>
          <w:szCs w:val="28"/>
          <w:rtl w:val="true"/>
          <w:lang w:bidi="ar-SA"/>
        </w:rPr>
        <w:t>، فلیتأملّ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فمدلوله </w:t>
      </w:r>
      <w:r>
        <w:rPr>
          <w:rStyle w:val="FootnoteAnchor"/>
          <w:rtl w:val="true"/>
        </w:rPr>
        <w:footnoteReference w:id="377"/>
      </w:r>
      <w:r>
        <w:rPr>
          <w:rFonts w:ascii="IRNazanin" w:hAnsi="IRNazanin" w:eastAsia="IRNazanin"/>
          <w:color w:val="111111"/>
          <w:sz w:val="28"/>
          <w:sz w:val="28"/>
          <w:szCs w:val="28"/>
          <w:rtl w:val="true"/>
          <w:lang w:bidi="fa-IR"/>
        </w:rPr>
        <w:t>ظاهر ، وما تضمنه من أنّه لا بأس أن یمسّه ویقبّله بعد الغسل فلا ینافی استحباب الغسل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یخلو ظاهره من إجمال من حیث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أمیر المؤمنین علیه السلام فعل وجرت به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المراد أنّ السنّة جرت بغسل المسّ ، لا من حیث اغتسال أمیر المؤمنین علیه السلام ، واحتمال کون السنّة جرت بسبب فعله یشکل بأنّ الأحکام بعد موت النبی صلی الله علیه و آله لا تبتدأ ، 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کان فی زمن النبی صلی الله علیه و آله واقعاً لکن علّق علی فعل أمیر المؤمنین علیه السلام ، أو أنّ الأمر فوّض إلی أمیر المؤمنین علیه السلام من النبی صلی الله علیه و آله ، فله جهتان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صریح الدلالة علی أنّ موجب الغسل مسّ الجلد </w:t>
      </w:r>
      <w:r>
        <w:rPr>
          <w:rStyle w:val="FootnoteAnchor"/>
          <w:rtl w:val="true"/>
        </w:rPr>
        <w:footnoteReference w:id="378"/>
      </w:r>
      <w:r>
        <w:rPr>
          <w:rFonts w:ascii="IRNazanin" w:hAnsi="IRNazanin" w:eastAsia="IRNazanin"/>
          <w:color w:val="111111"/>
          <w:sz w:val="28"/>
          <w:sz w:val="28"/>
          <w:szCs w:val="28"/>
          <w:rtl w:val="true"/>
          <w:lang w:bidi="fa-IR"/>
        </w:rPr>
        <w:t>، فلو مسّ الشعر أو الظفر لا یجب الغسل ، أمّا المسّ بالشعر والظفر للجلد فیحتمل عدم وجوب الغسل به ، إذ لا یصدق المسّ ، ویحتمل الوجوب ، لأنّ اعتبار الإحساس لا دلیل علیه ، 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یعلم أنّ ما ذکره بعض 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مسّ العظم المجرّد المتصل بالمیت موجب للغسل ، لظهور صدق مسّ المیت بمسّ</w:t>
      </w:r>
    </w:p>
    <w:p>
      <w:pPr>
        <w:pStyle w:val="Heading4"/>
        <w:numPr>
          <w:ilvl w:val="3"/>
          <w:numId w:val="1"/>
        </w:numPr>
        <w:rPr/>
      </w:pPr>
      <w:bookmarkStart w:id="405" w:name="__RefHeading___Toc39202_2142443653"/>
      <w:bookmarkStart w:id="406" w:name="_Toc159"/>
      <w:bookmarkEnd w:id="405"/>
      <w:r>
        <w:rPr>
          <w:rtl w:val="true"/>
        </w:rPr>
        <w:t xml:space="preserve">ما المراد بقوله علیه السلام </w:t>
      </w:r>
      <w:r>
        <w:rPr>
          <w:rtl w:val="true"/>
        </w:rPr>
        <w:t xml:space="preserve">: « </w:t>
      </w:r>
      <w:r>
        <w:rPr>
          <w:rtl w:val="true"/>
        </w:rPr>
        <w:t xml:space="preserve">فعل وجرت به السنّة </w:t>
      </w:r>
      <w:r>
        <w:rPr>
          <w:rtl w:val="true"/>
        </w:rPr>
        <w:t>»</w:t>
      </w:r>
      <w:r>
        <w:rPr>
          <w:rtl w:val="true"/>
        </w:rPr>
        <w:t>؟</w:t>
      </w:r>
      <w:bookmarkEnd w:id="40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7" w:name="__RefHeading___Toc39204_2142443653"/>
      <w:bookmarkStart w:id="408" w:name="_Toc160"/>
      <w:bookmarkEnd w:id="407"/>
      <w:r>
        <w:rPr>
          <w:rtl w:val="true"/>
        </w:rPr>
        <w:t>هل ینحصر موجب الغسل فی مسّ جلد المیت؟</w:t>
      </w:r>
      <w:bookmarkStart w:id="409" w:name="pg17122_169575"/>
      <w:bookmarkEnd w:id="408"/>
    </w:p>
    <w:p>
      <w:pPr>
        <w:pStyle w:val="BookText"/>
        <w:rPr/>
      </w:pPr>
      <w:bookmarkEnd w:id="409"/>
      <w:r>
        <w:rPr>
          <w:rFonts w:ascii="IRNazanin" w:hAnsi="IRNazanin" w:eastAsia="IRNazanin"/>
          <w:color w:val="111111"/>
          <w:sz w:val="28"/>
          <w:sz w:val="28"/>
          <w:szCs w:val="28"/>
          <w:rtl w:val="true"/>
          <w:lang w:bidi="fa-IR"/>
        </w:rPr>
        <w:t xml:space="preserve">جزء منه </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الخبر لا یدل علی الحصر فی مس الجلد ، إذ اللحم خارج عنه مع وجوب الغسل بمسه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خرج بالإجماع لا یضر بالحال ، وکونه ینافی الحصر إنما یتم علی تقدیر إرادة الحصر من اللفظ ، والمراد أن مفهومه عام فإذا خص العام 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هذا القولُ فی مسّ السن من المیت حال الاتصال ، فإن بعض الأصحاب حکم بوجوب الغسل حالته دون حال الانفصال ، مستدلاً بالأصل فی الثانی </w:t>
      </w:r>
      <w:r>
        <w:rPr>
          <w:rStyle w:val="FootnoteAnchor"/>
          <w:rtl w:val="true"/>
        </w:rPr>
        <w:footnoteReference w:id="380"/>
      </w:r>
      <w:r>
        <w:rPr>
          <w:rFonts w:ascii="IRNazanin" w:hAnsi="IRNazanin" w:eastAsia="IRNazanin"/>
          <w:color w:val="111111"/>
          <w:sz w:val="28"/>
          <w:sz w:val="28"/>
          <w:szCs w:val="28"/>
          <w:rtl w:val="true"/>
          <w:lang w:bidi="fa-IR"/>
        </w:rPr>
        <w:t>، ولا یخفی علیک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استدل به المحقق فی المعتبر علی وجوب الغسل بمسّ القطعة ذات العظم ، وعدمه عند عدم العظم ، ونَقَل عن الشیخ فی الخلاف دعوی الإجماع علی ذلک ، قال المحقق رحمه الله بعد نقل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أراه التوقف فی ذلک ، فإنّ الروایة مقطوعة ، ودعوی الشیخ الإجماع لم تثبت ، فإذاً الأصل عدم الوجوب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فی الذکری بأن هذه القطعة جزء من جملة یجب الغسل بمسّها ، وکل دلیل دل علی وجوب الغسل بمسّ المیت فهو دال علیها ، وبأن الغسل یجب بمسّها متصلة فلا یسقط بالانفصال ، وبأنه یلزم عدم الغسل لو مسّ جمیع المیت ممزّقاً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ما قاله نظر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0" w:name="__RefHeading___Toc39206_2142443653"/>
      <w:bookmarkStart w:id="411" w:name="_Toc161"/>
      <w:bookmarkEnd w:id="410"/>
      <w:r>
        <w:rPr>
          <w:rtl w:val="true"/>
        </w:rPr>
        <w:t>هل یجب الغسل بمسّ القطعة المبانة من المیت؟</w:t>
      </w:r>
      <w:bookmarkEnd w:id="411"/>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المتبادر من مسّ المیت هو الجملة ، وهی غیر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قاله شیخنا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لو تم ما قاله الشهید رحمه الله لزم وجوب الغسل بمسّ اللحم المجرّد عن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خرج بالدلیل لا یضر بالحال ، وقد صرح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قائل به </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کاف فی التوجیه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وجوب الغسل بمسّ المتصل لصدق اسم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فیمنع </w:t>
      </w:r>
      <w:r>
        <w:rPr>
          <w:rStyle w:val="FootnoteAnchor"/>
          <w:rtl w:val="true"/>
        </w:rPr>
        <w:footnoteReference w:id="384"/>
      </w:r>
      <w:r>
        <w:rPr>
          <w:rFonts w:ascii="IRNazanin" w:hAnsi="IRNazanin" w:eastAsia="IRNazanin"/>
          <w:color w:val="111111"/>
          <w:sz w:val="28"/>
          <w:sz w:val="28"/>
          <w:szCs w:val="28"/>
          <w:rtl w:val="true"/>
          <w:lang w:bidi="fa-IR"/>
        </w:rPr>
        <w:t xml:space="preserve">بطلان اللازم إن لم یقع علیه إجماع ، وإن وقع فهو المخرج ، علی أنّ اللازم ممّا قاله الشهید رحمه الله الاختصاص بالمبانة من المیت ، وقد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المدعی 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w:t>
      </w:r>
      <w:r>
        <w:rPr>
          <w:rStyle w:val="FootnoteAnchor"/>
          <w:rtl w:val="true"/>
        </w:rPr>
        <w:footnoteReference w:id="385"/>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الأخبار قد دلّت علی أن من غسّل المیت علیه غسل ، وفی معتبر الأخبار ما یدل علی أن الرجل الذی یأکله السبع وتبقی عظامه بغیر لحم یغسّل </w:t>
      </w:r>
      <w:r>
        <w:rPr>
          <w:rStyle w:val="FootnoteAnchor"/>
          <w:rtl w:val="true"/>
        </w:rPr>
        <w:footnoteReference w:id="386"/>
      </w:r>
      <w:r>
        <w:rPr>
          <w:rFonts w:ascii="IRNazanin" w:hAnsi="IRNazanin" w:eastAsia="IRNazanin"/>
          <w:color w:val="111111"/>
          <w:sz w:val="28"/>
          <w:sz w:val="28"/>
          <w:szCs w:val="28"/>
          <w:rtl w:val="true"/>
          <w:lang w:bidi="fa-IR"/>
        </w:rPr>
        <w:t xml:space="preserve">، وحینئذ یدخل فی عموم الأخبار الدالة علی أن من غسّل المیت علیه الغسل </w:t>
      </w:r>
      <w:r>
        <w:rPr>
          <w:rStyle w:val="FootnoteAnchor"/>
          <w:rtl w:val="true"/>
        </w:rPr>
        <w:footnoteReference w:id="387"/>
      </w:r>
      <w:r>
        <w:rPr>
          <w:rFonts w:ascii="IRNazanin" w:hAnsi="IRNazanin" w:eastAsia="IRNazanin"/>
          <w:color w:val="111111"/>
          <w:sz w:val="28"/>
          <w:sz w:val="28"/>
          <w:szCs w:val="28"/>
          <w:rtl w:val="true"/>
          <w:lang w:bidi="fa-IR"/>
        </w:rPr>
        <w:t>، إلاّ أنّه یمکن الجواب بأن المتبادر من العموم غیر ما ذکر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یعلم أن ما قاله شیخنا قدس سره من عدم وجوب الغسل بمس العظم المجرد ، خلافاً للشهید فی الذکری حیث ذهب إلی وجوب الغسل بمسّه لدوران الغسل معه وجوداً وعدماً </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بحث ، لا لما قاله الشهید </w:t>
      </w:r>
      <w:bookmarkStart w:id="412" w:name="pg17122_169577"/>
    </w:p>
    <w:p>
      <w:pPr>
        <w:pStyle w:val="BookText"/>
        <w:rPr/>
      </w:pPr>
      <w:bookmarkEnd w:id="412"/>
      <w:r>
        <w:rPr>
          <w:rFonts w:ascii="IRNazanin" w:hAnsi="IRNazanin" w:eastAsia="IRNazanin"/>
          <w:color w:val="111111"/>
          <w:sz w:val="28"/>
          <w:sz w:val="28"/>
          <w:szCs w:val="28"/>
          <w:rtl w:val="true"/>
          <w:lang w:bidi="fa-IR"/>
        </w:rPr>
        <w:t>فإنه واضح الردّ ، بل لما قلناه ، غیر أن دفعه قد سمعته ، ولا یخلو من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الخبر الذی أشرنا إلیه أن المیت إذا کان نصفین صلّی علی النصف الذی فیه القلب </w:t>
      </w:r>
      <w:r>
        <w:rPr>
          <w:rStyle w:val="FootnoteAnchor"/>
          <w:rtl w:val="true"/>
        </w:rPr>
        <w:footnoteReference w:id="389"/>
      </w:r>
      <w:r>
        <w:rPr>
          <w:rFonts w:ascii="IRNazanin" w:hAnsi="IRNazanin" w:eastAsia="IRNazanin"/>
          <w:color w:val="111111"/>
          <w:sz w:val="28"/>
          <w:sz w:val="28"/>
          <w:szCs w:val="28"/>
          <w:rtl w:val="true"/>
          <w:lang w:bidi="fa-IR"/>
        </w:rPr>
        <w:t>، وظاهر الروایة أن الحکم بعد التغسیل ، وحینئذ یتناول العموم مثل هذا ، فیحتمل وجوب الغسل بمسّه لما قلناه ، وعلی قول شیخنا قدس سره لا یجب لعدم تحقق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کله فاعلم أن العلاّمة فی المختلف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بین علمائنا وجوب الغسل علی من مسّ میتاً من الناس قبل تطهیره بالغسل وبعد برده بالموت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السید المرتضی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 عن الشیخ فی الخلاف ، ونقل الاحتجاج له بالأصل وبروایة سعد بن أبی خلف السابقة </w:t>
      </w:r>
      <w:r>
        <w:rPr>
          <w:rStyle w:val="FootnoteAnchor"/>
          <w:rtl w:val="true"/>
        </w:rPr>
        <w:footnoteReference w:id="390"/>
      </w:r>
      <w:r>
        <w:rPr>
          <w:rFonts w:ascii="IRNazanin" w:hAnsi="IRNazanin" w:eastAsia="IRNazanin"/>
          <w:color w:val="111111"/>
          <w:sz w:val="28"/>
          <w:sz w:val="28"/>
          <w:szCs w:val="28"/>
          <w:rtl w:val="true"/>
          <w:lang w:bidi="fa-IR"/>
        </w:rPr>
        <w:t xml:space="preserve">حیث قال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الغسل فی أربعة عشر موطناً واحد فریضة والباقی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العلاّمة عن الأصل بأنه إنّما یعمل به ما لم یدل الدلیل علی خلافه ، وقد بینا فیما تقدم الدلالة علی خلافه ، وعن الروایة بأن المراد بالسنّة ما ثبت من جهة السنة لا من طریق القرآن ، فإن غسل الحیض والاستحاضة والنفاس واجب عندنا ، فلا یجوز حمل السنة هنا علی الندب </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علیک الحال أنّ السید لو استدل بالروایة وکانت مصرحة بأنّ الأربعة عشر من جملتها الحیض والاستحاضة والنفاس کان کلام العلاّمة</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3" w:name="__RefHeading___Toc39208_2142443653"/>
      <w:bookmarkStart w:id="414" w:name="_Toc162"/>
      <w:bookmarkEnd w:id="413"/>
      <w:r>
        <w:rPr>
          <w:rtl w:val="true"/>
        </w:rPr>
        <w:t>بحث فی أنّ غسل مسّ المیت واجب أو مستحب</w:t>
      </w:r>
      <w:bookmarkEnd w:id="414"/>
    </w:p>
    <w:p>
      <w:pPr>
        <w:pStyle w:val="BookText"/>
        <w:rPr/>
      </w:pPr>
      <w:r>
        <w:rPr>
          <w:rFonts w:ascii="IRNazanin" w:hAnsi="IRNazanin" w:eastAsia="IRNazanin"/>
          <w:color w:val="111111"/>
          <w:sz w:val="28"/>
          <w:sz w:val="28"/>
          <w:szCs w:val="28"/>
          <w:rtl w:val="true"/>
          <w:lang w:bidi="fa-IR"/>
        </w:rPr>
        <w:t xml:space="preserve">متوجهاً ، أمّا إذا لم یصرح بها </w:t>
      </w:r>
      <w:r>
        <w:rPr>
          <w:rStyle w:val="FootnoteAnchor"/>
          <w:rtl w:val="true"/>
        </w:rPr>
        <w:footnoteReference w:id="392"/>
      </w:r>
      <w:r>
        <w:rPr>
          <w:rFonts w:ascii="IRNazanin" w:hAnsi="IRNazanin" w:eastAsia="IRNazanin"/>
          <w:color w:val="111111"/>
          <w:sz w:val="28"/>
          <w:sz w:val="28"/>
          <w:szCs w:val="28"/>
          <w:rtl w:val="true"/>
          <w:lang w:bidi="fa-IR"/>
        </w:rPr>
        <w:t xml:space="preserve">فیجوز أن یکون کلها مسنونات کما اتفق فی حدیث أنّ الأغسال سبعة عشر </w:t>
      </w:r>
      <w:r>
        <w:rPr>
          <w:rStyle w:val="FootnoteAnchor"/>
          <w:rtl w:val="true"/>
        </w:rPr>
        <w:footnoteReference w:id="393"/>
      </w:r>
      <w:r>
        <w:rPr>
          <w:rFonts w:ascii="IRNazanin" w:hAnsi="IRNazanin" w:eastAsia="IRNazanin"/>
          <w:color w:val="111111"/>
          <w:sz w:val="28"/>
          <w:sz w:val="28"/>
          <w:szCs w:val="28"/>
          <w:rtl w:val="true"/>
          <w:lang w:bidi="fa-IR"/>
        </w:rPr>
        <w:t>، إذ لم یذکر فیه الحیض والاستحاضة والنفاس ، فالجواب موقوف علی ذلک ، وبدونه لا یلیق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واحتجاج السید بالأصل علی طریقته واضح ، وردّه علی طریقة غیره إذا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للوجوب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 أمّا لو قلنا بالاشتراک شرعاً بین الوجوب والندب فقد یشکل الاستدلال ببعضها ، والبعض الآخر الدال علی لفظ الوجوب کمرسل أیوب بن نوح حاله غیر خفیّ ، وما تضمن لفظ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کخبر سهل لا اعتماد علیه ، فما حکم به الوالد قدس سره من وجوب غسل المسّ </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 xml:space="preserve">مع عدم قوله بأن الأمر للوجوب شرعا ، کما قرره فی الأُصول </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لا یخلو من غرابة ، إلاّ أن فی انضمام الأخبار بعضها إلی بعض ما یصلح وجهاً للاعتماد ، والله تعالی أعلم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محمد بن أبی عمیر ، عن جمیل بن دراج ، عن محمد بن مسلم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 المیت عند موته وبعد غسله ، والقُبلة لیس به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فضالة ، عن السکونی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 آله قبّل عثمان بن مظعون بعد موته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فالوجه فی هذین الخبرین أن نحملهما علی أن التقبیل إذا کان </w:t>
      </w:r>
      <w:bookmarkStart w:id="415" w:name="pg17122_169579"/>
    </w:p>
    <w:p>
      <w:pPr>
        <w:pStyle w:val="BookText"/>
        <w:rPr/>
      </w:pPr>
      <w:bookmarkEnd w:id="415"/>
      <w:r>
        <w:rPr>
          <w:rFonts w:ascii="IRNazanin" w:hAnsi="IRNazanin" w:eastAsia="IRNazanin"/>
          <w:color w:val="111111"/>
          <w:sz w:val="28"/>
          <w:sz w:val="28"/>
          <w:szCs w:val="28"/>
          <w:rtl w:val="true"/>
          <w:lang w:bidi="fa-IR"/>
        </w:rPr>
        <w:t>بعد الموت قبل أن یبرد أو بعد الغسل لم یجب فیه الغسل ، علی ما بینّاه فی خبر عبد الله بن سنان ، وذلک مفصّل ، وهذان الخبران مجملان ، والحکم بالمفصّل أولی منه بالمجمل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ینافی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محمد بن أحمد بن یحیی ، عن أحمد بن الحسن ، عن عمرو بن سعید ، عن مصدق بن صدقة ، عن عمار الساباطی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یغتسل الذی غسّل المیت ، وکل من مسّ میتاً فعلیه الغسل وإن کان المیت قد 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ما یتضمن هذا الخبر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المیت قد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علی ضرب من الاستحباب دون الفرض والإیجاب ، وقد استوفینا ما یتعلق بذلک فی کتاب تهذیب الأحکام </w:t>
      </w:r>
      <w:r>
        <w:rPr>
          <w:rStyle w:val="FootnoteAnchor"/>
          <w:rtl w:val="true"/>
        </w:rPr>
        <w:footnoteReference w:id="396"/>
      </w:r>
      <w:r>
        <w:rPr>
          <w:rFonts w:ascii="IRNazanin" w:hAnsi="IRNazanin" w:eastAsia="IRNazanin"/>
          <w:color w:val="111111"/>
          <w:sz w:val="28"/>
          <w:sz w:val="28"/>
          <w:szCs w:val="28"/>
          <w:rtl w:val="true"/>
          <w:lang w:bidi="fa-IR"/>
        </w:rPr>
        <w:t>، وفیه کفایة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 ارتیاب بعد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السکونی وهو عامی ، کما صرّح به العلاّمة فی الخلاصة </w:t>
      </w:r>
      <w:r>
        <w:rPr>
          <w:rStyle w:val="FootnoteAnchor"/>
          <w:rtl w:val="true"/>
        </w:rPr>
        <w:footnoteReference w:id="397"/>
      </w:r>
      <w:r>
        <w:rPr>
          <w:rFonts w:ascii="IRNazanin" w:hAnsi="IRNazanin" w:eastAsia="IRNazanin"/>
          <w:color w:val="111111"/>
          <w:sz w:val="28"/>
          <w:sz w:val="28"/>
          <w:szCs w:val="28"/>
          <w:rtl w:val="true"/>
          <w:lang w:bidi="fa-IR"/>
        </w:rPr>
        <w:t xml:space="preserve">، وابن إدریس فی السرائر ، فإنه قال فی فصل میراث المجوس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أبی زیاد السکونی بفتح السین منسوب إلی قبیلة من العرب عرب الیمن ، وهو عامی المذهب بغیر خلاف ، وشیخنا أبو جعفر موافق علی ذلک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6" w:name="__RefHeading___Toc39210_2142443653"/>
      <w:bookmarkStart w:id="417" w:name="_Toc163"/>
      <w:bookmarkEnd w:id="416"/>
      <w:r>
        <w:rPr>
          <w:rtl w:val="true"/>
        </w:rPr>
        <w:t>بحث حول السکونی</w:t>
      </w:r>
      <w:bookmarkEnd w:id="417"/>
    </w:p>
    <w:p>
      <w:pPr>
        <w:pStyle w:val="BookText"/>
        <w:rPr/>
      </w:pPr>
      <w:r>
        <w:rPr>
          <w:rFonts w:ascii="IRNazanin" w:hAnsi="IRNazanin" w:eastAsia="IRNazanin"/>
          <w:color w:val="111111"/>
          <w:sz w:val="28"/>
          <w:sz w:val="28"/>
          <w:szCs w:val="28"/>
          <w:rtl w:val="true"/>
          <w:lang w:bidi="fa-IR"/>
        </w:rPr>
        <w:t xml:space="preserve">وینقل عن المحقّق فی جواب المسائل العزّیة توثیق السکونی وإن کان عامّیاً ، وأنّه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شیخنا أبو جعفر رحمه الله فی مواضع من 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والإمامیة مجمعة علی العمل بما یرویه السکونی وعمار ومن ماثلهما من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وأظنّ أن توثیق السکونی أُخذ من 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ماثلهما من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واحتمال أن یرید </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ماثلهما من مخالفی المذهب الثقات ، لا أن السکونی ثقة ، یمکن وإن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یخفی دلالته فی الخبرین الأولین علی جواز القُبلة ، أما علی </w:t>
      </w:r>
      <w:r>
        <w:rPr>
          <w:rStyle w:val="FootnoteAnchor"/>
          <w:rtl w:val="true"/>
        </w:rPr>
        <w:footnoteReference w:id="400"/>
      </w:r>
      <w:r>
        <w:rPr>
          <w:rFonts w:ascii="IRNazanin" w:hAnsi="IRNazanin" w:eastAsia="IRNazanin"/>
          <w:color w:val="111111"/>
          <w:sz w:val="28"/>
          <w:sz w:val="28"/>
          <w:szCs w:val="28"/>
          <w:rtl w:val="true"/>
          <w:lang w:bidi="fa-IR"/>
        </w:rPr>
        <w:t>عدم الغسل فلا ، فالاحتیاج إلی حمل الشیخ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الخبر الثالث فالاستحباب متوجه فی تأویله ، ویؤیّده ما قدّمناه من دلالة الخبر المذکور فی التهذیب لتعداد الأغسال المسنونة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ما رواه محمد بن الحسن الصفار ، عن محمد بن عیسی ، عن عبد الرحمن بن أبی نجران ، عن رجل حدّثه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ثلاثة نفر کانوا فی سفر أحدهم جنب والثانی </w:t>
      </w:r>
      <w:r>
        <w:rPr>
          <w:rStyle w:val="FootnoteAnchor"/>
          <w:rtl w:val="true"/>
        </w:rPr>
        <w:footnoteReference w:id="402"/>
      </w:r>
      <w:r>
        <w:rPr>
          <w:rFonts w:ascii="IRNazanin" w:hAnsi="IRNazanin" w:eastAsia="IRNazanin"/>
          <w:color w:val="111111"/>
          <w:sz w:val="28"/>
          <w:sz w:val="28"/>
          <w:szCs w:val="28"/>
          <w:rtl w:val="true"/>
          <w:lang w:bidi="fa-IR"/>
        </w:rPr>
        <w:t xml:space="preserve">میت </w:t>
      </w:r>
      <w:bookmarkStart w:id="418" w:name="pg17122_169581"/>
    </w:p>
    <w:p>
      <w:pPr>
        <w:pStyle w:val="BookText"/>
        <w:rPr/>
      </w:pPr>
      <w:bookmarkEnd w:id="418"/>
      <w:r>
        <w:rPr>
          <w:rFonts w:ascii="IRNazanin" w:hAnsi="IRNazanin" w:eastAsia="IRNazanin"/>
          <w:color w:val="111111"/>
          <w:sz w:val="28"/>
          <w:sz w:val="28"/>
          <w:szCs w:val="28"/>
          <w:rtl w:val="true"/>
          <w:lang w:bidi="fa-IR"/>
        </w:rPr>
        <w:t xml:space="preserve">والثالث علی غیر وضوء ، وحضرت الصلاة ومعهم من الماء ما یکفی أحدهم ، من یأخذ الماء ویغتسل به وکیف یصنعون؟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یغتسل الجنب ، ویدفن المیت ، ویتیمم الذی علیه وضوء ، لأن الغسل من الجنابة فریضة ، وغسل المیت سنّة ، والتیمم للآخر جائز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تضمّن هذا الخبر من أن غسل المیت سنّة لا </w:t>
      </w:r>
      <w:r>
        <w:rPr>
          <w:rStyle w:val="FootnoteAnchor"/>
          <w:rtl w:val="true"/>
        </w:rPr>
        <w:footnoteReference w:id="403"/>
      </w:r>
      <w:r>
        <w:rPr>
          <w:rFonts w:ascii="IRNazanin" w:hAnsi="IRNazanin" w:eastAsia="IRNazanin"/>
          <w:color w:val="111111"/>
          <w:sz w:val="28"/>
          <w:sz w:val="28"/>
          <w:szCs w:val="28"/>
          <w:rtl w:val="true"/>
          <w:lang w:bidi="fa-IR"/>
        </w:rPr>
        <w:t xml:space="preserve">یعترض ما قدمناه </w:t>
      </w:r>
      <w:r>
        <w:rPr>
          <w:rStyle w:val="FootnoteAnchor"/>
          <w:rtl w:val="true"/>
        </w:rPr>
        <w:footnoteReference w:id="404"/>
      </w:r>
      <w:r>
        <w:rPr>
          <w:rFonts w:ascii="IRNazanin" w:hAnsi="IRNazanin" w:eastAsia="IRNazanin"/>
          <w:color w:val="111111"/>
          <w:sz w:val="28"/>
          <w:sz w:val="28"/>
          <w:szCs w:val="28"/>
          <w:rtl w:val="true"/>
          <w:lang w:bidi="fa-IR"/>
        </w:rPr>
        <w:t xml:space="preserve">من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الخبر مرسل ، لأن ابن أبی نجران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یذکر من هو ، ولا یمتنع أن یکون غیر موثوق به ، ولو سلّم لکان المراد فی إضافة هذا الغسل إلی السنّة أنّ فرضه عرف </w:t>
      </w:r>
      <w:r>
        <w:rPr>
          <w:rStyle w:val="FootnoteAnchor"/>
          <w:rtl w:val="true"/>
        </w:rPr>
        <w:footnoteReference w:id="405"/>
      </w:r>
      <w:r>
        <w:rPr>
          <w:rFonts w:ascii="IRNazanin" w:hAnsi="IRNazanin" w:eastAsia="IRNazanin"/>
          <w:color w:val="111111"/>
          <w:sz w:val="28"/>
          <w:sz w:val="28"/>
          <w:szCs w:val="28"/>
          <w:rtl w:val="true"/>
          <w:lang w:bidi="fa-IR"/>
        </w:rPr>
        <w:t xml:space="preserve">من جهة السنّة ، لأن القرآن لا یدل علی ذلک وإنمّا علمناه بالسنّة </w:t>
      </w:r>
      <w:r>
        <w:rPr>
          <w:rStyle w:val="FootnoteAnchor"/>
          <w:rtl w:val="true"/>
        </w:rPr>
        <w:footnoteReference w:id="406"/>
      </w:r>
      <w:r>
        <w:rPr>
          <w:rFonts w:ascii="IRNazanin" w:hAnsi="IRNazanin" w:eastAsia="IRNazanin"/>
          <w:color w:val="111111"/>
          <w:sz w:val="28"/>
          <w:sz w:val="28"/>
          <w:szCs w:val="28"/>
          <w:rtl w:val="true"/>
          <w:lang w:bidi="fa-IR"/>
        </w:rPr>
        <w:t>، وقد قدمنا فی الباب الأوّل روایة أنّ فی الأغسال ثلاثة فرض منها غسل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کما تری مرسل ، إلاّ أنّه فی الفقیه مروی بطریقه عن عبد الرحمن بن أبی نجران </w:t>
      </w:r>
      <w:r>
        <w:rPr>
          <w:rStyle w:val="FootnoteAnchor"/>
          <w:rtl w:val="true"/>
        </w:rPr>
        <w:footnoteReference w:id="407"/>
      </w:r>
      <w:r>
        <w:rPr>
          <w:rFonts w:ascii="IRNazanin" w:hAnsi="IRNazanin" w:eastAsia="IRNazanin"/>
          <w:color w:val="111111"/>
          <w:sz w:val="28"/>
          <w:sz w:val="28"/>
          <w:szCs w:val="28"/>
          <w:rtl w:val="true"/>
          <w:lang w:bidi="fa-IR"/>
        </w:rPr>
        <w:t xml:space="preserve">، وطریقهُ إلیه لیس فیه ارتیاب ، نعم قد یتوقف فی ذلک من حیث أن ابن أبی نجران تارة یرویه بواسطة کما هنا ، وتارة بغیرها کما فی الفقیه ، ولا بعد فیه ، وما ذکره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الرجل لا یمتنع أن یکون غیر موثوق به ، لا یخلو من تأمّل ، لأن المعروف من الشیخ عدم الاعتبار بالسند والطعن من جهته إنّما یلتزم به إذا لم یمکن التأویل ، فلیتدبر</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9" w:name="__RefHeading___Toc39212_2142443653"/>
      <w:bookmarkStart w:id="420" w:name="_Toc164"/>
      <w:bookmarkEnd w:id="419"/>
      <w:r>
        <w:rPr>
          <w:rtl w:val="true"/>
        </w:rPr>
        <w:t>بحث حول عبدالرحمان بن أبی نجران</w:t>
      </w:r>
      <w:bookmarkStart w:id="421" w:name="pg17122_169582"/>
      <w:bookmarkEnd w:id="420"/>
    </w:p>
    <w:p>
      <w:pPr>
        <w:pStyle w:val="BookText"/>
        <w:rPr/>
      </w:pPr>
      <w:bookmarkEnd w:id="421"/>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فی أنّ المیت یدفن من غیر 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التیمم للآخر جائز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المراد به الاستحباب ، وإلاّ فالجواز بغیر هذا المعنی لا یتحقق فی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المراد بالسنّة ما یثبت بالسنة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 إلاّ أن التعلیل لسقوط الغسل بأنه سنة غیر واضح المعنی ، ولأن الوضوء أیضاً فریضة لثبوته من القرآن ، وقد حکم فی الحدیث بأن المحدث جائز له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قاله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الروایة السابقة فی أوّل الباب دالة علی أن غسل المیت فریضة ، موهوم ؛ لأن الروایة دلّت علی غسل المس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 بعض الأصحاب قال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اجتمع میّت ومحدث وجنب ومعهم من الماء ما یکفی أحدهم ، فإن کان ملکاً لأحدهم اختص به ولم یکن له بذله لغیره مع مخاطبته باستعماله ، ولو کان مباحاً وجب علی کل من المحدث والجنب المبادرة إلی حیازته ، فإن سبق أحدهما وحازه اختص به ، ولو توافیا دفعةً اشترکا ، ولو تغلّب أحدهما أثم وملکه ؛ وإن کان ملکاً لهم جمیعاً أو لمالک یسمح ببذله فلا ریب أنّ لملاّکه الأحیاء مع وارث المیت الخیرة فی تخصیص من شاؤوا به ، وإنّما الکلام فی مَن الأولی؟ فقال الشیخ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الماء لأحدهم فهو أحقّ به ، وإن لم یکن لواحد بعینه تخیّروا فی التخصیص ، لأنها فروض اجتمعت ولیس بعضها أولی من بعض فتعین التخییر ، ولأن الروایات اختلفت علی وجه لا ترجیح ؛ فتحمل علی التخییر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2" w:name="__RefHeading___Toc39214_2142443653"/>
      <w:bookmarkStart w:id="423" w:name="_Toc165"/>
      <w:bookmarkEnd w:id="422"/>
      <w:r>
        <w:rPr>
          <w:rtl w:val="true"/>
        </w:rPr>
        <w:t>حکم ما إذا اجتمع میت ومحدث وجنب ومعهم من الماء ما یکفی أحدهم</w:t>
      </w:r>
      <w:bookmarkEnd w:id="423"/>
    </w:p>
    <w:p>
      <w:pPr>
        <w:pStyle w:val="BookText"/>
        <w:rPr/>
      </w:pPr>
      <w:r>
        <w:rPr>
          <w:rFonts w:ascii="IRNazanin" w:hAnsi="IRNazanin" w:eastAsia="IRNazanin"/>
          <w:color w:val="111111"/>
          <w:sz w:val="28"/>
          <w:sz w:val="28"/>
          <w:szCs w:val="28"/>
          <w:rtl w:val="true"/>
          <w:lang w:bidi="fa-IR"/>
        </w:rPr>
        <w:t xml:space="preserve">وفی نظری القاصر أن المقام بعد لا یخلو من نظر ، لأن الصورة المذکورة وهی ما إذا کان ملکاً لهم جمیعاً أو لمالک یسمح ببذله ، إلی آخر ما قیل غیر تامة علی الإطلاق ، لأن الماء إذا کان ملکاً للمیت مع الأحیاء فالوارث فی تحقق ملکه له مع احتیاج المیت إلیه نظر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حصته لمّا لم تکفه للغسل فقد سقط غسله ویملکه الوارث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الکلام فی مَن الأولی ، بعد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لمُلاّکه الأحیاء مع وارث المیت الخیرة فی تخصیص من شاؤوا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من تأمّل ، لأن الأولویة إن أُرید بها الاستحباب علی معنی أنّه یستحب بذل بقیّة الحصص للجنب فلها نوع وجه ، إلاّ أن المحدث قد یکفیه حصته للوضوء وجواز البذل حینئذ محل إشکال ، وإن لم یکفه أمکن الاستحباب ، إلاّ أنّه غیر واضح الدلیل ، لما ستسمعه من الأخبار فی الباب ؛ وإن أُرید </w:t>
      </w:r>
      <w:r>
        <w:rPr>
          <w:rStyle w:val="FootnoteAnchor"/>
          <w:rtl w:val="true"/>
        </w:rPr>
        <w:footnoteReference w:id="409"/>
      </w:r>
      <w:r>
        <w:rPr>
          <w:rFonts w:ascii="IRNazanin" w:hAnsi="IRNazanin" w:eastAsia="IRNazanin"/>
          <w:color w:val="111111"/>
          <w:sz w:val="28"/>
          <w:sz w:val="28"/>
          <w:szCs w:val="28"/>
          <w:rtl w:val="true"/>
          <w:lang w:bidi="fa-IR"/>
        </w:rPr>
        <w:t>بالأولویة التعیّن کما یستفاد من ظاهر الخبر المعتبر لا یتم التفصیل وإن وافق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المنقول عن الشیخ بالتخییر لأنها فروض اجتمعت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کلام أیضاً ، لأن الحصص إذا لم تفِ بالطهارات لا یتم تحقق اجتماع الفروض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الأولی 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الماء إذا کان مع غیرهم والتمس الأولی أو أوصی بصرفه إلی الأولی دفعه إلی الجنب ، ولو کفی المحدث خاصة اختص به ، وربما احتمل دفعه إلی الجنب فیصرفه فی بعض أعضائه ویتوقع الباقی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المیت علی تقدیر ملک الحصة أن یصرف فی بعض غسله فلا یتم جواز البذل لغیره ، فلیتأملّ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أحمد بن محمد بن عیسی ، عن الحسن بن علی ، عن أحمد بن محمد ، عن الحسن التفلیسی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میت وجنب اجتمعا ومعهما من الماء ما یکفی أحدهما ، أیّهما یغتسل؟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اجتمعت سنّة وفریضة بدئ بالفرض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الحسن بن النضر الأرمنی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الرضا علیه السلام عن القوم یکونون فی السفر فیموت منهم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ومعهم جنب </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 xml:space="preserve">ومعهم ماء قلیل قدر ما یکفی أحدهما ، أیّهما یبدأ به؟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یغتسل الجنب ویُترک المیت ، لأن هذا فریضة وهذا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هذین الخبرین ما قدمناه فی الخبر الأوّل سواء ، علی أنه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اجتمع المیت والجنب غسّل المیت ویتیمّم الجنب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ذلک علیّ بن محمد القاشانی</w:t>
      </w:r>
      <w:r>
        <w:rPr>
          <w:rStyle w:val="FootnoteAnchor"/>
          <w:rtl w:val="true"/>
        </w:rPr>
        <w:footnoteReference w:id="412"/>
      </w:r>
      <w:r>
        <w:rPr>
          <w:rFonts w:ascii="IRNazanin" w:hAnsi="IRNazanin" w:eastAsia="IRNazanin"/>
          <w:color w:val="111111"/>
          <w:sz w:val="28"/>
          <w:sz w:val="28"/>
          <w:szCs w:val="28"/>
          <w:rtl w:val="true"/>
          <w:lang w:bidi="fa-IR"/>
        </w:rPr>
        <w:t xml:space="preserve">، عن محمد بن علیّ ، عن بعض أصحابنا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المیت والجنب </w:t>
      </w:r>
      <w:r>
        <w:rPr>
          <w:rStyle w:val="FootnoteAnchor"/>
          <w:rtl w:val="true"/>
        </w:rPr>
        <w:footnoteReference w:id="413"/>
      </w:r>
      <w:r>
        <w:rPr>
          <w:rFonts w:ascii="IRNazanin" w:hAnsi="IRNazanin" w:eastAsia="IRNazanin"/>
          <w:color w:val="111111"/>
          <w:sz w:val="28"/>
          <w:sz w:val="28"/>
          <w:szCs w:val="28"/>
          <w:rtl w:val="true"/>
          <w:lang w:bidi="fa-IR"/>
        </w:rPr>
        <w:t xml:space="preserve">یتّفقان فی مکان لا یکون الماء إلاّ بقدر ما یکتفی به أحدهما ، أیّهما أولی أن یجعل الماء 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یتیمّم الجنب ویغسّل المیت بالماء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والوجه فی الجمع بینهما أن یکون علی التخییر ، لأنهما جمیعاً واجبان فأیّهما غسل بما معه من الماء کان ذلک </w:t>
      </w:r>
      <w:r>
        <w:rPr>
          <w:rStyle w:val="FootnoteAnchor"/>
          <w:rtl w:val="true"/>
        </w:rPr>
        <w:footnoteReference w:id="414"/>
      </w:r>
      <w:r>
        <w:rPr>
          <w:rFonts w:ascii="Amiri" w:hAnsi="Amiri" w:eastAsia="Amiri" w:cs="Amiri"/>
          <w:color w:val="111111"/>
          <w:sz w:val="28"/>
          <w:sz w:val="28"/>
          <w:szCs w:val="28"/>
          <w:rtl w:val="true"/>
          <w:lang w:bidi="ar-SA"/>
        </w:rPr>
        <w:t>جائزاً</w:t>
      </w:r>
      <w:r>
        <w:rPr>
          <w:rFonts w:eastAsia="Amiri" w:cs="Amiri" w:ascii="Amiri" w:hAnsi="Amiri"/>
          <w:color w:val="111111"/>
          <w:sz w:val="28"/>
          <w:szCs w:val="28"/>
          <w:rtl w:val="true"/>
          <w:lang w:bidi="ar-SA"/>
        </w:rPr>
        <w:t xml:space="preserve">. </w:t>
      </w:r>
      <w:bookmarkStart w:id="424" w:name="pg17122_169585"/>
    </w:p>
    <w:p>
      <w:pPr>
        <w:pStyle w:val="BookText"/>
        <w:rPr/>
      </w:pPr>
      <w:bookmarkEnd w:id="424"/>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 والظاهر أنّه ابن فضال ، لأنّ الراوی عنه أحمد بن محمد بن عیسی ، وحاله مشهور ؛ وأحمد بن محمد الراوی عنه الحسن کأنه ابن أبی نصر ؛ وأمّا الحسن التفلیسی فهو مذکور فی رجال الرضا علیه السلام من کتاب الشیخ مهملاً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الحسن بن النضر الأرمنی ، وهو بهذا الوصف مجهول الحال ، وفی التهذیب رواها عن الحسین بن النضر الأرمنی </w:t>
      </w:r>
      <w:r>
        <w:rPr>
          <w:rStyle w:val="FootnoteAnchor"/>
          <w:rtl w:val="true"/>
        </w:rPr>
        <w:footnoteReference w:id="416"/>
      </w:r>
      <w:r>
        <w:rPr>
          <w:rFonts w:ascii="IRNazanin" w:hAnsi="IRNazanin" w:eastAsia="IRNazanin"/>
          <w:color w:val="111111"/>
          <w:sz w:val="28"/>
          <w:sz w:val="28"/>
          <w:szCs w:val="28"/>
          <w:rtl w:val="true"/>
          <w:lang w:bidi="fa-IR"/>
        </w:rPr>
        <w:t xml:space="preserve">، والذی فی الرجال الحسن بن النضر بغیر الوصف </w:t>
      </w:r>
      <w:r>
        <w:rPr>
          <w:rStyle w:val="FootnoteAnchor"/>
          <w:rtl w:val="true"/>
        </w:rPr>
        <w:footnoteReference w:id="417"/>
      </w:r>
      <w:r>
        <w:rPr>
          <w:rFonts w:ascii="IRNazanin" w:hAnsi="IRNazanin" w:eastAsia="IRNazanin"/>
          <w:color w:val="111111"/>
          <w:sz w:val="28"/>
          <w:sz w:val="28"/>
          <w:szCs w:val="28"/>
          <w:rtl w:val="true"/>
          <w:lang w:bidi="fa-IR"/>
        </w:rPr>
        <w:t xml:space="preserve">، وقد نقل العلاّمة فی الخلاصة عن الکشی أنّه من أجلّة إخواننا </w:t>
      </w:r>
      <w:r>
        <w:rPr>
          <w:rStyle w:val="FootnoteAnchor"/>
          <w:rtl w:val="true"/>
        </w:rPr>
        <w:footnoteReference w:id="418"/>
      </w:r>
      <w:r>
        <w:rPr>
          <w:rFonts w:ascii="IRNazanin" w:hAnsi="IRNazanin" w:eastAsia="IRNazanin"/>
          <w:color w:val="111111"/>
          <w:sz w:val="28"/>
          <w:sz w:val="28"/>
          <w:szCs w:val="28"/>
          <w:rtl w:val="true"/>
          <w:lang w:bidi="fa-IR"/>
        </w:rPr>
        <w:t xml:space="preserve">، والذی رأیناه فی الکشی فی أحمد بن إبراهیم أبی حامد المراغی ما قاله العلاّمة عنه بطریق الروایة </w:t>
      </w:r>
      <w:r>
        <w:rPr>
          <w:rStyle w:val="FootnoteAnchor"/>
          <w:rtl w:val="true"/>
        </w:rPr>
        <w:footnoteReference w:id="419"/>
      </w:r>
      <w:r>
        <w:rPr>
          <w:rFonts w:ascii="IRNazanin" w:hAnsi="IRNazanin" w:eastAsia="IRNazanin"/>
          <w:color w:val="111111"/>
          <w:sz w:val="28"/>
          <w:sz w:val="28"/>
          <w:szCs w:val="28"/>
          <w:rtl w:val="true"/>
          <w:lang w:bidi="fa-IR"/>
        </w:rPr>
        <w:t xml:space="preserve">، وعلی کل حال فالرجل لا یلحق حدیثه بالصحیح ، فما فی شرح جدّی قدس سره للإرشاد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وصف الخبر بالصحة </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أعلم بوجهه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أن الطریق إلی علیّ بن محمد القاسانی غیر مذکور فی المشیخة ، بل ولا فی الفهرست ؛ وعلی بن محمد لیس بثقة </w:t>
      </w:r>
      <w:r>
        <w:rPr>
          <w:rStyle w:val="FootnoteAnchor"/>
          <w:rtl w:val="true"/>
        </w:rPr>
        <w:footnoteReference w:id="421"/>
      </w:r>
      <w:r>
        <w:rPr>
          <w:rFonts w:ascii="IRNazanin" w:hAnsi="IRNazanin" w:eastAsia="IRNazanin"/>
          <w:color w:val="111111"/>
          <w:sz w:val="28"/>
          <w:sz w:val="28"/>
          <w:szCs w:val="28"/>
          <w:rtl w:val="true"/>
          <w:lang w:bidi="fa-IR"/>
        </w:rPr>
        <w:t xml:space="preserve">، ومحمد بن علی مشترک </w:t>
      </w:r>
      <w:r>
        <w:rPr>
          <w:rStyle w:val="FootnoteAnchor"/>
          <w:rtl w:val="true"/>
        </w:rPr>
        <w:footnoteReference w:id="422"/>
      </w:r>
      <w:r>
        <w:rPr>
          <w:rFonts w:ascii="IRNazanin" w:hAnsi="IRNazanin" w:eastAsia="IRNazanin"/>
          <w:color w:val="111111"/>
          <w:sz w:val="28"/>
          <w:sz w:val="28"/>
          <w:szCs w:val="28"/>
          <w:rtl w:val="true"/>
          <w:lang w:bidi="fa-IR"/>
        </w:rPr>
        <w:t>؛ والإرسال کاف فی الرد</w:t>
      </w:r>
      <w:r>
        <w:rPr>
          <w:rFonts w:eastAsia="IRNazanin" w:cs="IRNazanin"/>
          <w:color w:val="111111"/>
          <w:sz w:val="28"/>
          <w:szCs w:val="28"/>
          <w:rtl w:val="true"/>
          <w:lang w:bidi="fa-IR"/>
        </w:rPr>
        <w:t>.</w:t>
      </w:r>
    </w:p>
    <w:p>
      <w:pPr>
        <w:pStyle w:val="Heading4"/>
        <w:numPr>
          <w:ilvl w:val="3"/>
          <w:numId w:val="1"/>
        </w:numPr>
        <w:rPr/>
      </w:pPr>
      <w:bookmarkStart w:id="425" w:name="__RefHeading___Toc39216_2142443653"/>
      <w:bookmarkStart w:id="426" w:name="_Toc166"/>
      <w:bookmarkEnd w:id="425"/>
      <w:r>
        <w:rPr>
          <w:rtl w:val="true"/>
        </w:rPr>
        <w:t>الحسن التفلیسی مهمل</w:t>
      </w:r>
      <w:bookmarkEnd w:id="426"/>
    </w:p>
    <w:p>
      <w:pPr>
        <w:pStyle w:val="Heading4"/>
        <w:numPr>
          <w:ilvl w:val="3"/>
          <w:numId w:val="1"/>
        </w:numPr>
        <w:rPr/>
      </w:pPr>
      <w:bookmarkStart w:id="427" w:name="__RefHeading___Toc39218_2142443653"/>
      <w:bookmarkStart w:id="428" w:name="_Toc167"/>
      <w:bookmarkEnd w:id="427"/>
      <w:r>
        <w:rPr>
          <w:rtl w:val="true"/>
        </w:rPr>
        <w:t>بحث حول الحسن بن النضر الأرمنی</w:t>
      </w:r>
      <w:bookmarkEnd w:id="428"/>
    </w:p>
    <w:p>
      <w:pPr>
        <w:pStyle w:val="Heading4"/>
        <w:numPr>
          <w:ilvl w:val="3"/>
          <w:numId w:val="1"/>
        </w:numPr>
        <w:rPr/>
      </w:pPr>
      <w:bookmarkStart w:id="429" w:name="__RefHeading___Toc39220_2142443653"/>
      <w:bookmarkStart w:id="430" w:name="_Toc168"/>
      <w:bookmarkEnd w:id="429"/>
      <w:r>
        <w:rPr>
          <w:rtl w:val="true"/>
        </w:rPr>
        <w:t>علی بن محمد القاسانی لیس بثقة</w:t>
      </w:r>
      <w:bookmarkEnd w:id="43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1" w:name="__RefHeading___Toc39222_2142443653"/>
      <w:bookmarkStart w:id="432" w:name="_Toc169"/>
      <w:bookmarkEnd w:id="431"/>
      <w:r>
        <w:rPr>
          <w:rtl w:val="true"/>
        </w:rPr>
        <w:t>محمد بن علی مشترک</w:t>
      </w:r>
      <w:bookmarkStart w:id="433" w:name="pg17122_169586"/>
      <w:bookmarkEnd w:id="432"/>
    </w:p>
    <w:p>
      <w:pPr>
        <w:pStyle w:val="BookText"/>
        <w:rPr/>
      </w:pPr>
      <w:bookmarkEnd w:id="433"/>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الأوّلین لا إشکال فیه کما قاله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الأخیر فما قاله الشیخ من التخییر محل نظر ، لأنّ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إنّهما جمیعاً واجبان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ینافیه صریح الأخبار السابقة الدالة علی أن ما ثبت بالقرآن مقدم ، اللهم إلاّ أن یحمل الأخبار الأوّلة علی الأولویّة ، ویکون أصل التخییر من هذا الخبر علی تقدیر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کثرة الأخبار لها رجحان عند التعارض کما لا یخفی ، علی أن الخبر الأوّل الصحیح فی الفقیه مقتضاه دفن المیت من غیر غسل ولا تیمم </w:t>
      </w:r>
      <w:r>
        <w:rPr>
          <w:rStyle w:val="FootnoteAnchor"/>
          <w:rtl w:val="true"/>
        </w:rPr>
        <w:footnoteReference w:id="423"/>
      </w:r>
      <w:r>
        <w:rPr>
          <w:rFonts w:ascii="IRNazanin" w:hAnsi="IRNazanin" w:eastAsia="IRNazanin"/>
          <w:color w:val="111111"/>
          <w:sz w:val="28"/>
          <w:sz w:val="28"/>
          <w:szCs w:val="28"/>
          <w:rtl w:val="true"/>
          <w:lang w:bidi="fa-IR"/>
        </w:rPr>
        <w:t xml:space="preserve">، وخبر الحسن بن النضر یؤیّده وإن أمکن أن یوجّه بأن المراد بترک المیت عدم غسله ، بل الأوّل لا یمکن توجیهه بعد قوله فی المحدث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والتیمم للآخر جائز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بتأویل متکلّف ، بل ترکه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وینقل عن بعض القول بتقدیم المیت کما تقدم </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والاحتجاج بهذه الروایة ، وبأن الجنب تستدرک طهارته والمیت لا استدراک لطهارته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وأُجیب عن الروایة بالضعف والإرسال والإضمار ، وعن التوجیه بأنه لا یعارض النص ، مضافاً إلی المعارضة بأن الجنب یتعبد بطهارته بخلاف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فالحکم بوجوب تیمم المیت بعید عن الأدلة ، والاستحباب أیضاً لا یخلو من إشکال إن لم ینعقد الإجماع ، والله تعالی أعلم بحقائق الأُمور</w:t>
      </w:r>
      <w:r>
        <w:rPr>
          <w:rFonts w:eastAsia="IRNazanin" w:cs="IRNazanin"/>
          <w:color w:val="111111"/>
          <w:sz w:val="28"/>
          <w:szCs w:val="28"/>
          <w:rtl w:val="true"/>
          <w:lang w:bidi="fa-IR"/>
        </w:rPr>
        <w:t>.</w:t>
      </w:r>
    </w:p>
    <w:p>
      <w:pPr>
        <w:pStyle w:val="Heading4"/>
        <w:numPr>
          <w:ilvl w:val="3"/>
          <w:numId w:val="1"/>
        </w:numPr>
        <w:rPr/>
      </w:pPr>
      <w:bookmarkStart w:id="434" w:name="__RefHeading___Toc39224_2142443653"/>
      <w:bookmarkStart w:id="435" w:name="_Toc170"/>
      <w:bookmarkEnd w:id="434"/>
      <w:r>
        <w:rPr>
          <w:rtl w:val="true"/>
        </w:rPr>
        <w:t>مناقشة فی قول الشیخ بالتخییر بین المیت والجنب</w:t>
      </w:r>
      <w:bookmarkEnd w:id="43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11/03/1397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الأغسال المسنونة</w:t>
      </w:r>
    </w:p>
    <w:p>
      <w:pPr>
        <w:pStyle w:val="BookText"/>
        <w:rPr/>
      </w:pPr>
      <w:r>
        <w:rPr>
          <w:rFonts w:ascii="IRNazanin" w:hAnsi="IRNazanin" w:eastAsia="IRNazanin"/>
          <w:color w:val="111111"/>
          <w:sz w:val="28"/>
          <w:sz w:val="28"/>
          <w:szCs w:val="28"/>
          <w:rtl w:val="true"/>
          <w:lang w:bidi="fa-IR"/>
        </w:rPr>
        <w:t>أخبرنی الشیخ رحمه الله عن أحمد بن محمد ، عن أبیه ، عن سعد ابن عبد الله ، عن أحمد بن محمد بن عیسی ، عن الحسن بن علی بن یقطین ، عن أخیه الحسین</w:t>
      </w:r>
      <w:r>
        <w:rPr>
          <w:rStyle w:val="FootnoteAnchor"/>
          <w:rtl w:val="true"/>
        </w:rPr>
        <w:footnoteReference w:id="425"/>
      </w:r>
      <w:r>
        <w:rPr>
          <w:rFonts w:ascii="IRNazanin" w:hAnsi="IRNazanin" w:eastAsia="IRNazanin"/>
          <w:color w:val="111111"/>
          <w:sz w:val="28"/>
          <w:sz w:val="28"/>
          <w:szCs w:val="28"/>
          <w:rtl w:val="true"/>
          <w:lang w:bidi="fa-IR"/>
        </w:rPr>
        <w:t xml:space="preserve">، عن علی بن یقطین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الأوّل </w:t>
      </w:r>
      <w:r>
        <w:rPr>
          <w:rStyle w:val="FootnoteAnchor"/>
          <w:rtl w:val="true"/>
        </w:rPr>
        <w:footnoteReference w:id="426"/>
      </w:r>
      <w:r>
        <w:rPr>
          <w:rFonts w:ascii="IRNazanin" w:hAnsi="IRNazanin" w:eastAsia="IRNazanin"/>
          <w:color w:val="111111"/>
          <w:sz w:val="28"/>
          <w:sz w:val="28"/>
          <w:szCs w:val="28"/>
          <w:rtl w:val="true"/>
          <w:lang w:bidi="fa-IR"/>
        </w:rPr>
        <w:t xml:space="preserve">علیه السلام عن الغسل فی الجمعة والأضحی والفطر؟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لیس بفریضة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الاسناد عن سعد بن عبد الله ، عن یعقوب بن یزید ، عن </w:t>
      </w:r>
      <w:r>
        <w:rPr>
          <w:rStyle w:val="FootnoteAnchor"/>
          <w:rtl w:val="true"/>
        </w:rPr>
        <w:footnoteReference w:id="427"/>
      </w:r>
      <w:r>
        <w:rPr>
          <w:rFonts w:ascii="IRNazanin" w:hAnsi="IRNazanin" w:eastAsia="IRNazanin"/>
          <w:color w:val="111111"/>
          <w:sz w:val="28"/>
          <w:sz w:val="28"/>
          <w:szCs w:val="28"/>
          <w:rtl w:val="true"/>
          <w:lang w:bidi="fa-IR"/>
        </w:rPr>
        <w:t xml:space="preserve">ابن أبی عمیر ، عن عمر بن أُذینة ، عن زرارة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غسل الجمعة؟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فی السفر والحضر إلاّ أن یخاف المسافر علی نفسه القُرّ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الاسناد عن سعد بن عبد الله ، عن أحمد بن محمد ، عن القاسم ، عن علی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غسل العیدین أواجب هو؟ قال </w:t>
      </w:r>
      <w:r>
        <w:rPr>
          <w:rFonts w:eastAsia="IRNazanin" w:cs="IRNazanin"/>
          <w:color w:val="111111"/>
          <w:sz w:val="28"/>
          <w:szCs w:val="28"/>
          <w:rtl w:val="true"/>
          <w:lang w:bidi="fa-IR"/>
        </w:rPr>
        <w:t xml:space="preserve">: « </w:t>
      </w:r>
      <w:r>
        <w:rPr>
          <w:rStyle w:val="FootnoteAnchor"/>
          <w:rtl w:val="true"/>
        </w:rPr>
        <w:footnoteReference w:id="428"/>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فالجمعة؟ قال </w:t>
      </w:r>
      <w:r>
        <w:rPr>
          <w:rStyle w:val="FootnoteAnchor"/>
          <w:rtl w:val="true"/>
        </w:rPr>
        <w:footnoteReference w:id="42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السند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الأوّل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ارتیاب فیه</w:t>
      </w:r>
      <w:r>
        <w:rPr>
          <w:rFonts w:eastAsia="IRNazanin" w:cs="IRNazanin"/>
          <w:color w:val="111111"/>
          <w:sz w:val="28"/>
          <w:szCs w:val="28"/>
          <w:rtl w:val="true"/>
          <w:lang w:bidi="fa-IR"/>
        </w:rPr>
        <w:t xml:space="preserve">. </w:t>
      </w:r>
      <w:bookmarkStart w:id="436" w:name="pg17122_169588"/>
    </w:p>
    <w:p>
      <w:pPr>
        <w:pStyle w:val="BookText"/>
        <w:rPr/>
      </w:pPr>
      <w:bookmarkEnd w:id="436"/>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القاسم ، وهو ابن محمد الجوهری ، لأنّه یروی عن علیّ بن أبی حمزة ، وهو واقفیّ غیر موثق ، وربما توهّم توثیقه ؛ وعلی بن أبی حمزة واقفیّ أیضاً ، ثم إنّ روایة أحمد بن محمد بن عیسی عنه لا یخلو من شی‌ء ، لأن النجاشی ذکر أن الراوی عنه أحمد بن محمد بن عیسی ، عن الحسین بن سعید ، عنه </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شیخنا قدس سره فی فوائده علی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الخبر الأوّل واضح الدلالة علی الاستحباب ، لأن المتبادر من السنّة المستحب ، ومن الفریضة الواجب ، خصوصاً مع وقوع السنة خبراً عن غسل الفطر والأضحی مع استحبابهما اتفاقاً ، وحمل ما تضمن الوجوب لو ثبت کونه حقیقة فی المعنی الاصطلاحی علی تأکّد استحبابه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وبعض محققی المعاصرین أیّده الله اعترض فی المقام بأن حمل السنة علی ما ثبت فی السنّة فلا ینافی الوجوب لیس بأبعد من حمل الوجوب علی المبالغة فی الاستحباب ، ومنع کون الوجوب حقیقة فی معنی المصطلح علیه یتأتّی مثله فی السنّة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نظری القاصر أنّ الاعتراض لا وجه له بعد ما قرّره شیخنا قدس سره من وقوع السنّة خبراً عن الفطر والأضحی ، فإن الأقربیة بحمل السنة علی المستحب لا مریة فیها ، وقد ذکرت ذلک فی حاشیة التهذیب وغیرها قبل أن أقف علی کلام شیخنا قدس سره </w:t>
      </w:r>
      <w:r>
        <w:rPr>
          <w:rFonts w:eastAsia="IRNazanin" w:cs="IRNazanin"/>
          <w:color w:val="111111"/>
          <w:sz w:val="28"/>
          <w:szCs w:val="28"/>
          <w:rtl w:val="true"/>
          <w:lang w:bidi="fa-IR"/>
        </w:rPr>
        <w:t>.</w:t>
      </w:r>
    </w:p>
    <w:p>
      <w:pPr>
        <w:pStyle w:val="Heading2"/>
        <w:numPr>
          <w:ilvl w:val="1"/>
          <w:numId w:val="1"/>
        </w:numPr>
        <w:rPr/>
      </w:pPr>
      <w:bookmarkStart w:id="437" w:name="__RefHeading___Toc39226_2142443653"/>
      <w:bookmarkStart w:id="438" w:name="_Toc171"/>
      <w:bookmarkEnd w:id="437"/>
      <w:r>
        <w:rPr>
          <w:rtl w:val="true"/>
        </w:rPr>
        <w:t>الأغسال المسنونة</w:t>
      </w:r>
      <w:bookmarkEnd w:id="438"/>
    </w:p>
    <w:p>
      <w:pPr>
        <w:pStyle w:val="Heading3"/>
        <w:numPr>
          <w:ilvl w:val="2"/>
          <w:numId w:val="1"/>
        </w:numPr>
        <w:rPr/>
      </w:pPr>
      <w:bookmarkStart w:id="439" w:name="__RefHeading___Toc39228_2142443653"/>
      <w:bookmarkStart w:id="440" w:name="_Toc172"/>
      <w:bookmarkEnd w:id="439"/>
      <w:r>
        <w:rPr>
          <w:rtl w:val="true"/>
        </w:rPr>
        <w:t>القاسم بن محمد الجوهری واقفی غیر موثق</w:t>
      </w:r>
      <w:bookmarkEnd w:id="440"/>
    </w:p>
    <w:p>
      <w:pPr>
        <w:pStyle w:val="Heading3"/>
        <w:numPr>
          <w:ilvl w:val="2"/>
          <w:numId w:val="1"/>
        </w:numPr>
        <w:rPr/>
      </w:pPr>
      <w:bookmarkStart w:id="441" w:name="__RefHeading___Toc39230_2142443653"/>
      <w:bookmarkStart w:id="442" w:name="_Toc173"/>
      <w:bookmarkEnd w:id="441"/>
      <w:r>
        <w:rPr>
          <w:rtl w:val="true"/>
        </w:rPr>
        <w:t>علی بن أبی حمزة واقفی</w:t>
      </w:r>
      <w:bookmarkEnd w:id="44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3" w:name="__RefHeading___Toc39232_2142443653"/>
      <w:bookmarkStart w:id="444" w:name="_Toc174"/>
      <w:bookmarkEnd w:id="443"/>
      <w:r>
        <w:rPr>
          <w:rtl w:val="true"/>
        </w:rPr>
        <w:t>استحباب غسل الجمعة والفطر والأضحی</w:t>
      </w:r>
      <w:bookmarkEnd w:id="444"/>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مانع من خروج الفطر والأضحی للإجماع ووجود المعارض الدال علی الوجوب فی الجمعة یتوجه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المستبعد إرادة المعنیین المتغایرین فی خبر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الوجوب قد استعمل أیضاً فی المستحب کما فی الفقیه فی خبر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وغسل یوم عرفة واجب ، وغسل الزیارة واجب ، وغسل دخول البیت واجب ، وغسل المباهلة واجب </w:t>
      </w:r>
      <w:r>
        <w:rPr>
          <w:rFonts w:eastAsia="IRNazanin" w:cs="IRNazanin"/>
          <w:color w:val="111111"/>
          <w:sz w:val="28"/>
          <w:szCs w:val="28"/>
          <w:rtl w:val="true"/>
          <w:lang w:bidi="fa-IR"/>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الظاهر من السؤال فی الخبر الأوّل عن غسل الجمعة أواجب هو أو مستحب؟ لا عن کون وجوبه من القرآن أو من السنة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لو کان السؤال عن هذا لکان ذکر العیدین لغواً من السائل ، فإن المستحب لا معنی لکونه من القرآن أو من السنّة </w:t>
      </w:r>
      <w:r>
        <w:rPr>
          <w:rFonts w:eastAsia="IRNazanin" w:cs="IRNazanin"/>
          <w:color w:val="111111"/>
          <w:sz w:val="28"/>
          <w:szCs w:val="28"/>
          <w:rtl w:val="true"/>
          <w:lang w:bidi="fa-IR"/>
        </w:rPr>
        <w:t xml:space="preserve">) </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والخبر الأخیر مؤیّد لإرادة المستحب إذا تأمّله المتأمّل </w:t>
      </w:r>
      <w:r>
        <w:rPr>
          <w:rFonts w:eastAsia="IRNazanin" w:cs="IRNazanin"/>
          <w:color w:val="111111"/>
          <w:sz w:val="28"/>
          <w:szCs w:val="28"/>
          <w:rtl w:val="true"/>
          <w:lang w:bidi="fa-IR"/>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استعمال الوجوب فی الاستحباب الکامل موجود بکثرة ، ووجود السنة بمعنی ما ثبت بالسنّة کذلک ، وترجیح أحدهما علی الآخر إذا لم یمکن فالأصل یعمل مقتضاه </w:t>
      </w:r>
      <w:r>
        <w:rPr>
          <w:rStyle w:val="FootnoteAnchor"/>
          <w:rtl w:val="true"/>
        </w:rPr>
        <w:footnoteReference w:id="435"/>
      </w:r>
      <w:r>
        <w:rPr>
          <w:rFonts w:ascii="IRNazanin" w:hAnsi="IRNazanin" w:eastAsia="IRNazanin"/>
          <w:color w:val="111111"/>
          <w:sz w:val="28"/>
          <w:sz w:val="28"/>
          <w:szCs w:val="28"/>
          <w:rtl w:val="true"/>
          <w:lang w:bidi="fa-IR"/>
        </w:rPr>
        <w:t>إلی أن یثبت ما یقتضی الخروج عنه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الخبر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فالأمر فیه بعد ما قرّرناه واضح ، إلاّ 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 یخاف المسافر علی نفسه القُرّ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من إجمال ، فإن خوف القُرّ لا یختص بالمسافر ، ولعلّ المراد أن المسافر مجرد خوفه القُرّ یسقط </w:t>
      </w:r>
      <w:bookmarkStart w:id="445" w:name="pg17122_169590"/>
    </w:p>
    <w:p>
      <w:pPr>
        <w:pStyle w:val="BookText"/>
        <w:rPr/>
      </w:pPr>
      <w:bookmarkEnd w:id="445"/>
      <w:r>
        <w:rPr>
          <w:rFonts w:ascii="IRNazanin" w:hAnsi="IRNazanin" w:eastAsia="IRNazanin"/>
          <w:color w:val="111111"/>
          <w:sz w:val="28"/>
          <w:sz w:val="28"/>
          <w:szCs w:val="28"/>
          <w:rtl w:val="true"/>
          <w:lang w:bidi="fa-IR"/>
        </w:rPr>
        <w:t>الاستحباب عنه أو الوجوب ، بخلاف الحاضر ، فإنّه لا بد من ظنٍّ أقوی ، والله أعلم بالحال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 ، 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البرد ، أو یخصّ بالشتاء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روی من أن غسل الجمعة واجب فأُطلق </w:t>
      </w:r>
      <w:r>
        <w:rPr>
          <w:rStyle w:val="FootnoteAnchor"/>
          <w:rtl w:val="true"/>
        </w:rPr>
        <w:footnoteReference w:id="437"/>
      </w:r>
      <w:r>
        <w:rPr>
          <w:rFonts w:ascii="IRNazanin" w:hAnsi="IRNazanin" w:eastAsia="IRNazanin"/>
          <w:color w:val="111111"/>
          <w:sz w:val="28"/>
          <w:sz w:val="28"/>
          <w:szCs w:val="28"/>
          <w:rtl w:val="true"/>
          <w:lang w:bidi="fa-IR"/>
        </w:rPr>
        <w:t xml:space="preserve">علیه لفظ الوجوب فالمعنی فیه تأکد </w:t>
      </w:r>
      <w:r>
        <w:rPr>
          <w:rStyle w:val="FootnoteAnchor"/>
          <w:rtl w:val="true"/>
        </w:rPr>
        <w:footnoteReference w:id="438"/>
      </w:r>
      <w:r>
        <w:rPr>
          <w:rFonts w:ascii="IRNazanin" w:hAnsi="IRNazanin" w:eastAsia="IRNazanin"/>
          <w:color w:val="111111"/>
          <w:sz w:val="28"/>
          <w:sz w:val="28"/>
          <w:szCs w:val="28"/>
          <w:rtl w:val="true"/>
          <w:lang w:bidi="fa-IR"/>
        </w:rPr>
        <w:t xml:space="preserve">السنّة وشدة الاستحباب فیه ، وذلک یعبر عنه بلفظ الوجوب ، فمن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محمد بن یعقوب ، عن علی بن إبراهیم ، عن أبیه ، عن عبد الله بن المغیرة ، عن أبی الحسن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الغسل یوم الجمعة؟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واجب علی کل ذکر وأُنثی من عبد وحرّ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الاسناد عن محمد بن یعقوب ، عن علی بن محمد ، عن سهل بن زیاد ، عن أحمد بن محمد بن أبی نصر ، عن محمد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علیه السلام عن غسل یوم الجمعة؟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واجب علی کل ذکر وأُنثی من حرّ وعبد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6" w:name="__RefHeading___Toc39234_2142443653"/>
      <w:bookmarkStart w:id="447" w:name="_Toc175"/>
      <w:bookmarkEnd w:id="446"/>
      <w:r>
        <w:rPr>
          <w:rtl w:val="true"/>
        </w:rPr>
        <w:t>معنی القُرّ</w:t>
      </w:r>
      <w:bookmarkStart w:id="448" w:name="pg17122_169591"/>
      <w:bookmarkEnd w:id="447"/>
    </w:p>
    <w:p>
      <w:pPr>
        <w:pStyle w:val="BookText"/>
        <w:rPr/>
      </w:pPr>
      <w:bookmarkEnd w:id="448"/>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سهل بن زیاد وقد تقدم القول فیه </w:t>
      </w:r>
      <w:r>
        <w:rPr>
          <w:rStyle w:val="FootnoteAnchor"/>
          <w:rtl w:val="true"/>
        </w:rPr>
        <w:footnoteReference w:id="439"/>
      </w:r>
      <w:r>
        <w:rPr>
          <w:rFonts w:ascii="IRNazanin" w:hAnsi="IRNazanin" w:eastAsia="IRNazanin"/>
          <w:color w:val="111111"/>
          <w:sz w:val="28"/>
          <w:sz w:val="28"/>
          <w:szCs w:val="28"/>
          <w:rtl w:val="true"/>
          <w:lang w:bidi="fa-IR"/>
        </w:rPr>
        <w:t xml:space="preserve">؛ ومحمد بن عبد الله مشترک </w:t>
      </w:r>
      <w:r>
        <w:rPr>
          <w:rStyle w:val="FootnoteAnchor"/>
          <w:rtl w:val="true"/>
        </w:rPr>
        <w:footnoteReference w:id="440"/>
      </w:r>
      <w:r>
        <w:rPr>
          <w:rFonts w:ascii="IRNazanin" w:hAnsi="IRNazanin" w:eastAsia="IRNazanin"/>
          <w:color w:val="111111"/>
          <w:sz w:val="28"/>
          <w:sz w:val="28"/>
          <w:szCs w:val="28"/>
          <w:rtl w:val="true"/>
          <w:lang w:bidi="fa-IR"/>
        </w:rPr>
        <w:t xml:space="preserve">، ولا یخفی ما فی 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الاسناد عن محمد ابن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ذکره الشیخ فی حمل الوجوب علی تأکّد الاستحباب ، قد تقدم الوجه فیه ، غیر أنّه یبقی أن یعلم أن أهل الخلاف رووا فی کتب حدیثهم أن النبی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 الجمعة واجب علی کل محتلم </w:t>
      </w:r>
      <w:r>
        <w:rPr>
          <w:rFonts w:eastAsia="IRNazanin" w:cs="IRNazanin"/>
          <w:color w:val="111111"/>
          <w:sz w:val="28"/>
          <w:szCs w:val="28"/>
          <w:rtl w:val="true"/>
          <w:lang w:bidi="fa-IR"/>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بعض الشراح للحدیث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بعض الناس قال بالوجوب لظاهر الخبر ، وخالف الأکثر فقالوا بالاستحباب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محتاجون إلی الاعتذار عن مخالفة هذا الظاهر ، فأوّلوا صیغة الوجوب علی التأکید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حقک واجب علیّ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کما تری یقرّب أن یکون الأخبار الواردة بالوجوب عندنا محمولة علی التقیة ، وإن کان بعضهم قائلاً بالاستحباب ، لأن التقیة لا تقتضی إجماعهم علی مقتضاها ، بل مخافة القائل إذا کان من أهل الشر بالوجوب کافیة فی التقیة ، کما یعلم من أخبارنا الواردة بالتقیة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الشارح لحدیثهم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التمثیل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حقک واجب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الوجوب یراد به المبالغة ، وحینئذ یتم حمل الشیخ وغیره علی</w:t>
      </w:r>
    </w:p>
    <w:p>
      <w:pPr>
        <w:pStyle w:val="Heading3"/>
        <w:numPr>
          <w:ilvl w:val="2"/>
          <w:numId w:val="1"/>
        </w:numPr>
        <w:rPr/>
      </w:pPr>
      <w:bookmarkStart w:id="449" w:name="__RefHeading___Toc39236_2142443653"/>
      <w:bookmarkStart w:id="450" w:name="_Toc176"/>
      <w:bookmarkEnd w:id="449"/>
      <w:r>
        <w:rPr>
          <w:rtl w:val="true"/>
        </w:rPr>
        <w:t>محمد بن عبدالله مشترک</w:t>
      </w:r>
      <w:bookmarkEnd w:id="45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1" w:name="__RefHeading___Toc39238_2142443653"/>
      <w:bookmarkStart w:id="452" w:name="_Toc177"/>
      <w:bookmarkEnd w:id="451"/>
      <w:r>
        <w:rPr>
          <w:rtl w:val="true"/>
        </w:rPr>
        <w:t>وجه إطلاق الوجوب علی غسل الجمعة</w:t>
      </w:r>
      <w:bookmarkEnd w:id="452"/>
    </w:p>
    <w:p>
      <w:pPr>
        <w:pStyle w:val="BookText"/>
        <w:rPr/>
      </w:pPr>
      <w:r>
        <w:rPr>
          <w:rFonts w:ascii="IRNazanin" w:hAnsi="IRNazanin" w:eastAsia="IRNazanin"/>
          <w:color w:val="111111"/>
          <w:sz w:val="28"/>
          <w:sz w:val="28"/>
          <w:szCs w:val="28"/>
          <w:rtl w:val="true"/>
          <w:lang w:bidi="fa-IR"/>
        </w:rPr>
        <w:t>إرادة تأکّد الاستحباب ، لا أنّ المراد بالوجوب المعنی اللغوی وهو الثبوت ، إذ لیس له کثیر فائدة ، فلیتأمّل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w:t>
      </w:r>
      <w:r>
        <w:rPr>
          <w:rStyle w:val="FootnoteAnchor"/>
          <w:rtl w:val="true"/>
        </w:rPr>
        <w:footnoteReference w:id="443"/>
      </w:r>
      <w:r>
        <w:rPr>
          <w:rFonts w:ascii="IRNazanin" w:hAnsi="IRNazanin" w:eastAsia="IRNazanin"/>
          <w:color w:val="111111"/>
          <w:sz w:val="28"/>
          <w:sz w:val="28"/>
          <w:szCs w:val="28"/>
          <w:rtl w:val="true"/>
          <w:lang w:bidi="fa-IR"/>
        </w:rPr>
        <w:t xml:space="preserve">ما رواه محمد بن علی بن محبوب ، عن أحمد بن الحسن ابن علی ، عن عمرو بن سعید ، عن مصدق بن صدقة ، عن عمار الساباطی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ینسی الغسل یوم الجمعة حتی صلّی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فی وقت فعلیه أن یغتسل ویعید الصلاة ، وإن مضی الوقت فقد جازت صلاته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هذا الخبر أن نحمله علی ضرب من الاستحباب </w:t>
      </w:r>
      <w:r>
        <w:rPr>
          <w:rStyle w:val="FootnoteAnchor"/>
          <w:rtl w:val="true"/>
        </w:rPr>
        <w:footnoteReference w:id="444"/>
      </w:r>
      <w:r>
        <w:rPr>
          <w:rFonts w:ascii="IRNazanin" w:hAnsi="IRNazanin" w:eastAsia="IRNazanin"/>
          <w:color w:val="111111"/>
          <w:sz w:val="28"/>
          <w:sz w:val="28"/>
          <w:szCs w:val="28"/>
          <w:rtl w:val="true"/>
          <w:lang w:bidi="fa-IR"/>
        </w:rPr>
        <w:t xml:space="preserve">، وکذلک ما روی فی قضاء غسل الجمعة من الغد وتقدیمه یوم الخمیس إذا خیف الفوت ، فالوجه </w:t>
      </w:r>
      <w:r>
        <w:rPr>
          <w:rStyle w:val="FootnoteAnchor"/>
          <w:rtl w:val="true"/>
        </w:rPr>
        <w:footnoteReference w:id="445"/>
      </w:r>
      <w:r>
        <w:rPr>
          <w:rFonts w:ascii="IRNazanin" w:hAnsi="IRNazanin" w:eastAsia="IRNazanin"/>
          <w:color w:val="111111"/>
          <w:sz w:val="28"/>
          <w:sz w:val="28"/>
          <w:szCs w:val="28"/>
          <w:rtl w:val="true"/>
          <w:lang w:bidi="fa-IR"/>
        </w:rPr>
        <w:t>فیه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ما ذکرناه أحمد بن محمد ، عن محمد بن سهل ،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الرجل یدع الغسل یوم الجمعة ناسیاً أو غیر ذلک؟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ناسیاً فقد تمت صلاته ، وإن کان متعمداً فالغسل أحبّ إلیّ ، فإن هو فعل فلیستغفر الله تعالی ولا یعود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الحسن الصفار ، عن یعقوب بن یزید ، عن ابن أبی عمیر ، عن جعفر بن عثمان ، عن سماعة بن مهران ، عن أبی عبد الله علیه السلام فی الرجل لا یغتسل یوم الجمعة فی أول النهار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یقضیه من </w:t>
      </w:r>
      <w:bookmarkStart w:id="453" w:name="pg17122_169593"/>
    </w:p>
    <w:p>
      <w:pPr>
        <w:pStyle w:val="BookText"/>
        <w:rPr/>
      </w:pPr>
      <w:bookmarkEnd w:id="453"/>
      <w:r>
        <w:rPr>
          <w:rFonts w:ascii="IRNazanin" w:hAnsi="IRNazanin" w:eastAsia="IRNazanin"/>
          <w:color w:val="111111"/>
          <w:sz w:val="28"/>
          <w:sz w:val="28"/>
          <w:szCs w:val="28"/>
          <w:rtl w:val="true"/>
          <w:lang w:bidi="fa-IR"/>
        </w:rPr>
        <w:t xml:space="preserve">آخر النهار ، فإن لم یجد فلیقضه یوم السبت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استوفینا ما یتعلق بهذا الباب فی کتابنا تهذیب الأحکام </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کفایة إن شاء الله تعالی </w:t>
      </w:r>
      <w:r>
        <w:rPr>
          <w:rFonts w:eastAsia="IRNazanin" w:cs="IRNazanin"/>
          <w:color w:val="111111"/>
          <w:sz w:val="28"/>
          <w:szCs w:val="28"/>
          <w:rtl w:val="true"/>
          <w:lang w:bidi="fa-IR"/>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سهل ، وهو ابن الیسع من رجال الرضا علیه السلام مذکور مهملاً </w:t>
      </w:r>
      <w:r>
        <w:rPr>
          <w:rStyle w:val="FootnoteAnchor"/>
          <w:rtl w:val="true"/>
        </w:rPr>
        <w:footnoteReference w:id="448"/>
      </w:r>
      <w:r>
        <w:rPr>
          <w:rFonts w:ascii="Amiri" w:hAnsi="Amiri" w:eastAsia="Amiri" w:cs="Amiri"/>
          <w:color w:val="111111"/>
          <w:sz w:val="28"/>
          <w:sz w:val="28"/>
          <w:szCs w:val="28"/>
          <w:rtl w:val="true"/>
          <w:lang w:bidi="ar-SA"/>
        </w:rPr>
        <w:t xml:space="preserve">، وأبوه ثقة ثقة </w:t>
      </w:r>
      <w:r>
        <w:rPr>
          <w:rStyle w:val="FootnoteAnchor"/>
          <w:rtl w:val="true"/>
        </w:rPr>
        <w:footnoteReference w:id="449"/>
      </w:r>
      <w:r>
        <w:rPr>
          <w:rFonts w:ascii="IRNazanin" w:hAnsi="IRNazanin" w:eastAsia="IRNazanin"/>
          <w:color w:val="111111"/>
          <w:sz w:val="28"/>
          <w:sz w:val="28"/>
          <w:szCs w:val="28"/>
          <w:rtl w:val="true"/>
          <w:lang w:bidi="fa-IR"/>
        </w:rPr>
        <w:t>، وإنّما کان ابن الیسع لأنّ الراوی عنه أحمد ابن محمد بن عیسی کما ذکره شیخنا المحقق سلّمه الله فی فوائد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جعفر بن عثمان وهو ابن شریک ، أخو الحسین بن عثمان بقرینة روایة ابن أبی عمیر عنه کما فی النجاشی </w:t>
      </w:r>
      <w:r>
        <w:rPr>
          <w:rStyle w:val="FootnoteAnchor"/>
          <w:rtl w:val="true"/>
        </w:rPr>
        <w:footnoteReference w:id="450"/>
      </w:r>
      <w:r>
        <w:rPr>
          <w:rFonts w:ascii="IRNazanin" w:hAnsi="IRNazanin" w:eastAsia="IRNazanin"/>
          <w:color w:val="111111"/>
          <w:sz w:val="28"/>
          <w:sz w:val="28"/>
          <w:szCs w:val="28"/>
          <w:rtl w:val="true"/>
          <w:lang w:bidi="fa-IR"/>
        </w:rPr>
        <w:t xml:space="preserve">، وهو مذکور مهملاً ، ولا یبعد أن یکون هو الرواسی ، لأنّ الکشی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أشیاخی یذکرون أنّ حماداً وجعفراً والحسین بن عثمان بن زیاد الرواسی وحماد یلقب بالناب کلّهم فاضلون خیار ثقات </w:t>
      </w:r>
      <w:r>
        <w:rPr>
          <w:rStyle w:val="FootnoteAnchor"/>
          <w:rtl w:val="true"/>
        </w:rPr>
        <w:footnoteReference w:id="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التوثیق من شیوخ حمدویه ، وهم غیر معلومی الحال ، إلاّ أنّ الظاهر کونهم من أهل الاعتبار کما فی غیرهم من شیوخ الأجلاّء ، وحمدویه منهم ، فقد</w:t>
      </w:r>
    </w:p>
    <w:p>
      <w:pPr>
        <w:pStyle w:val="Heading3"/>
        <w:numPr>
          <w:ilvl w:val="2"/>
          <w:numId w:val="1"/>
        </w:numPr>
        <w:rPr/>
      </w:pPr>
      <w:bookmarkStart w:id="454" w:name="__RefHeading___Toc39240_2142443653"/>
      <w:bookmarkStart w:id="455" w:name="_Toc178"/>
      <w:bookmarkEnd w:id="454"/>
      <w:r>
        <w:rPr>
          <w:rtl w:val="true"/>
        </w:rPr>
        <w:t>محمّد بن سهل بن الیسع مهمل وأبوه ثقة ثقة</w:t>
      </w:r>
      <w:bookmarkEnd w:id="45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6" w:name="__RefHeading___Toc39242_2142443653"/>
      <w:bookmarkStart w:id="457" w:name="_Toc179"/>
      <w:bookmarkEnd w:id="456"/>
      <w:r>
        <w:rPr>
          <w:rtl w:val="true"/>
        </w:rPr>
        <w:t>بحث حول جعفر بن عثمان وأخیه الحسین بن عثمان</w:t>
      </w:r>
      <w:bookmarkEnd w:id="457"/>
    </w:p>
    <w:p>
      <w:pPr>
        <w:pStyle w:val="BookText"/>
        <w:rPr/>
      </w:pPr>
      <w:r>
        <w:rPr>
          <w:rFonts w:ascii="IRNazanin" w:hAnsi="IRNazanin" w:eastAsia="IRNazanin"/>
          <w:color w:val="111111"/>
          <w:sz w:val="28"/>
          <w:sz w:val="28"/>
          <w:szCs w:val="28"/>
          <w:rtl w:val="true"/>
          <w:lang w:bidi="fa-IR"/>
        </w:rPr>
        <w:t xml:space="preserve">وثّقه الشیخ فی رجال من لم یرو عن الأئمّة علیهم السلام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یقال </w:t>
      </w:r>
      <w:r>
        <w:rPr>
          <w:rStyle w:val="FootnoteAnchor"/>
          <w:rtl w:val="true"/>
        </w:rPr>
        <w:footnoteReference w:id="453"/>
      </w:r>
      <w:r>
        <w:rPr>
          <w:rFonts w:ascii="IRNazanin" w:hAnsi="IRNazanin" w:eastAsia="IRNazanin"/>
          <w:color w:val="111111"/>
          <w:sz w:val="28"/>
          <w:sz w:val="28"/>
          <w:szCs w:val="28"/>
          <w:rtl w:val="true"/>
          <w:lang w:bidi="fa-IR"/>
        </w:rPr>
        <w:t xml:space="preserve">من أن فی شیوخ حمدویه ما </w:t>
      </w:r>
      <w:r>
        <w:rPr>
          <w:rStyle w:val="FootnoteAnchor"/>
          <w:rtl w:val="true"/>
        </w:rPr>
        <w:footnoteReference w:id="454"/>
      </w:r>
      <w:r>
        <w:rPr>
          <w:rFonts w:ascii="IRNazanin" w:hAnsi="IRNazanin" w:eastAsia="IRNazanin"/>
          <w:color w:val="111111"/>
          <w:sz w:val="28"/>
          <w:sz w:val="28"/>
          <w:szCs w:val="28"/>
          <w:rtl w:val="true"/>
          <w:lang w:bidi="fa-IR"/>
        </w:rPr>
        <w:t xml:space="preserve">هو ثقة والإضافة فی شیوخه تفید العموم فیدخل فیهم الثقة لم أعلم وجهه إلاّ من کون حمدویه یروی عن یعقوب بن یزید وهو ثقة ، فیکون من جملة الشیوخ ، وهو غیر بعید ، وفی بعض المواضع من الکشی نقل حمدویه عن أشیاخه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العبیدی وغیره </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والعبیدی علی ما أظن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یحصل التوقف فی الاتحاد مع ابن شریک ، لأن مقتضی کون الجدّین زیاداً المغایرة لابن شریک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شریکاً جدّ 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لجعفر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والحق أنّ کلام الکشی </w:t>
      </w:r>
      <w:r>
        <w:rPr>
          <w:rStyle w:val="FootnoteAnchor"/>
          <w:rtl w:val="true"/>
        </w:rPr>
        <w:footnoteReference w:id="457"/>
      </w:r>
      <w:r>
        <w:rPr>
          <w:rFonts w:ascii="IRNazanin" w:hAnsi="IRNazanin" w:eastAsia="IRNazanin"/>
          <w:color w:val="111111"/>
          <w:sz w:val="28"/>
          <w:sz w:val="28"/>
          <w:szCs w:val="28"/>
          <w:rtl w:val="true"/>
          <w:lang w:bidi="fa-IR"/>
        </w:rPr>
        <w:t xml:space="preserve">إنّما یقتضی أنّ الحسین بن عثمان هو ابن زیاد ، لا أنّ الجمیع بنو زیاد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العبارة بنی زیاد ، کما هو الظاهر من أنّ الکلام فی بیان حال الإخوة الثلاثة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ظهور کون النقل لبیان الإخوة محل کلام ، بل یجوز أنّ المقصود ذکر الأخوین مع ذکر حمّاد الرواسی والمناسبة لذکره معهما لاقتضاء المقام ذلک فی الوقت ، کما ینبئ عنه الوصف بالرواسی دون من معه ، بل المذکور فی جعفر بن عثمان أنّه الکلابی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والحسین بن عثمان قد وقع فیه الاضطراب کما یعرف من کلام </w:t>
      </w:r>
    </w:p>
    <w:p>
      <w:pPr>
        <w:pStyle w:val="BookText"/>
        <w:rPr/>
      </w:pPr>
      <w:r>
        <w:rPr>
          <w:rFonts w:ascii="IRNazanin" w:hAnsi="IRNazanin" w:eastAsia="IRNazanin"/>
          <w:color w:val="111111"/>
          <w:sz w:val="28"/>
          <w:sz w:val="28"/>
          <w:szCs w:val="28"/>
          <w:rtl w:val="true"/>
          <w:lang w:bidi="fa-IR"/>
        </w:rPr>
        <w:t xml:space="preserve">العلاّمة فی الخلاصة </w:t>
      </w:r>
      <w:r>
        <w:rPr>
          <w:rStyle w:val="FootnoteAnchor"/>
          <w:rtl w:val="true"/>
        </w:rPr>
        <w:footnoteReference w:id="458"/>
      </w:r>
      <w:r>
        <w:rPr>
          <w:rFonts w:ascii="IRNazanin" w:hAnsi="IRNazanin" w:eastAsia="IRNazanin"/>
          <w:color w:val="111111"/>
          <w:sz w:val="28"/>
          <w:sz w:val="28"/>
          <w:szCs w:val="28"/>
          <w:rtl w:val="true"/>
          <w:lang w:bidi="fa-IR"/>
        </w:rPr>
        <w:t xml:space="preserve">وکلام غیره </w:t>
      </w:r>
      <w:r>
        <w:rPr>
          <w:rStyle w:val="FootnoteAnchor"/>
          <w:rtl w:val="true"/>
        </w:rPr>
        <w:footnoteReference w:id="459"/>
      </w:r>
      <w:r>
        <w:rPr>
          <w:rFonts w:ascii="IRNazanin" w:hAnsi="IRNazanin" w:eastAsia="IRNazanin"/>
          <w:color w:val="111111"/>
          <w:sz w:val="28"/>
          <w:sz w:val="28"/>
          <w:szCs w:val="28"/>
          <w:rtl w:val="true"/>
          <w:lang w:bidi="fa-IR"/>
        </w:rPr>
        <w:t xml:space="preserve">، فإن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الکشی </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یذکر الحسین بن عثمان بن شریک ، والنجاشی ذکره </w:t>
      </w:r>
      <w:r>
        <w:rPr>
          <w:rStyle w:val="FootnoteAnchor"/>
          <w:rtl w:val="true"/>
        </w:rPr>
        <w:footnoteReference w:id="461"/>
      </w:r>
      <w:r>
        <w:rPr>
          <w:rFonts w:ascii="IRNazanin" w:hAnsi="IRNazanin" w:eastAsia="IRNazanin"/>
          <w:color w:val="111111"/>
          <w:sz w:val="28"/>
          <w:sz w:val="28"/>
          <w:szCs w:val="28"/>
          <w:rtl w:val="true"/>
          <w:lang w:bidi="fa-IR"/>
        </w:rPr>
        <w:t xml:space="preserve">وذکر الأحمسی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یبعد أن یکون الحسین بن عثمان الواقع فی عبارة الخلاصة ابتداء کلام لذکر رجل ثالث ، وهو الذی ذکره الکشی ، وهو ابن عثمان بن زیاد ، فیکون العلاّمة ذکر ثلاثة رجال کل واحد اسمه الحسین بن عثمان وکلمة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الواقعة فی کلام العلاّمة قبل لفظ الحسین سهو وصوابه إلحاق الهاء به ،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الحسین بن عثمان بن شریک له کتاب یرویه محمد بن أبی عمیر عنه کما فی النجاشی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عبارة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عثمان بن شریک بن عدی العامری الوحیدی ثقة روی عن أبی عبد الله وأبی الحسن علیهماالسلام ، له کتاب یرویه محمد بن أبی عمیر ، عن الحسین بن عثمان ، قال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حمدویه عن أشیاخه أن الحسین بن عثمان خیر فاضل ثقة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فالمقام لا یخلو من إشکال کما یعلم من ملاحظة کتب الرجال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سماعة فحاله قد تقدم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bookmarkStart w:id="458" w:name="pg17122_169596"/>
    </w:p>
    <w:p>
      <w:pPr>
        <w:pStyle w:val="BookText"/>
        <w:rPr/>
      </w:pPr>
      <w:bookmarkEnd w:id="458"/>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الشیخ فیه من الحمل علی الاستحباب ، الظاهر أنّ مراده به فعل الغسل لما تقدم من أنّه غیر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علیک أنّ ظاهر الخبر أنّه إن کان فی وقت فعلیه أن یغتسل ، والوقت المذکور هو وقت الصلاة ، إذ لو أُرید به وقت الغسل لم یتم ، لأنّ وقته قبل الزوال </w:t>
      </w:r>
      <w:r>
        <w:rPr>
          <w:rStyle w:val="FootnoteAnchor"/>
          <w:rtl w:val="true"/>
        </w:rPr>
        <w:footnoteReference w:id="466"/>
      </w:r>
      <w:r>
        <w:rPr>
          <w:rFonts w:ascii="IRNazanin" w:hAnsi="IRNazanin" w:eastAsia="IRNazanin"/>
          <w:color w:val="111111"/>
          <w:sz w:val="28"/>
          <w:sz w:val="28"/>
          <w:szCs w:val="28"/>
          <w:rtl w:val="true"/>
          <w:lang w:bidi="fa-IR"/>
        </w:rPr>
        <w:t>فی المشهور ، وإذا کان قد صلّی فقد فات وقت الغسل وبقی قضاؤه ، وحینئذ فوجوب القضاء وعدمه لم یتقدم ما یدل علیه لیحمل الخبر علی الاستحباب ، إلاّ أن یکون مقصود الشیخ أن الأداء إذا لم یجب لا یجب القضاء ، وفیه أنّه لا ملازمة بین الأداء والقضاء ، بل هو حکم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أراد الشیخ استحباب إعادة الصلاة أشکل أوّلاً بأن الصلاة إن کانت جمعة فاستحباب قضائها أشدّ إشکالاً ، وإن کانت ظهراً أمکن ، وکذلک إعادة الجمعة ظهراً ، إلاّ أن المقام مقام إعادة الغُسل استحباباً لمعارضة الأخبار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الخبر تضمّن 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إعادة الصلاة والغسل ، فلا یضر بالحال زیادة الحکم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یؤیّد إرادة الشیخ استحباب الغسل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ما روی فی قضاء غسل یوم الجمعة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فالمقام </w:t>
      </w:r>
      <w:r>
        <w:rPr>
          <w:rStyle w:val="FootnoteAnchor"/>
          <w:rtl w:val="true"/>
        </w:rPr>
        <w:footnoteReference w:id="467"/>
      </w:r>
      <w:r>
        <w:rPr>
          <w:rFonts w:ascii="IRNazanin" w:hAnsi="IRNazanin" w:eastAsia="IRNazanin"/>
          <w:color w:val="111111"/>
          <w:sz w:val="28"/>
          <w:sz w:val="28"/>
          <w:szCs w:val="28"/>
          <w:rtl w:val="true"/>
          <w:lang w:bidi="fa-IR"/>
        </w:rPr>
        <w:t>لا یخلو من إجمال ، ومن لم یعمل بالموثق فی راحة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الخبر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دال علی تأکّد الاستحباب ، إلاّ أن فی متنه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9" w:name="__RefHeading___Toc39244_2142443653"/>
      <w:bookmarkStart w:id="460" w:name="_Toc180"/>
      <w:bookmarkEnd w:id="459"/>
      <w:r>
        <w:rPr>
          <w:rtl w:val="true"/>
        </w:rPr>
        <w:t>استحباب قضاء غُسل الجمعة بعد مضی وقته</w:t>
      </w:r>
      <w:bookmarkStart w:id="461" w:name="pg17122_169597"/>
      <w:bookmarkEnd w:id="460"/>
    </w:p>
    <w:p>
      <w:pPr>
        <w:pStyle w:val="BookText"/>
        <w:rPr/>
      </w:pPr>
      <w:bookmarkEnd w:id="461"/>
      <w:r>
        <w:rPr>
          <w:rFonts w:ascii="IRNazanin" w:hAnsi="IRNazanin" w:eastAsia="IRNazanin"/>
          <w:color w:val="111111"/>
          <w:sz w:val="28"/>
          <w:sz w:val="28"/>
          <w:szCs w:val="28"/>
          <w:rtl w:val="true"/>
          <w:lang w:bidi="fa-IR"/>
        </w:rPr>
        <w:t>نوع إجمال کما یعرف من مراجعته ، وذکر الاستغفار فیه لا یدل علی الوجوب لوجود المعارض ، وربما دلّ علی عدم إعادة الصلاة مع تعمّد ترک الغسل ، أمّا مع النسیان فمفهومه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دلالة علی القضاء آخر النهار ، وفی بعض الأخبار ما یدل علی فعله بعد الزوال إلی اللیل من غیر ذکر القضاء ، إلاّ أن المحقق فی المعتبر ادّعی الإجماع علی أن وقته قبل الزوال </w:t>
      </w:r>
      <w:r>
        <w:rPr>
          <w:rStyle w:val="FootnoteAnchor"/>
          <w:rtl w:val="true"/>
        </w:rPr>
        <w:footnoteReference w:id="468"/>
      </w:r>
      <w:r>
        <w:rPr>
          <w:rFonts w:ascii="IRNazanin" w:hAnsi="IRNazanin" w:eastAsia="IRNazanin"/>
          <w:color w:val="111111"/>
          <w:sz w:val="28"/>
          <w:sz w:val="28"/>
          <w:szCs w:val="28"/>
          <w:rtl w:val="true"/>
          <w:lang w:bidi="fa-IR"/>
        </w:rPr>
        <w:t>، وربما کان المراد أن الوقت قبل الزوال مجمع علیه ، لا أن الإجماع علی عدم الوقت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بُعدٌ ، وعلی تقدیر الانتفاء بعد الزوال فلعلّ المطلق من الأخبار محمول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أن یراد بالقضاء فی هذا الخبر فعل الغُسل لوجود إطلاق القضاء علی ذلک فی الأخبار ممکن ، لولا الإجماع ،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فلیقضه یوم السبت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الأخبار المعتبرة دلالة علی عدم القضاء ، ویمکن حمله علی عدم اللزوم ، وکان علی الشیخ أن یذکره هنا ، والله تعالی أعلم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أبواب الجنابة وأحکامها</w:t>
      </w:r>
    </w:p>
    <w:p>
      <w:pPr>
        <w:pStyle w:val="BookText"/>
        <w:rPr/>
      </w:pPr>
      <w:r>
        <w:rPr>
          <w:rFonts w:ascii="IRNazanin" w:hAnsi="IRNazanin" w:eastAsia="IRNazanin"/>
          <w:color w:val="111111"/>
          <w:sz w:val="28"/>
          <w:sz w:val="28"/>
          <w:szCs w:val="28"/>
          <w:rtl w:val="true"/>
          <w:lang w:bidi="fa-IR"/>
        </w:rPr>
        <w:t>باب أن خروج المنی یوجب الغسل علی کل حال</w:t>
      </w:r>
    </w:p>
    <w:p>
      <w:pPr>
        <w:pStyle w:val="BookText"/>
        <w:rPr/>
      </w:pPr>
      <w:r>
        <w:rPr>
          <w:rFonts w:ascii="IRNazanin" w:hAnsi="IRNazanin" w:eastAsia="IRNazanin"/>
          <w:color w:val="111111"/>
          <w:sz w:val="28"/>
          <w:sz w:val="28"/>
          <w:szCs w:val="28"/>
          <w:rtl w:val="true"/>
          <w:lang w:bidi="fa-IR"/>
        </w:rPr>
        <w:t xml:space="preserve">أخبرنی الشیخ رحمه الله عن أبی القاسم جعفر بن محمد ، عن محمد بن یعقوب ، عن علیّ بن إبراهیم ، عن أبیه ، عن ابن أبی عمیر ، عن حماد بن عثمان ، عن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المفخّذ أعلیه </w:t>
      </w:r>
      <w:r>
        <w:rPr>
          <w:rStyle w:val="FootnoteAnchor"/>
          <w:rtl w:val="true"/>
        </w:rPr>
        <w:footnoteReference w:id="469"/>
      </w:r>
      <w:r>
        <w:rPr>
          <w:rFonts w:ascii="IRNazanin" w:hAnsi="IRNazanin" w:eastAsia="IRNazanin"/>
          <w:color w:val="111111"/>
          <w:sz w:val="28"/>
          <w:sz w:val="28"/>
          <w:szCs w:val="28"/>
          <w:rtl w:val="true"/>
          <w:lang w:bidi="fa-IR"/>
        </w:rPr>
        <w:t xml:space="preserve">غسل؟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إذا أنزل </w:t>
      </w:r>
      <w:r>
        <w:rPr>
          <w:rFonts w:eastAsia="IRNazanin" w:cs="IRNazanin"/>
          <w:color w:val="111111"/>
          <w:sz w:val="28"/>
          <w:szCs w:val="28"/>
          <w:rtl w:val="true"/>
          <w:lang w:bidi="fa-IR"/>
        </w:rPr>
        <w:t>».</w:t>
      </w:r>
    </w:p>
    <w:p>
      <w:pPr>
        <w:pStyle w:val="Heading2"/>
        <w:numPr>
          <w:ilvl w:val="1"/>
          <w:numId w:val="1"/>
        </w:numPr>
        <w:rPr/>
      </w:pPr>
      <w:bookmarkStart w:id="462" w:name="__RefHeading___Toc39246_2142443653"/>
      <w:bookmarkStart w:id="463" w:name="_Toc181"/>
      <w:bookmarkEnd w:id="462"/>
      <w:r>
        <w:rPr>
          <w:rtl w:val="true"/>
        </w:rPr>
        <w:t>الجنابة وأحکامها</w:t>
      </w:r>
      <w:bookmarkEnd w:id="463"/>
    </w:p>
    <w:p>
      <w:pPr>
        <w:pStyle w:val="Heading3"/>
        <w:numPr>
          <w:ilvl w:val="2"/>
          <w:numId w:val="1"/>
        </w:numPr>
        <w:rPr/>
      </w:pPr>
      <w:bookmarkStart w:id="464" w:name="__RefHeading___Toc39248_2142443653"/>
      <w:bookmarkStart w:id="465" w:name="_Toc182"/>
      <w:bookmarkEnd w:id="464"/>
      <w:r>
        <w:rPr>
          <w:rtl w:val="true"/>
        </w:rPr>
        <w:t>خروج المنی یوجب الغسل علی کل حال</w:t>
      </w:r>
      <w:bookmarkEnd w:id="46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6" w:name="__RefHeading___Toc39250_2142443653"/>
      <w:bookmarkStart w:id="467" w:name="_Toc183"/>
      <w:bookmarkEnd w:id="466"/>
      <w:r>
        <w:rPr>
          <w:rtl w:val="true"/>
        </w:rPr>
        <w:t>اشارة</w:t>
      </w:r>
      <w:bookmarkStart w:id="468" w:name="pg17122_169598"/>
      <w:bookmarkEnd w:id="467"/>
    </w:p>
    <w:p>
      <w:pPr>
        <w:pStyle w:val="BookText"/>
        <w:rPr/>
      </w:pPr>
      <w:bookmarkEnd w:id="468"/>
      <w:r>
        <w:rPr>
          <w:rFonts w:ascii="IRNazanin" w:hAnsi="IRNazanin" w:eastAsia="IRNazanin"/>
          <w:color w:val="111111"/>
          <w:sz w:val="28"/>
          <w:sz w:val="28"/>
          <w:szCs w:val="28"/>
          <w:rtl w:val="true"/>
          <w:lang w:bidi="fa-IR"/>
        </w:rPr>
        <w:t xml:space="preserve">فأمّا ما رواه علیّ بن جعفر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أخیه موسی علیه السلام </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یلعب مع المرأة ویقبّلها فیخرج منه المنی ما علیه؟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جاءت الشهوة ودفع وفتر لخروجه فعلیه الغسل ، وإن کان إنّما هو شی‌ء لم یجد له فترة ولا شهوة فلا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ینافی ما قدّمناه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خروج المنی یوجب الغسل علی کلّ حال ، لأن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w:t>
      </w:r>
      <w:r>
        <w:rPr>
          <w:rStyle w:val="FootnoteAnchor"/>
          <w:rtl w:val="true"/>
        </w:rPr>
        <w:footnoteReference w:id="471"/>
      </w:r>
      <w:r>
        <w:rPr>
          <w:rFonts w:ascii="IRNazanin" w:hAnsi="IRNazanin" w:eastAsia="IRNazanin"/>
          <w:color w:val="111111"/>
          <w:sz w:val="28"/>
          <w:sz w:val="28"/>
          <w:szCs w:val="28"/>
          <w:rtl w:val="true"/>
          <w:lang w:bidi="fa-IR"/>
        </w:rPr>
        <w:t xml:space="preserve">کان هو شی‌ء لم یجد له فترة ولا شهوة فلا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إذا لم یکن الخارج منیّاً ، لأن المستبعد فی العادة والطبائع أن یخرج المنی من الإنسان ولا یجد له شهوة ولا لذة ، وإنما </w:t>
      </w:r>
      <w:r>
        <w:rPr>
          <w:rStyle w:val="FootnoteAnchor"/>
          <w:rtl w:val="true"/>
        </w:rPr>
        <w:footnoteReference w:id="472"/>
      </w:r>
      <w:r>
        <w:rPr>
          <w:rFonts w:ascii="IRNazanin" w:hAnsi="IRNazanin" w:eastAsia="IRNazanin"/>
          <w:color w:val="111111"/>
          <w:sz w:val="28"/>
          <w:sz w:val="28"/>
          <w:szCs w:val="28"/>
          <w:rtl w:val="true"/>
          <w:lang w:bidi="fa-IR"/>
        </w:rPr>
        <w:t>أراد به إذا اشتبه علی الإنسان فاعتقد أنّه منی وإن لم یکن فی الحقیقة منیّاً یعتبره بوجود الشهوة من نفسه ، فإذا وجد وجب علیه الغسل ، فإذا لم یجد علم أن الخارج منه لیس بمنی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علی ما قدّمناه ، لأن الطریق فی المشیخة إلی علیّ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عبید الله ، عن أحمد بن محمد بن یحیی ، عن أبیه محمد بن یحیی ، عن العمرکی بن علی النیشابوری البوفکی </w:t>
      </w:r>
      <w:r>
        <w:rPr>
          <w:rStyle w:val="FootnoteAnchor"/>
          <w:rtl w:val="true"/>
        </w:rPr>
        <w:footnoteReference w:id="473"/>
      </w:r>
      <w:r>
        <w:rPr>
          <w:rFonts w:ascii="IRNazanin" w:hAnsi="IRNazanin" w:eastAsia="IRNazanin"/>
          <w:color w:val="111111"/>
          <w:sz w:val="28"/>
          <w:sz w:val="28"/>
          <w:szCs w:val="28"/>
          <w:rtl w:val="true"/>
          <w:lang w:bidi="fa-IR"/>
        </w:rPr>
        <w:t xml:space="preserve">، عن علیّ بن جعفر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9" w:name="__RefHeading___Toc39252_2142443653"/>
      <w:bookmarkStart w:id="470" w:name="_Toc184"/>
      <w:bookmarkEnd w:id="469"/>
      <w:r>
        <w:rPr>
          <w:rtl w:val="true"/>
        </w:rPr>
        <w:t>طریق الشیخ إلی علی بن جعفر</w:t>
      </w:r>
      <w:bookmarkStart w:id="471" w:name="pg17122_169599"/>
      <w:bookmarkEnd w:id="470"/>
    </w:p>
    <w:p>
      <w:pPr>
        <w:pStyle w:val="BookText"/>
        <w:rPr/>
      </w:pPr>
      <w:bookmarkEnd w:id="471"/>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ظاهر الدلالة علی وجوب الغسل بالإنزال ، والإجماع واقع علی أن نزول المنی موجب للغُسل ، کما حکاه شیخنا قدس سره قائلاً ، إنّه إذا تیقن أن الخارج منیّ وجب الغُسل ، سواء خرج متدافقاً أو متثاقلاً ، بشهوة وغیرها ، فی نوم ویقظة ، والأخبار المستفیضة تدل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ومع الاشتباه یعتبر باللذّة والدفق وفتور البدن ، أی انکسار الشهوة بعد خروجه ، لأنها صفات لازمة للمنیّ فی الأغلب فیرجع إلیها عند الاشتباه ، ولما رواه علی بن جعفر ، وذکر الروایة الثانیة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الروایة المذکورة عن علیّ بن جعفر لا تصلح للاستدلال ، لأن مقتضاها أن الثلاثة إذا وجدت وجب الغسل ، وإذا انتفت الفترة والشهوة فلا غسل وإن حصل الدفع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وإشکاله ظاهر ، وما قاله الشیخ فی توجیهه أشکل ، لأن مقتضاه أن وجود الشهوة کاف فی کونه منیّاً ، وإذا لم یجد الشهوة لا یکون منیّاً ، والنص قد اعتبر فیه الثلاثة صریحاً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والإشکال من جهة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کان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یدفع بأن الدفع من لوازمه الشهوة والفتور ، ومع انتفائهما ینتفی ، فالأمر فیه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من استحسان شیخنا قدس سره لکلام الشیخ فی توجیه الحدیث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واحتمال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الشهوة من لوازمها الفتور والدفع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یشکل بأنّ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2" w:name="__RefHeading___Toc39254_2142443653"/>
      <w:bookmarkStart w:id="473" w:name="_Toc185"/>
      <w:bookmarkEnd w:id="472"/>
      <w:r>
        <w:rPr>
          <w:rtl w:val="true"/>
        </w:rPr>
        <w:t>بحث حول اعتبار الأوصاف الثلاثة فی المنی</w:t>
      </w:r>
      <w:bookmarkEnd w:id="473"/>
    </w:p>
    <w:p>
      <w:pPr>
        <w:pStyle w:val="BookText"/>
        <w:rPr/>
      </w:pPr>
      <w:r>
        <w:rPr>
          <w:rFonts w:ascii="IRNazanin" w:hAnsi="IRNazanin" w:eastAsia="IRNazanin"/>
          <w:color w:val="111111"/>
          <w:sz w:val="28"/>
          <w:sz w:val="28"/>
          <w:szCs w:val="28"/>
          <w:rtl w:val="true"/>
          <w:lang w:bidi="fa-IR"/>
        </w:rPr>
        <w:t xml:space="preserve">الشهوة قد اعتبرت فی المذی أیضاً ، کما تقدم فی الأخبار ، ولو أُرید بالشهوة هنا معنی آخر یلزمه الفتور والدفع لم یحتج إلی البیان فی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یجد له فترة ولا شهوة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یکفی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یجد له 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الشهوة لما کانت مشترکة بین ما یحصل منها المذی وما </w:t>
      </w:r>
      <w:r>
        <w:rPr>
          <w:rStyle w:val="FootnoteAnchor"/>
          <w:rtl w:val="true"/>
        </w:rPr>
        <w:footnoteReference w:id="477"/>
      </w:r>
      <w:r>
        <w:rPr>
          <w:rFonts w:ascii="IRNazanin" w:hAnsi="IRNazanin" w:eastAsia="IRNazanin"/>
          <w:color w:val="111111"/>
          <w:sz w:val="28"/>
          <w:sz w:val="28"/>
          <w:szCs w:val="28"/>
          <w:rtl w:val="true"/>
          <w:lang w:bidi="fa-IR"/>
        </w:rPr>
        <w:t>یحصل منها المنی احتیج إلی بیانها لیندفع الشک وأنت خبیر بأن هذا وارد علی الشیخ فی عدم بیانه ذلک ، فالخلل فی کلامه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الاحتیاج إلی کلام الشیخ فی الروایة غیر واضح ، لأنه یجوز أن یکون علیه السلام أراد أن یبیّن له خواصّ المنی لعدم علمه بها ، فإذا أفاد علیه السلام أنّ المنی ما حصل بالثلاثة فالسائل یعتبر ما قاله علیه السلام ، وحکمه بأنّ الخارج منی لا یضر بالحال حینئذ </w:t>
      </w:r>
      <w:r>
        <w:rPr>
          <w:rStyle w:val="FootnoteAnchor"/>
          <w:rtl w:val="true"/>
        </w:rPr>
        <w:footnoteReference w:id="478"/>
      </w:r>
      <w:r>
        <w:rPr>
          <w:rFonts w:ascii="IRNazanin" w:hAnsi="IRNazanin" w:eastAsia="IRNazanin"/>
          <w:color w:val="111111"/>
          <w:sz w:val="28"/>
          <w:sz w:val="28"/>
          <w:szCs w:val="28"/>
          <w:rtl w:val="true"/>
          <w:lang w:bidi="fa-IR"/>
        </w:rPr>
        <w:t>لاحتمال اعتقاد المنی ببعض الأوصاف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قاله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معناه إذا لم یکن الخارج منیّاً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معلوم من الروایة ، لأن التقبیل والملاعبة قد تحصل معهما الشهوة ، وما قاله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یعتبر بوجود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ما قلناه ، مع أنّه فرّ منه ، فینبغی التأمّل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یعلم أن ما حکم به شیخنا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مع الاشتباه یعتبر بالثلاثة الأوصاف ، ولو علم أنّه منی وجب الغسل ، سواء حصل متدافعاً أو متثاقلاً بشهوة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بحث إلاّ فی المریض ، ففی معتبر الأخبار ما قد یستفاد منه عدم اعتبار الدفع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الدالة علی وجوب الغسل بالماء الأکبر مع الخبر </w:t>
      </w:r>
      <w:bookmarkStart w:id="474" w:name="pg17122_169601"/>
    </w:p>
    <w:p>
      <w:pPr>
        <w:pStyle w:val="BookText"/>
        <w:rPr/>
      </w:pPr>
      <w:bookmarkEnd w:id="474"/>
      <w:r>
        <w:rPr>
          <w:rFonts w:ascii="IRNazanin" w:hAnsi="IRNazanin" w:eastAsia="IRNazanin"/>
          <w:color w:val="111111"/>
          <w:sz w:val="28"/>
          <w:sz w:val="28"/>
          <w:szCs w:val="28"/>
          <w:rtl w:val="true"/>
          <w:lang w:bidi="fa-IR"/>
        </w:rPr>
        <w:t>الدال علی أن الإنزال موجب للغسل فیها إطلاق ، فمن ثمّ حکم بوجوب الغسل مطلقاً مع العلم ، ومع الاشتباه ینظر الأوصاف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المذکورة لا یخرج عن کونها مطلقة أو مجملة ، فإذا فصّلها الخبر الصحیح الدال علی الأوصاف أو قیّدها لا مانع منه ، وما المحوج إلی حمل الخبر علی الاشتباه مع عدم الصراحة فیه ، وإنّما هو محض توجیه من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وکون الأغلب أن الصفات لازمة للمنیّ إن أُرید به انفکاک بعضها عن بعض نادراً فالحق الحکم بالأغلب ، ینافی الحکم فی المریض بأنه لا یعتبر فیه الدفق </w:t>
      </w:r>
      <w:r>
        <w:rPr>
          <w:rStyle w:val="FootnoteAnchor"/>
          <w:rtl w:val="true"/>
        </w:rPr>
        <w:footnoteReference w:id="480"/>
      </w:r>
      <w:r>
        <w:rPr>
          <w:rFonts w:ascii="IRNazanin" w:hAnsi="IRNazanin" w:eastAsia="IRNazanin"/>
          <w:color w:val="111111"/>
          <w:sz w:val="28"/>
          <w:sz w:val="28"/>
          <w:szCs w:val="28"/>
          <w:rtl w:val="true"/>
          <w:lang w:bidi="fa-IR"/>
        </w:rPr>
        <w:t>کما لا یخفی ، علی أن ما استدل به علی المریض سیأتی فیه الکلام علی مقتضی ما أفهمه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المذکور من الفرق بین الاشتباه وعدمه إن کان إجماعیاً فبها ، وإلاّ فهو محل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ویزید ما قلناه إشکالاً أن روایة علیّ بن جعفر إذا دلّت علی حال الاشتباه فاللازم من الإمام علیه السلام أن یفصّل له الحال بأنک إن علمت کونه منیّاً فاغتسل ، وإن اشتبه ذلک فاعتبر الأوصاف ، ولا تلویح فی الروایة ولا تصریح بشی‌ء منه ، فلیتأمّل فی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 جسمه فتوراً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لأنت مفاصله وضعف </w:t>
      </w: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5" w:name="__RefHeading___Toc39256_2142443653"/>
      <w:bookmarkStart w:id="476" w:name="_Toc186"/>
      <w:bookmarkEnd w:id="475"/>
      <w:r>
        <w:rPr>
          <w:rtl w:val="true"/>
        </w:rPr>
        <w:t>معنی الفتور والشهوة</w:t>
      </w:r>
      <w:bookmarkStart w:id="477" w:name="pg17122_169602"/>
      <w:bookmarkEnd w:id="476"/>
    </w:p>
    <w:p>
      <w:pPr>
        <w:pStyle w:val="BookText"/>
        <w:rPr/>
      </w:pPr>
      <w:bookmarkEnd w:id="477"/>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فیه فتور وهو ضعف وانکسار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شهیه کرضیه ودعاه ، واشتهاه ، وتشهّاه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أحبّه ورغب فیه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أن المرأة إذا أنزلت وجب علیها</w:t>
      </w:r>
    </w:p>
    <w:p>
      <w:pPr>
        <w:pStyle w:val="BookText"/>
        <w:rPr/>
      </w:pPr>
      <w:r>
        <w:rPr>
          <w:rFonts w:ascii="IRNazanin" w:hAnsi="IRNazanin" w:eastAsia="IRNazanin"/>
          <w:color w:val="111111"/>
          <w:sz w:val="28"/>
          <w:sz w:val="28"/>
          <w:szCs w:val="28"/>
          <w:rtl w:val="true"/>
          <w:lang w:bidi="fa-IR"/>
        </w:rPr>
        <w:t>الغسل فی النوم والیقظة وعلی کل حال</w:t>
      </w:r>
    </w:p>
    <w:p>
      <w:pPr>
        <w:pStyle w:val="BookText"/>
        <w:rPr/>
      </w:pPr>
      <w:r>
        <w:rPr>
          <w:rFonts w:ascii="IRNazanin" w:hAnsi="IRNazanin" w:eastAsia="IRNazanin"/>
          <w:color w:val="111111"/>
          <w:sz w:val="28"/>
          <w:sz w:val="28"/>
          <w:szCs w:val="28"/>
          <w:rtl w:val="true"/>
          <w:lang w:bidi="fa-IR"/>
        </w:rPr>
        <w:t xml:space="preserve">أخبرنی الشیخ رحمه الله عن أبی القاسم جعفر بن محمد ، عن محمد بن یعقوب ، عن محمد بن یحیی ، عن أحمد بن محمد ، عن ابن محبوب ، عن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المرأة تری أن الرجل یجامعها فی المنام فی فرجها حتی تنزل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تغتسل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 عن أحمد بن محمد ، عن أبیه ، عن الحسین بن الحسن ابن أبان ، عن الحسین بن سعید ، عن حماد بن عثمان ، عن أدیم بن الحرّ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المرأة تری فی منامها ما یری الرجل أعلیها </w:t>
      </w:r>
      <w:r>
        <w:rPr>
          <w:rStyle w:val="FootnoteAnchor"/>
          <w:rtl w:val="true"/>
        </w:rPr>
        <w:footnoteReference w:id="484"/>
      </w:r>
      <w:r>
        <w:rPr>
          <w:rFonts w:ascii="Amiri" w:hAnsi="Amiri" w:eastAsia="Amiri" w:cs="Amiri"/>
          <w:color w:val="111111"/>
          <w:sz w:val="28"/>
          <w:sz w:val="28"/>
          <w:szCs w:val="28"/>
          <w:rtl w:val="true"/>
          <w:lang w:bidi="ar-SA"/>
        </w:rPr>
        <w:t xml:space="preserve">غسل؟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ولا تحدّثوهنّ فیتخذنه علّةً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عنه ، عن أحمد بن محمد ، عن أبیه ، عن الصفار ، عن محمد ابن عبد الحمید الطائی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الفضیل ، عن</w:t>
      </w:r>
    </w:p>
    <w:p>
      <w:pPr>
        <w:pStyle w:val="Heading3"/>
        <w:numPr>
          <w:ilvl w:val="2"/>
          <w:numId w:val="1"/>
        </w:numPr>
        <w:rPr/>
      </w:pPr>
      <w:bookmarkStart w:id="478" w:name="__RefHeading___Toc39258_2142443653"/>
      <w:bookmarkStart w:id="479" w:name="_Toc187"/>
      <w:bookmarkEnd w:id="478"/>
      <w:r>
        <w:rPr>
          <w:rtl w:val="true"/>
        </w:rPr>
        <w:t>المرأة إذا أنزلت وجب علیهاالغسل فی النوم والیقظة وعلی کل حال</w:t>
      </w:r>
      <w:bookmarkEnd w:id="47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0" w:name="__RefHeading___Toc39260_2142443653"/>
      <w:bookmarkStart w:id="481" w:name="_Toc188"/>
      <w:bookmarkEnd w:id="480"/>
      <w:r>
        <w:rPr>
          <w:rtl w:val="true"/>
        </w:rPr>
        <w:t>اشارة</w:t>
      </w:r>
      <w:bookmarkEnd w:id="481"/>
    </w:p>
    <w:p>
      <w:pPr>
        <w:pStyle w:val="BookText"/>
        <w:rPr/>
      </w:pPr>
      <w:r>
        <w:rPr>
          <w:rFonts w:ascii="IRNazanin" w:hAnsi="IRNazanin" w:eastAsia="IRNazanin"/>
          <w:color w:val="111111"/>
          <w:sz w:val="28"/>
          <w:sz w:val="28"/>
          <w:szCs w:val="28"/>
          <w:rtl w:val="true"/>
          <w:lang w:bidi="fa-IR"/>
        </w:rPr>
        <w:t xml:space="preserve">أبی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تلزمنی المرأة أو الجاریة من خلفی وأنا متکئٌ علی جنب تتحرّک علی ظهری فتأتیها الشهوة وتنزل الماء أفعلیها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لا </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إذا جاءت الشهوة وأنزلت الماء وجب علیها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الاسناد عن الصفار ، عن أحمد بن محمد ، عن شاذان ، عن یحیی بن أبی طلحة أنّه سأل عبداً صالحاً عن رجل مسّ</w:t>
      </w:r>
    </w:p>
    <w:p>
      <w:pPr>
        <w:pStyle w:val="BookText"/>
        <w:rPr/>
      </w:pPr>
      <w:r>
        <w:rPr>
          <w:rFonts w:ascii="IRNazanin" w:hAnsi="IRNazanin" w:eastAsia="IRNazanin"/>
          <w:color w:val="111111"/>
          <w:sz w:val="28"/>
          <w:sz w:val="28"/>
          <w:szCs w:val="28"/>
          <w:rtl w:val="true"/>
          <w:lang w:bidi="fa-IR"/>
        </w:rPr>
        <w:t xml:space="preserve">فرج امرأته أو جاریته یعبث بها حتّی أُنزلت أعلیها </w:t>
      </w:r>
      <w:r>
        <w:rPr>
          <w:rStyle w:val="FootnoteAnchor"/>
          <w:rtl w:val="true"/>
        </w:rPr>
        <w:footnoteReference w:id="486"/>
      </w:r>
      <w:r>
        <w:rPr>
          <w:rFonts w:ascii="IRNazanin" w:hAnsi="IRNazanin" w:eastAsia="IRNazanin"/>
          <w:color w:val="111111"/>
          <w:sz w:val="28"/>
          <w:sz w:val="28"/>
          <w:szCs w:val="28"/>
          <w:rtl w:val="true"/>
          <w:lang w:bidi="fa-IR"/>
        </w:rPr>
        <w:t xml:space="preserve">غسل أم لا؟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ألیس قد أُنزلت من شهوة؟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علیها 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أحمد بن عبدون ، عن علی بن محمد بن الزبیر ، عن علی بن الحسن بن فضال ، عن أحمد بن الحسین بن عبد الملک الأودی </w:t>
      </w:r>
      <w:r>
        <w:rPr>
          <w:rStyle w:val="FootnoteAnchor"/>
          <w:rtl w:val="true"/>
        </w:rPr>
        <w:footnoteReference w:id="487"/>
      </w:r>
      <w:r>
        <w:rPr>
          <w:rFonts w:ascii="IRNazanin" w:hAnsi="IRNazanin" w:eastAsia="IRNazanin"/>
          <w:color w:val="111111"/>
          <w:sz w:val="28"/>
          <w:sz w:val="28"/>
          <w:szCs w:val="28"/>
          <w:rtl w:val="true"/>
          <w:lang w:bidi="fa-IR"/>
        </w:rPr>
        <w:t xml:space="preserve">، عن الحسن بن محبوب ، عن معاویة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أمنت المرأة والأمة من شهوة جامعها الرجل أم لم یجامعها ، فی نوم کان </w:t>
      </w:r>
      <w:r>
        <w:rPr>
          <w:rStyle w:val="FootnoteAnchor"/>
          <w:rtl w:val="true"/>
        </w:rPr>
        <w:footnoteReference w:id="488"/>
      </w:r>
      <w:r>
        <w:rPr>
          <w:rFonts w:ascii="IRNazanin" w:hAnsi="IRNazanin" w:eastAsia="IRNazanin"/>
          <w:color w:val="111111"/>
          <w:sz w:val="28"/>
          <w:sz w:val="28"/>
          <w:szCs w:val="28"/>
          <w:rtl w:val="true"/>
          <w:lang w:bidi="fa-IR"/>
        </w:rPr>
        <w:t xml:space="preserve">أو فی یقظة ، فإن علیها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الأوّل لا ریب فیه علی الظاهر ، غیر أن فی المقام أمر ینبغی التنبیه </w:t>
      </w:r>
      <w:bookmarkStart w:id="482" w:name="pg17122_169604"/>
    </w:p>
    <w:p>
      <w:pPr>
        <w:pStyle w:val="BookText"/>
        <w:rPr/>
      </w:pPr>
      <w:bookmarkEnd w:id="482"/>
      <w:r>
        <w:rPr>
          <w:rFonts w:ascii="IRNazanin" w:hAnsi="IRNazanin" w:eastAsia="IRNazanin"/>
          <w:color w:val="111111"/>
          <w:sz w:val="28"/>
          <w:sz w:val="28"/>
          <w:szCs w:val="28"/>
          <w:rtl w:val="true"/>
          <w:lang w:bidi="fa-IR"/>
        </w:rPr>
        <w:t xml:space="preserve">علیه ، وهو أن ابن محبوب الواقع فیه هو الحسن ، وقد حکی النجاشی عن الکشی أنّه قال عن نصر بن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أحمد بن محمد ابن عیسی یروی عن ابن محبوب ، من أجل أن أصحابنا یتهمون ابن محبوب فی أبی حمزة الثمالی ، ثم تاب ورجع عن هذا القول </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هذا من النجاشی علی سبیل الإجمال ، وعدم التعرض فیه لتحقیق الحال غریب ، فإن التهمة والرجوع عنها لا بد من الإشارة إلی حقیقتها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یخطر فی البال أنّ وجه التهمة کون الحسن بن محبوب توفّی فی آخر سنة أربع وعشرین ومأتین ، وکان من أبناء خمس وسبعین سنة کما نقله الکشی </w:t>
      </w:r>
      <w:r>
        <w:rPr>
          <w:rStyle w:val="FootnoteAnchor"/>
          <w:rtl w:val="true"/>
        </w:rPr>
        <w:footnoteReference w:id="490"/>
      </w:r>
      <w:r>
        <w:rPr>
          <w:rFonts w:ascii="IRNazanin" w:hAnsi="IRNazanin" w:eastAsia="IRNazanin"/>
          <w:color w:val="111111"/>
          <w:sz w:val="28"/>
          <w:sz w:val="28"/>
          <w:szCs w:val="28"/>
          <w:rtl w:val="true"/>
          <w:lang w:bidi="fa-IR"/>
        </w:rPr>
        <w:t xml:space="preserve">، والصدوق ذکر فی مشیخة الفقیه أنّ أبا حمزة الثمالی توفّی فی سنة خمسین ومائة </w:t>
      </w:r>
      <w:r>
        <w:rPr>
          <w:rStyle w:val="FootnoteAnchor"/>
          <w:rtl w:val="true"/>
        </w:rPr>
        <w:footnoteReference w:id="491"/>
      </w:r>
      <w:r>
        <w:rPr>
          <w:rFonts w:ascii="IRNazanin" w:hAnsi="IRNazanin" w:eastAsia="IRNazanin"/>
          <w:color w:val="111111"/>
          <w:sz w:val="28"/>
          <w:sz w:val="28"/>
          <w:szCs w:val="28"/>
          <w:rtl w:val="true"/>
          <w:lang w:bidi="fa-IR"/>
        </w:rPr>
        <w:t>، فیکون عمر الحسن بن محبوب حین وفاة أبی حمزة نحو من سنة ، فروایته عنه لا تخلو من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أحمد بن محمد بن عیسی توقفه فی الروایة عن الحسن من هذا الوجه ، إلاّ أنّه لا یخفی أن ذکر اتّهام الأصحاب لا وجه له ، بل هو علی سبیل التحقیق ، ولعلّ المراد بالتهمة أن روایته عنه حینئذ إنّما تکون بالإجازة ، وعدم التصریح بذکر الإجازة فی الروایة أوجب التهمة بالکذب ، لأنّ ظاهر الروایة إذا لم تقیّد بالإجازة أنّها بغیرها من طرق التحمل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رجوع أحمد بن محمد عن ذلک لعله لترجیح جواز إطلاق الروایة من غیر ذکر الإجازة ، کما هو مذهب بعض العلماء علی ما قرّروه فی علم الدرایة ، علی أن أحمد وإن لم یرجح هذا ، لکن إذا حصل الوجه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3" w:name="__RefHeading___Toc39262_2142443653"/>
      <w:bookmarkStart w:id="484" w:name="_Toc189"/>
      <w:bookmarkEnd w:id="483"/>
      <w:r>
        <w:rPr>
          <w:rtl w:val="true"/>
        </w:rPr>
        <w:t>بحث حول وجه عدم روایة احمد بن محمد بن عیسی عن الحسن بن محبوب</w:t>
      </w:r>
      <w:bookmarkEnd w:id="484"/>
    </w:p>
    <w:p>
      <w:pPr>
        <w:pStyle w:val="BookText"/>
        <w:rPr/>
      </w:pPr>
      <w:r>
        <w:rPr>
          <w:rFonts w:ascii="IRNazanin" w:hAnsi="IRNazanin" w:eastAsia="IRNazanin"/>
          <w:color w:val="111111"/>
          <w:sz w:val="28"/>
          <w:sz w:val="28"/>
          <w:szCs w:val="28"/>
          <w:rtl w:val="true"/>
          <w:lang w:bidi="fa-IR"/>
        </w:rPr>
        <w:t>المسوِّغ للروایة جاز أن یکون الحسن بن محبوب اختاره ، غیر أن النجاشی کان علیه بیان حقیقة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نقله الکشی بعد ما حکاه عنه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أحمد بن محمد ابن عیسی کان یروی عمن کان أصغر سنّاً منه </w:t>
      </w:r>
      <w:r>
        <w:rPr>
          <w:rStyle w:val="FootnoteAnchor"/>
          <w:rtl w:val="true"/>
        </w:rPr>
        <w:footnoteReference w:id="492"/>
      </w:r>
      <w:r>
        <w:rPr>
          <w:rFonts w:ascii="IRNazanin" w:hAnsi="IRNazanin" w:eastAsia="IRNazanin"/>
          <w:color w:val="111111"/>
          <w:sz w:val="28"/>
          <w:sz w:val="28"/>
          <w:szCs w:val="28"/>
          <w:rtl w:val="true"/>
          <w:lang w:bidi="fa-IR"/>
        </w:rPr>
        <w:t xml:space="preserve">قد ینافی ما ذکرناه من التوجیه ، ویفید أنّ ترک الروایة عنه لغیر ذلک ، ولعلّه أراد بما ذکره الإشارة إلی أنّ أحمد بن محمد کان فی أوّل الأمر له ترفّع عن الروایة عمّن هو أصغر سنّاً منه ، ثم صار یروی عن الأصغر بعد ذلک ، غیر أنّ الإشکال إنّما یقع فی أن بعض النسخ التی وقفنا علیها للکشی هذه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نصر ابن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محبوب لم یکن یروی عن ابن فضال بل هو أقدم من ابن فضال وأسن ، وأصحابنا یتهمون ابن محبوب فی روایته عن ابن أبی حمزة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 هذا أن التهمة فی ابن أبی حمزة لا فی أبی حمزة ، ولعلّ ابن أبی حمزة هو البطائنی الواقفی المشهور ، والتهمة المذکورة من أحمد إنما هی لأجل روایته عن ابن أبی حمزة ، وحینئذ یکون ما ذکر فی الکشی عن نصر بن الصباح فی الموضع الآخر موهوماً ، إلاّ أن النجاشی ثبتٌ فی النقل وقد حکی الأوّل کما ذکرناه ، وما یتوجه علیه من عدم تحقیق الحال لا یظن الجواب عنه إلاّ بما أشرنا إلیه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فالمقام لم أجد من حام حول تحقیقه من المتأخّرین ، فینبغی النظر فیه بعین الاعتبار ، ولأهمیته لم نسلک فیه سبیل الاختصار</w:t>
      </w:r>
      <w:r>
        <w:rPr>
          <w:rFonts w:eastAsia="IRNazanin" w:cs="IRNazanin"/>
          <w:color w:val="111111"/>
          <w:sz w:val="28"/>
          <w:szCs w:val="28"/>
          <w:rtl w:val="true"/>
          <w:lang w:bidi="fa-IR"/>
        </w:rPr>
        <w:t xml:space="preserve">. </w:t>
      </w:r>
      <w:bookmarkStart w:id="485" w:name="pg17122_169606"/>
    </w:p>
    <w:p>
      <w:pPr>
        <w:pStyle w:val="BookText"/>
        <w:rPr/>
      </w:pPr>
      <w:bookmarkEnd w:id="485"/>
      <w:r>
        <w:rPr>
          <w:rFonts w:ascii="IRNazanin" w:hAnsi="IRNazanin" w:eastAsia="IRNazanin"/>
          <w:color w:val="111111"/>
          <w:sz w:val="28"/>
          <w:sz w:val="28"/>
          <w:szCs w:val="28"/>
          <w:rtl w:val="true"/>
          <w:lang w:bidi="fa-IR"/>
        </w:rPr>
        <w:t xml:space="preserve">والسند 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لا ارتیاب فی رجاله علی ما تقدم ، إلاّ فی روایة الحسین بن سعید عن حماد بن عثمان بأن المعهود روایته عن حماد ابن عیسی ، ویدفعه أنّ المرتبة لا تأباه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الغالب توسط ابن أبی عمیر أو فضالة </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کما لا یخفی علی الممارس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عبد الحمید الطائی ، وهو غیر مذکور فیما رأیناه من کتب الرجال بهذا الوصف ؛ ومحمد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الفضیل </w:t>
      </w:r>
      <w:r>
        <w:rPr>
          <w:rFonts w:eastAsia="IRNazanin" w:cs="IRNazanin"/>
          <w:color w:val="111111"/>
          <w:sz w:val="28"/>
          <w:szCs w:val="28"/>
          <w:rtl w:val="true"/>
          <w:lang w:bidi="fa-IR"/>
        </w:rPr>
        <w:t xml:space="preserve">] </w:t>
      </w:r>
      <w:r>
        <w:rPr>
          <w:rStyle w:val="FootnoteAnchor"/>
          <w:rtl w:val="true"/>
        </w:rPr>
        <w:footnoteReference w:id="495"/>
      </w:r>
      <w:r>
        <w:rPr>
          <w:rFonts w:ascii="IRNazanin" w:hAnsi="IRNazanin" w:eastAsia="IRNazanin"/>
          <w:color w:val="111111"/>
          <w:sz w:val="28"/>
          <w:sz w:val="28"/>
          <w:szCs w:val="28"/>
          <w:rtl w:val="true"/>
          <w:lang w:bidi="fa-IR"/>
        </w:rPr>
        <w:t xml:space="preserve">مشترک بین ثقة وغیره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شاذان ، والموجود فی الرجال شاذان بن الخلیل </w:t>
      </w:r>
      <w:r>
        <w:rPr>
          <w:rStyle w:val="FootnoteAnchor"/>
          <w:rtl w:val="true"/>
        </w:rPr>
        <w:footnoteReference w:id="497"/>
      </w:r>
      <w:r>
        <w:rPr>
          <w:rFonts w:ascii="IRNazanin" w:hAnsi="IRNazanin" w:eastAsia="IRNazanin"/>
          <w:color w:val="111111"/>
          <w:sz w:val="28"/>
          <w:sz w:val="28"/>
          <w:szCs w:val="28"/>
          <w:rtl w:val="true"/>
          <w:lang w:bidi="fa-IR"/>
        </w:rPr>
        <w:t xml:space="preserve">من أصحاب یونس فی الخلاصة مهملاً </w:t>
      </w:r>
      <w:r>
        <w:rPr>
          <w:rStyle w:val="FootnoteAnchor"/>
          <w:rtl w:val="true"/>
        </w:rPr>
        <w:footnoteReference w:id="498"/>
      </w:r>
      <w:r>
        <w:rPr>
          <w:rFonts w:ascii="IRNazanin" w:hAnsi="IRNazanin" w:eastAsia="IRNazanin"/>
          <w:color w:val="111111"/>
          <w:sz w:val="28"/>
          <w:sz w:val="28"/>
          <w:szCs w:val="28"/>
          <w:rtl w:val="true"/>
          <w:lang w:bidi="fa-IR"/>
        </w:rPr>
        <w:t xml:space="preserve">، وفی رجال الجواد علیه السلام من کتاب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شاذان بن الخلیل والد الفضل بن شاذان </w:t>
      </w:r>
      <w:r>
        <w:rPr>
          <w:rStyle w:val="FootnoteAnchor"/>
          <w:rtl w:val="true"/>
        </w:rPr>
        <w:footnoteReference w:id="499"/>
      </w:r>
      <w:r>
        <w:rPr>
          <w:rFonts w:ascii="IRNazanin" w:hAnsi="IRNazanin" w:eastAsia="IRNazanin"/>
          <w:color w:val="111111"/>
          <w:sz w:val="28"/>
          <w:sz w:val="28"/>
          <w:szCs w:val="28"/>
          <w:rtl w:val="true"/>
          <w:lang w:bidi="fa-IR"/>
        </w:rPr>
        <w:t xml:space="preserve">، وفی الخلاصة أیضاً فی الشاذانی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شاذان بن نعیم </w:t>
      </w:r>
      <w:r>
        <w:rPr>
          <w:rStyle w:val="FootnoteAnchor"/>
          <w:rtl w:val="true"/>
        </w:rPr>
        <w:footnoteReference w:id="500"/>
      </w:r>
      <w:r>
        <w:rPr>
          <w:rFonts w:ascii="IRNazanin" w:hAnsi="IRNazanin" w:eastAsia="IRNazanin"/>
          <w:color w:val="111111"/>
          <w:sz w:val="28"/>
          <w:sz w:val="28"/>
          <w:szCs w:val="28"/>
          <w:rtl w:val="true"/>
          <w:lang w:bidi="fa-IR"/>
        </w:rPr>
        <w:t xml:space="preserve">، وقال فی محمد بن أحمد بن نعیم الشاذانی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الکشی عن آدم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شاذان بن</w:t>
      </w:r>
    </w:p>
    <w:p>
      <w:pPr>
        <w:pStyle w:val="Heading4"/>
        <w:numPr>
          <w:ilvl w:val="3"/>
          <w:numId w:val="1"/>
        </w:numPr>
        <w:rPr/>
      </w:pPr>
      <w:bookmarkStart w:id="486" w:name="__RefHeading___Toc39264_2142443653"/>
      <w:bookmarkStart w:id="487" w:name="_Toc190"/>
      <w:bookmarkEnd w:id="486"/>
      <w:r>
        <w:rPr>
          <w:rtl w:val="true"/>
        </w:rPr>
        <w:t>کلمة فی روایة الحسین بن سعید عن حمّاد بن عثمان</w:t>
      </w:r>
      <w:bookmarkEnd w:id="487"/>
    </w:p>
    <w:p>
      <w:pPr>
        <w:pStyle w:val="Heading4"/>
        <w:numPr>
          <w:ilvl w:val="3"/>
          <w:numId w:val="1"/>
        </w:numPr>
        <w:rPr/>
      </w:pPr>
      <w:bookmarkStart w:id="488" w:name="__RefHeading___Toc39266_2142443653"/>
      <w:bookmarkStart w:id="489" w:name="_Toc191"/>
      <w:bookmarkEnd w:id="488"/>
      <w:r>
        <w:rPr>
          <w:rtl w:val="true"/>
        </w:rPr>
        <w:t>محمد بن عبدالحمید الطائی غیر مذکور فی الرجال بهذا الوصف</w:t>
      </w:r>
      <w:bookmarkEnd w:id="489"/>
    </w:p>
    <w:p>
      <w:pPr>
        <w:pStyle w:val="Heading4"/>
        <w:numPr>
          <w:ilvl w:val="3"/>
          <w:numId w:val="1"/>
        </w:numPr>
        <w:rPr/>
      </w:pPr>
      <w:bookmarkStart w:id="490" w:name="__RefHeading___Toc39268_2142443653"/>
      <w:bookmarkStart w:id="491" w:name="_Toc192"/>
      <w:bookmarkEnd w:id="490"/>
      <w:r>
        <w:rPr>
          <w:rtl w:val="true"/>
        </w:rPr>
        <w:t>محمد بن الفضیل مشترک بی ثقة وغیره</w:t>
      </w:r>
      <w:bookmarkEnd w:id="49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2" w:name="__RefHeading___Toc39270_2142443653"/>
      <w:bookmarkStart w:id="493" w:name="_Toc193"/>
      <w:bookmarkEnd w:id="492"/>
      <w:r>
        <w:rPr>
          <w:rtl w:val="true"/>
        </w:rPr>
        <w:t>بحث حول شاذان بن الخلیل</w:t>
      </w:r>
      <w:bookmarkStart w:id="494" w:name="pg17122_169607"/>
      <w:bookmarkEnd w:id="493"/>
    </w:p>
    <w:p>
      <w:pPr>
        <w:pStyle w:val="BookText"/>
        <w:rPr/>
      </w:pPr>
      <w:bookmarkEnd w:id="494"/>
      <w:r>
        <w:rPr>
          <w:rFonts w:ascii="IRNazanin" w:hAnsi="IRNazanin" w:eastAsia="IRNazanin"/>
          <w:color w:val="111111"/>
          <w:sz w:val="28"/>
          <w:sz w:val="28"/>
          <w:szCs w:val="28"/>
          <w:rtl w:val="true"/>
          <w:lang w:bidi="fa-IR"/>
        </w:rPr>
        <w:t xml:space="preserve">نعیم وذکر الروایة ، وهی موجودة فی الکشی </w:t>
      </w:r>
      <w:r>
        <w:rPr>
          <w:rStyle w:val="FootnoteAnchor"/>
          <w:rtl w:val="true"/>
        </w:rPr>
        <w:footnoteReference w:id="501"/>
      </w:r>
      <w:r>
        <w:rPr>
          <w:rFonts w:ascii="IRNazanin" w:hAnsi="IRNazanin" w:eastAsia="IRNazanin"/>
          <w:color w:val="111111"/>
          <w:sz w:val="28"/>
          <w:sz w:val="28"/>
          <w:szCs w:val="28"/>
          <w:rtl w:val="true"/>
          <w:lang w:bidi="fa-IR"/>
        </w:rPr>
        <w:t>، إلاّ أنّه لا فائدة فی ذلک لعدم ما یوجب التوثیق ولا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یحیی بن أبی طلحة فلم أقف علیه فی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أحمد بن الحسین بن عبد الملک الأودی وهو ثقة ، وأمّا أحمد بن عبدون فهو من شیوخ الإجازة ، غیر أنّه لم یوثق فی الرجال </w:t>
      </w:r>
      <w:r>
        <w:rPr>
          <w:rStyle w:val="FootnoteAnchor"/>
          <w:rtl w:val="true"/>
        </w:rPr>
        <w:footnoteReference w:id="502"/>
      </w:r>
      <w:r>
        <w:rPr>
          <w:rFonts w:ascii="IRNazanin" w:hAnsi="IRNazanin" w:eastAsia="IRNazanin"/>
          <w:color w:val="111111"/>
          <w:sz w:val="28"/>
          <w:sz w:val="28"/>
          <w:szCs w:val="28"/>
          <w:rtl w:val="true"/>
          <w:lang w:bidi="fa-IR"/>
        </w:rPr>
        <w:t>، لأن توثیق الشیوخ لم یکن من طریقة المتقدمین من مصنّفی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والعلاّمة صحّح طریق الشیخ فی هذا الکتاب والتهذیب إلی أبی طالب الأنباری </w:t>
      </w:r>
      <w:r>
        <w:rPr>
          <w:rStyle w:val="FootnoteAnchor"/>
          <w:rtl w:val="true"/>
        </w:rPr>
        <w:footnoteReference w:id="503"/>
      </w:r>
      <w:r>
        <w:rPr>
          <w:rFonts w:ascii="IRNazanin" w:hAnsi="IRNazanin" w:eastAsia="IRNazanin"/>
          <w:color w:val="111111"/>
          <w:sz w:val="28"/>
          <w:sz w:val="28"/>
          <w:szCs w:val="28"/>
          <w:rtl w:val="true"/>
          <w:lang w:bidi="fa-IR"/>
        </w:rPr>
        <w:t>، وأحمد فیه ، إلاّ أن فی کونه توثیقاً لأحمد نظراً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بن محمد بن الزبیر لم یوثق فی الرجال أیضا ، وقد ذکره الشیخ فی رجال من لم یرو عن الأئمة علیهم السلام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قال النجاشی فی ترجمة أحمد بن 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قد لقی أبا الحسن علیّ بن محمد القرشی المعروف بابن الزبیر وکان علوّاً فی الوقت </w:t>
      </w: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اللفظ إن عاد إلی أحمد کان توثیقاً له ، وإن عاد إلی علی کان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أفهم حقیقة المعنی فی هذه العبارة ، لکن الظاهر عودها إلی علیّ بن الزبیر وفیها نوع إشعار بالمدح</w:t>
      </w:r>
      <w:r>
        <w:rPr>
          <w:rFonts w:eastAsia="IRNazanin" w:cs="IRNazanin"/>
          <w:color w:val="111111"/>
          <w:sz w:val="28"/>
          <w:szCs w:val="28"/>
          <w:rtl w:val="true"/>
          <w:lang w:bidi="fa-IR"/>
        </w:rPr>
        <w:t>.</w:t>
      </w:r>
    </w:p>
    <w:p>
      <w:pPr>
        <w:pStyle w:val="Heading4"/>
        <w:numPr>
          <w:ilvl w:val="3"/>
          <w:numId w:val="1"/>
        </w:numPr>
        <w:rPr/>
      </w:pPr>
      <w:bookmarkStart w:id="495" w:name="__RefHeading___Toc39272_2142443653"/>
      <w:bookmarkStart w:id="496" w:name="_Toc194"/>
      <w:bookmarkEnd w:id="495"/>
      <w:r>
        <w:rPr>
          <w:rtl w:val="true"/>
        </w:rPr>
        <w:t>یحیی بن أبی طلحة غیر مذکور فی الرجال</w:t>
      </w:r>
      <w:bookmarkEnd w:id="496"/>
    </w:p>
    <w:p>
      <w:pPr>
        <w:pStyle w:val="Heading4"/>
        <w:numPr>
          <w:ilvl w:val="3"/>
          <w:numId w:val="1"/>
        </w:numPr>
        <w:rPr/>
      </w:pPr>
      <w:bookmarkStart w:id="497" w:name="__RefHeading___Toc39274_2142443653"/>
      <w:bookmarkStart w:id="498" w:name="_Toc195"/>
      <w:bookmarkEnd w:id="497"/>
      <w:r>
        <w:rPr>
          <w:rtl w:val="true"/>
        </w:rPr>
        <w:t>أحمد بن الحسین بن عبدالملک الأودی ثقة</w:t>
      </w:r>
      <w:bookmarkEnd w:id="498"/>
    </w:p>
    <w:p>
      <w:pPr>
        <w:pStyle w:val="Heading4"/>
        <w:numPr>
          <w:ilvl w:val="3"/>
          <w:numId w:val="1"/>
        </w:numPr>
        <w:rPr/>
      </w:pPr>
      <w:bookmarkStart w:id="499" w:name="__RefHeading___Toc39276_2142443653"/>
      <w:bookmarkStart w:id="500" w:name="_Toc196"/>
      <w:bookmarkEnd w:id="499"/>
      <w:r>
        <w:rPr>
          <w:rtl w:val="true"/>
        </w:rPr>
        <w:t>أحمد بن عبدون من شیوخ الإجازة</w:t>
      </w:r>
      <w:bookmarkEnd w:id="50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1" w:name="__RefHeading___Toc39278_2142443653"/>
      <w:bookmarkStart w:id="502" w:name="_Toc197"/>
      <w:bookmarkEnd w:id="501"/>
      <w:r>
        <w:rPr>
          <w:rtl w:val="true"/>
        </w:rPr>
        <w:t>بحث حول علی بن محمد بن الزبیر</w:t>
      </w:r>
      <w:bookmarkStart w:id="503" w:name="pg17122_169608"/>
      <w:bookmarkEnd w:id="502"/>
    </w:p>
    <w:p>
      <w:pPr>
        <w:pStyle w:val="BookText"/>
        <w:rPr/>
      </w:pPr>
      <w:bookmarkEnd w:id="503"/>
      <w:r>
        <w:rPr>
          <w:rFonts w:ascii="IRNazanin" w:hAnsi="IRNazanin" w:eastAsia="IRNazanin"/>
          <w:color w:val="111111"/>
          <w:sz w:val="28"/>
          <w:sz w:val="28"/>
          <w:szCs w:val="28"/>
          <w:rtl w:val="true"/>
          <w:lang w:bidi="fa-IR"/>
        </w:rPr>
        <w:t xml:space="preserve">وأمّا معاویة فلا یخلو من اشتراک </w:t>
      </w:r>
      <w:r>
        <w:rPr>
          <w:rStyle w:val="FootnoteAnchor"/>
          <w:rtl w:val="true"/>
        </w:rPr>
        <w:footnoteReference w:id="506"/>
      </w:r>
      <w:r>
        <w:rPr>
          <w:rFonts w:ascii="IRNazanin" w:hAnsi="IRNazanin" w:eastAsia="IRNazanin"/>
          <w:color w:val="111111"/>
          <w:sz w:val="28"/>
          <w:sz w:val="28"/>
          <w:szCs w:val="28"/>
          <w:rtl w:val="true"/>
          <w:lang w:bidi="fa-IR"/>
        </w:rPr>
        <w:t>کما یعرف من ملاحظة المراتب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أنّ الإنزال من المرأة یوجب الغسل ، وربما کان الإطلاق مقیداً بما فی الخبر المذکور فی أوّل الباب ، إلاّ أن عدم الاتحاد فی المورد قد یشکل معه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نقلناه أوّلاً من الفرق بین الاشتباه وتحقق المنی لا أعلم قول الأصحاب فی جهة المرأة أهی </w:t>
      </w:r>
      <w:r>
        <w:rPr>
          <w:rStyle w:val="FootnoteAnchor"/>
          <w:rtl w:val="true"/>
        </w:rPr>
        <w:footnoteReference w:id="507"/>
      </w:r>
      <w:r>
        <w:rPr>
          <w:rFonts w:ascii="IRNazanin" w:hAnsi="IRNazanin" w:eastAsia="IRNazanin"/>
          <w:color w:val="111111"/>
          <w:sz w:val="28"/>
          <w:sz w:val="28"/>
          <w:szCs w:val="28"/>
          <w:rtl w:val="true"/>
          <w:lang w:bidi="fa-IR"/>
        </w:rPr>
        <w:t>من قبیل الرجل فیما ذکر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یدّعی أنّ الأخبار الواردة فی المرأة الدالة علی مجرد الشهوة یقتضی عدم اعتبار غیرها من </w:t>
      </w:r>
      <w:r>
        <w:rPr>
          <w:rStyle w:val="FootnoteAnchor"/>
          <w:rtl w:val="true"/>
        </w:rPr>
        <w:footnoteReference w:id="508"/>
      </w:r>
      <w:r>
        <w:rPr>
          <w:rFonts w:ascii="IRNazanin" w:hAnsi="IRNazanin" w:eastAsia="IRNazanin"/>
          <w:color w:val="111111"/>
          <w:sz w:val="28"/>
          <w:sz w:val="28"/>
          <w:szCs w:val="28"/>
          <w:rtl w:val="true"/>
          <w:lang w:bidi="fa-IR"/>
        </w:rPr>
        <w:t xml:space="preserve">المذکور فی الرجال علی تقدیر الاشتباه ، أو علی الإطلاق بتقدیر الاحتمال الذی قدّمناه ، والإحالة علی </w:t>
      </w:r>
      <w:r>
        <w:rPr>
          <w:rStyle w:val="FootnoteAnchor"/>
          <w:rtl w:val="true"/>
        </w:rPr>
        <w:footnoteReference w:id="509"/>
      </w:r>
      <w:r>
        <w:rPr>
          <w:rFonts w:ascii="Amiri" w:hAnsi="Amiri" w:eastAsia="Amiri" w:cs="Amiri"/>
          <w:color w:val="111111"/>
          <w:sz w:val="28"/>
          <w:sz w:val="28"/>
          <w:szCs w:val="28"/>
          <w:rtl w:val="true"/>
          <w:lang w:bidi="ar-SA"/>
        </w:rPr>
        <w:t>التأمّل فیما أشرنا إلیه أوّلاً أولی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دلالة علی أنّ رؤیتها کما یری الرجل موجبة للغسل ، أمّا کیفیة المنی فمجملة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بعض المتأخّرین أنّ المنی له صفات خاصة عند الاشتباه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رائحته رطباً من رائحة الطلع والعجین ، وجافّاً من بیاض البیض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استشکل بفقد النص وجواز عموم الوصف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4" w:name="__RefHeading___Toc39280_2142443653"/>
      <w:bookmarkStart w:id="505" w:name="_Toc198"/>
      <w:bookmarkEnd w:id="504"/>
      <w:r>
        <w:rPr>
          <w:rtl w:val="true"/>
        </w:rPr>
        <w:t>معاویة لا یخلو من اشتراک</w:t>
      </w:r>
      <w:bookmarkEnd w:id="50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6" w:name="__RefHeading___Toc39282_2142443653"/>
      <w:bookmarkStart w:id="507" w:name="_Toc199"/>
      <w:bookmarkEnd w:id="506"/>
      <w:r>
        <w:rPr>
          <w:rtl w:val="true"/>
        </w:rPr>
        <w:t>هل تعتبر الأوصاف فی منی المرأة؟</w:t>
      </w:r>
      <w:bookmarkEnd w:id="507"/>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بد من المائز علی تقدیر عدم العلم بالدفق والشهوة والفتور کحال النوم ، والوصف وإن جاز عمومه إلاّ أنّ المشابهة الغالبة کافیة ، ولو لا ذلک لأشکل الأمر ، إلاّ أنّ یقال بأنّ العلم یحصل بکونه منیّاً ، وأنت خبیر بأنّ حکم المرأة یتوقف علی البیان من الشارع فی أنّه متحد مع حکم الرجل ، والأخبار لا تخلو من إجمال علی ما وقفت علیه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الخبر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تحدّثوهنّ فیتخذنه 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من إشکال ، وقد ذکرت فی حاشیة التهذیب إمکان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لا تحدثوهن قبل وقوع ما یوجب الغسل منهن ، وبعده حینئذ لا بد من التنبیه علی الغسل لکن بوجه لا یصرح فیه بأنّ السبب الاحتلام ، أو أنّ المنع قبل الوقوع ، وبعده لا منع وإن کانت العلّة جاریة فیما بعد ، وبالجملة فالأمر فی غایة الغموض ، والله تعالی أعلم بمقاصد أولیائه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علیه السلام فی الثالث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جاءت الشهوة وأنزلت الماء وجب علیها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 مجرد الشهوة کاف ، إلاّ 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وأنزلت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یدل علی أن الماء لتعریف العهد أی الماء المقرر فی صفاته ما ذُکر ، والاکتفاء بالشهوة لأن من لوازمها بقیة الأوصاف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باب الاحتمال واسع ، فلا یتم الاستدلال بالخبر علی تقدیر سلامة 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والخبر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مطلق وجود الشهوة ، إلاّ أن ینضم إلیه ما قدمناه من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ما رواه محمد بن علی بن محبوب ، عن أحمد بن محمد ، </w:t>
      </w:r>
      <w:bookmarkStart w:id="508" w:name="pg17122_169610"/>
    </w:p>
    <w:p>
      <w:pPr>
        <w:pStyle w:val="BookText"/>
        <w:rPr/>
      </w:pPr>
      <w:bookmarkEnd w:id="508"/>
      <w:r>
        <w:rPr>
          <w:rFonts w:ascii="IRNazanin" w:hAnsi="IRNazanin" w:eastAsia="IRNazanin"/>
          <w:color w:val="111111"/>
          <w:sz w:val="28"/>
          <w:sz w:val="28"/>
          <w:szCs w:val="28"/>
          <w:rtl w:val="true"/>
          <w:lang w:bidi="fa-IR"/>
        </w:rPr>
        <w:t xml:space="preserve">عن الحسین بن سعید ، عن فضالة ، عن حماد بن عثمان ، عن عمر بن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یضع ذکره علی فرج المرأة فیمنی أعلیها غسل؟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أصابها من الماء شی‌ء فلتغسله ولیس علیها شی‌ء إلاّ أن یدخله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أمنت هی ولم یدخله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علیها 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هذا الحدیث الحسن بن محبوب فی کتاب المشیخة بلفظ آخر عن عمر بن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اغتسلت یوم الجمعة بالمدینة ولبست ثیابی وتطیّبت فمرّت بی وصیفة ففخّذت لها فأمذیت أنا </w:t>
      </w:r>
      <w:r>
        <w:rPr>
          <w:rStyle w:val="FootnoteAnchor"/>
          <w:rtl w:val="true"/>
        </w:rPr>
        <w:footnoteReference w:id="512"/>
      </w:r>
      <w:r>
        <w:rPr>
          <w:rFonts w:ascii="IRNazanin" w:hAnsi="IRNazanin" w:eastAsia="IRNazanin"/>
          <w:color w:val="111111"/>
          <w:sz w:val="28"/>
          <w:sz w:val="28"/>
          <w:szCs w:val="28"/>
          <w:rtl w:val="true"/>
          <w:lang w:bidi="fa-IR"/>
        </w:rPr>
        <w:t xml:space="preserve">وأمنت هی ، فدخلنی من ذلک ضیق فسألت أبا عبد الله علیه السلام عن ذلک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علیک وضوء ولا علیها 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هذا الخبر أنّه یجوز أن یکون السامع قد وهم فی سماعه وأنّه إنّما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أمنت ، فرواه علی ما ظن ، ویحتمل أن یکون إنّما أجابه علیه السلام علی حسب ما ظهر له فی الحال منه ، وعلم أنّه اعتقد فی جاریته أنّها أمنت ولم یکن کذلک ، فأجابه علیه السلام علی ما یقتضیه الحکم لا علی اعتقاده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کما تری فیه روایة الحسین بن سعید ، عن حماد بن عثمان بواسطة فضالة ، والظاهر سقوطه من الخبر السابق فلا یضر بصحة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عمر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أوضحت القول فیه فیما أفردته به فی الرجال ، والذی یقال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الموجود فی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محمد بن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9" w:name="__RefHeading___Toc39284_2142443653"/>
      <w:bookmarkStart w:id="510" w:name="_Toc200"/>
      <w:bookmarkEnd w:id="509"/>
      <w:r>
        <w:rPr>
          <w:rtl w:val="true"/>
        </w:rPr>
        <w:t>بحث حول عمر بن یزید</w:t>
      </w:r>
      <w:bookmarkEnd w:id="510"/>
    </w:p>
    <w:p>
      <w:pPr>
        <w:pStyle w:val="BookText"/>
        <w:rPr/>
      </w:pPr>
      <w:r>
        <w:rPr>
          <w:rFonts w:ascii="IRNazanin" w:hAnsi="IRNazanin" w:eastAsia="IRNazanin"/>
          <w:color w:val="111111"/>
          <w:sz w:val="28"/>
          <w:sz w:val="28"/>
          <w:szCs w:val="28"/>
          <w:rtl w:val="true"/>
          <w:lang w:bidi="fa-IR"/>
        </w:rPr>
        <w:t xml:space="preserve">یزید أبو الأسود بیّاع السابری مولی ثقیف کوفی ثقة جلیل روی عن أبی عبد الله وأبی الحسن علیهماالسلام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فهرست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یزید ثقة له کتاب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رجال الصادق علیه السلام من کتاب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یزید بیّاع السابری کوفی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رجال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یزید بیّاع السابری کوفی ثقة له کتاب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فی رجال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یزید الثقفی مولاهم البزاز الکوفی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یزید بن ذبیان الصیقل أبو موسی مولی بنی نهد ، روی عن أبی عبد الله علیه السلام ، وذکر أنّ الراوی عنه محمد بن زیاد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رجال الصادق علیه السلام من کتاب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یزید الصیقل الکوفی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والشیخ فی الفهرست ذکر أنّ الراوی عن عمر بن یزید السابق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بن یزید ، عن الحسین بن عمر بن یزید ، عن عمر بن یزید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وشیخنا أیّده الله فی کتاب الرجال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الاتحاد فی عمر ابن یزید وعمر بن محمد بن یزید </w:t>
      </w:r>
      <w:r>
        <w:rPr>
          <w:rStyle w:val="FootnoteAnchor"/>
          <w:rtl w:val="true"/>
        </w:rPr>
        <w:footnoteReference w:id="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عمر بن یزید الصیقل فهو غیر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نظری القاصر أنّ هذا لا یدفع الاحتمال الواقع فی الخبر المبحوث عنه ، لأنّ عمر بن یزید الصیقل یروی عن أبی عبد الله ، کما أنّ عمر بن محمد بن یزید أو عمر بن یزید یروی عنه ، فالحکم بصحة الحدیث لا یخلو من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قاله أیّده الله من الاتحاد غیر بعید ، لأنّ النجاشی لم یذکر سوی عمر بن محمد بن یزید ، ومن المستبعد أن یکون مغایراً لعمر بن یزید الذی ذکره الشیخ ولم یذکره ، والشیخ أیضاً لم یذکر عمر بن محمد بن یزید لنحو ما ذکر فی النجاشی ، وکأنّ النسبة إلی الجدّ وقعت من الشیخ ، وإلی الأب والجدّ معاً وقعت من النجاشی ، وتکرار الشیخ لا یدل علی التعدد کما یعرف من عادته فی الکتاب</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ظنّه بعض المتأخّرین من أنّ المذکور فی الفهرست هو عمر بن یزید الصیقل </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 فیه نظر ، لأنّ الراوی عنه کما سمعته محمد بن عمر ابن یزید ، عن الحسین بن عمر بن یزید ، عن عمر بن یزید ؛ ومحمد بن عمر بن یزید هو ابن بیّاع السابری کما صرّح به النجاشی </w:t>
      </w:r>
      <w:r>
        <w:rPr>
          <w:rStyle w:val="FootnoteAnchor"/>
          <w:rtl w:val="true"/>
        </w:rPr>
        <w:footnoteReference w:id="523"/>
      </w:r>
      <w:r>
        <w:rPr>
          <w:rFonts w:ascii="IRNazanin" w:hAnsi="IRNazanin" w:eastAsia="IRNazanin"/>
          <w:color w:val="111111"/>
          <w:sz w:val="28"/>
          <w:sz w:val="28"/>
          <w:szCs w:val="28"/>
          <w:rtl w:val="true"/>
          <w:lang w:bidi="fa-IR"/>
        </w:rPr>
        <w:t>، فلو اتحد عمر ابن یزید بیّاع السابری مع ابن ذبیان کیف تقع الروایة بهذه الصورة عن الحسین ابن عمر بن یزید کما یعرف بأیسر نظر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النجاشی فی ترجمة أحمد بن الحسین بن عمر ابن یزید الصیقل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کوفی ثقة من أصحابنا ، جدّه عمر ابن یزید بیّاع السابری </w:t>
      </w:r>
      <w:r>
        <w:rPr>
          <w:rStyle w:val="FootnoteAnchor"/>
          <w:rtl w:val="true"/>
        </w:rPr>
        <w:footnoteReference w:id="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الصیقل وبیّاع السابری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واحداً یکون الراوی محمد بن عمر بن یزید السابری ، عن الحسین بن عمر بن یزید السابری ، عن عمر بن یزید السابری ، والأولی حینئذ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أخیه عن أبیهما ، کما هو المتعارف فی أمثاله ، وبتقدیر الجواز </w:t>
      </w:r>
      <w:r>
        <w:rPr>
          <w:rStyle w:val="FootnoteAnchor"/>
          <w:rtl w:val="true"/>
        </w:rPr>
        <w:footnoteReference w:id="525"/>
      </w:r>
      <w:r>
        <w:rPr>
          <w:rFonts w:ascii="IRNazanin" w:hAnsi="IRNazanin" w:eastAsia="IRNazanin"/>
          <w:color w:val="111111"/>
          <w:sz w:val="28"/>
          <w:sz w:val="28"/>
          <w:szCs w:val="28"/>
          <w:rtl w:val="true"/>
          <w:lang w:bidi="fa-IR"/>
        </w:rPr>
        <w:t xml:space="preserve">نظراً إلی بیان الأب فی کل المراتب فالصیقل مولی بنی نهد فهو نهدی ، والسابری لو کان له وصف غیره لما احتیج إلیه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موجود بکثرة فی الرجال ، إذ لا مانع من تعدد الصفات ، ومن ثَمَّ ظن الشیخ التعدد فی کثیر من الرجال بسبب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فی کلام النجاشی فی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 احتمال کون الصیقل صفة لأحمد ، وحینئذ یکون جدّه عمر بن یزید بیّاع السابری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 ، لأنّه خلاف الظاهر من عبارة النجاشی ، فإنّ الظاهر من کلام النجاشی الاتحاد فی بیّاع السابری والصیقل فی ترجمة أحمد ، إلاّ أن یحتمل الوهم فی قول النجاشی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ویؤیّد الاحتمال أنّه ذکر عمر بن محمد بن یزید بیّاع </w:t>
      </w:r>
      <w:r>
        <w:rPr>
          <w:rStyle w:val="FootnoteAnchor"/>
          <w:rtl w:val="true"/>
        </w:rPr>
        <w:footnoteReference w:id="526"/>
      </w:r>
      <w:r>
        <w:rPr>
          <w:rFonts w:ascii="IRNazanin" w:hAnsi="IRNazanin" w:eastAsia="IRNazanin"/>
          <w:color w:val="111111"/>
          <w:sz w:val="28"/>
          <w:sz w:val="28"/>
          <w:szCs w:val="28"/>
          <w:rtl w:val="true"/>
          <w:lang w:bidi="fa-IR"/>
        </w:rPr>
        <w:t xml:space="preserve">السابری ، والراوی عنه محمد بن عذافر ومحمد بن عبد الحمید </w:t>
      </w:r>
      <w:r>
        <w:rPr>
          <w:rStyle w:val="FootnoteAnchor"/>
          <w:rtl w:val="true"/>
        </w:rPr>
        <w:footnoteReference w:id="527"/>
      </w:r>
      <w:r>
        <w:rPr>
          <w:rFonts w:ascii="IRNazanin" w:hAnsi="IRNazanin" w:eastAsia="IRNazanin"/>
          <w:color w:val="111111"/>
          <w:sz w:val="28"/>
          <w:sz w:val="28"/>
          <w:szCs w:val="28"/>
          <w:rtl w:val="true"/>
          <w:lang w:bidi="fa-IR"/>
        </w:rPr>
        <w:t xml:space="preserve">؛ وذکر عمر بن یزید الصیقل ، والراوی عنه محمد بن زیاد </w:t>
      </w:r>
      <w:r>
        <w:rPr>
          <w:rStyle w:val="FootnoteAnchor"/>
          <w:rtl w:val="true"/>
        </w:rPr>
        <w:footnoteReference w:id="528"/>
      </w:r>
      <w:r>
        <w:rPr>
          <w:rFonts w:ascii="IRNazanin" w:hAnsi="IRNazanin" w:eastAsia="IRNazanin"/>
          <w:color w:val="111111"/>
          <w:sz w:val="28"/>
          <w:sz w:val="28"/>
          <w:szCs w:val="28"/>
          <w:rtl w:val="true"/>
          <w:lang w:bidi="fa-IR"/>
        </w:rPr>
        <w:t xml:space="preserve">، والاتحاد مع ذکر الاختلاف </w:t>
      </w:r>
      <w:bookmarkStart w:id="511" w:name="pg17122_169614"/>
    </w:p>
    <w:p>
      <w:pPr>
        <w:pStyle w:val="BookText"/>
        <w:rPr/>
      </w:pPr>
      <w:bookmarkEnd w:id="511"/>
      <w:r>
        <w:rPr>
          <w:rFonts w:ascii="IRNazanin" w:hAnsi="IRNazanin" w:eastAsia="IRNazanin"/>
          <w:color w:val="111111"/>
          <w:sz w:val="28"/>
          <w:sz w:val="28"/>
          <w:szCs w:val="28"/>
          <w:rtl w:val="true"/>
          <w:lang w:bidi="fa-IR"/>
        </w:rPr>
        <w:t xml:space="preserve">فی الراوی عن کل واحد غیر مألوف من النجاشی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النجاشی لا یقول بأنّ عمر بن محمد بن یزید هو جدّ أحمد ، بل جدّه عمر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من المستبعد التعدد لما أسلفناه ، بل یؤیّد العدم أنّه یذکر جدّ الرجل ولم یذکر الجدّ مفرداً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فالمقام لا یخلو من إجمال ، وهو فی کلام المتأخّرین غیر محرّر ، والله تعالی أعلم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قاله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هذا الحدیث مروی بلفظ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غرابة ، لأن المذکور حدیث آخر ، وکون الراوی واحداً لا یدل علی اتحاد الحدیث ، وما ذکره الشیخ فی الجمع وإن بعد إلاّ أنّه أولی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یکون السامع وهم فی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به السامع من غیر الإمام ، ورواة الحدیث عن عمر بن یزید ثقات جمیعاً ، فکیف یقع 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الجواب عنه بأن المراد کون الوهم إذا صدر من الراوی نادراً لا یضرّ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یشکل الحال بأن السؤال لو کان عن المذی منهما فأیّ فائدة فی جواب الإمام علیه السلام بنفی الوضوء عنه والغسل عنها ، هذا فی الخبر الثانی ، وفی الأوّل کذلک ، لأن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علیها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 السؤال عن المذی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دخول الضیق بسبب المذی لا وجه له من مثل عمر بن یزید ، 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فالجواب الأوّل لا یخلو من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تقدیر تمامه فی الخبر الثانی لا یتمّ فی الأوّل ، لأن السائل قال </w:t>
      </w:r>
      <w:r>
        <w:rPr>
          <w:rFonts w:eastAsia="IRNazanin" w:cs="IRNazanin"/>
          <w:color w:val="111111"/>
          <w:sz w:val="28"/>
          <w:szCs w:val="28"/>
          <w:rtl w:val="true"/>
          <w:lang w:bidi="fa-IR"/>
        </w:rPr>
        <w:t>:</w:t>
      </w:r>
    </w:p>
    <w:p>
      <w:pPr>
        <w:pStyle w:val="Heading4"/>
        <w:numPr>
          <w:ilvl w:val="3"/>
          <w:numId w:val="1"/>
        </w:numPr>
        <w:rPr/>
      </w:pPr>
      <w:bookmarkStart w:id="512" w:name="__RefHeading___Toc39286_2142443653"/>
      <w:bookmarkStart w:id="513" w:name="_Toc201"/>
      <w:bookmarkEnd w:id="512"/>
      <w:r>
        <w:rPr>
          <w:rtl w:val="true"/>
        </w:rPr>
        <w:t>مناقشة فی توجیه الشیخ لحدیث عمر بن یزید</w:t>
      </w:r>
      <w:bookmarkEnd w:id="51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4" w:name="__RefHeading___Toc39288_2142443653"/>
      <w:bookmarkStart w:id="515" w:name="_Toc202"/>
      <w:bookmarkEnd w:id="514"/>
      <w:r>
        <w:rPr>
          <w:rtl w:val="true"/>
        </w:rPr>
        <w:t>هل یدل خبر عمر بن یزید علی عدم الوضوء مع غسله الجمعة؟</w:t>
      </w:r>
      <w:bookmarkEnd w:id="515"/>
    </w:p>
    <w:p>
      <w:pPr>
        <w:pStyle w:val="BookText"/>
        <w:rPr/>
      </w:pPr>
      <w:r>
        <w:rPr>
          <w:rFonts w:ascii="IRNazanin" w:hAnsi="IRNazanin" w:eastAsia="IRNazanin"/>
          <w:color w:val="111111"/>
          <w:sz w:val="28"/>
          <w:sz w:val="28"/>
          <w:szCs w:val="28"/>
          <w:rtl w:val="true"/>
          <w:lang w:bidi="fa-IR"/>
        </w:rPr>
        <w:t>فإن أمنت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دخل هنا للاعتقاد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عدم الغسل علیها لعدم ثبوت کونه منیّاً بمجرد قول الراوی ، لجواز توهمه بسبب </w:t>
      </w:r>
      <w:r>
        <w:rPr>
          <w:rStyle w:val="FootnoteAnchor"/>
          <w:rtl w:val="true"/>
        </w:rPr>
        <w:footnoteReference w:id="529"/>
      </w:r>
      <w:r>
        <w:rPr>
          <w:rFonts w:ascii="IRNazanin" w:hAnsi="IRNazanin" w:eastAsia="IRNazanin"/>
          <w:color w:val="111111"/>
          <w:sz w:val="28"/>
          <w:sz w:val="28"/>
          <w:szCs w:val="28"/>
          <w:rtl w:val="true"/>
          <w:lang w:bidi="fa-IR"/>
        </w:rPr>
        <w:t xml:space="preserve">من الأسباب کما ذکره شیخنا أیده الله فی فوائده علی الکتاب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بقی شی‌ء وهو أن الخبر الثانی ربما یدلّ علی أن غسل الجمعة لا وضوء معه کما یعلم من ملاحظته ، إلاّ أن الحق کونه مجملاً لا یصلح للاستدلال ، غیر أنّه مؤیّد لما دل علی عدم الوضوء مع غسل الجمعة ، وسیأتی إن شاء الله توضیح القول فی ذلک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ما رواه محمد بن علی بن محبوب ، عن أحمد بن محمد ، عن الحسن بن محبوب ، عن العلاء بن رزین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علیه السلام کیف جعل علی المرأة إذا رأت فی النوم أن الرجل یجامعها فی فرجها الغسل ولم یُجعل علیها الغسل إذا جامعها دون الفرج فی الیقظة فأمنت؟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لأنها رأت فی منامها أن الرجل یجامعها فی فرجها فوجب علیها الغسل ، والآخر إنّما جامعها دون الفرج فلم </w:t>
      </w:r>
      <w:r>
        <w:rPr>
          <w:rStyle w:val="FootnoteAnchor"/>
          <w:rtl w:val="true"/>
        </w:rPr>
        <w:footnoteReference w:id="532"/>
      </w:r>
      <w:r>
        <w:rPr>
          <w:rFonts w:ascii="IRNazanin" w:hAnsi="IRNazanin" w:eastAsia="IRNazanin"/>
          <w:color w:val="111111"/>
          <w:sz w:val="28"/>
          <w:sz w:val="28"/>
          <w:szCs w:val="28"/>
          <w:rtl w:val="true"/>
          <w:lang w:bidi="fa-IR"/>
        </w:rPr>
        <w:t xml:space="preserve">یجب علیها الغسل لأنه لم یدخله ، ولو کان أدخله فی الیقظة لوجب علیها الغسل أمنت أو لم تمن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فالوجه فی هذا الخبر ما ذکرناه فی الخبر الأوّل سواء</w:t>
      </w:r>
      <w:r>
        <w:rPr>
          <w:rFonts w:eastAsia="IRNazanin" w:cs="IRNazanin"/>
          <w:color w:val="111111"/>
          <w:sz w:val="28"/>
          <w:szCs w:val="28"/>
          <w:rtl w:val="true"/>
          <w:lang w:bidi="fa-IR"/>
        </w:rPr>
        <w:t xml:space="preserve">. </w:t>
      </w:r>
      <w:bookmarkStart w:id="516" w:name="pg17122_169616"/>
    </w:p>
    <w:p>
      <w:pPr>
        <w:pStyle w:val="BookText"/>
        <w:rPr/>
      </w:pPr>
      <w:bookmarkEnd w:id="516"/>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واضح بعد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الإشکال ، وما ذکره الشیخ فیه لا یحوم حوله التوجیه إذا أعطاه المتأمّل حق النظر ، ونقل شیخنا قدس سره عن المنتهی </w:t>
      </w:r>
      <w:r>
        <w:rPr>
          <w:rStyle w:val="FootnoteAnchor"/>
          <w:rtl w:val="true"/>
        </w:rPr>
        <w:footnoteReference w:id="533"/>
      </w:r>
      <w:r>
        <w:rPr>
          <w:rFonts w:ascii="IRNazanin" w:hAnsi="IRNazanin" w:eastAsia="IRNazanin"/>
          <w:color w:val="111111"/>
          <w:sz w:val="28"/>
          <w:sz w:val="28"/>
          <w:szCs w:val="28"/>
          <w:rtl w:val="true"/>
          <w:lang w:bidi="fa-IR"/>
        </w:rPr>
        <w:t xml:space="preserve">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الروایات </w:t>
      </w:r>
      <w:r>
        <w:rPr>
          <w:rStyle w:val="FootnoteAnchor"/>
          <w:rtl w:val="true"/>
        </w:rPr>
        <w:footnoteReference w:id="534"/>
      </w:r>
      <w:r>
        <w:rPr>
          <w:rFonts w:ascii="IRNazanin" w:hAnsi="IRNazanin" w:eastAsia="IRNazanin"/>
          <w:color w:val="111111"/>
          <w:sz w:val="28"/>
          <w:sz w:val="28"/>
          <w:szCs w:val="28"/>
          <w:rtl w:val="true"/>
          <w:lang w:bidi="fa-IR"/>
        </w:rPr>
        <w:t>قد عارضت إجماع المسلمین والأخبار المستفیضة فوجب الردّ ، ولا ریب فیما 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شیخنا المحقق میرزا محمّد أیّده الله فی فوائد الکتاب أن فی الخبر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یراد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مجی‌ء ما یحتمل کونه منیّاً ، ویکون حاصل الجواب الفرق بأن الفرج محل الشهوة ، والمجامعة فیه مظنة خروج المنی ، دون ما دون الفرج ، فیحکم فی الأوّل بکونه منیّاً دون الثانی ، إلاّ مع تحقق ما یوجب کونه منیّاً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بعض المخالفین کأبی حنیفة وغیره ذهب إلی أن خروج المنی لا یجب به الغسل إلاّ مع الشهوة ، فأوجب لذلک الغسل مع المجامعة فی الفرج إذا أمنی لوجود الشهوة ولو فی النوم ، ولم یوجب مع المجامعة فیما دون الفرج ولو یقظة لعدم الشهوة ولو أمنی ، ومحمد بن مسلم سأله عن ذلک فبیّنه علیه السلام کما قلنا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یخفی أن هذا الوجه ینبّه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7" w:name="__RefHeading___Toc39290_2142443653"/>
      <w:bookmarkStart w:id="518" w:name="_Toc203"/>
      <w:bookmarkEnd w:id="517"/>
      <w:r>
        <w:rPr>
          <w:rtl w:val="true"/>
        </w:rPr>
        <w:t>توجیهات لحدیث محمد بن مسلم والمناقشة فیها</w:t>
      </w:r>
      <w:bookmarkEnd w:id="518"/>
    </w:p>
    <w:p>
      <w:pPr>
        <w:pStyle w:val="BookText"/>
        <w:rPr/>
      </w:pPr>
      <w:r>
        <w:rPr>
          <w:rFonts w:ascii="IRNazanin" w:hAnsi="IRNazanin" w:eastAsia="IRNazanin"/>
          <w:color w:val="111111"/>
          <w:sz w:val="28"/>
          <w:sz w:val="28"/>
          <w:szCs w:val="28"/>
          <w:rtl w:val="true"/>
          <w:lang w:bidi="fa-IR"/>
        </w:rPr>
        <w:t>علی احتمال صدور ذلک عن الإمام علیه السلام تقیة ،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أعلم بتطبیقه علی الروایة ، وکیف یتم التوجیه الأوّل مع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یجعل علیها الغسل إذا جامعها دون الفرج فی الیقظة فأمنت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فی حاشیة التهذیب أن حمل الإمناء علی الإمذاء یوجب تهافت الروایة من حیث تضمنها السؤال عن وجه الفرق بین ما إذا رأت المرأة فی النوم أن الرجل یجامعها فی الفرج فعلیها الغسل ، وعدمه إذا جامعها دون الفرج فأمنت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هذا یقتضی أن یقال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لم تمن ، لا لأنه لم یدخله ، کما هو صریح الجواب ، وإن کان فی الجواب علی تقدیر حمل المنی علی ظاهره نوع خفاءٍ أیضاً ، لإمکان أن یوجّه بلزوم المنی لرؤیة المجامعة فی الفرج ، وإن کان یقتضی نوع منافرة لما علیه الأصحاب ، إلاّ أنه قد یطابق مدلول بعض الأخبار الدالة علی عدم وجوب الغسل بالإمناء من دون إدخال ، فالجواب عنها 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وإمکان حمل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أمنت أو لم تمن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الإمذاء له وجه من حیث إن الإدخال یوجب الغسل بمجرده ، إلاّ أن المطابقة للسؤال غیر حاصلة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الإدخال فی الروایة یراد به فی الفرج علی الظاهر ، ویحتمل أن یراد الأعم من الفرج والدبر علی أن یراد بالمجامعة دون الفرج مجرّد إیصال الذکر بها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رأیته فی بعض کتب أهل الخلاف أنهم رووا أن النبی صلی الله علیه و آله جاءت إلیه أُمّ سلمة </w:t>
      </w:r>
      <w:r>
        <w:rPr>
          <w:rStyle w:val="FootnoteAnchor"/>
          <w:rtl w:val="true"/>
        </w:rPr>
        <w:footnoteReference w:id="535"/>
      </w:r>
      <w:r>
        <w:rPr>
          <w:rFonts w:ascii="IRNazanin" w:hAnsi="IRNazanin" w:eastAsia="IRNazanin"/>
          <w:color w:val="111111"/>
          <w:sz w:val="28"/>
          <w:sz w:val="28"/>
          <w:szCs w:val="28"/>
          <w:rtl w:val="true"/>
          <w:lang w:bidi="fa-IR"/>
        </w:rPr>
        <w:t xml:space="preserve">امرأة أبی طلحة فقالت یا رسول الله إن الله لا یستحیی </w:t>
      </w:r>
    </w:p>
    <w:p>
      <w:pPr>
        <w:pStyle w:val="BookText"/>
        <w:rPr/>
      </w:pPr>
      <w:r>
        <w:rPr>
          <w:rFonts w:ascii="IRNazanin" w:hAnsi="IRNazanin" w:eastAsia="IRNazanin"/>
          <w:color w:val="111111"/>
          <w:sz w:val="28"/>
          <w:sz w:val="28"/>
          <w:szCs w:val="28"/>
          <w:rtl w:val="true"/>
          <w:lang w:bidi="fa-IR"/>
        </w:rPr>
        <w:t xml:space="preserve">من الحق ، هل علی المرأة من غسل إذا هی احتلمت؟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إذا رأت الماء </w:t>
      </w:r>
      <w:r>
        <w:rPr>
          <w:rFonts w:eastAsia="IRNazanin" w:cs="IRNazanin"/>
          <w:color w:val="111111"/>
          <w:sz w:val="28"/>
          <w:szCs w:val="28"/>
          <w:rtl w:val="true"/>
          <w:lang w:bidi="fa-IR"/>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بعض الشرّاح للحدیث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فیه دلیلاً علی وجوب الغسل بإنزال الماء من المرأة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رأت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یردّ به علی من یزعم أن ماء المرأة لا یبرز وإنّما یعرف إنزالها بشهوتها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 کلام من أشرنا إلیه من الفقهاء یقتضی وجوب الغسل بالإنزال إذا عرفته بالشهوة ولا یوقفه بالبروز إلی الظاهر ، فلیتأمّل خبط هؤلاء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نقله شیخنا أیّده الله عنهم غریب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والحدیث لا مجال للقول فیه إلاّ بما ذکره فی المنتهی </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ابن أبی عمیر ، عن عمر بن أُذینة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تحتلم فی المنام فیهریق الماء الأعظم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علیها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هذا الخبر أنها إذا رأت الماء الأعظم فی حال منامها فإذا انتبهت لم تر شیئاً فإنه لا یجب علیها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محمد بن یعقوب ، عن عدّة من أصحابنا ، عن أحمد بن </w:t>
      </w:r>
      <w:bookmarkStart w:id="519" w:name="pg17122_169619"/>
    </w:p>
    <w:p>
      <w:pPr>
        <w:pStyle w:val="BookText"/>
        <w:rPr/>
      </w:pPr>
      <w:bookmarkEnd w:id="519"/>
      <w:r>
        <w:rPr>
          <w:rFonts w:ascii="IRNazanin" w:hAnsi="IRNazanin" w:eastAsia="IRNazanin"/>
          <w:color w:val="111111"/>
          <w:sz w:val="28"/>
          <w:sz w:val="28"/>
          <w:szCs w:val="28"/>
          <w:rtl w:val="true"/>
          <w:lang w:bidi="fa-IR"/>
        </w:rPr>
        <w:t xml:space="preserve">محمد ، عن ابن أبی عمیر ، عن حماد ، عن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المرأة تری فی المنام ما یری الرجل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أنزلت فعلیها الغسل ، وإن لم تنزل فلیس علیها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الحال لا ارتیاب فیه بعد ما قدّمناه ، إلاّ أنّه ینبغی أن یعلم أن عمر بن أُذینة الظاهر أنّه عمر بن محمد بن أُذینة کما هو فی النجاشی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والشیخ رحمه الله ذکر فی أصحاب الصادق علیه السلام من کتاب الرجال عمر ابن أُذینة مهملاً </w:t>
      </w:r>
      <w:r>
        <w:rPr>
          <w:rStyle w:val="FootnoteAnchor"/>
          <w:rtl w:val="true"/>
        </w:rPr>
        <w:footnoteReference w:id="540"/>
      </w:r>
      <w:r>
        <w:rPr>
          <w:rFonts w:ascii="IRNazanin" w:hAnsi="IRNazanin" w:eastAsia="IRNazanin"/>
          <w:color w:val="111111"/>
          <w:sz w:val="28"/>
          <w:sz w:val="28"/>
          <w:szCs w:val="28"/>
          <w:rtl w:val="true"/>
          <w:lang w:bidi="fa-IR"/>
        </w:rPr>
        <w:t xml:space="preserve">، وفی أصحاب الکاظم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أُذینة ثقة له کتاب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أُذینة ثقة له کتاب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والکشی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فی عمر بن أُذینة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وابن داود جعل عمر بن أُذینة غیر عمر بن محمد بن أُذینة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وکتب جدّی قدس سره فی بعض فوائده علی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الحق أنهما واحد </w:t>
      </w:r>
      <w:r>
        <w:rPr>
          <w:rStyle w:val="FootnoteAnchor"/>
          <w:rtl w:val="true"/>
        </w:rPr>
        <w:footnoteReference w:id="545"/>
      </w:r>
      <w:r>
        <w:rPr>
          <w:rFonts w:ascii="IRNazanin" w:hAnsi="IRNazanin" w:eastAsia="IRNazanin"/>
          <w:color w:val="111111"/>
          <w:sz w:val="28"/>
          <w:sz w:val="28"/>
          <w:szCs w:val="28"/>
          <w:rtl w:val="true"/>
          <w:lang w:bidi="fa-IR"/>
        </w:rPr>
        <w:t>، وأظنّ أنّ کلام ابن داود لا وجه له ، وما قد یتوهم من کلام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0" w:name="__RefHeading___Toc39292_2142443653"/>
      <w:bookmarkStart w:id="521" w:name="_Toc204"/>
      <w:bookmarkEnd w:id="520"/>
      <w:r>
        <w:rPr>
          <w:rtl w:val="true"/>
        </w:rPr>
        <w:t>بحث حول عمر بن أُذینة</w:t>
      </w:r>
      <w:bookmarkStart w:id="522" w:name="pg17122_169620"/>
      <w:bookmarkEnd w:id="521"/>
    </w:p>
    <w:p>
      <w:pPr>
        <w:pStyle w:val="BookText"/>
        <w:rPr/>
      </w:pPr>
      <w:bookmarkEnd w:id="522"/>
      <w:r>
        <w:rPr>
          <w:rFonts w:ascii="IRNazanin" w:hAnsi="IRNazanin" w:eastAsia="IRNazanin"/>
          <w:color w:val="111111"/>
          <w:sz w:val="28"/>
          <w:sz w:val="28"/>
          <w:szCs w:val="28"/>
          <w:rtl w:val="true"/>
          <w:lang w:bidi="fa-IR"/>
        </w:rPr>
        <w:t xml:space="preserve">النجاشی یدفعه أنّه قال فی آخر الطریق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أُذینة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واتفق للعلاّمة فی الخلاصة أنّه نقل عن الکشی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حمدویه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أشیاخی منهم العبیدی وغیره أن ابن أُذینة کوفی وکان هرب من المهدی ومات بالیمن ، فلذلک لم یرو عنه کثیر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وابن طاوس نقل الحکایة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یرو عنه کتبه </w:t>
      </w: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کثیر التبع لابن طاوس ، فربما احتمل کون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المنقول فی کتاب شیخنا سلمه الله عن الکشی کما فی الخلاصة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قاله فی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عمر بن أُذینة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محمد بن عمر بن أُذینة غلب علیه اسم أبیه </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قول الشیخ فی کتاب الرجال ، فإنه قال فی موضع من رجال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بن أُذینة غلب علیه اسم أبیه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ارتیاب فی روایة أحمد بن محمد عن ابن أبی عمیر بغیر واسطة کما قدمنا فیه کلاماً أیضاً ، إلاّ أن الغالب کونها الحسین بن سعید ، والمرتبة لا تأبی روایة أحمد عن ابن أبی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العدّة التی یروی عنها محمد بن یعقوب ، عن أحمد بن محمد ما ذکره العلاّمة فی الخلاصة نقلاً عن محمد بن یعقوب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یعنی عن أحمد بن محمد بن عیسی هو محمد ابن یحیی ، وعلیّ بن موسی الکُمیذانی ، وداود بن کورة ، وأحمد بن</w:t>
      </w:r>
    </w:p>
    <w:p>
      <w:pPr>
        <w:pStyle w:val="Heading4"/>
        <w:numPr>
          <w:ilvl w:val="3"/>
          <w:numId w:val="1"/>
        </w:numPr>
        <w:rPr/>
      </w:pPr>
      <w:bookmarkStart w:id="523" w:name="__RefHeading___Toc39294_2142443653"/>
      <w:bookmarkStart w:id="524" w:name="_Toc205"/>
      <w:bookmarkEnd w:id="523"/>
      <w:r>
        <w:rPr>
          <w:rtl w:val="true"/>
        </w:rPr>
        <w:t>کلمة فی روایة أحمد بن محمد عن ابن أبی عمیر بلا واسطة</w:t>
      </w:r>
      <w:bookmarkEnd w:id="52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5" w:name="__RefHeading___Toc39296_2142443653"/>
      <w:bookmarkStart w:id="526" w:name="_Toc206"/>
      <w:bookmarkEnd w:id="525"/>
      <w:r>
        <w:rPr>
          <w:rtl w:val="true"/>
        </w:rPr>
        <w:t>تفسیر العدّة التی یروی عنها الکلینی عن أحمد بن محمد بن عیسی وأحمد بن محمد البرقی</w:t>
      </w:r>
      <w:bookmarkEnd w:id="526"/>
    </w:p>
    <w:p>
      <w:pPr>
        <w:pStyle w:val="BookText"/>
        <w:rPr/>
      </w:pPr>
      <w:r>
        <w:rPr>
          <w:rFonts w:ascii="IRNazanin" w:hAnsi="IRNazanin" w:eastAsia="IRNazanin"/>
          <w:color w:val="111111"/>
          <w:sz w:val="28"/>
          <w:sz w:val="28"/>
          <w:szCs w:val="28"/>
          <w:rtl w:val="true"/>
          <w:lang w:bidi="fa-IR"/>
        </w:rPr>
        <w:t xml:space="preserve">إدریس ، وعلیّ بن إبراهیم بن هاشم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وأنّه 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ذکرته فی کتابی المشار إلیه عدة من أصحابنا عن أحمد بن محمد بن خالد 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علیّ بن إبراهیم ، وعلیّ بن محمد ابن عبد الله بن أُذینة ، وأحمد بن عبد الله بن أُمیّة </w:t>
      </w:r>
      <w:r>
        <w:rPr>
          <w:rStyle w:val="FootnoteAnchor"/>
          <w:rtl w:val="true"/>
        </w:rPr>
        <w:footnoteReference w:id="552"/>
      </w:r>
      <w:r>
        <w:rPr>
          <w:rFonts w:ascii="IRNazanin" w:hAnsi="IRNazanin" w:eastAsia="IRNazanin"/>
          <w:color w:val="111111"/>
          <w:sz w:val="28"/>
          <w:sz w:val="28"/>
          <w:szCs w:val="28"/>
          <w:rtl w:val="true"/>
          <w:lang w:bidi="fa-IR"/>
        </w:rPr>
        <w:t>، وعلیّ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فأحمد بن محمد المذکور فی الحدیث المبحوث إن کان ابن خالد أو ابن عیسی فالحال ما سمعته ، وإن کان الظاهر أنّه ابن عیسی ، وما قاله العلاّمة فی الخلاصة لم نره فی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والنجاشی ذکر فی ترجمة الکلینی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جعفر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کان فی کتابی عدّة من أصحابنا عن أحمد بن محمد بن عیسی فهم </w:t>
      </w:r>
      <w:r>
        <w:rPr>
          <w:rStyle w:val="FootnoteAnchor"/>
          <w:rtl w:val="true"/>
        </w:rPr>
        <w:footnoteReference w:id="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قاله العلاّمة فی ابن عیسی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فی الکافی ، فی باب المملوک یکون بین شرکاء فیعتق أحدهم نصیبه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علیّ بن إبراهیم ، ومحمد بن جعفر ، ومحمد بن یحیی ، وعلیّ بن محمد بن عبد الله القمیّ ، وأحمد بن عبد الله ، وعلیّ بن الحسن جمیعاً عن أحمد بن محمد بن خالد </w:t>
      </w:r>
      <w:r>
        <w:rPr>
          <w:rStyle w:val="FootnoteAnchor"/>
          <w:rtl w:val="true"/>
        </w:rPr>
        <w:footnoteReference w:id="554"/>
      </w:r>
      <w:r>
        <w:rPr>
          <w:rFonts w:ascii="IRNazanin" w:hAnsi="IRNazanin" w:eastAsia="IRNazanin"/>
          <w:color w:val="111111"/>
          <w:sz w:val="28"/>
          <w:sz w:val="28"/>
          <w:szCs w:val="28"/>
          <w:rtl w:val="true"/>
          <w:lang w:bidi="fa-IR"/>
        </w:rPr>
        <w:t xml:space="preserve">، وفی أول حدیث فی الکافی عدّة من أصحابنا منهم محمد بن یحیی العطار عن أحمد بن محمد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bookmarkStart w:id="527" w:name="pg17122_169622"/>
    </w:p>
    <w:p>
      <w:pPr>
        <w:pStyle w:val="BookText"/>
        <w:rPr/>
      </w:pPr>
      <w:bookmarkEnd w:id="527"/>
      <w:r>
        <w:rPr>
          <w:rFonts w:ascii="IRNazanin" w:hAnsi="IRNazanin" w:eastAsia="IRNazanin"/>
          <w:color w:val="111111"/>
          <w:sz w:val="28"/>
          <w:sz w:val="28"/>
          <w:szCs w:val="28"/>
          <w:rtl w:val="true"/>
          <w:lang w:bidi="fa-IR"/>
        </w:rPr>
        <w:t>ولا یبعد أن یکون هذا عاما لکل عدّة ، إلاّ أنّه خاص بأحمد بن محمد بن عیسی علی ما فی الخلاصة والنجاشی ، لأنّ محمد بن یحیی لیس فی العدّة التی تروی عن أحمد بن محمد بن خالد علی ما سمعته من نقلهما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ذکره الشیخ فی الأوّل لا یخلو من وجه ، واستدلاله بالخبر الثانی غیر محتاج إلیه ، لکثرة الأخبار الدالة علیه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الأثیر فی أحکام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الاحتلام فی الوضع افتعال من الحُلْم بضم الحاء وسکون اللام ، وهو ما یراه النائم فی نومه ، یقال منه حلم واحتلم ، واحتلمت به واحتلمته ، وأمّا فی الاستعمال والعرف العام فإنه قد خصّ هذا الوضع اللغوی ببعض ما یراه النائم وهو ما یصحبه إنزال الماء ، فلو رأی غیر ذلک لصح أن یقال له احتلم وضعاً ولم یصح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الهاء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همزة أراق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أراق الماء یریقه وهراقه یهریقه بفتح الهاء ، وقد یقال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أهرقت الماء اهرقه إهراقاً فیجمع بین البدل والمبدل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رواه الصفار ، عن إبراهیم بن هاشم ، عن نوح بن</w:t>
      </w:r>
    </w:p>
    <w:p>
      <w:pPr>
        <w:pStyle w:val="Heading4"/>
        <w:numPr>
          <w:ilvl w:val="3"/>
          <w:numId w:val="1"/>
        </w:numPr>
        <w:rPr/>
      </w:pPr>
      <w:bookmarkStart w:id="528" w:name="__RefHeading___Toc39298_2142443653"/>
      <w:bookmarkStart w:id="529" w:name="_Toc207"/>
      <w:bookmarkEnd w:id="528"/>
      <w:r>
        <w:rPr>
          <w:rtl w:val="true"/>
        </w:rPr>
        <w:t>معنی الاحتلام</w:t>
      </w:r>
      <w:bookmarkEnd w:id="52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0" w:name="__RefHeading___Toc39300_2142443653"/>
      <w:bookmarkStart w:id="531" w:name="_Toc208"/>
      <w:bookmarkEnd w:id="530"/>
      <w:r>
        <w:rPr>
          <w:rtl w:val="true"/>
        </w:rPr>
        <w:t>معنی الإهراق</w:t>
      </w:r>
      <w:bookmarkEnd w:id="531"/>
    </w:p>
    <w:p>
      <w:pPr>
        <w:pStyle w:val="BookText"/>
        <w:rPr/>
      </w:pPr>
      <w:r>
        <w:rPr>
          <w:rFonts w:ascii="IRNazanin" w:hAnsi="IRNazanin" w:eastAsia="IRNazanin"/>
          <w:color w:val="111111"/>
          <w:sz w:val="28"/>
          <w:sz w:val="28"/>
          <w:szCs w:val="28"/>
          <w:rtl w:val="true"/>
          <w:lang w:bidi="fa-IR"/>
        </w:rPr>
        <w:t xml:space="preserve">شعیب ، عمّن رواه ، عن عبید بن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علی المرأة غسل من جنابتها إذا لم یأتها الرجل؟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وأیّکم یرضی أن یری و </w:t>
      </w:r>
      <w:r>
        <w:rPr>
          <w:rStyle w:val="FootnoteAnchor"/>
          <w:rtl w:val="true"/>
        </w:rPr>
        <w:footnoteReference w:id="557"/>
      </w:r>
      <w:r>
        <w:rPr>
          <w:rFonts w:ascii="IRNazanin" w:hAnsi="IRNazanin" w:eastAsia="IRNazanin"/>
          <w:color w:val="111111"/>
          <w:sz w:val="28"/>
          <w:sz w:val="28"/>
          <w:szCs w:val="28"/>
          <w:rtl w:val="true"/>
          <w:lang w:bidi="fa-IR"/>
        </w:rPr>
        <w:t xml:space="preserve">یصبر علی ذلک ، أن یری ابنته أو أُخته أو امّه أو زوجته أو أحداً </w:t>
      </w:r>
      <w:r>
        <w:rPr>
          <w:rStyle w:val="FootnoteAnchor"/>
          <w:rtl w:val="true"/>
        </w:rPr>
        <w:footnoteReference w:id="558"/>
      </w:r>
      <w:r>
        <w:rPr>
          <w:rFonts w:ascii="IRNazanin" w:hAnsi="IRNazanin" w:eastAsia="IRNazanin"/>
          <w:color w:val="111111"/>
          <w:sz w:val="28"/>
          <w:sz w:val="28"/>
          <w:szCs w:val="28"/>
          <w:rtl w:val="true"/>
          <w:lang w:bidi="fa-IR"/>
        </w:rPr>
        <w:t xml:space="preserve">من قرابته قائمة تغتسل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احتلمت ، ولیس لها بعل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لیس علیهن ذاک وقد وضع الله ذلک علیکم </w:t>
      </w:r>
      <w:r>
        <w:rPr>
          <w:rStyle w:val="FootnoteAnchor"/>
          <w:rtl w:val="true"/>
        </w:rPr>
        <w:footnoteReference w:id="559"/>
      </w:r>
      <w:r>
        <w:rPr>
          <w:rFonts w:ascii="Amiri" w:hAnsi="Amiri" w:eastAsia="Amiri" w:cs="Amiri"/>
          <w:color w:val="111111"/>
          <w:sz w:val="28"/>
          <w:sz w:val="28"/>
          <w:szCs w:val="28"/>
          <w:rtl w:val="true"/>
          <w:lang w:bidi="ar-SA"/>
        </w:rPr>
        <w:t xml:space="preserve">، 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کُنْتُمْ جُنُباً فَاطَّهَّرُوا </w:t>
      </w:r>
      <w:r>
        <w:rPr>
          <w:rFonts w:eastAsia="Amiri" w:cs="Amiri" w:ascii="Amiri" w:hAnsi="Amiri"/>
          <w:color w:val="111111"/>
          <w:sz w:val="28"/>
          <w:szCs w:val="28"/>
          <w:rtl w:val="true"/>
          <w:lang w:bidi="ar-SA"/>
        </w:rPr>
        <w:t xml:space="preserve">) </w:t>
      </w:r>
      <w:r>
        <w:rPr>
          <w:rStyle w:val="FootnoteAnchor"/>
          <w:rtl w:val="true"/>
        </w:rPr>
        <w:footnoteReference w:id="560"/>
      </w:r>
      <w:r>
        <w:rPr>
          <w:rFonts w:ascii="IRNazanin" w:hAnsi="IRNazanin" w:eastAsia="IRNazanin"/>
          <w:color w:val="111111"/>
          <w:sz w:val="28"/>
          <w:sz w:val="28"/>
          <w:szCs w:val="28"/>
          <w:rtl w:val="true"/>
          <w:lang w:bidi="fa-IR"/>
        </w:rPr>
        <w:t xml:space="preserve">ولم یقل ذلک لهنّ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خبر مرسل لا یعارض به ما قدّمناه من الأخبار ، ویحتمل أن یکون الوجه فیه ما قدمناه فی الخبر الأوّل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ویزید ذلک بیاناً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أحمد بن محمد ، عن إسماعیل بن سعد الأشعری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علیه السلام عن الرجل یلمس فرج جاریته حتی تنزل الماء من غیر أن یباشر ، یعبث بها </w:t>
      </w:r>
      <w:r>
        <w:rPr>
          <w:rStyle w:val="FootnoteAnchor"/>
          <w:rtl w:val="true"/>
        </w:rPr>
        <w:footnoteReference w:id="561"/>
      </w:r>
      <w:r>
        <w:rPr>
          <w:rFonts w:ascii="IRNazanin" w:hAnsi="IRNazanin" w:eastAsia="IRNazanin"/>
          <w:color w:val="111111"/>
          <w:sz w:val="28"/>
          <w:sz w:val="28"/>
          <w:szCs w:val="28"/>
          <w:rtl w:val="true"/>
          <w:lang w:bidi="fa-IR"/>
        </w:rPr>
        <w:t xml:space="preserve">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تنزل </w:t>
      </w:r>
      <w:r>
        <w:rPr>
          <w:rFonts w:eastAsia="IRNazanin" w:cs="IRNazanin"/>
          <w:color w:val="111111"/>
          <w:sz w:val="28"/>
          <w:szCs w:val="28"/>
          <w:rtl w:val="true"/>
          <w:lang w:bidi="fa-IR"/>
        </w:rPr>
        <w:t xml:space="preserve">] </w:t>
      </w:r>
      <w:r>
        <w:rPr>
          <w:rStyle w:val="FootnoteAnchor"/>
          <w:rtl w:val="true"/>
        </w:rPr>
        <w:footnoteReference w:id="56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أنزلت من شهوة فعلیها الغسل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w:t>
      </w:r>
      <w:r>
        <w:rPr>
          <w:rStyle w:val="FootnoteAnchor"/>
          <w:rtl w:val="true"/>
        </w:rPr>
        <w:footnoteReference w:id="563"/>
      </w:r>
      <w:r>
        <w:rPr>
          <w:rFonts w:ascii="IRNazanin" w:hAnsi="IRNazanin" w:eastAsia="IRNazanin"/>
          <w:color w:val="111111"/>
          <w:sz w:val="28"/>
          <w:sz w:val="28"/>
          <w:szCs w:val="28"/>
          <w:rtl w:val="true"/>
          <w:lang w:bidi="fa-IR"/>
        </w:rPr>
        <w:t xml:space="preserve">، عن محمد بن إسماعیل بن بزیع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علیه السلام </w:t>
      </w:r>
      <w:bookmarkStart w:id="532" w:name="pg17122_169624"/>
    </w:p>
    <w:p>
      <w:pPr>
        <w:pStyle w:val="BookText"/>
        <w:rPr/>
      </w:pPr>
      <w:bookmarkEnd w:id="532"/>
      <w:r>
        <w:rPr>
          <w:rFonts w:ascii="IRNazanin" w:hAnsi="IRNazanin" w:eastAsia="IRNazanin"/>
          <w:color w:val="111111"/>
          <w:sz w:val="28"/>
          <w:sz w:val="28"/>
          <w:szCs w:val="28"/>
          <w:rtl w:val="true"/>
          <w:lang w:bidi="fa-IR"/>
        </w:rPr>
        <w:t xml:space="preserve">عن الرجل یجامع المرأة فیما دون الفرج فتنزل المرأة هل </w:t>
      </w:r>
      <w:r>
        <w:rPr>
          <w:rStyle w:val="FootnoteAnchor"/>
          <w:rtl w:val="true"/>
        </w:rPr>
        <w:footnoteReference w:id="564"/>
      </w:r>
      <w:r>
        <w:rPr>
          <w:rFonts w:ascii="IRNazanin" w:hAnsi="IRNazanin" w:eastAsia="IRNazanin"/>
          <w:color w:val="111111"/>
          <w:sz w:val="28"/>
          <w:sz w:val="28"/>
          <w:szCs w:val="28"/>
          <w:rtl w:val="true"/>
          <w:lang w:bidi="fa-IR"/>
        </w:rPr>
        <w:t xml:space="preserve">علیها غسل؟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 عن محمد بن إسماعیل </w:t>
      </w:r>
      <w:r>
        <w:rPr>
          <w:rStyle w:val="FootnoteAnchor"/>
          <w:rtl w:val="true"/>
        </w:rPr>
        <w:footnoteReference w:id="56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المرأة تری فی منامها فتنزل أعلیها </w:t>
      </w:r>
      <w:r>
        <w:rPr>
          <w:rStyle w:val="FootnoteAnchor"/>
          <w:rtl w:val="true"/>
        </w:rPr>
        <w:footnoteReference w:id="566"/>
      </w:r>
      <w:r>
        <w:rPr>
          <w:rFonts w:ascii="IRNazanin" w:hAnsi="IRNazanin" w:eastAsia="IRNazanin"/>
          <w:color w:val="111111"/>
          <w:sz w:val="28"/>
          <w:sz w:val="28"/>
          <w:szCs w:val="28"/>
          <w:rtl w:val="true"/>
          <w:lang w:bidi="fa-IR"/>
        </w:rPr>
        <w:t xml:space="preserve">غسل؟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 عن ابن محبوب ، عن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المرأة تری أن الرجل یجامعها فی المنام فی فرجها حتی تنزل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تغتسل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الشیخ مرسل ، والإشکال فی کلام الشیخ قد تقدم القول فیه ، وینبغی أن یعلم أن نوح بن شعیب قد ذکره العلاّمة فی الخلاصة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البغدادی ، وإنّه من أصحاب أبی جعفر محمد بن علیّ الثانی علیه السلام ، ونقل عن 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فقیها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أیضاً نوح بن صالح البغدادی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الکشی عن أبی عبد الله الشاذانی ، عن أبی محمد الفضل بن شاذان ما یشهد أنّه من شیعة أهل البیت علیهم السلام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والذی وجدناه فی الکشی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بن صالح البغدادی ، سأل</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3" w:name="__RefHeading___Toc39302_2142443653"/>
      <w:bookmarkStart w:id="534" w:name="_Toc209"/>
      <w:bookmarkEnd w:id="533"/>
      <w:r>
        <w:rPr>
          <w:rtl w:val="true"/>
        </w:rPr>
        <w:t>بحث حول نوح بن شعیب</w:t>
      </w:r>
      <w:bookmarkStart w:id="535" w:name="pg17122_169625"/>
      <w:bookmarkEnd w:id="534"/>
    </w:p>
    <w:p>
      <w:pPr>
        <w:pStyle w:val="BookText"/>
        <w:rPr/>
      </w:pPr>
      <w:bookmarkEnd w:id="535"/>
      <w:r>
        <w:rPr>
          <w:rFonts w:ascii="IRNazanin" w:hAnsi="IRNazanin" w:eastAsia="IRNazanin"/>
          <w:color w:val="111111"/>
          <w:sz w:val="28"/>
          <w:sz w:val="28"/>
          <w:szCs w:val="28"/>
          <w:rtl w:val="true"/>
          <w:lang w:bidi="fa-IR"/>
        </w:rPr>
        <w:t>أبو‌عبد الله الشاذانی أبا محمد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ما یدل علی أنّه فقیه ، وأنّه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بن شعیب </w:t>
      </w: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 أن ابن صالح هو ابن شعیب ، فالتعدد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الجزم بأنّ القول من ابن شاذان فی نوح بن شعیب ، والحکایة عن أبی عبد الله الشاذانی فی ابن صالح غریب ، فإنّ الحکایة واحدة کما ذکرناه ، وأبو عبد الله الشاذانی محمد بن نعیم غیر معلوم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فی کتاب رجال الشیخ فی أصحاب الجواد علیه السلام ، نوح بن شعیب البغدادی ، ذکر الفضل بن شاذان أنّه کان فقیهاً عالماً صالحا مرضیّاً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نوح بن صالح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من الشیخ أیضاً لا یخلو من غرابة ، لأن الظاهر أنّه من الکشی ، واستفادة ما قاله منه بعیدة ، إلاّ أن قول الشیخ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یلائم قول الکشی ، وکذلک الزیادة الواقعة فیه ، ولعلّه من غیر الکشی ، وشیخنا أیّده الله لم یذکر فی کتاب الرجال کلام الشیخ </w:t>
      </w:r>
      <w:r>
        <w:rPr>
          <w:rStyle w:val="FootnoteAnchor"/>
          <w:rtl w:val="true"/>
        </w:rPr>
        <w:footnoteReference w:id="571"/>
      </w:r>
      <w:r>
        <w:rPr>
          <w:rFonts w:ascii="IRNazanin" w:hAnsi="IRNazanin" w:eastAsia="IRNazanin"/>
          <w:color w:val="111111"/>
          <w:sz w:val="28"/>
          <w:sz w:val="28"/>
          <w:szCs w:val="28"/>
          <w:rtl w:val="true"/>
          <w:lang w:bidi="fa-IR"/>
        </w:rPr>
        <w:t>، فلعلّه لیس فی نسخته ، والله تعالی أعلم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ارتیاب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أحمد بن محمد ، وروایته عن محمد بن إسماعیل بن بزیع قد یحصل فیها نوع شک ، لأن الروایة عن الحسین بن سعید عنه بکثرة کما فی الرابع ، إلاّ أنّه لا یضر بالحال مع وجود المرتبة ، واحتمال سقوط الحسین بن سعید لا یضر أیضاً</w:t>
      </w:r>
      <w:r>
        <w:rPr>
          <w:rFonts w:eastAsia="IRNazanin" w:cs="IRNazanin"/>
          <w:color w:val="111111"/>
          <w:sz w:val="28"/>
          <w:szCs w:val="28"/>
          <w:rtl w:val="true"/>
          <w:lang w:bidi="fa-IR"/>
        </w:rPr>
        <w:t>.</w:t>
      </w:r>
    </w:p>
    <w:p>
      <w:pPr>
        <w:pStyle w:val="Heading4"/>
        <w:numPr>
          <w:ilvl w:val="3"/>
          <w:numId w:val="1"/>
        </w:numPr>
        <w:rPr/>
      </w:pPr>
      <w:bookmarkStart w:id="536" w:name="__RefHeading___Toc39304_2142443653"/>
      <w:bookmarkStart w:id="537" w:name="_Toc210"/>
      <w:bookmarkEnd w:id="536"/>
      <w:r>
        <w:rPr>
          <w:rtl w:val="true"/>
        </w:rPr>
        <w:t>أبو عبدالله الشاذانی محمد بن نعیم غیر معلوم الحال</w:t>
      </w:r>
      <w:bookmarkEnd w:id="53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8" w:name="__RefHeading___Toc39306_2142443653"/>
      <w:bookmarkStart w:id="539" w:name="_Toc211"/>
      <w:bookmarkEnd w:id="538"/>
      <w:r>
        <w:rPr>
          <w:rtl w:val="true"/>
        </w:rPr>
        <w:t>کلمة فی روایة أحمد بن محمد عن محمد بن اسماعیل بن بزیع</w:t>
      </w:r>
      <w:bookmarkStart w:id="540" w:name="pg17122_169626"/>
      <w:bookmarkEnd w:id="539"/>
    </w:p>
    <w:p>
      <w:pPr>
        <w:pStyle w:val="BookText"/>
        <w:rPr/>
      </w:pPr>
      <w:bookmarkEnd w:id="540"/>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کالرابع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وجه لردّه إلاّ بالإرسال ، وما قاله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الوجه فیه ما قاله فی الخبر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یحوم حوله التسدید ، بعد صراحة الخبر فی المنافی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الروایة لا تخلو من تهافت فی المتن من حیث ذکر الزوجة ثمّ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ولیس لها بعل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أمکن عود الضمیر لغیر الزوجة ، إلاّ أن وقوع مثل هذا من الإمام علیه السلام یکاد أن یقطع بنفیه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کُنْتُمْ جُنُباً فَاطَّهَّرُوا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یقل ذلک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یخلو من شی‌ء ، إلاّ أن یقال فی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غسل الجنابة علی المرأة بالإجماع لا من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تضمنه الخبر الثانی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أنزلت من شهوة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قدّمنا فیه القول من حیث الاکتفاء بالشهوة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السائل فی الخبر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دون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یراد به ما یعمّ الدبر ، إلاّ أن کلام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یفید حکماً </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ولا تقریر الإمام علیه السلام فی مثل هذا ، کما یعرف بالتأمّل فی الحدیث حق التأمّل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النهایة فی حدیث أبی جعفر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فملأت ما بین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1" w:name="__RefHeading___Toc39308_2142443653"/>
      <w:bookmarkStart w:id="542" w:name="_Toc212"/>
      <w:bookmarkEnd w:id="541"/>
      <w:r>
        <w:rPr>
          <w:rtl w:val="true"/>
        </w:rPr>
        <w:t>التهافت فی خبر عبید بن زرارة</w:t>
      </w:r>
      <w:bookmarkStart w:id="543" w:name="pg17122_169627"/>
      <w:bookmarkEnd w:id="542"/>
    </w:p>
    <w:p>
      <w:pPr>
        <w:pStyle w:val="BookText"/>
        <w:rPr/>
      </w:pPr>
      <w:bookmarkEnd w:id="543"/>
      <w:r>
        <w:rPr>
          <w:rFonts w:ascii="IRNazanin" w:hAnsi="IRNazanin" w:eastAsia="IRNazanin"/>
          <w:color w:val="111111"/>
          <w:sz w:val="28"/>
          <w:sz w:val="28"/>
          <w:szCs w:val="28"/>
          <w:rtl w:val="true"/>
          <w:lang w:bidi="fa-IR"/>
        </w:rPr>
        <w:t xml:space="preserve">فروجی ، جمع فرج ، وهو ما بین الرِّجلین ،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سمی فرج الرجل والمرأة ، لأنهما بین الرِّجلین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کتاب أحکام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صیغة الفرج لها وضعان لغوی وعرفی ، فأمّا اللغوی فهو مأخوذ من الانفراج فعلی هذا یدخل فیه الدبر ، وأمّا العرفی فالغالب استعماله فی القبل من الرجل والمرأة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الفرج العورة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عرفت هذا فما وقع فی بعض هذه الأخبار من الفرج لا یبعد أن یکون المراد به القبل إلاّ أن باب الاحتمال واسع ، وستظهر فائدة الخلاف فیما 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أن التقاء الختانین یوجب الغسل</w:t>
      </w:r>
    </w:p>
    <w:p>
      <w:pPr>
        <w:pStyle w:val="BookText"/>
        <w:rPr/>
      </w:pPr>
      <w:r>
        <w:rPr>
          <w:rFonts w:ascii="IRNazanin" w:hAnsi="IRNazanin" w:eastAsia="IRNazanin"/>
          <w:color w:val="111111"/>
          <w:sz w:val="28"/>
          <w:sz w:val="28"/>
          <w:szCs w:val="28"/>
          <w:rtl w:val="true"/>
          <w:lang w:bidi="fa-IR"/>
        </w:rPr>
        <w:t xml:space="preserve">أخبرنی الشیخ رحمه الله عن أبی القاسم جعفر بن محمد ، عن محمد بن یعقوب ، عن محمد بن یحیی ، عن محمد بن الحسین ، عن صفوان بن یحیی ، عن العلاء بن رزین ، عن محمد بن مسلم ، عن أحدهما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متی یجب </w:t>
      </w:r>
      <w:r>
        <w:rPr>
          <w:rStyle w:val="FootnoteAnchor"/>
          <w:rtl w:val="true"/>
        </w:rPr>
        <w:footnoteReference w:id="575"/>
      </w:r>
      <w:r>
        <w:rPr>
          <w:rFonts w:ascii="IRNazanin" w:hAnsi="IRNazanin" w:eastAsia="IRNazanin"/>
          <w:color w:val="111111"/>
          <w:sz w:val="28"/>
          <w:sz w:val="28"/>
          <w:szCs w:val="28"/>
          <w:rtl w:val="true"/>
          <w:lang w:bidi="fa-IR"/>
        </w:rPr>
        <w:t xml:space="preserve">الغسل علی الرجل والمرأة؟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أدخله فقد وجب الغسل والمهر والرجم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الاسناد عن محمد بن یعقوب ، عن عدة من أصحابنا ، عن أحمد بن محمد بن عیسی ، عن محمد بن إسماعیل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w:t>
      </w:r>
    </w:p>
    <w:p>
      <w:pPr>
        <w:pStyle w:val="Heading4"/>
        <w:numPr>
          <w:ilvl w:val="3"/>
          <w:numId w:val="1"/>
        </w:numPr>
        <w:rPr/>
      </w:pPr>
      <w:bookmarkStart w:id="544" w:name="__RefHeading___Toc39310_2142443653"/>
      <w:bookmarkStart w:id="545" w:name="_Toc213"/>
      <w:bookmarkEnd w:id="544"/>
      <w:r>
        <w:rPr>
          <w:rtl w:val="true"/>
        </w:rPr>
        <w:t>معنی الفرج</w:t>
      </w:r>
      <w:bookmarkEnd w:id="545"/>
    </w:p>
    <w:p>
      <w:pPr>
        <w:pStyle w:val="Heading3"/>
        <w:numPr>
          <w:ilvl w:val="2"/>
          <w:numId w:val="1"/>
        </w:numPr>
        <w:rPr/>
      </w:pPr>
      <w:bookmarkStart w:id="546" w:name="__RefHeading___Toc39312_2142443653"/>
      <w:bookmarkStart w:id="547" w:name="_Toc214"/>
      <w:bookmarkEnd w:id="546"/>
      <w:r>
        <w:rPr>
          <w:rtl w:val="true"/>
        </w:rPr>
        <w:t>التقاء الختانین یوجب الغسل</w:t>
      </w:r>
      <w:bookmarkEnd w:id="54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8" w:name="__RefHeading___Toc39314_2142443653"/>
      <w:bookmarkStart w:id="549" w:name="_Toc215"/>
      <w:bookmarkEnd w:id="548"/>
      <w:r>
        <w:rPr>
          <w:rtl w:val="true"/>
        </w:rPr>
        <w:t>اشارة</w:t>
      </w:r>
      <w:bookmarkStart w:id="550" w:name="pg17122_169628"/>
      <w:bookmarkEnd w:id="549"/>
    </w:p>
    <w:p>
      <w:pPr>
        <w:pStyle w:val="BookText"/>
        <w:rPr/>
      </w:pPr>
      <w:bookmarkEnd w:id="550"/>
      <w:r>
        <w:rPr>
          <w:rFonts w:ascii="IRNazanin" w:hAnsi="IRNazanin" w:eastAsia="IRNazanin"/>
          <w:color w:val="111111"/>
          <w:sz w:val="28"/>
          <w:sz w:val="28"/>
          <w:szCs w:val="28"/>
          <w:rtl w:val="true"/>
          <w:lang w:bidi="fa-IR"/>
        </w:rPr>
        <w:t xml:space="preserve">الرضا علیه السلام عن الرجل یجامع المرأة قریباً من الفرج فلا ینزلان متی یجب الغسل؟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التقی الختانان فقد وجب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Style w:val="FootnoteAnchor"/>
          <w:rtl w:val="true"/>
        </w:rPr>
        <w:footnoteReference w:id="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التقاء الختانین هو غیبوبة الحشفة؟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الاسناد عن أحمد بن محمد ، عن الحسن بن علی بن یقطین ، عن أخیه الحسین بن علی ،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الرجل یصیب الجاریة البکر لا یفضی إلیها أعلیها غسل؟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وضع الختان علی الختان فقد وجب الغسل ، البکر وغیر البکر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فی الجمیع واضح بعد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ظاهره أن الإدخال موجب للثلاثة المذکورة ، وهو متناول للقبل والدبر ، إلاّ أن یقال بالانصراف إلی القبل ، أو یخصّ بغیره ، کما فی الخبر الثانی ، فإن التقاء الختانین لا یتصور فی غیر القبل ، وقول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التقاء الختانین هو غیبوبة الحشفة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احتمل أن یکون المراد به أن هذا اللفظ علم علی غیبوبة الحشفة سواء کان فی القبل أو الدبر ، إلاّ أن ظهور إرادة کون مجرّد الالتقاء غیر کاف فی وجوب الغسل بل لا بد من الغیبوبة فی القبل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الخبر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مجرد الوضع کاف فی وجوب الغسل لا یخلو من منافاةٍ للخبرین الأوّلین ، فالعجب من عدم تعرّض الشیخ</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1" w:name="__RefHeading___Toc39316_2142443653"/>
      <w:bookmarkStart w:id="552" w:name="_Toc216"/>
      <w:bookmarkEnd w:id="551"/>
      <w:r>
        <w:rPr>
          <w:rtl w:val="true"/>
        </w:rPr>
        <w:t>هل الإدخال الموجب للغسل والمهر والرجم عام للقبل والدبر؟</w:t>
      </w:r>
      <w:bookmarkStart w:id="553" w:name="pg17122_169629"/>
      <w:bookmarkEnd w:id="552"/>
    </w:p>
    <w:p>
      <w:pPr>
        <w:pStyle w:val="BookText"/>
        <w:rPr/>
      </w:pPr>
      <w:bookmarkEnd w:id="553"/>
      <w:r>
        <w:rPr>
          <w:rFonts w:ascii="IRNazanin" w:hAnsi="IRNazanin" w:eastAsia="IRNazanin"/>
          <w:color w:val="111111"/>
          <w:sz w:val="28"/>
          <w:sz w:val="28"/>
          <w:szCs w:val="28"/>
          <w:rtl w:val="true"/>
          <w:lang w:bidi="fa-IR"/>
        </w:rPr>
        <w:t xml:space="preserve">له ، سیّما وفی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والغیبوبة فیها غیر ظاهرة إلاّ علی 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وأعجب من ذلک قول بعض محققی 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یفضی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بمعنی لا یولجه بأجمعه ، أو بمعنی أنه لا ینزل </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احتمال إرادة عدم إدخال الجمیع لها وجه وإن بَعُد ، لضرورة الجمع ، وعدم العلم بالقائل بمضمونه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البکر وغیر البکر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 العلاّمة فی المختلف استدل بالأخبار المذکورة علی أن الغسل واجب لنفسه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وتقریر الاستدلال من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علّق وجوب الغسل بالإدخال فلا یکون معلّقاً بغیره ، وإلاّ لم یکن معلّقاً علی مطلق الإدخال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علّق وجوب المهر والرجم علی الإدخال ، ولا خلاف فی أنّهما غیر مشروطین بشرط عبادة من العبادات ، وکذا الغسل قضیةً للعطف </w:t>
      </w:r>
      <w:r>
        <w:rPr>
          <w:rStyle w:val="FootnoteAnchor"/>
          <w:rtl w:val="true"/>
        </w:rPr>
        <w:footnoteReference w:id="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قاله حق إذا لم یوجد المعارض والحال أنّه موجود ، وهو ما استدل به لابن إدریس من روایة عبد الله بن یحیی الکاهلی الموصوفة بالصحة منه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المرأة یجامعها الرجل فتحیض فی المغتسل فتغتسل أم لا؟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جاءها ما یفسد الصلاة فلا تغتسل </w:t>
      </w:r>
      <w:r>
        <w:rPr>
          <w:rFonts w:eastAsia="IRNazanin" w:cs="IRNazanin"/>
          <w:color w:val="111111"/>
          <w:sz w:val="28"/>
          <w:szCs w:val="28"/>
          <w:rtl w:val="true"/>
          <w:lang w:bidi="fa-IR"/>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4" w:name="__RefHeading___Toc39318_2142443653"/>
      <w:bookmarkStart w:id="555" w:name="_Toc217"/>
      <w:bookmarkEnd w:id="554"/>
      <w:r>
        <w:rPr>
          <w:rtl w:val="true"/>
        </w:rPr>
        <w:t>بحث فی أنّ غسل الجنابة واجب نفسی أم غیری؟</w:t>
      </w:r>
      <w:bookmarkEnd w:id="555"/>
    </w:p>
    <w:p>
      <w:pPr>
        <w:pStyle w:val="BookText"/>
        <w:rPr/>
      </w:pPr>
      <w:r>
        <w:rPr>
          <w:rFonts w:ascii="IRNazanin" w:hAnsi="IRNazanin" w:eastAsia="IRNazanin"/>
          <w:color w:val="111111"/>
          <w:sz w:val="28"/>
          <w:sz w:val="28"/>
          <w:szCs w:val="28"/>
          <w:rtl w:val="true"/>
          <w:lang w:bidi="fa-IR"/>
        </w:rPr>
        <w:t xml:space="preserve">وجواب العلاّمة عن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الغسل إنّما یجب إذا کان رافعاً للحدث ، وهو غیر متحقق فی الحائض فلا یجب علیها </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نظر ، لأنه قرّر أوّل المسألة فی تحریر محل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الجنب إذا خلا من عبادة تجب فیها الطهارة کالطواف والصلاة الواجبین ومسّ کتابة القرآن وقراءة العزائم الواجبین ودخول المساجد الواجب إذا أوقع الغسل هل یوقعه علی جهة الوجوب أو الندب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والأقرب الأول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الکلام وإن ظن منه حیث قیّد بالواجب فی الجمیع أن اعتبار الندب من العبادة لا بد منه ، إلاّ أنّه لا دلیل علی اعتباره علی القول بالوجوب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اعتبار رفع الحدث إن أراد به رفع الحدث المانع من استباحة الصلاة ونحوها المندوبة فهو مطالب بدلیله علی تقدیر الوجوب لنفسه ، وإن أراد به رفع الحدث من حیث هو فکذلک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لوجوب الغسل إلاّ هذا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مانع من کون الغسل واجبا من حیث هو ، کما فی غسل المسّ علی القول بأنّ المسّ غیر ناقض ، وکالغسل المندوب فی الجمعة والإحرام ، وحینئذ فإذا دل الخبر علی عدم الوجوب لنفسه أمکن حمل الأخبار علی الوجوب إذا حصل المشروط به ، وکون المهر والرجم </w:t>
      </w:r>
    </w:p>
    <w:p>
      <w:pPr>
        <w:pStyle w:val="BookText"/>
        <w:rPr/>
      </w:pPr>
      <w:r>
        <w:rPr>
          <w:rFonts w:ascii="IRNazanin" w:hAnsi="IRNazanin" w:eastAsia="IRNazanin"/>
          <w:color w:val="111111"/>
          <w:sz w:val="28"/>
          <w:sz w:val="28"/>
          <w:szCs w:val="28"/>
          <w:rtl w:val="true"/>
          <w:lang w:bidi="fa-IR"/>
        </w:rPr>
        <w:t>لا یتوقف علی مشروط بهما بالإجماع هو الذی أخرجهما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الرجم یتوقف علی ثبوت الحدود مع عدم ظهور الإمام علیه السلام ، والخلاف واقع فی ذلک ، قد یجاب عنه بأن الوجوب لا یتوقف بالإجماع ، نعم الفعل یتوقف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 نحو ذلک فی الغسل ، فإنه یجب بمجرّد الإدخال ، لکن الفعل مشروط بالصلاة کما فی نفس الصلاة ، فإن الشروط لفعلها غیر الشروط لوجوبها ، إلاّ أن للکلام مجالاً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علی تقدیر صحة الخبر المذکور من العلاّمة ، وإلاّ ففی الصحة بحث ، علی أنّه 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بتقدیر الصحة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إنّها محتملة لأن یراد أنّ المرأة قد جاءها ما یفسد الصلاة التی هی أعظم الواجبات ، فغسل الجنابة الذی واجب أدنی یفسد بطریق أولی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استدل به ابن إدریس من الآیة الشریفة علی ما حکاه العلاّمة موجّهاً له بأنّه سبحانه عطف الجملة علی جملة الوضوء فتشترکان فی الحکم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لم یجب الوضوء لغیر الصلاة فکذا الغسل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وجواب </w:t>
      </w:r>
      <w:r>
        <w:rPr>
          <w:rFonts w:eastAsia="IRNazanin" w:cs="IRNazanin"/>
          <w:color w:val="111111"/>
          <w:sz w:val="28"/>
          <w:szCs w:val="28"/>
          <w:rtl w:val="true"/>
          <w:lang w:bidi="fa-IR"/>
        </w:rPr>
        <w:t xml:space="preserve">] </w:t>
      </w:r>
      <w:r>
        <w:rPr>
          <w:rStyle w:val="FootnoteAnchor"/>
          <w:rtl w:val="true"/>
        </w:rPr>
        <w:footnoteReference w:id="582"/>
      </w:r>
      <w:r>
        <w:rPr>
          <w:rFonts w:ascii="IRNazanin" w:hAnsi="IRNazanin" w:eastAsia="IRNazanin"/>
          <w:color w:val="111111"/>
          <w:sz w:val="28"/>
          <w:sz w:val="28"/>
          <w:szCs w:val="28"/>
          <w:rtl w:val="true"/>
          <w:lang w:bidi="fa-IR"/>
        </w:rPr>
        <w:t xml:space="preserve">العلاّمة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بمنع المساواة فی الحکم فی </w:t>
      </w:r>
      <w:r>
        <w:rPr>
          <w:rFonts w:eastAsia="IRNazanin" w:cs="IRNazanin"/>
          <w:color w:val="111111"/>
          <w:sz w:val="28"/>
          <w:szCs w:val="28"/>
          <w:rtl w:val="true"/>
          <w:lang w:bidi="fa-IR"/>
        </w:rPr>
        <w:t xml:space="preserve">) </w:t>
      </w:r>
      <w:r>
        <w:rPr>
          <w:rStyle w:val="FootnoteAnchor"/>
          <w:rtl w:val="true"/>
        </w:rPr>
        <w:footnoteReference w:id="583"/>
      </w:r>
      <w:r>
        <w:rPr>
          <w:rFonts w:ascii="IRNazanin" w:hAnsi="IRNazanin" w:eastAsia="IRNazanin"/>
          <w:color w:val="111111"/>
          <w:sz w:val="28"/>
          <w:sz w:val="28"/>
          <w:szCs w:val="28"/>
          <w:rtl w:val="true"/>
          <w:lang w:bidi="fa-IR"/>
        </w:rPr>
        <w:t xml:space="preserve">عطف الجمل بعضها علی بعض ، سلّمنا لکن الآیة تدلّ علی وجوب الغسل عند إرادة الصلاة ولا تنفی الوجوب عند عدم الإرادة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 </w:t>
      </w:r>
      <w:r>
        <w:rPr>
          <w:rStyle w:val="FootnoteAnchor"/>
          <w:rtl w:val="true"/>
        </w:rPr>
        <w:footnoteReference w:id="585"/>
      </w:r>
      <w:r>
        <w:rPr>
          <w:rFonts w:ascii="Amiri" w:hAnsi="Amiri" w:eastAsia="Amiri" w:cs="Amiri"/>
          <w:color w:val="111111"/>
          <w:sz w:val="28"/>
          <w:sz w:val="28"/>
          <w:szCs w:val="28"/>
          <w:rtl w:val="true"/>
          <w:lang w:bidi="ar-SA"/>
        </w:rPr>
        <w:t xml:space="preserve">فیه 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إن أُرید بعطف الجملة علی الجملة أن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کُنْتُمْ جُنُباً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علی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للمشارکة فی إرادة الصلاة إلاّ علی احتمال لا یخلو من تکلّف ، بل أظنّ عدم القائل به ؛ وإن أُرید أن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کُنْتُمْ جُنُباً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علی جملة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فَاغْسِلُوا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فالمشارکة فی الحکم المتوقفة علیه الاولی لا وجه لمنعه ، وحینئذ فمنع العلاّمة المساواة فی الحکم علی الإطلاق غیر تام ، بل الأولی تفصیل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یبعد أن یدعی ظهور العطف علی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فَاغْسِلُوا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هو مراد ابن إدریس ؛ لأنّ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کُنْتُمْ مَرْضی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معطوفة علی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فَاغْسِلُوا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إنّ المعروف بین الأصحاب کون التیمم یجب لغیره ، ولو لا الاتحاد فی الحکم مع الوضوء لم یتم ذلک ، وعلی هذا فتوافق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w:t>
      </w:r>
      <w:r>
        <w:rPr>
          <w:rStyle w:val="FootnoteAnchor"/>
          <w:rtl w:val="true"/>
        </w:rPr>
        <w:footnoteReference w:id="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المشارکة فی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التیمم فیه الخلاف أیضا ، کما حکاه الشهید فی الذکری علی ما نقله شیخنا قدس سره من أن الطهارات کلها واجبة لأنفسها عند بعض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یمکن الجواب عنه باحتمال أن یوجد القائل بالعطف علی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وکلامنا علی تقدیر القول بوجوب التیمم لغیره ، فإنه لا بد أن یقال فی الآیة بالعطف علی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فَاغْسِلُوا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العطف علی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والدلیل خص التیمم بدخول الوقت ، وتکون الآیة من قبیل المجمل بسبب العطف المذکور ، وبیانها من غیرها ، والقائل بکون الطهارات واجبة لأنفسها لا بد له فی آیة الوضوء من التوجیه فله أن یقول مثله فی التیمم ، فلیتأملّ</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العلاّمة من تسلیم کون الآیة تدل علی وجوب الغسل عند إرادة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التسلیم إن کان مع عطف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w:t>
      </w:r>
    </w:p>
    <w:p>
      <w:pPr>
        <w:pStyle w:val="BookText"/>
        <w:rPr/>
      </w:pPr>
      <w:r>
        <w:rPr>
          <w:rFonts w:ascii="Amiri" w:hAnsi="Amiri" w:eastAsia="Amiri" w:cs="Amiri"/>
          <w:color w:val="111111"/>
          <w:sz w:val="28"/>
          <w:sz w:val="28"/>
          <w:szCs w:val="28"/>
          <w:rtl w:val="true"/>
          <w:lang w:bidi="ar-SA"/>
        </w:rPr>
        <w:t xml:space="preserve">کُنْتُمْ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فالوجه فیه غیر ظاهر ، بل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الإجمال الذی أشرنا إلیه و</w:t>
      </w:r>
      <w:r>
        <w:rPr>
          <w:rFonts w:eastAsia="Amiri" w:cs="Amiri" w:ascii="Amiri" w:hAnsi="Amiri"/>
          <w:color w:val="111111"/>
          <w:sz w:val="28"/>
          <w:szCs w:val="28"/>
          <w:rtl w:val="true"/>
          <w:lang w:bidi="ar-SA"/>
        </w:rPr>
        <w:t xml:space="preserve">) </w:t>
      </w:r>
      <w:r>
        <w:rPr>
          <w:rStyle w:val="FootnoteAnchor"/>
          <w:rtl w:val="true"/>
        </w:rPr>
        <w:footnoteReference w:id="588"/>
      </w:r>
      <w:r>
        <w:rPr>
          <w:rFonts w:ascii="IRNazanin" w:hAnsi="IRNazanin" w:eastAsia="IRNazanin"/>
          <w:color w:val="111111"/>
          <w:sz w:val="28"/>
          <w:sz w:val="28"/>
          <w:szCs w:val="28"/>
          <w:rtl w:val="true"/>
          <w:lang w:bidi="fa-IR"/>
        </w:rPr>
        <w:t xml:space="preserve">عدم معلومیة القائل به فی عطف الجمل ، ومثله یشکل الحکم به ، وبتقدیر القول به فآیة الوضوء تدل بمفهوم الشرط علی نفی الضوء عند عدم إرادة الصلاة ، ومثله یقال فی الغسل ، فإن مفهوم الشرط حجّة عند العلامة ،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ینفی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مفهوم الشرط حجّة إذا لم یعارضه المنطوق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دل علی وجوب الغسل بمجرد الإدخال معارض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المفهوم بتقدیر الحجیة إذا تعارض مع المنطوق </w:t>
      </w:r>
      <w:r>
        <w:rPr>
          <w:rFonts w:eastAsia="IRNazanin" w:cs="IRNazanin"/>
          <w:color w:val="111111"/>
          <w:sz w:val="28"/>
          <w:szCs w:val="28"/>
          <w:rtl w:val="true"/>
          <w:lang w:bidi="fa-IR"/>
        </w:rPr>
        <w:t xml:space="preserve">) </w:t>
      </w:r>
      <w:r>
        <w:rPr>
          <w:rStyle w:val="FootnoteAnchor"/>
          <w:rtl w:val="true"/>
        </w:rPr>
        <w:footnoteReference w:id="589"/>
      </w:r>
      <w:r>
        <w:rPr>
          <w:rFonts w:ascii="IRNazanin" w:hAnsi="IRNazanin" w:eastAsia="IRNazanin"/>
          <w:color w:val="111111"/>
          <w:sz w:val="28"/>
          <w:sz w:val="28"/>
          <w:szCs w:val="28"/>
          <w:rtl w:val="true"/>
          <w:lang w:bidi="fa-IR"/>
        </w:rPr>
        <w:t>یرجح المنطوق علیه إذا لم یکن للمنطوق معارض ، والحال أنا قد ذکرنا المعارض له ، وهو الخبر المحکوم بصحته عند المصنف ، فلا یتم القول منه ، نعم من لا یقول بصحّة الخبر یمکنه توجیه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قاله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ذکر المسألة فی المنتهی مطولة </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أقف علیه ، وإنّما ذکرت ما خطر فی البال ، إلی أن یوفّق الله سبحانه لرؤیة ما ذکره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استدلاله فی المختلف </w:t>
      </w:r>
      <w:r>
        <w:rPr>
          <w:rStyle w:val="FootnoteAnchor"/>
          <w:rtl w:val="true"/>
        </w:rPr>
        <w:footnoteReference w:id="591"/>
      </w:r>
      <w:r>
        <w:rPr>
          <w:rFonts w:ascii="IRNazanin" w:hAnsi="IRNazanin" w:eastAsia="IRNazanin"/>
          <w:color w:val="111111"/>
          <w:sz w:val="28"/>
          <w:sz w:val="28"/>
          <w:szCs w:val="28"/>
          <w:rtl w:val="true"/>
          <w:lang w:bidi="fa-IR"/>
        </w:rPr>
        <w:t xml:space="preserve">علی الوجوب لنفسه بصحیح زرارة عن الباقر علیه السلام إنّه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عمر بن الخطاب أصحاب النبیّ صلی الله علیه و آله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تقولون فی الرجل یأتی أهله فیخالطها ولا ینزل؟ فقالت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من الماء ، وقال المهاجرون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التقی الختانان فقد وجب الغسل ، فقال عمر </w:t>
      </w:r>
    </w:p>
    <w:p>
      <w:pPr>
        <w:pStyle w:val="BookText"/>
        <w:rPr/>
      </w:pPr>
      <w:r>
        <w:rPr>
          <w:rFonts w:ascii="IRNazanin" w:hAnsi="IRNazanin" w:eastAsia="IRNazanin"/>
          <w:color w:val="111111"/>
          <w:sz w:val="28"/>
          <w:sz w:val="28"/>
          <w:szCs w:val="28"/>
          <w:rtl w:val="true"/>
          <w:lang w:bidi="fa-IR"/>
        </w:rPr>
        <w:t xml:space="preserve">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یا أبا الحسن؟ 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أتوجبون علیه الرجم والحدّ ولا توجبون علیه صاعاً من ماء ، إذا التقی الختانان فقد وجب الغسل </w:t>
      </w:r>
      <w:r>
        <w:rPr>
          <w:rFonts w:eastAsia="IRNazanin" w:cs="IRNazanin"/>
          <w:color w:val="111111"/>
          <w:sz w:val="28"/>
          <w:szCs w:val="28"/>
          <w:rtl w:val="true"/>
          <w:lang w:bidi="fa-IR"/>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الاستدلال أنّه علیه السلام أنکر إیجاب الحدّ والرجم ونفی إیجاب الغسل بأن إیجاب أصعب العقوبتین یقتضی إیجاب أسهلهما ، ولمّا کان إیجاب الأصعب غیر مشروط بعبادة فکذلک وجوب الأدنی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یخرج عن الکلام الذی قلناه فی استدلاله بحدیث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التقی الختانان فقد وجب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ظاهر قول علیّ علیه السلام الإیجاب علی الإطلاق ، إلاّ أن الخلاف الواقع بین المهاجرین والأنصار لم یعلم أنه علی الإطلاق أو حال وجوب العبادة ، وکلام علیّ علیه السلام تابع لذلک ، فالاستدلال به محل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وللعلاّمة استدلال بوجهین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الماء من الماء </w:t>
      </w:r>
      <w:r>
        <w:rPr>
          <w:rFonts w:eastAsia="IRNazanin" w:cs="IRNazanin"/>
          <w:color w:val="111111"/>
          <w:sz w:val="28"/>
          <w:szCs w:val="28"/>
          <w:rtl w:val="true"/>
          <w:lang w:bidi="fa-IR"/>
        </w:rPr>
        <w:t xml:space="preserve">» </w:t>
      </w:r>
      <w:r>
        <w:rPr>
          <w:rStyle w:val="FootnoteAnchor"/>
          <w:rtl w:val="true"/>
        </w:rPr>
        <w:footnoteReference w:id="594"/>
      </w:r>
      <w:r>
        <w:rPr>
          <w:rStyle w:val="FootnoteAnchor"/>
          <w:rtl w:val="true"/>
        </w:rPr>
        <w:footnoteReference w:id="595"/>
      </w:r>
      <w:r>
        <w:rPr>
          <w:rFonts w:ascii="IRNazanin" w:hAnsi="IRNazanin" w:eastAsia="IRNazanin"/>
          <w:color w:val="111111"/>
          <w:sz w:val="28"/>
          <w:sz w:val="28"/>
          <w:szCs w:val="28"/>
          <w:rtl w:val="true"/>
          <w:lang w:bidi="fa-IR"/>
        </w:rPr>
        <w:t>وفیه نحو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 لا یصلح أن یذکر ، بل العجب من وقوع مثله من مثله ، کما یعرف من راجع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أعلم بحقیقة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ما رواه الحسین بن سعید ، عن فضالة ، عن أبان بن عثمان ، </w:t>
      </w:r>
      <w:bookmarkStart w:id="556" w:name="pg17122_169635"/>
    </w:p>
    <w:p>
      <w:pPr>
        <w:pStyle w:val="BookText"/>
        <w:rPr/>
      </w:pPr>
      <w:bookmarkEnd w:id="556"/>
      <w:r>
        <w:rPr>
          <w:rFonts w:ascii="IRNazanin" w:hAnsi="IRNazanin" w:eastAsia="IRNazanin"/>
          <w:color w:val="111111"/>
          <w:sz w:val="28"/>
          <w:sz w:val="28"/>
          <w:szCs w:val="28"/>
          <w:rtl w:val="true"/>
          <w:lang w:bidi="fa-IR"/>
        </w:rPr>
        <w:t xml:space="preserve">عن عنبسة بن مصعب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علیّ علیه السلام لا یری فی شی‌ء الغسل إلاّ فی الماء الأکبر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هذا الخبر أنّه إذا لم یلتق الختانان لا یجب الغسل إلاّ فی الماء الأکبر ، لأنه ربما رأی الرجل فی النوم أنّه جامع فلا یری إذا انتبه شیئاً فلا یجب علیه الغسل إلاّ إذا انتبه ورأی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Style w:val="FootnoteAnchor"/>
          <w:rtl w:val="true"/>
        </w:rPr>
        <w:footnoteReference w:id="596"/>
      </w:r>
      <w:r>
        <w:rPr>
          <w:rFonts w:ascii="IRNazanin" w:hAnsi="IRNazanin" w:eastAsia="IRNazanin"/>
          <w:color w:val="111111"/>
          <w:sz w:val="28"/>
          <w:sz w:val="28"/>
          <w:szCs w:val="28"/>
          <w:rtl w:val="true"/>
          <w:lang w:bidi="fa-IR"/>
        </w:rPr>
        <w:t xml:space="preserve">أنّه مخصوص بهذه الحال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محمد بن یعقوب ، عن محمد بن یحیی ، عن أحمد بن محمد ، عن علی بن الحکم ، عن الحسین بن أبی العلاء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یری فی المنام حتی یجد الشهوة وهو یری أنّه قد احتلم ، فإذا استیقظ لم یر فی ثوبه الماء ولا فی جسده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علیه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الغسل من الماء الأکبر ، فإذا رأی فی منامه ولم یر الماء الأکبر فلیس علیه 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 ارتیاب إلاّ من جهة أبان ، والّذی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ناووسیّاً </w:t>
      </w:r>
      <w:r>
        <w:rPr>
          <w:rStyle w:val="FootnoteAnchor"/>
          <w:rtl w:val="true"/>
        </w:rPr>
        <w:footnoteReference w:id="597"/>
      </w:r>
      <w:r>
        <w:rPr>
          <w:rFonts w:ascii="IRNazanin" w:hAnsi="IRNazanin" w:eastAsia="IRNazanin"/>
          <w:color w:val="111111"/>
          <w:sz w:val="28"/>
          <w:sz w:val="28"/>
          <w:szCs w:val="28"/>
          <w:rtl w:val="true"/>
          <w:lang w:bidi="fa-IR"/>
        </w:rPr>
        <w:t xml:space="preserve">، علیّ بن الحسن بن فضال </w:t>
      </w:r>
      <w:r>
        <w:rPr>
          <w:rStyle w:val="FootnoteAnchor"/>
          <w:rtl w:val="true"/>
        </w:rPr>
        <w:footnoteReference w:id="598"/>
      </w:r>
      <w:r>
        <w:rPr>
          <w:rFonts w:ascii="IRNazanin" w:hAnsi="IRNazanin" w:eastAsia="IRNazanin"/>
          <w:color w:val="111111"/>
          <w:sz w:val="28"/>
          <w:sz w:val="28"/>
          <w:szCs w:val="28"/>
          <w:rtl w:val="true"/>
          <w:lang w:bidi="fa-IR"/>
        </w:rPr>
        <w:t>، وهو فطحیّ ثقة ، فمن یعمل بالموثق یلتزم بأن أبان ناووسیّ ثقة ، فحدیثه من الموثق ویلزمه العمل به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7" w:name="__RefHeading___Toc39320_2142443653"/>
      <w:bookmarkStart w:id="558" w:name="_Toc218"/>
      <w:bookmarkEnd w:id="557"/>
      <w:r>
        <w:rPr>
          <w:rtl w:val="true"/>
        </w:rPr>
        <w:t>بحث حول أبان بن عثمان</w:t>
      </w:r>
      <w:bookmarkStart w:id="559" w:name="pg17122_169636"/>
      <w:bookmarkEnd w:id="558"/>
    </w:p>
    <w:p>
      <w:pPr>
        <w:pStyle w:val="BookText"/>
        <w:rPr/>
      </w:pPr>
      <w:bookmarkEnd w:id="559"/>
      <w:r>
        <w:rPr>
          <w:rFonts w:ascii="IRNazanin" w:hAnsi="IRNazanin" w:eastAsia="IRNazanin"/>
          <w:color w:val="111111"/>
          <w:sz w:val="28"/>
          <w:sz w:val="28"/>
          <w:szCs w:val="28"/>
          <w:rtl w:val="true"/>
          <w:lang w:bidi="fa-IR"/>
        </w:rPr>
        <w:t xml:space="preserve">مضافاً إلی تأیید الإجماع علی تصحیح ما یصح عنه ، کما نقله الکشی </w:t>
      </w:r>
      <w:r>
        <w:rPr>
          <w:rStyle w:val="FootnoteAnchor"/>
          <w:rtl w:val="true"/>
        </w:rPr>
        <w:footnoteReference w:id="599"/>
      </w:r>
      <w:r>
        <w:rPr>
          <w:rFonts w:ascii="IRNazanin" w:hAnsi="IRNazanin" w:eastAsia="IRNazanin"/>
          <w:color w:val="111111"/>
          <w:sz w:val="28"/>
          <w:sz w:val="28"/>
          <w:szCs w:val="28"/>
          <w:rtl w:val="true"/>
          <w:lang w:bidi="fa-IR"/>
        </w:rPr>
        <w:t>، ومن لم یعمل بالموثق فلیس أبان بداخل فی ما قیل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یوجد فی کلام بعض المتأخّرین من تصحیح حدیث أبان للإجماع علی تصحیح ما یصح عنه مع عمله بالموثق </w:t>
      </w:r>
      <w:r>
        <w:rPr>
          <w:rStyle w:val="FootnoteAnchor"/>
          <w:rtl w:val="true"/>
        </w:rPr>
        <w:footnoteReference w:id="600"/>
      </w:r>
      <w:r>
        <w:rPr>
          <w:rFonts w:ascii="IRNazanin" w:hAnsi="IRNazanin" w:eastAsia="IRNazanin"/>
          <w:color w:val="111111"/>
          <w:sz w:val="28"/>
          <w:sz w:val="28"/>
          <w:szCs w:val="28"/>
          <w:rtl w:val="true"/>
          <w:lang w:bidi="fa-IR"/>
        </w:rPr>
        <w:t>، لا یخلو من خروج عن اصطلاح المتأخّرین فی تصحیح الأحادیث ، والوالد قدس سره لا یعمل بالموثق واتفق له ما یوجب الإشکال فی کلامه کما نبّهنا علیه فی مواضع ممّا کتبناه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عنبسة بن مصعب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الکشی نقلاً عن حمدویه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ناووسی واقفی </w:t>
      </w:r>
      <w:r>
        <w:rPr>
          <w:rStyle w:val="FootnoteAnchor"/>
          <w:rtl w:val="true"/>
        </w:rPr>
        <w:footnoteReference w:id="601"/>
      </w:r>
      <w:r>
        <w:rPr>
          <w:rFonts w:ascii="IRNazanin" w:hAnsi="IRNazanin" w:eastAsia="IRNazanin"/>
          <w:color w:val="111111"/>
          <w:sz w:val="28"/>
          <w:sz w:val="28"/>
          <w:szCs w:val="28"/>
          <w:rtl w:val="true"/>
          <w:lang w:bidi="fa-IR"/>
        </w:rPr>
        <w:t xml:space="preserve">، وذکر فی روایة عن علیّ بن الحکم ، عن منصور بن یونس ، عن عنبسة بن مصعب إلی آخر الروایة </w:t>
      </w:r>
      <w:r>
        <w:rPr>
          <w:rStyle w:val="FootnoteAnchor"/>
          <w:rtl w:val="true"/>
        </w:rPr>
        <w:footnoteReference w:id="602"/>
      </w:r>
      <w:r>
        <w:rPr>
          <w:rFonts w:ascii="IRNazanin" w:hAnsi="IRNazanin" w:eastAsia="IRNazanin"/>
          <w:color w:val="111111"/>
          <w:sz w:val="28"/>
          <w:sz w:val="28"/>
          <w:szCs w:val="28"/>
          <w:rtl w:val="true"/>
          <w:lang w:bidi="fa-IR"/>
        </w:rPr>
        <w:t xml:space="preserve">، والشیخ فی التهذیب فی باب الأذان روی عن منصور بن یونس ، عن عنبسة العابد </w:t>
      </w:r>
      <w:r>
        <w:rPr>
          <w:rStyle w:val="FootnoteAnchor"/>
          <w:rtl w:val="true"/>
        </w:rPr>
        <w:footnoteReference w:id="603"/>
      </w:r>
      <w:r>
        <w:rPr>
          <w:rFonts w:ascii="IRNazanin" w:hAnsi="IRNazanin" w:eastAsia="IRNazanin"/>
          <w:color w:val="111111"/>
          <w:sz w:val="28"/>
          <w:sz w:val="28"/>
          <w:szCs w:val="28"/>
          <w:rtl w:val="true"/>
          <w:lang w:bidi="fa-IR"/>
        </w:rPr>
        <w:t xml:space="preserve">، وعنبسة العابد هو ابن بجاد علی قول النجاشی ، وهو ثقة وکان قاضیاً کما ذکره النجاشی أیضا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والکشی نقل عن حمدویه عن أشیاخه أن ابن بجاد کان خیراً فاضلاً </w:t>
      </w:r>
      <w:r>
        <w:rPr>
          <w:rStyle w:val="FootnoteAnchor"/>
          <w:rtl w:val="true"/>
        </w:rPr>
        <w:footnoteReference w:id="605"/>
      </w:r>
      <w:r>
        <w:rPr>
          <w:rFonts w:ascii="IRNazanin" w:hAnsi="IRNazanin" w:eastAsia="IRNazanin"/>
          <w:color w:val="111111"/>
          <w:sz w:val="28"/>
          <w:sz w:val="28"/>
          <w:szCs w:val="28"/>
          <w:rtl w:val="true"/>
          <w:lang w:bidi="fa-IR"/>
        </w:rPr>
        <w:t>، وعلی مقتضی ما قدمناه الاتحاد ، إلاّ أن یقال بجواز روایة منصور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0" w:name="__RefHeading___Toc39322_2142443653"/>
      <w:bookmarkStart w:id="561" w:name="_Toc219"/>
      <w:bookmarkEnd w:id="560"/>
      <w:r>
        <w:rPr>
          <w:rtl w:val="true"/>
        </w:rPr>
        <w:t>بحث حول عنبسة بن مصعب</w:t>
      </w:r>
      <w:bookmarkStart w:id="562" w:name="pg17122_169637"/>
      <w:bookmarkEnd w:id="561"/>
    </w:p>
    <w:p>
      <w:pPr>
        <w:pStyle w:val="BookText"/>
        <w:rPr/>
      </w:pPr>
      <w:bookmarkEnd w:id="562"/>
      <w:r>
        <w:rPr>
          <w:rFonts w:ascii="IRNazanin" w:hAnsi="IRNazanin" w:eastAsia="IRNazanin"/>
          <w:color w:val="111111"/>
          <w:sz w:val="28"/>
          <w:sz w:val="28"/>
          <w:szCs w:val="28"/>
          <w:rtl w:val="true"/>
          <w:lang w:bidi="fa-IR"/>
        </w:rPr>
        <w:t>ابن یونس عن الرجلین ، وهو غیر بعید ، أو الوهم من الشیخ فی الروایة أو من الکشی ، وعلی کل حال فعنبسة بن مصعب مع القول بالوقف فیه لا یکون حدیثه من الصحیح ، إلاّ علی تقدیر تقدیم قول النجاشی الذی ظاهره التوثیق من غیر ذکر الوقف والحکم بالاتحاد ، والإشکال فیه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فی کلام شیخنا قدس سره من أن الشیخ روی فی الصحیح عن عنبسة ابن مصعب </w:t>
      </w:r>
      <w:r>
        <w:rPr>
          <w:rStyle w:val="FootnoteAnchor"/>
          <w:rtl w:val="true"/>
        </w:rPr>
        <w:footnoteReference w:id="606"/>
      </w:r>
      <w:r>
        <w:rPr>
          <w:rFonts w:ascii="IRNazanin" w:hAnsi="IRNazanin" w:eastAsia="IRNazanin"/>
          <w:color w:val="111111"/>
          <w:sz w:val="28"/>
          <w:sz w:val="28"/>
          <w:szCs w:val="28"/>
          <w:rtl w:val="true"/>
          <w:lang w:bidi="fa-IR"/>
        </w:rPr>
        <w:t xml:space="preserve">، محل کلام ، إلاّ أن تکون الصحة إضافیة ، وقد قدّمنا فیه قولا </w:t>
      </w:r>
      <w:r>
        <w:rPr>
          <w:rStyle w:val="FootnoteAnchor"/>
          <w:rtl w:val="true"/>
        </w:rPr>
        <w:footnoteReference w:id="607"/>
      </w:r>
      <w:r>
        <w:rPr>
          <w:rFonts w:ascii="IRNazanin" w:hAnsi="IRNazanin" w:eastAsia="IRNazanin"/>
          <w:color w:val="111111"/>
          <w:sz w:val="28"/>
          <w:sz w:val="28"/>
          <w:szCs w:val="28"/>
          <w:rtl w:val="true"/>
          <w:lang w:bidi="fa-IR"/>
        </w:rPr>
        <w:t>، والإعادة لأمر ما غیر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الحسین بن أبی العلاء ، ولا أعلم إلاّ کونه ممدوحاً بتقدیر استفادته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أوجه من أخویه </w:t>
      </w:r>
      <w:r>
        <w:rPr>
          <w:rStyle w:val="FootnoteAnchor"/>
          <w:rtl w:val="true"/>
        </w:rPr>
        <w:footnoteReference w:id="608"/>
      </w:r>
      <w:r>
        <w:rPr>
          <w:rFonts w:ascii="IRNazanin" w:hAnsi="IRNazanin" w:eastAsia="IRNazanin"/>
          <w:color w:val="111111"/>
          <w:sz w:val="28"/>
          <w:sz w:val="28"/>
          <w:szCs w:val="28"/>
          <w:rtl w:val="true"/>
          <w:lang w:bidi="fa-IR"/>
        </w:rPr>
        <w:t xml:space="preserve">، وثقة أحد الأخوین </w:t>
      </w:r>
      <w:r>
        <w:rPr>
          <w:rStyle w:val="FootnoteAnchor"/>
          <w:rtl w:val="true"/>
        </w:rPr>
        <w:footnoteReference w:id="609"/>
      </w:r>
      <w:r>
        <w:rPr>
          <w:rFonts w:ascii="IRNazanin" w:hAnsi="IRNazanin" w:eastAsia="IRNazanin"/>
          <w:color w:val="111111"/>
          <w:sz w:val="28"/>
          <w:sz w:val="28"/>
          <w:szCs w:val="28"/>
          <w:rtl w:val="true"/>
          <w:lang w:bidi="fa-IR"/>
        </w:rPr>
        <w:t xml:space="preserve">فی استفادة توثیقه منها تأمّل ، وکذلک من توثیق ابن طاوس له فی البشری ، وقد تقدم أیضاً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بن الحکم لا ارتیاب فیه بعد روایة أحمد بن محمد بن عیسی عنه ، والظاهر أن أحمد هو المذکور لا ابن خالد لیتوجه نوع 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قاله الشیخ فی الأوّل واستدلاله بالثانی لا یخلو من تأمّل ، لأن حاصل کلامه القول بخروج وجوب الغسل إذا التقی الختانان ، وخصوص هذا الخبر بمن رأی فی النوم وانتبه فلم یر شیئاً ، فإن أراد به ثبوت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3" w:name="__RefHeading___Toc39324_2142443653"/>
      <w:bookmarkStart w:id="564" w:name="_Toc220"/>
      <w:bookmarkEnd w:id="563"/>
      <w:r>
        <w:rPr>
          <w:rtl w:val="true"/>
        </w:rPr>
        <w:t>بحث حول الحسین بن أبی العلاء</w:t>
      </w:r>
      <w:bookmarkStart w:id="565" w:name="pg17122_169638"/>
      <w:bookmarkEnd w:id="564"/>
    </w:p>
    <w:p>
      <w:pPr>
        <w:pStyle w:val="BookText"/>
        <w:rPr/>
      </w:pPr>
      <w:bookmarkEnd w:id="565"/>
      <w:r>
        <w:rPr>
          <w:rFonts w:ascii="IRNazanin" w:hAnsi="IRNazanin" w:eastAsia="IRNazanin"/>
          <w:color w:val="111111"/>
          <w:sz w:val="28"/>
          <w:sz w:val="28"/>
          <w:szCs w:val="28"/>
          <w:rtl w:val="true"/>
          <w:lang w:bidi="fa-IR"/>
        </w:rPr>
        <w:t xml:space="preserve">مخصّص لما قاله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بیان صحة الحصر </w:t>
      </w:r>
      <w:r>
        <w:rPr>
          <w:rStyle w:val="FootnoteAnchor"/>
          <w:rtl w:val="true"/>
        </w:rPr>
        <w:footnoteReference w:id="611"/>
      </w:r>
      <w:r>
        <w:rPr>
          <w:rFonts w:ascii="IRNazanin" w:hAnsi="IRNazanin" w:eastAsia="IRNazanin"/>
          <w:color w:val="111111"/>
          <w:sz w:val="28"/>
          <w:sz w:val="28"/>
          <w:szCs w:val="28"/>
          <w:rtl w:val="true"/>
          <w:lang w:bidi="fa-IR"/>
        </w:rPr>
        <w:t xml:space="preserve">هی المهمة ، وإن أراد أن الحصر إضافیّ بالنسبة إلی غیر الماء الأکبر من مثل المذی فهو صحیح إلاّ أنه لا یلائم الاختصاص بمن رأی فی النوم ، فإن الماء الأکبر یتحقق فیه الحصر بمن ذکره وغیره ، والخبر المستدل به لا یدل علی الحصر بل هو فی الحصر المذکور فی کلام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فرق بین عدم الدلالة علی الحصر والدخول فی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ظاهر ، فإنّ مقتضی قول الشیخ أنّ کلام علیّ علیه السلام خاص بمورد الروایة المذکورة للاستدلال من الشیخ ، والحال أنّ الروایة من جملة أفراد مدلول الحصر ، کما یعرف بأیسر نظر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الحصر إضافی بالنسبة إلی غیر الماء الأکبر من المذی ونحوه ، وحینئذ لا یضر بالحال ، وقد قدّمنا القول فی کلام علیّ علیه السلام </w:t>
      </w:r>
      <w:r>
        <w:rPr>
          <w:rStyle w:val="FootnoteAnchor"/>
          <w:rtl w:val="true"/>
        </w:rPr>
        <w:footnoteReference w:id="612"/>
      </w:r>
      <w:r>
        <w:rPr>
          <w:rFonts w:ascii="IRNazanin" w:hAnsi="IRNazanin" w:eastAsia="IRNazanin"/>
          <w:color w:val="111111"/>
          <w:sz w:val="28"/>
          <w:sz w:val="28"/>
          <w:szCs w:val="28"/>
          <w:rtl w:val="true"/>
          <w:lang w:bidi="fa-IR"/>
        </w:rPr>
        <w:t>فیما سبق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علی بن محبوب ، عن العباس ، عن عبد الله بن المغیرة ، عن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احتلم فلما انتبه وجد بللاً قلیلاً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بشی‌ء إلاّ أن یکون مریضاً فإنه یضعف فعلیه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ینافی الخبر الأوّل أن الغسل یجب من الماء الأکبر ، لأنه لا یمتنع أن یکون هذا الماء هو الماء الأکبر إلاّ أنّه یخرج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قلیلاً من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6" w:name="__RefHeading___Toc39326_2142443653"/>
      <w:bookmarkStart w:id="567" w:name="_Toc221"/>
      <w:bookmarkEnd w:id="566"/>
      <w:r>
        <w:rPr>
          <w:rtl w:val="true"/>
        </w:rPr>
        <w:t xml:space="preserve">الحصر فی قوله علیه السلام </w:t>
      </w:r>
      <w:r>
        <w:rPr>
          <w:rtl w:val="true"/>
        </w:rPr>
        <w:t xml:space="preserve">: « </w:t>
      </w:r>
      <w:r>
        <w:rPr>
          <w:rtl w:val="true"/>
        </w:rPr>
        <w:t xml:space="preserve">کان علی علیه السلام لا یری الغسل الّا فی الماء الأکبر </w:t>
      </w:r>
      <w:r>
        <w:rPr>
          <w:rtl w:val="true"/>
        </w:rPr>
        <w:t xml:space="preserve">» </w:t>
      </w:r>
      <w:r>
        <w:rPr>
          <w:rtl w:val="true"/>
        </w:rPr>
        <w:t>إضافی</w:t>
      </w:r>
      <w:bookmarkStart w:id="568" w:name="pg17122_169639"/>
      <w:bookmarkEnd w:id="567"/>
    </w:p>
    <w:p>
      <w:pPr>
        <w:pStyle w:val="BookText"/>
        <w:rPr/>
      </w:pPr>
      <w:bookmarkEnd w:id="568"/>
      <w:r>
        <w:rPr>
          <w:rFonts w:ascii="IRNazanin" w:hAnsi="IRNazanin" w:eastAsia="IRNazanin"/>
          <w:color w:val="111111"/>
          <w:sz w:val="28"/>
          <w:sz w:val="28"/>
          <w:szCs w:val="28"/>
          <w:rtl w:val="true"/>
          <w:lang w:bidi="fa-IR"/>
        </w:rPr>
        <w:t xml:space="preserve">المریض </w:t>
      </w:r>
      <w:r>
        <w:rPr>
          <w:rFonts w:eastAsia="IRNazanin" w:cs="IRNazanin"/>
          <w:color w:val="111111"/>
          <w:sz w:val="28"/>
          <w:szCs w:val="28"/>
          <w:rtl w:val="true"/>
          <w:lang w:bidi="fa-IR"/>
        </w:rPr>
        <w:t xml:space="preserve">) </w:t>
      </w:r>
      <w:r>
        <w:rPr>
          <w:rStyle w:val="FootnoteAnchor"/>
          <w:rtl w:val="true"/>
        </w:rPr>
        <w:footnoteReference w:id="613"/>
      </w:r>
      <w:r>
        <w:rPr>
          <w:rFonts w:ascii="IRNazanin" w:hAnsi="IRNazanin" w:eastAsia="IRNazanin"/>
          <w:color w:val="111111"/>
          <w:sz w:val="28"/>
          <w:sz w:val="28"/>
          <w:szCs w:val="28"/>
          <w:rtl w:val="true"/>
          <w:lang w:bidi="fa-IR"/>
        </w:rPr>
        <w:t>لضعفه وقلة حرکته ، ولأجل ذلک فصّل علیه السلام فی الخبر بین العلیل والصحیح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ویزید ذلک بیانا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الحسین بن سعید ، عن فضالة ، عن حسین بن عثمان ، عن ابن مسکان ، عن عنبسة بن مصعب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احتلم فلما أصبح نظر إلی ثوبه فلم یر </w:t>
      </w:r>
      <w:r>
        <w:rPr>
          <w:rStyle w:val="FootnoteAnchor"/>
          <w:rtl w:val="true"/>
        </w:rPr>
        <w:footnoteReference w:id="614"/>
      </w:r>
      <w:r>
        <w:rPr>
          <w:rFonts w:ascii="IRNazanin" w:hAnsi="IRNazanin" w:eastAsia="IRNazanin"/>
          <w:color w:val="111111"/>
          <w:sz w:val="28"/>
          <w:sz w:val="28"/>
          <w:szCs w:val="28"/>
          <w:rtl w:val="true"/>
          <w:lang w:bidi="fa-IR"/>
        </w:rPr>
        <w:t xml:space="preserve">شیئاً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فرجل رأی فی المنام أنّه احتلم فلمّا قام وجد بللاً قلیلاً علی طرف ذکره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علیه غسل ، إن علیّاً علیه السلام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الغسل من الماء الأکبر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 ارتیاب ، والعباس فیه قد قدمنا عن الوالد قدس سره أنه کان یقطع بأنه ابن معروف </w:t>
      </w:r>
      <w:r>
        <w:rPr>
          <w:rStyle w:val="FootnoteAnchor"/>
          <w:rtl w:val="true"/>
        </w:rPr>
        <w:footnoteReference w:id="615"/>
      </w:r>
      <w:r>
        <w:rPr>
          <w:rFonts w:ascii="IRNazanin" w:hAnsi="IRNazanin" w:eastAsia="IRNazanin"/>
          <w:color w:val="111111"/>
          <w:sz w:val="28"/>
          <w:sz w:val="28"/>
          <w:szCs w:val="28"/>
          <w:rtl w:val="true"/>
          <w:lang w:bidi="fa-IR"/>
        </w:rPr>
        <w:t xml:space="preserve">، وله مؤیّدات من الأخبار السابقة واللاحقة ، وابن عامر أیضاً فی حیّز الاحتمال ، وشیخنا المحقّق میرزا محمد أیّده الله قال فی فوائده علی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وعندی أن احتمال کونه ابن عامر مثله یعنی مثل ابن معروف أو أظهر ، ولا یخفی علیک الحال بعد ما قلنا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عنبسة بن مصعب وقد تقدم ، وحسین بن عثمان مشترک بین ثقتین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9" w:name="__RefHeading___Toc39328_2142443653"/>
      <w:bookmarkStart w:id="570" w:name="_Toc222"/>
      <w:bookmarkEnd w:id="569"/>
      <w:r>
        <w:rPr>
          <w:rtl w:val="true"/>
        </w:rPr>
        <w:t>العبّاس هو ابن معروف أو ابن عامر</w:t>
      </w:r>
      <w:bookmarkEnd w:id="57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1" w:name="__RefHeading___Toc39330_2142443653"/>
      <w:bookmarkStart w:id="572" w:name="_Toc223"/>
      <w:bookmarkEnd w:id="571"/>
      <w:r>
        <w:rPr>
          <w:rtl w:val="true"/>
        </w:rPr>
        <w:t>حسین بن عثمان مشترک بین ثقتین</w:t>
      </w:r>
      <w:bookmarkStart w:id="573" w:name="pg17122_169640"/>
      <w:bookmarkEnd w:id="572"/>
    </w:p>
    <w:p>
      <w:pPr>
        <w:pStyle w:val="BookText"/>
        <w:rPr/>
      </w:pPr>
      <w:bookmarkEnd w:id="573"/>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یخلو من إشکال فی الأول ، لأنّ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 یکون مریضاً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 یقتضی بظاهره أنّ المریض إذا رأی البلل القلیل یجب علیه الغسل ، وإن لم یکن الماء بصفة الماء الأکبر ، ومخالفته للقواعد ظاهرة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مع تحقّق وصف الماء الأکبر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لضعفه ، محتمل فی نظری القاصر لأن یراد به ضعف الماء بسبب المرض ، لا ما ظنّه الشیخ من أنّ المراد ضعف الإنسان وإن کان الضمیر فی ضعفه محتملاً للعود إلی الإنسان ، إلاّ أنّ عوده إلیه یوجب الإشکال من حیث إن الضعف إنّما یغتفر فیه عدم الدفق ، کما تدل علیه بعض الأخبار ، والخبر المبحوث عنه تضمن الاحتلام ووجدان البلل القلیل ، ولیس فیه أنّ البلل القلیل خرج بعد الانتباه ، ولو کان المراد ذلک لزم أن یکون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بشی‌ء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موافق لما قاله بعض 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اعتبار الدفق إنّما هو مع الاشتباه </w:t>
      </w:r>
      <w:r>
        <w:rPr>
          <w:rStyle w:val="FootnoteAnchor"/>
          <w:rtl w:val="true"/>
        </w:rPr>
        <w:footnoteReference w:id="618"/>
      </w:r>
      <w:r>
        <w:rPr>
          <w:rFonts w:ascii="IRNazanin" w:hAnsi="IRNazanin" w:eastAsia="IRNazanin"/>
          <w:color w:val="111111"/>
          <w:sz w:val="28"/>
          <w:sz w:val="28"/>
          <w:szCs w:val="28"/>
          <w:rtl w:val="true"/>
          <w:lang w:bidi="fa-IR"/>
        </w:rPr>
        <w:t xml:space="preserve">، أمّا مع التحقق فیجب الغسل کما حکیناه سابقا </w:t>
      </w:r>
      <w:r>
        <w:rPr>
          <w:rStyle w:val="FootnoteAnchor"/>
          <w:rtl w:val="true"/>
        </w:rPr>
        <w:footnoteReference w:id="619"/>
      </w:r>
      <w:r>
        <w:rPr>
          <w:rFonts w:ascii="IRNazanin" w:hAnsi="IRNazanin" w:eastAsia="IRNazanin"/>
          <w:color w:val="111111"/>
          <w:sz w:val="28"/>
          <w:sz w:val="28"/>
          <w:szCs w:val="28"/>
          <w:rtl w:val="true"/>
          <w:lang w:bidi="fa-IR"/>
        </w:rPr>
        <w:t xml:space="preserve">، وإن کان فی النظر القاصر أنّ کلام من ذکرناه لا یخلو من تأمّل کما أسلفناه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کان هذا الخبر غیر موافق لهم بتقدیر ما احتملناه ، لأنّ الظاهر منه حینئذ أن البلل القلیل لیس بصفة المنی إلاّ إذا کان الإنسان ضعیفاً فإنّ المنیّ یضعف ، فدلّ علی أنّ اعتبار الدفق إنّما هو علی تقدیر عدم النوم ، ومع النوم وعدم العلم بالدفق ینظر بالأوصاف</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4" w:name="__RefHeading___Toc39332_2142443653"/>
      <w:bookmarkStart w:id="575" w:name="_Toc224"/>
      <w:bookmarkEnd w:id="574"/>
      <w:r>
        <w:rPr>
          <w:rtl w:val="true"/>
        </w:rPr>
        <w:t>هل تعتبر أوصاف المنی بالنسبة إلی المریض؟</w:t>
      </w:r>
      <w:bookmarkEnd w:id="575"/>
    </w:p>
    <w:p>
      <w:pPr>
        <w:pStyle w:val="BookText"/>
        <w:rPr/>
      </w:pPr>
      <w:r>
        <w:rPr>
          <w:rFonts w:ascii="IRNazanin" w:hAnsi="IRNazanin" w:eastAsia="IRNazanin"/>
          <w:color w:val="111111"/>
          <w:sz w:val="28"/>
          <w:sz w:val="28"/>
          <w:szCs w:val="28"/>
          <w:rtl w:val="true"/>
          <w:lang w:bidi="fa-IR"/>
        </w:rPr>
        <w:t>نعم قد یشکل الخبر بأن القلة لا تنافی تحقق الأوصاف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الجواب بأن القلة غالباً خلاف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یشکل الحال فی الروایة علی تقدیر اعتبار الأوصاف بأن المریض إذا ضعف منیّه أو ضعف هو عن الدفق کیف یحکم بمجرد وجود الماء أن الغسل علیه واجب مع احتمال أن لا یکون منیّاً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الجواب بأن النص إذا ثبت لا بعد فیه ، وغیر بعید أن یوجّه توجیه الشیخ بدلالة الأخبار الآتیة وإن بعد عن ظاهر الخبر المذکور ، غیر أن الإشکال قد یبقی من حیث إن مدلول الخبرین الآتیین لا تفصیل فیهما بالوصف ، ولعل المراد تحقق الوصف کما یدل علیه بعض الاعتبارات الآتیة فی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فالمقام لا یخلو من إشکال ، والله تعالی أعلم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ویدلّ علی أن حکم العلیل مفارق لحکم الصحیح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محمد بن علیّ بن محبوب ، عن العباس ، عن عبد الله بن المغیرة ، عن حریز ، عن عبد الله بن أبی یعفور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یری فی المنام ویجد الشهوة فیستیقظ وینظر فلا یری شیئاً ثم یمکث الهوینا </w:t>
      </w:r>
      <w:r>
        <w:rPr>
          <w:rStyle w:val="FootnoteAnchor"/>
          <w:rtl w:val="true"/>
        </w:rPr>
        <w:footnoteReference w:id="621"/>
      </w:r>
      <w:r>
        <w:rPr>
          <w:rFonts w:ascii="IRNazanin" w:hAnsi="IRNazanin" w:eastAsia="IRNazanin"/>
          <w:color w:val="111111"/>
          <w:sz w:val="28"/>
          <w:sz w:val="28"/>
          <w:szCs w:val="28"/>
          <w:rtl w:val="true"/>
          <w:lang w:bidi="fa-IR"/>
        </w:rPr>
        <w:t xml:space="preserve">بعد فیخرج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مریضاً فلیغتسل وإن لم یکن مریضاً فلا شی‌ء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الفرق </w:t>
      </w:r>
      <w:r>
        <w:rPr>
          <w:rStyle w:val="FootnoteAnchor"/>
          <w:rtl w:val="true"/>
        </w:rPr>
        <w:footnoteReference w:id="622"/>
      </w:r>
      <w:r>
        <w:rPr>
          <w:rFonts w:ascii="IRNazanin" w:hAnsi="IRNazanin" w:eastAsia="IRNazanin"/>
          <w:color w:val="111111"/>
          <w:sz w:val="28"/>
          <w:sz w:val="28"/>
          <w:szCs w:val="28"/>
          <w:rtl w:val="true"/>
          <w:lang w:bidi="fa-IR"/>
        </w:rPr>
        <w:t xml:space="preserve">بینهما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الرجل إذا کان صحیحاً جاء الماء بدفقة قویة ، وإن کان مریضاً لم یجی‌ء إلاّ بعد </w:t>
      </w:r>
      <w:r>
        <w:rPr>
          <w:rFonts w:eastAsia="IRNazanin" w:cs="IRNazanin"/>
          <w:color w:val="111111"/>
          <w:sz w:val="28"/>
          <w:szCs w:val="28"/>
          <w:rtl w:val="true"/>
          <w:lang w:bidi="fa-IR"/>
        </w:rPr>
        <w:t xml:space="preserve">». </w:t>
      </w:r>
      <w:bookmarkStart w:id="576" w:name="pg17122_169642"/>
    </w:p>
    <w:p>
      <w:pPr>
        <w:pStyle w:val="BookText"/>
        <w:rPr/>
      </w:pPr>
      <w:bookmarkEnd w:id="576"/>
      <w:r>
        <w:rPr>
          <w:rFonts w:ascii="IRNazanin" w:hAnsi="IRNazanin" w:eastAsia="IRNazanin"/>
          <w:color w:val="111111"/>
          <w:sz w:val="28"/>
          <w:sz w:val="28"/>
          <w:szCs w:val="28"/>
          <w:rtl w:val="true"/>
          <w:lang w:bidi="fa-IR"/>
        </w:rPr>
        <w:t xml:space="preserve">عنه ، عن موسی بن جعفر بن وهب ، عن داود بن مهزیار ، عن علیّ بن إسماعیل ، عن حریز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رأی فی منامه فوجد اللذة والشهوة ثمّ قام فلم یَرَ فی ثوبه شیئاً ، قال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مریضاً فعلیه الغسل ، وإن کان صحیحاً فلا شی‌ء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بعد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عنه فیه یرجع إلی محمد بن علی بن محبوب فی الظاهر من عادة الشیخ ، إلاّ أن فی روایة محمد بن علی بن محبوب عن موسی بن جعفر بن وهب نوع تأمّل ، لأن الراوی عنه فی الرجال محمد بن یحیی العطار ، عن محمد بن أحمد بن قتادة ؛ وأحمد بن إدریس ، عن عمران بن موسی ، عن موسی بن جعفر </w:t>
      </w:r>
      <w:r>
        <w:rPr>
          <w:rStyle w:val="FootnoteAnchor"/>
          <w:rtl w:val="true"/>
        </w:rPr>
        <w:footnoteReference w:id="623"/>
      </w:r>
      <w:r>
        <w:rPr>
          <w:rFonts w:ascii="IRNazanin" w:hAnsi="IRNazanin" w:eastAsia="IRNazanin"/>
          <w:color w:val="111111"/>
          <w:sz w:val="28"/>
          <w:sz w:val="28"/>
          <w:szCs w:val="28"/>
          <w:rtl w:val="true"/>
          <w:lang w:bidi="fa-IR"/>
        </w:rPr>
        <w:t>، ومحمد بن علیّ بن محبوب فی مرتبة محمد بن یحیی وأحمد بن إدریس فی الجملة ، إلاّ أن باب الإمکان واسع ، ویتفق ذلک کما یتفق فی کثیر من النظائر یعرفها الممارس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موسی بن جعفر غیر ثقة ولا فیه مدح أیضا ؛ وداود بن مهزیار مذکور مهملاً فی رجال الجواد علیه السلام من کتاب الشیخ </w:t>
      </w:r>
      <w:r>
        <w:rPr>
          <w:rStyle w:val="FootnoteAnchor"/>
          <w:rtl w:val="true"/>
        </w:rPr>
        <w:footnoteReference w:id="624"/>
      </w:r>
      <w:r>
        <w:rPr>
          <w:rFonts w:ascii="IRNazanin" w:hAnsi="IRNazanin" w:eastAsia="IRNazanin"/>
          <w:color w:val="111111"/>
          <w:sz w:val="28"/>
          <w:sz w:val="28"/>
          <w:szCs w:val="28"/>
          <w:rtl w:val="true"/>
          <w:lang w:bidi="fa-IR"/>
        </w:rPr>
        <w:t xml:space="preserve">؛ وعلیّ بن إسماعیل لا یخلو من جهالة ، وتوهم الاشتراک بین من هو ثقة وغیره یدفعه مراجعة کتاب شیخنا أیده الله فی الرجال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7" w:name="__RefHeading___Toc39334_2142443653"/>
      <w:bookmarkStart w:id="578" w:name="_Toc225"/>
      <w:bookmarkEnd w:id="577"/>
      <w:r>
        <w:rPr>
          <w:rtl w:val="true"/>
        </w:rPr>
        <w:t>کلمة فی روایة محمد بن علی بن محبوب عن موسی بن جعفر بن وهب</w:t>
      </w:r>
      <w:bookmarkEnd w:id="578"/>
    </w:p>
    <w:p>
      <w:pPr>
        <w:pStyle w:val="Heading4"/>
        <w:numPr>
          <w:ilvl w:val="3"/>
          <w:numId w:val="1"/>
        </w:numPr>
        <w:rPr/>
      </w:pPr>
      <w:bookmarkStart w:id="579" w:name="__RefHeading___Toc39336_2142443653"/>
      <w:bookmarkStart w:id="580" w:name="_Toc226"/>
      <w:bookmarkEnd w:id="579"/>
      <w:r>
        <w:rPr>
          <w:rtl w:val="true"/>
        </w:rPr>
        <w:t>موسی بن جعفر بن وهب غیر ثقة</w:t>
      </w:r>
      <w:bookmarkEnd w:id="580"/>
    </w:p>
    <w:p>
      <w:pPr>
        <w:pStyle w:val="Heading4"/>
        <w:numPr>
          <w:ilvl w:val="3"/>
          <w:numId w:val="1"/>
        </w:numPr>
        <w:rPr/>
      </w:pPr>
      <w:bookmarkStart w:id="581" w:name="__RefHeading___Toc39338_2142443653"/>
      <w:bookmarkStart w:id="582" w:name="_Toc227"/>
      <w:bookmarkEnd w:id="581"/>
      <w:r>
        <w:rPr>
          <w:rtl w:val="true"/>
        </w:rPr>
        <w:t>داود بن مهزیار مهمل</w:t>
      </w:r>
      <w:bookmarkEnd w:id="58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83" w:name="__RefHeading___Toc39340_2142443653"/>
      <w:bookmarkStart w:id="584" w:name="_Toc228"/>
      <w:bookmarkEnd w:id="583"/>
      <w:r>
        <w:rPr>
          <w:rtl w:val="true"/>
        </w:rPr>
        <w:t>علی بن اسماعیل مجهول</w:t>
      </w:r>
      <w:bookmarkStart w:id="585" w:name="pg17122_169643"/>
      <w:bookmarkEnd w:id="584"/>
    </w:p>
    <w:p>
      <w:pPr>
        <w:pStyle w:val="BookText"/>
        <w:rPr/>
      </w:pPr>
      <w:bookmarkEnd w:id="585"/>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قدّمنا ما فیه کفایة عن الإعادة </w:t>
      </w:r>
      <w:r>
        <w:rPr>
          <w:rStyle w:val="FootnoteAnchor"/>
          <w:rtl w:val="true"/>
        </w:rPr>
        <w:footnoteReference w:id="626"/>
      </w:r>
      <w:r>
        <w:rPr>
          <w:rFonts w:ascii="IRNazanin" w:hAnsi="IRNazanin" w:eastAsia="IRNazanin"/>
          <w:color w:val="111111"/>
          <w:sz w:val="28"/>
          <w:sz w:val="28"/>
          <w:szCs w:val="28"/>
          <w:rtl w:val="true"/>
          <w:lang w:bidi="fa-IR"/>
        </w:rPr>
        <w:t xml:space="preserve">، والذی ینبغی بیانه هنا أن ظاهر الخبر أن المریض یفارق الصحیح بتأخّر نزول منیّه عن حصول الشهوة ، وربما یستفاد منه أن الماء یجی‌ء بغیر دفق قویّ لا أنّه بغیر دفق أصلاً ، وإنّما یستفاد ذلک منه لأنه جعل الدفقة القویة للصحیح ، والمریض لا یجی‌ء ماؤه إلاّ بعد ، وهذه المقابلة غیر وافیة کما لا یخفی ، بل الظاهر أن المراد بالتأخّر عدم الدفق المذکور للصحیح ، ولمّا کان وصف القوة فی الصحیح أمکن أن یکون فی المریض الدفق الضعیف </w:t>
      </w:r>
      <w:r>
        <w:rPr>
          <w:rStyle w:val="FootnoteAnchor"/>
          <w:rtl w:val="true"/>
        </w:rPr>
        <w:footnoteReference w:id="627"/>
      </w:r>
      <w:r>
        <w:rPr>
          <w:rFonts w:ascii="IRNazanin" w:hAnsi="IRNazanin" w:eastAsia="IRNazanin"/>
          <w:color w:val="111111"/>
          <w:sz w:val="28"/>
          <w:sz w:val="28"/>
          <w:szCs w:val="28"/>
          <w:rtl w:val="true"/>
          <w:lang w:bidi="fa-IR"/>
        </w:rPr>
        <w:t>وإن احتمل أن لا یکون فی المریض دفق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یعلم أن ما قاله شیخنا قدس سره بعد قول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مریضاً کفت الشهوة وفتور الجسد من أنّه یدلّ علی عدم اعتبار الدفق فی المریض صحیحة عبد الله بن أبی یعفور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روی معاویة بن عمار فی الصحیح </w:t>
      </w:r>
      <w:r>
        <w:rPr>
          <w:rStyle w:val="FootnoteAnchor"/>
          <w:rtl w:val="true"/>
        </w:rPr>
        <w:footnoteReference w:id="6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وعنی بها ما تقدم من روایة معاویة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بحث قد سمعت کلامنا فیها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فاعتبار عدم الدفق لا صراحة للخبرین </w:t>
      </w:r>
      <w:r>
        <w:rPr>
          <w:rStyle w:val="FootnoteAnchor"/>
          <w:rtl w:val="true"/>
        </w:rPr>
        <w:footnoteReference w:id="630"/>
      </w:r>
      <w:r>
        <w:rPr>
          <w:rFonts w:ascii="IRNazanin" w:hAnsi="IRNazanin" w:eastAsia="IRNazanin"/>
          <w:color w:val="111111"/>
          <w:sz w:val="28"/>
          <w:sz w:val="28"/>
          <w:szCs w:val="28"/>
          <w:rtl w:val="true"/>
          <w:lang w:bidi="fa-IR"/>
        </w:rPr>
        <w:t>فیه ، نعم ربما یلوح منهما ذلک ، والله تعالی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الخبر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فالإشکال فیه أن ظاهره عدم وجدان شی‌ء فی</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86" w:name="__RefHeading___Toc39342_2142443653"/>
      <w:bookmarkStart w:id="587" w:name="_Toc229"/>
      <w:bookmarkEnd w:id="586"/>
      <w:r>
        <w:rPr>
          <w:rtl w:val="true"/>
        </w:rPr>
        <w:t>هل یعتبر الدفق فی المریض؟</w:t>
      </w:r>
      <w:bookmarkStart w:id="588" w:name="pg17122_169644"/>
      <w:bookmarkEnd w:id="587"/>
    </w:p>
    <w:p>
      <w:pPr>
        <w:pStyle w:val="BookText"/>
        <w:rPr/>
      </w:pPr>
      <w:bookmarkEnd w:id="588"/>
      <w:r>
        <w:rPr>
          <w:rFonts w:ascii="IRNazanin" w:hAnsi="IRNazanin" w:eastAsia="IRNazanin"/>
          <w:color w:val="111111"/>
          <w:sz w:val="28"/>
          <w:sz w:val="28"/>
          <w:szCs w:val="28"/>
          <w:rtl w:val="true"/>
          <w:lang w:bidi="fa-IR"/>
        </w:rPr>
        <w:t xml:space="preserve">الثوب والحکم بوجوب الغسل ، إلاّ أن شیخنا أیّده الله فی فوائد الکتاب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ینبغی حمل هذه الروایة علی مفاد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یری بعد ما یمکث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 علی ما إذا کان فیه نوع اشتباه ، وإلاّ فیجب الغسل مع کونه منیاً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خبیر بما فی المقام بعد ملاحظة ما قدمناه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صفته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یمشی هوناً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الرفق واللین والتثبّت ، وفی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یمشی الهُوَیْنا ، تصغیر الهُونی تأنیث الأهون ، وهو من الأول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Style w:val="FootnoteAnchor"/>
          <w:rtl w:val="true"/>
        </w:rPr>
        <w:footnoteReference w:id="632"/>
      </w:r>
      <w:r>
        <w:rPr>
          <w:rFonts w:ascii="IRNazanin" w:hAnsi="IRNazanin" w:eastAsia="IRNazanin"/>
          <w:color w:val="111111"/>
          <w:sz w:val="28"/>
          <w:sz w:val="28"/>
          <w:szCs w:val="28"/>
          <w:rtl w:val="true"/>
          <w:lang w:bidi="fa-IR"/>
        </w:rPr>
        <w:t>الرجل یری فی ثوبه المنی ولم یذکر الاحتلام</w:t>
      </w:r>
    </w:p>
    <w:p>
      <w:pPr>
        <w:pStyle w:val="BookText"/>
        <w:rPr/>
      </w:pPr>
      <w:r>
        <w:rPr>
          <w:rFonts w:ascii="IRNazanin" w:hAnsi="IRNazanin" w:eastAsia="IRNazanin"/>
          <w:color w:val="111111"/>
          <w:sz w:val="28"/>
          <w:sz w:val="28"/>
          <w:szCs w:val="28"/>
          <w:rtl w:val="true"/>
          <w:lang w:bidi="fa-IR"/>
        </w:rPr>
        <w:t xml:space="preserve">أخبرنی الشیخ رحمه الله عن أحمد بن محمد ، عن أبیه ، عن الحسین بن الحسن بن أبان ، عن الحسین بن سعید ، عن الحسن ، عن زرعة ، عن سماعة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یری فی ثیابه المنی بعد ما یصبح ولم یکن رأی فی منامه أنّه قد احتلم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فلیغتسل ولیغسل ثوبه ویعید صلاته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أحمد بن محمد ، عن عثمان بن عیسی ،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ینام ولم یر فی نومه أنّه احتلم فوجد</w:t>
      </w:r>
    </w:p>
    <w:p>
      <w:pPr>
        <w:pStyle w:val="Heading4"/>
        <w:numPr>
          <w:ilvl w:val="3"/>
          <w:numId w:val="1"/>
        </w:numPr>
        <w:rPr/>
      </w:pPr>
      <w:bookmarkStart w:id="589" w:name="__RefHeading___Toc39344_2142443653"/>
      <w:bookmarkStart w:id="590" w:name="_Toc230"/>
      <w:bookmarkEnd w:id="589"/>
      <w:r>
        <w:rPr>
          <w:rtl w:val="true"/>
        </w:rPr>
        <w:t>معنی الهون والهُوینا</w:t>
      </w:r>
      <w:bookmarkEnd w:id="590"/>
    </w:p>
    <w:p>
      <w:pPr>
        <w:pStyle w:val="Heading3"/>
        <w:numPr>
          <w:ilvl w:val="2"/>
          <w:numId w:val="1"/>
        </w:numPr>
        <w:rPr/>
      </w:pPr>
      <w:bookmarkStart w:id="591" w:name="__RefHeading___Toc39346_2142443653"/>
      <w:bookmarkStart w:id="592" w:name="_Toc231"/>
      <w:bookmarkEnd w:id="591"/>
      <w:r>
        <w:rPr>
          <w:rtl w:val="true"/>
        </w:rPr>
        <w:t>الرجل یری فی ثوبه المنی ولم یذکر الاحتلام</w:t>
      </w:r>
      <w:bookmarkEnd w:id="592"/>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3" w:name="__RefHeading___Toc39348_2142443653"/>
      <w:bookmarkStart w:id="594" w:name="_Toc232"/>
      <w:bookmarkEnd w:id="593"/>
      <w:r>
        <w:rPr>
          <w:rtl w:val="true"/>
        </w:rPr>
        <w:t>اشارة</w:t>
      </w:r>
      <w:bookmarkStart w:id="595" w:name="pg17122_169645"/>
      <w:bookmarkEnd w:id="594"/>
    </w:p>
    <w:p>
      <w:pPr>
        <w:pStyle w:val="BookText"/>
        <w:rPr/>
      </w:pPr>
      <w:bookmarkEnd w:id="595"/>
      <w:r>
        <w:rPr>
          <w:rFonts w:ascii="IRNazanin" w:hAnsi="IRNazanin" w:eastAsia="IRNazanin"/>
          <w:color w:val="111111"/>
          <w:sz w:val="28"/>
          <w:sz w:val="28"/>
          <w:szCs w:val="28"/>
          <w:rtl w:val="true"/>
          <w:lang w:bidi="fa-IR"/>
        </w:rPr>
        <w:t xml:space="preserve">فی ثوبه وعلی فخذه الماء هل علیه غسل؟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علی بن محبوب </w:t>
      </w:r>
      <w:r>
        <w:rPr>
          <w:rStyle w:val="FootnoteAnchor"/>
          <w:rtl w:val="true"/>
        </w:rPr>
        <w:footnoteReference w:id="633"/>
      </w:r>
      <w:r>
        <w:rPr>
          <w:rFonts w:ascii="IRNazanin" w:hAnsi="IRNazanin" w:eastAsia="IRNazanin"/>
          <w:color w:val="111111"/>
          <w:sz w:val="28"/>
          <w:sz w:val="28"/>
          <w:szCs w:val="28"/>
          <w:rtl w:val="true"/>
          <w:lang w:bidi="fa-IR"/>
        </w:rPr>
        <w:t xml:space="preserve">، عن علی بن السندی ، عن حماد بن عیسی ، عن شعیب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یصیب ثوبه </w:t>
      </w:r>
      <w:r>
        <w:rPr>
          <w:rStyle w:val="FootnoteAnchor"/>
          <w:rtl w:val="true"/>
        </w:rPr>
        <w:footnoteReference w:id="634"/>
      </w:r>
      <w:r>
        <w:rPr>
          <w:rFonts w:ascii="IRNazanin" w:hAnsi="IRNazanin" w:eastAsia="IRNazanin"/>
          <w:color w:val="111111"/>
          <w:sz w:val="28"/>
          <w:sz w:val="28"/>
          <w:szCs w:val="28"/>
          <w:rtl w:val="true"/>
          <w:lang w:bidi="fa-IR"/>
        </w:rPr>
        <w:t xml:space="preserve">منیاً ولم یعلم أنّه احتلم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لیغسل ما وجد بثوبه ولیتوضّأ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ینافی الخبرین الأوّلین ، لأن الوجه فی الجمع بینهما أن الثوب الذی لا یشارکه فی استعماله غیره متی وجد علیه منیّاً وجب علیه الغسل وإعادة الصلاة إن کان قد صلی ، لجواز أن یکون قد نسی الاحتلام ، فأمّا ما یشارکه فیه غیره فلا یوجب علیه الغسل إلاّ إذا تیقن الاحتلام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عند المتأخّرین ، والحسن فیه أخو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عیسی ، وقد قدّمنا القول فیه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جهالة علیّ بن السندی ، وما وقع فی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علی بن إسماعیل وتوثیقه </w:t>
      </w:r>
      <w:r>
        <w:rPr>
          <w:rStyle w:val="FootnoteAnchor"/>
          <w:rtl w:val="true"/>
        </w:rPr>
        <w:footnoteReference w:id="636"/>
      </w:r>
      <w:r>
        <w:rPr>
          <w:rFonts w:ascii="IRNazanin" w:hAnsi="IRNazanin" w:eastAsia="IRNazanin"/>
          <w:color w:val="111111"/>
          <w:sz w:val="28"/>
          <w:sz w:val="28"/>
          <w:szCs w:val="28"/>
          <w:rtl w:val="true"/>
          <w:lang w:bidi="fa-IR"/>
        </w:rPr>
        <w:t xml:space="preserve">کما حکاه فی الخلاصة </w:t>
      </w:r>
      <w:r>
        <w:rPr>
          <w:rStyle w:val="FootnoteAnchor"/>
          <w:rtl w:val="true"/>
        </w:rPr>
        <w:footnoteReference w:id="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یدفعه ما حققه شیخنا أیّده الله فی کتابه </w:t>
      </w:r>
      <w:r>
        <w:rPr>
          <w:rStyle w:val="FootnoteAnchor"/>
          <w:rtl w:val="true"/>
        </w:rPr>
        <w:footnoteReference w:id="638"/>
      </w:r>
      <w:r>
        <w:rPr>
          <w:rFonts w:ascii="IRNazanin" w:hAnsi="IRNazanin" w:eastAsia="IRNazanin"/>
          <w:color w:val="111111"/>
          <w:sz w:val="28"/>
          <w:sz w:val="28"/>
          <w:szCs w:val="28"/>
          <w:rtl w:val="true"/>
          <w:lang w:bidi="fa-IR"/>
        </w:rPr>
        <w:t xml:space="preserve">؛ وأبو بصیر قد قدّمنا حاله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6" w:name="__RefHeading___Toc39350_2142443653"/>
      <w:bookmarkStart w:id="597" w:name="_Toc233"/>
      <w:bookmarkEnd w:id="596"/>
      <w:r>
        <w:rPr>
          <w:rtl w:val="true"/>
        </w:rPr>
        <w:t>بحث حول علی بن السندی</w:t>
      </w:r>
      <w:bookmarkStart w:id="598" w:name="pg17122_169646"/>
      <w:bookmarkEnd w:id="597"/>
    </w:p>
    <w:p>
      <w:pPr>
        <w:pStyle w:val="BookText"/>
        <w:rPr/>
      </w:pPr>
      <w:bookmarkEnd w:id="598"/>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الأولین ظاهر الدلالة علی وجوب الغسل ، والخبر الأخیر ما قاله الشیخ فیه لا یخلو من نظر ، لأن الحدیث تضمّن أنّه یتوضّأ ، فإن أُرید بالوضوء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الشرعی ، لا یوافق قول الشیخ ، إلاّ أن یحمل الوضوء علی ما بعد النوم ، والظاهر الإطلاق ، ولعلّ الخبر لا یمنع من الحمل المذکور وإن بَعُد ؛ وإن أُرید بالوضوء الاستنجاء کان أشکل ، إلاّ أن الظاهر من إطلاق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قاله الشیخ ، من أنّه إذا شارکه فیه غیره لا یجب علیه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لأن یرید بالمشارکة النوم فیه مع الغیر مجتمعین کالکساء الذی یفرش أو یلتحف به ، أو یراد به ما یتناوب علیه مع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والعلاّمة فی المختلف نقل عن الشیخ فی النهایة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انتبه فرأی علی ثوبه أو فراشه منیّاً ولم یذکر الاحتلام وجب علیه الغسل ، فإن قام من موضعه ثم رأی بعد ذلک ، فإن کان ذلک الثوب أو الفراش مما یستعمله غیره لم یجب علیه الغسل ، وإن کان ممّا لا یستعمله غیره وجب علیه الغسل </w:t>
      </w:r>
      <w:r>
        <w:rPr>
          <w:rStyle w:val="FootnoteAnchor"/>
          <w:rtl w:val="true"/>
        </w:rPr>
        <w:footnoteReference w:id="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الکلام یعطی تحقق الاشتراک بالنوبة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 عدم وجوب الغسل مع الاشتراک ظاهر ، کما ذکره الشیخ ؛ لتعیّن براءة الذمة ، فلا یخرج عنه بالشک ، ویدلُّ علیه صحیح بعض الأخبار الدالة علی أنّه لا ینقض الیقین بالشک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وظاهر بعض الأصحاب القول بوجوب الغسل علی ذی النوبة </w:t>
      </w:r>
      <w:r>
        <w:rPr>
          <w:rStyle w:val="FootnoteAnchor"/>
          <w:rtl w:val="true"/>
        </w:rPr>
        <w:footnoteReference w:id="642"/>
      </w:r>
      <w:r>
        <w:rPr>
          <w:rFonts w:ascii="IRNazanin" w:hAnsi="IRNazanin" w:eastAsia="IRNazanin"/>
          <w:color w:val="111111"/>
          <w:sz w:val="28"/>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9" w:name="__RefHeading___Toc39352_2142443653"/>
      <w:bookmarkStart w:id="600" w:name="_Toc234"/>
      <w:bookmarkEnd w:id="599"/>
      <w:r>
        <w:rPr>
          <w:rtl w:val="true"/>
        </w:rPr>
        <w:t>حکم ما إذا وجد المنی فی الثوب المشترک</w:t>
      </w:r>
      <w:bookmarkStart w:id="601" w:name="pg17122_169647"/>
      <w:bookmarkEnd w:id="600"/>
    </w:p>
    <w:p>
      <w:pPr>
        <w:pStyle w:val="BookText"/>
        <w:rPr/>
      </w:pPr>
      <w:bookmarkEnd w:id="601"/>
      <w:r>
        <w:rPr>
          <w:rFonts w:ascii="IRNazanin" w:hAnsi="IRNazanin" w:eastAsia="IRNazanin"/>
          <w:color w:val="111111"/>
          <w:sz w:val="28"/>
          <w:sz w:val="28"/>
          <w:szCs w:val="28"/>
          <w:rtl w:val="true"/>
          <w:lang w:bidi="fa-IR"/>
        </w:rPr>
        <w:t>وفیه ما فیه ، وقد ذکرت ما یتفرع علی هذا فی حواشی المختلف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ذکره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الثوب المختص یجب علی صاحبه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یشکل بما ذکره بعض 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لو احتمل کون المنی الموجود من غیره لم یجب علیه الغسل </w:t>
      </w:r>
      <w:r>
        <w:rPr>
          <w:rStyle w:val="FootnoteAnchor"/>
          <w:rtl w:val="true"/>
        </w:rPr>
        <w:footnoteReference w:id="6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أن هذا یندفع بأن یراد بالاختصاص ما یخرج هذا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هذا لا یتوجه فیه صدق الاشتراک ، ولا واسطة ، والأمر سهل إذا علم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یتصور ما ذکرت؟</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یتفق أن یری علی ثوبه منیاً فی جانب منه ویکون قد نام قریباً ممن یحتمل حصوله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یحصل الإشکال فی مشارکة من یحتمل بلوغه بالاحتلام ، کابن ثلاثة عشر وأربعة عشر ، فإن احتمال کون المنی من المذکور یقتضی عدم وجوب الغسل علی الرجل ، وعدم تحقق البلوغ یقتضی الانحصار فی الرجل ، إلاّ أن هذا یمکن الجواب عنه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المشارک لو کان رجلاً وقلنا بأنه لا یجب الغسل علی کل واحد لحصول الشک الذی لا یعارض الیقین فیجوز لهما أن یفعلا ما یفعله الطاهر ، وقد اختلف فی جواز ائتمام أحدهما بالآخر ، وللکلام فی المقام مجال واسع إلاّ أن المهم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الرجل یجامع المرأة فیما دون الفرج فینزل هو دونها</w:t>
      </w:r>
    </w:p>
    <w:p>
      <w:pPr>
        <w:pStyle w:val="BookText"/>
        <w:rPr/>
      </w:pPr>
      <w:r>
        <w:rPr>
          <w:rFonts w:ascii="IRNazanin" w:hAnsi="IRNazanin" w:eastAsia="IRNazanin"/>
          <w:color w:val="111111"/>
          <w:sz w:val="28"/>
          <w:sz w:val="28"/>
          <w:szCs w:val="28"/>
          <w:rtl w:val="true"/>
          <w:lang w:bidi="fa-IR"/>
        </w:rPr>
        <w:t>أخبرنی الحسین بن عبید الله ، عن أحمد بن محمد بن یحیی ،</w:t>
      </w:r>
    </w:p>
    <w:p>
      <w:pPr>
        <w:pStyle w:val="Heading3"/>
        <w:numPr>
          <w:ilvl w:val="2"/>
          <w:numId w:val="1"/>
        </w:numPr>
        <w:rPr/>
      </w:pPr>
      <w:bookmarkStart w:id="602" w:name="__RefHeading___Toc39354_2142443653"/>
      <w:bookmarkStart w:id="603" w:name="_Toc235"/>
      <w:bookmarkEnd w:id="602"/>
      <w:r>
        <w:rPr>
          <w:rtl w:val="true"/>
        </w:rPr>
        <w:t>الرجل یجامع المرأة فیما دون الفرج فینزل هو دونها</w:t>
      </w:r>
      <w:bookmarkEnd w:id="60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04" w:name="__RefHeading___Toc39356_2142443653"/>
      <w:bookmarkStart w:id="605" w:name="_Toc236"/>
      <w:bookmarkEnd w:id="604"/>
      <w:r>
        <w:rPr>
          <w:rtl w:val="true"/>
        </w:rPr>
        <w:t>اشارة</w:t>
      </w:r>
      <w:bookmarkEnd w:id="605"/>
    </w:p>
    <w:p>
      <w:pPr>
        <w:pStyle w:val="BookText"/>
        <w:rPr/>
      </w:pPr>
      <w:r>
        <w:rPr>
          <w:rFonts w:ascii="IRNazanin" w:hAnsi="IRNazanin" w:eastAsia="IRNazanin"/>
          <w:color w:val="111111"/>
          <w:sz w:val="28"/>
          <w:sz w:val="28"/>
          <w:szCs w:val="28"/>
          <w:rtl w:val="true"/>
          <w:lang w:bidi="fa-IR"/>
        </w:rPr>
        <w:t xml:space="preserve">عن أبیه ، عن محمد بن علی بن محبوب ، عن ابن أبی عمیر ، عن حماد ، عن الحلبی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علیه السلام عن الرجل یصیب المرأة فیما دون الفرج أعلیها غسل إن هو انزل ولم تنزل هی؟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علیها غسل وإن لم ینزل هو فلیس علیه 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 عن البرقی رفعه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أتی الرجل المرأة فی دبرها فلم ینزل </w:t>
      </w:r>
      <w:r>
        <w:rPr>
          <w:rStyle w:val="FootnoteAnchor"/>
          <w:rtl w:val="true"/>
        </w:rPr>
        <w:footnoteReference w:id="644"/>
      </w:r>
      <w:r>
        <w:rPr>
          <w:rFonts w:ascii="IRNazanin" w:hAnsi="IRNazanin" w:eastAsia="IRNazanin"/>
          <w:color w:val="111111"/>
          <w:sz w:val="28"/>
          <w:sz w:val="28"/>
          <w:szCs w:val="28"/>
          <w:rtl w:val="true"/>
          <w:lang w:bidi="fa-IR"/>
        </w:rPr>
        <w:t xml:space="preserve">فلا غسل علیهما ، وإن انزل فعلیه الغسل ولا غسل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محبوب ، عن أحمد بن محمد ، عن الحسن ابن محبوب ، عن العلاء بن رزین ، عن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جعل علی المرأة إذا رأت فی النوم أن الرجل یجامعها فی فرجها الغسل ، ولم یجعل علیها الغسل إذا جامعها فیما </w:t>
      </w:r>
      <w:r>
        <w:rPr>
          <w:rStyle w:val="FootnoteAnchor"/>
          <w:rtl w:val="true"/>
        </w:rPr>
        <w:footnoteReference w:id="645"/>
      </w:r>
      <w:r>
        <w:rPr>
          <w:rFonts w:ascii="IRNazanin" w:hAnsi="IRNazanin" w:eastAsia="IRNazanin"/>
          <w:color w:val="111111"/>
          <w:sz w:val="28"/>
          <w:sz w:val="28"/>
          <w:szCs w:val="28"/>
          <w:rtl w:val="true"/>
          <w:lang w:bidi="fa-IR"/>
        </w:rPr>
        <w:t xml:space="preserve">دون الفرج فی الیقظة فأمنت؟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لأنها رأت فی منامها أن الرجل یجامعها فی فرجها فوجب علیها الغسل ، والآخر إنّما جامعها دون الفرج فلم یجب علیها الغسل لأنه لم یدخله ، ولو کان أدخله فی الیقظة وجب علیها الغسل ، أمنت أو لم تمن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من خلل ، لأن محمد بن علی بن محبوب لا یروی عن محمد بن 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واسطة ، وفی التهذیب رواه محمد بن علی </w:t>
      </w:r>
    </w:p>
    <w:p>
      <w:pPr>
        <w:pStyle w:val="BookText"/>
        <w:rPr/>
      </w:pPr>
      <w:r>
        <w:rPr>
          <w:rFonts w:ascii="IRNazanin" w:hAnsi="IRNazanin" w:eastAsia="IRNazanin"/>
          <w:color w:val="111111"/>
          <w:sz w:val="28"/>
          <w:sz w:val="28"/>
          <w:szCs w:val="28"/>
          <w:rtl w:val="true"/>
          <w:lang w:bidi="fa-IR"/>
        </w:rPr>
        <w:t xml:space="preserve">ابن محبوب ، عن أحمد بن محمد ، عن ابن أبی عمیر </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 فهو تام ؛ والشک فی روایة أحمد عن ابن أبی عمیر تقدم دفعه ، والوجود کثیر ، وعلی کل حال فالخبر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عن البیان ، مضافاً إلی الشک فی البرقی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فیه ، وقد تقدم سنداً ومتناً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الخبر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یدلّ علی الإصابة فیما دون الفرج ، فکأن الشیخ ظن تناوله للدبر ، وربما یشکل الحال ، بأن بعض الأصحاب ظن تناول الفرج للدبر ، وسیأتی القول فیه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الخبر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فصریح من وجه إلاّ أن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والخبر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الشیخ ظنّ منه 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لأنه لم یدخله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یرید به الإدخال فی القبل وقد تقدم منّا فیه القول ومن ثم أعاده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قد یتخیل أن الشیخ ناظر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یجعل علیها الغسل إذا جامعها فیما دون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یدفعه أن هذا فی حیّز الإجمال ، وإن کان محذور عدم مطابقة الجواب للسؤال لا محید </w:t>
      </w:r>
      <w:r>
        <w:rPr>
          <w:rStyle w:val="FootnoteAnchor"/>
          <w:rtl w:val="true"/>
        </w:rPr>
        <w:footnoteReference w:id="648"/>
      </w:r>
      <w:r>
        <w:rPr>
          <w:rFonts w:ascii="IRNazanin" w:hAnsi="IRNazanin" w:eastAsia="IRNazanin"/>
          <w:color w:val="111111"/>
          <w:sz w:val="28"/>
          <w:sz w:val="28"/>
          <w:szCs w:val="28"/>
          <w:rtl w:val="true"/>
          <w:lang w:bidi="fa-IR"/>
        </w:rPr>
        <w:t>عنه ، کما أشرنا إلیه سابقا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 أن العلاّمة فی المختلف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بابویه </w:t>
      </w:r>
      <w:bookmarkStart w:id="606" w:name="pg17122_169650"/>
    </w:p>
    <w:p>
      <w:pPr>
        <w:pStyle w:val="BookText"/>
        <w:rPr/>
      </w:pPr>
      <w:bookmarkEnd w:id="606"/>
      <w:r>
        <w:rPr>
          <w:rFonts w:ascii="IRNazanin" w:hAnsi="IRNazanin" w:eastAsia="IRNazanin"/>
          <w:color w:val="111111"/>
          <w:sz w:val="28"/>
          <w:sz w:val="28"/>
          <w:szCs w:val="28"/>
          <w:rtl w:val="true"/>
          <w:lang w:bidi="fa-IR"/>
        </w:rPr>
        <w:t xml:space="preserve">روی فی کتابه عدم إیجاب الغسل </w:t>
      </w:r>
      <w:r>
        <w:rPr>
          <w:rStyle w:val="FootnoteAnchor"/>
          <w:rtl w:val="true"/>
        </w:rPr>
        <w:footnoteReference w:id="649"/>
      </w:r>
      <w:r>
        <w:rPr>
          <w:rFonts w:ascii="IRNazanin" w:hAnsi="IRNazanin" w:eastAsia="IRNazanin"/>
          <w:color w:val="111111"/>
          <w:sz w:val="28"/>
          <w:sz w:val="28"/>
          <w:szCs w:val="28"/>
          <w:rtl w:val="true"/>
          <w:lang w:bidi="fa-IR"/>
        </w:rPr>
        <w:t xml:space="preserve">، وهو اختیار الشیخ فی الاستبصار والنهایة ، وهو الظاهر من کلام سلاّر ، وقال فی کتاب النکاح من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الوطء فی الدبر یتعلق به أحکام الوطء فی الفرج ، وعدّ منها وجوب الغسل ، ثم اختار العلاّمة الوجوب ، وهو قول السید المرتضی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 العلاّمة 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لامَسْتُمُ النِّساءَ </w:t>
      </w:r>
      <w:r>
        <w:rPr>
          <w:rFonts w:eastAsia="Amiri" w:cs="Amiri" w:ascii="Amiri" w:hAnsi="Amiri"/>
          <w:color w:val="111111"/>
          <w:sz w:val="28"/>
          <w:szCs w:val="28"/>
          <w:rtl w:val="true"/>
          <w:lang w:bidi="ar-SA"/>
        </w:rPr>
        <w:t xml:space="preserve">) </w:t>
      </w:r>
      <w:r>
        <w:rPr>
          <w:rStyle w:val="FootnoteAnchor"/>
          <w:rtl w:val="true"/>
        </w:rPr>
        <w:footnoteReference w:id="651"/>
      </w:r>
      <w:r>
        <w:rPr>
          <w:rFonts w:ascii="IRNazanin" w:hAnsi="IRNazanin" w:eastAsia="IRNazanin"/>
          <w:color w:val="111111"/>
          <w:sz w:val="28"/>
          <w:sz w:val="28"/>
          <w:szCs w:val="28"/>
          <w:rtl w:val="true"/>
          <w:lang w:bidi="fa-IR"/>
        </w:rPr>
        <w:t xml:space="preserve">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محمد بن مسلم السابق الدال علی أنّه إذا أدخله وجب الغسل والمهر والرجم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والإدخال صادق فی الدبر کصدقه فی القبل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الآتیة عن حفص بن سوقة المرسلة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زرارة السابق نقله فی قضیة الأنصار والمهاجرین ، وقول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أتوجبون علیه الرجم والحد ولا توجبون علیه صاعاً من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الاستدلال أنّه علیه السلام أنکر إیجاب الحد دون الغسل ، وهو یدل علی متابعته فی الوجوب ، والحد یجب هنا فیجب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خامساً لا یلیق ذکره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نظری القاصر إمکان أن یقال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صحیح الحلبی المذکور فی أول الباب یدل بظاهره علی أنّ الإصابة فیما دون الفرج من دون إنزال لا یوجب الغسل ، فیقیّد مطلق القرآن أو یبیّن مجملة ، ویحتمل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یخص عامّه ، بناءً علی جواز تخصیص القرآن بالخبر ، کما هو مذهبه ، وکذلک تقیید مطلقه وإن لم أعلم الخلاف فیه الآن ، إلاّ أنّ الدلیل نفیاً وإثباتاً یأتی فیه کما یعلم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07" w:name="__RefHeading___Toc39358_2142443653"/>
      <w:bookmarkStart w:id="608" w:name="_Toc237"/>
      <w:bookmarkEnd w:id="607"/>
      <w:r>
        <w:rPr>
          <w:rtl w:val="true"/>
        </w:rPr>
        <w:t>إحتجاج العلّامة لوجوب الغسل فی الوطء فی الدبر بدون الإنزال والمناقشة فیه</w:t>
      </w:r>
      <w:bookmarkEnd w:id="608"/>
    </w:p>
    <w:p>
      <w:pPr>
        <w:pStyle w:val="BookText"/>
        <w:rPr/>
      </w:pPr>
      <w:r>
        <w:rPr>
          <w:rFonts w:ascii="Amiri" w:hAnsi="Amiri" w:eastAsia="Amiri" w:cs="Amiri"/>
          <w:color w:val="111111"/>
          <w:sz w:val="28"/>
          <w:sz w:val="28"/>
          <w:szCs w:val="28"/>
          <w:rtl w:val="true"/>
          <w:lang w:bidi="ar-SA"/>
        </w:rPr>
        <w:t>من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أجاب به العلاّمة عن الخبر المذکور من القول بالموجب ومنع دلالته علی صورة النزاع ، فإنّ الدبر عندنا یسمی فرجاً لغةً وعرفا ، فأمّا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مأخوذ من الانفراج ، وأمّا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فکذلک ، لقوله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هُمْ لِفُرُوجِهِمْ حافِظُونَ </w:t>
      </w:r>
      <w:r>
        <w:rPr>
          <w:rFonts w:eastAsia="Amiri" w:cs="Amiri" w:ascii="Amiri" w:hAnsi="Amiri"/>
          <w:color w:val="111111"/>
          <w:sz w:val="28"/>
          <w:szCs w:val="28"/>
          <w:rtl w:val="true"/>
          <w:lang w:bidi="ar-SA"/>
        </w:rPr>
        <w:t xml:space="preserve">) </w:t>
      </w:r>
      <w:r>
        <w:rPr>
          <w:rStyle w:val="FootnoteAnchor"/>
          <w:rtl w:val="true"/>
        </w:rPr>
        <w:footnoteReference w:id="653"/>
      </w:r>
      <w:r>
        <w:rPr>
          <w:rFonts w:ascii="IRNazanin" w:hAnsi="IRNazanin" w:eastAsia="IRNazanin"/>
          <w:color w:val="111111"/>
          <w:sz w:val="28"/>
          <w:sz w:val="28"/>
          <w:szCs w:val="28"/>
          <w:rtl w:val="true"/>
          <w:lang w:bidi="fa-IR"/>
        </w:rPr>
        <w:t xml:space="preserve">وأشار بذلک إلی ذَکَر الرجل وسمّاه فرجاً ، للمعنی الذی هو الانفراج </w:t>
      </w:r>
      <w:r>
        <w:rPr>
          <w:rStyle w:val="FootnoteAnchor"/>
          <w:rtl w:val="true"/>
        </w:rPr>
        <w:footnoteReference w:id="654"/>
      </w:r>
      <w:r>
        <w:rPr>
          <w:rFonts w:ascii="IRNazanin" w:hAnsi="IRNazanin" w:eastAsia="IRNazanin"/>
          <w:color w:val="111111"/>
          <w:sz w:val="28"/>
          <w:sz w:val="28"/>
          <w:szCs w:val="28"/>
          <w:rtl w:val="true"/>
          <w:lang w:bidi="fa-IR"/>
        </w:rPr>
        <w:t xml:space="preserve">ففیه 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دعوی کون اللغة والعرف تدلان علی أنّ الدبر یقال له فرج ، خلاف ما ذکره بعض أهل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الفرج عرفاً یقال للقبل من الرجل والمرأة ، کما نقلناه سابقاً عن ابن الأثیر فی أحکام الأحکام </w:t>
      </w:r>
      <w:r>
        <w:rPr>
          <w:rStyle w:val="FootnoteAnchor"/>
          <w:rtl w:val="true"/>
        </w:rPr>
        <w:footnoteReference w:id="655"/>
      </w:r>
      <w:r>
        <w:rPr>
          <w:rFonts w:ascii="Amiri" w:hAnsi="Amiri" w:eastAsia="Amiri" w:cs="Amiri"/>
          <w:color w:val="111111"/>
          <w:sz w:val="28"/>
          <w:sz w:val="28"/>
          <w:szCs w:val="28"/>
          <w:rtl w:val="true"/>
          <w:lang w:bidi="ar-SA"/>
        </w:rPr>
        <w:t xml:space="preserve">، واستدلال العلاّمة علی العرف 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یخلو من تأمّل ، لأنّه إن أراد أنّ الآیة تدل علی إطلاق الفرج علی الذکر فنحن نقول به ، وإن أراد الإطلاق علی الدبر فهو أعلم بالمراد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المراد أنّ الآیة تنفی الاختصاص بقبل المرأة ، وإذا نفی الاختصاص شمل الدبر ، کما نبه علیه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بذلک إلی ذکر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ملازمة بین نفی الاختصاص وشمول الدبر؟ مع ما سمعته من الخلاف ، علی أنّ للقائل بالاختصاص بقبل المرأة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یحتمل فیها المجاز ، والقرینة معه ، وإن کان فیه نظر</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یتوجه علی العلاّمة أنّ فهم الانفراج من إرادة الذَّکَر فی الآیة لو تم فهو انفراج القبل من المرأة بلا ریب ، ومن الرجل للآیة ، علی أنّا قدّمنا </w:t>
      </w:r>
    </w:p>
    <w:p>
      <w:pPr>
        <w:pStyle w:val="BookText"/>
        <w:rPr/>
      </w:pPr>
      <w:r>
        <w:rPr>
          <w:rFonts w:ascii="IRNazanin" w:hAnsi="IRNazanin" w:eastAsia="IRNazanin"/>
          <w:color w:val="111111"/>
          <w:sz w:val="28"/>
          <w:sz w:val="28"/>
          <w:szCs w:val="28"/>
          <w:rtl w:val="true"/>
          <w:lang w:bidi="fa-IR"/>
        </w:rPr>
        <w:t xml:space="preserve">عن النهایة ما یدل علی أن الفرج إنّما یسمی فرجاً لأنه بین الرِّجلین </w:t>
      </w:r>
      <w:r>
        <w:rPr>
          <w:rStyle w:val="FootnoteAnchor"/>
          <w:rtl w:val="true"/>
        </w:rPr>
        <w:footnoteReference w:id="656"/>
      </w:r>
      <w:r>
        <w:rPr>
          <w:rFonts w:ascii="IRNazanin" w:hAnsi="IRNazanin" w:eastAsia="IRNazanin"/>
          <w:color w:val="111111"/>
          <w:sz w:val="28"/>
          <w:sz w:val="28"/>
          <w:szCs w:val="28"/>
          <w:rtl w:val="true"/>
          <w:lang w:bidi="fa-IR"/>
        </w:rPr>
        <w:t>، إلاّ أن یتکلف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سلّم جمیع ذلک من العلاّمة ، فالحدیث الصحیح عن الحلبی تضمن إصابة ما دون الفرج </w:t>
      </w:r>
      <w:r>
        <w:rPr>
          <w:rStyle w:val="FootnoteAnchor"/>
          <w:rtl w:val="true"/>
        </w:rPr>
        <w:footnoteReference w:id="657"/>
      </w:r>
      <w:r>
        <w:rPr>
          <w:rFonts w:ascii="IRNazanin" w:hAnsi="IRNazanin" w:eastAsia="IRNazanin"/>
          <w:color w:val="111111"/>
          <w:sz w:val="28"/>
          <w:sz w:val="28"/>
          <w:szCs w:val="28"/>
          <w:rtl w:val="true"/>
          <w:lang w:bidi="fa-IR"/>
        </w:rPr>
        <w:t>، وعلی تقدیر إطلاق الفرج علی الدبر کان حق السؤال ما دون الفرجین ، وإرادة الجنس هنا بعیدة عن مساق الخبر والمعنی ، إلاّ بتکلّف لا یلیق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ولئن سلّم جمیع ذلک ، فما تضمنه الخبر الصحیح ، عن محمد بن إسماعیل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التقی الختانان وجب الغسل </w:t>
      </w:r>
      <w:r>
        <w:rPr>
          <w:rFonts w:eastAsia="IRNazanin" w:cs="IRNazanin"/>
          <w:color w:val="111111"/>
          <w:sz w:val="28"/>
          <w:szCs w:val="28"/>
          <w:rtl w:val="true"/>
          <w:lang w:bidi="fa-IR"/>
        </w:rPr>
        <w:t xml:space="preserve">» </w:t>
      </w:r>
      <w:r>
        <w:rPr>
          <w:rStyle w:val="FootnoteAnchor"/>
          <w:rtl w:val="true"/>
        </w:rPr>
        <w:footnoteReference w:id="658"/>
      </w:r>
      <w:r>
        <w:rPr>
          <w:rFonts w:ascii="IRNazanin" w:hAnsi="IRNazanin" w:eastAsia="IRNazanin"/>
          <w:color w:val="111111"/>
          <w:sz w:val="28"/>
          <w:sz w:val="28"/>
          <w:szCs w:val="28"/>
          <w:rtl w:val="true"/>
          <w:lang w:bidi="fa-IR"/>
        </w:rPr>
        <w:t>یدل بمفهومه علی عدم إیجاب الغسل عند عدم الالتقاء ، والمفهوم حجة ، وحینئذ یخص العام ویقید المطلق بالمفهوم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 العلاّمة عن الروایة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دلالة المفهوم ضعیفة </w:t>
      </w:r>
      <w:r>
        <w:rPr>
          <w:rStyle w:val="FootnoteAnchor"/>
          <w:rtl w:val="true"/>
        </w:rPr>
        <w:footnoteReference w:id="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 لأنه قائل بحجّیة مفهوم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مراده بضعف المفهوم ، أن دلالة المنطوق أقوی منه ، فلا یصلح للتخصیص ، لا أنّ المفهوم ضعیف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 حجیة المفهوم لا یتم ما ذکرت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یحتمل أن یرید بالضعف ، أن مفهوم الشرط إنّما یکون حجة إذا دل علی النفی عما عداه ، ولمّا کان الإجماع واقعاً علی وجوب الغسل بالإنزال ، علم أن الشرط لیس المقصود به النفی عما عداه ، وعلی هذا </w:t>
      </w:r>
    </w:p>
    <w:p>
      <w:pPr>
        <w:pStyle w:val="BookText"/>
        <w:rPr/>
      </w:pPr>
      <w:r>
        <w:rPr>
          <w:rFonts w:ascii="IRNazanin" w:hAnsi="IRNazanin" w:eastAsia="IRNazanin"/>
          <w:color w:val="111111"/>
          <w:sz w:val="28"/>
          <w:sz w:val="28"/>
          <w:szCs w:val="28"/>
          <w:rtl w:val="true"/>
          <w:lang w:bidi="fa-IR"/>
        </w:rPr>
        <w:t xml:space="preserve">یکون قوله بعد ما حکیناه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ولأنه منفی بالإجماع فإن الإنزال إذا تحقق من غیر التقاء وجب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 لما ذکرناه ، إلاّ أن الإتیان بالواو لا یلائم ذلک ، ولعلّه 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مراده بضعف دلالة المفهوم أن قول السائل فی الروایة بعد ما قدّمناه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التقاء الختانین هو غیبوبة الحشفة؟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من تسامح ، لأن غیبوبة الحشفة لیس هی التقاء الختانین ، بل هی سبب التقاء الختانین ، ویحتمل أن یکون المراد بالتقاء الختانین الغیبوبة مطلقا ، فتکون العبارة کنایة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Style w:val="FootnoteAnchor"/>
          <w:rtl w:val="true"/>
        </w:rPr>
        <w:footnoteReference w:id="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علما علیه ، وحینئذ یضعف المفهوم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حمل </w:t>
      </w:r>
      <w:r>
        <w:rPr>
          <w:rStyle w:val="FootnoteAnchor"/>
          <w:rtl w:val="true"/>
        </w:rPr>
        <w:footnoteReference w:id="661"/>
      </w:r>
      <w:r>
        <w:rPr>
          <w:rFonts w:ascii="IRNazanin" w:hAnsi="IRNazanin" w:eastAsia="IRNazanin"/>
          <w:color w:val="111111"/>
          <w:sz w:val="28"/>
          <w:sz w:val="28"/>
          <w:szCs w:val="28"/>
          <w:rtl w:val="true"/>
          <w:lang w:bidi="fa-IR"/>
        </w:rPr>
        <w:t>السبب علی المسبب سائغ شائع ، وحینئذ فقول السائل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 ذکره من جهة الإجماع علی الإنزال لا یضرّ بالمفهوم ، إذ غایته أن یخص المفهوم العام بالإجماع ، ولا بعد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خصّ المفهوم بالإجماع ، کذلک یخص بما عدا الدبر ، للخبر الدال علی أن مجرد الإدخال کاف ، وعموم الآیة حینئذ یبقی من غیر 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تخصیص الإجماع لعموم المفهوم ، وبین غیره من الخبر والآیة ، لأن کلا من الخبر والآیة عام والمفهوم عام ، فإبقاء الکل علی العموم لا یتم ، وتخصیص العام بالعام کذلک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کلًّا من الآیة والخبر والمفهوم عام من وجه ، </w:t>
      </w:r>
    </w:p>
    <w:p>
      <w:pPr>
        <w:pStyle w:val="BookText"/>
        <w:rPr/>
      </w:pPr>
      <w:r>
        <w:rPr>
          <w:rFonts w:ascii="IRNazanin" w:hAnsi="IRNazanin" w:eastAsia="IRNazanin"/>
          <w:color w:val="111111"/>
          <w:sz w:val="28"/>
          <w:sz w:val="28"/>
          <w:szCs w:val="28"/>
          <w:rtl w:val="true"/>
          <w:lang w:bidi="fa-IR"/>
        </w:rPr>
        <w:t>وخاص من وجه ، فیخص کل عام من الجانبین ، وفیه ما لا یخفی علی المتأمّل فی حقیقة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یعلم ما یتوجه علی الثانی ، فإنّا قد ذکرنا ما یتعلق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فبأنّ الروایة لا تصلح للاستدلال بعد تحقق الإرسال ، وما قد یتخیل من أنّ الإجماع علی تصحیح ما یصح عن ابن أبی عمیر یرفع وهن الإرسال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قدمناه فی أول الکتاب ، وکلام الشیخ هنا أیضاً فی ردّها یحقق ما قدمناه ، ویؤکّد ما قاله سابقاً ، فلا ینبغی الغفلة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توجیه الاستدلال بتابعیة الغسل للحد ،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التابعیة إن أُرید بها اللزوم فدفعه واضح ، إذ الغسل لیس بلازم للحد ؛ وإن أُرید بالتابعیة مجرد اتفاق حصوله عنده فلا یتم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أُرید اللزوم فلا مانع منه ، سوی ما یتخیل من أنّ وجوب الحدّ لو لزمه الغسل لزم أنّ کل من وجب علیه الحدّ وجب علیه الغسل ، وهو باطل بالاتفاق ؛ وهذا سهل الدفع ، 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المتعلق بالجماع ، وهو حاصل فی القبل والدبر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أردت بالحد ما ذکرت لا یتم الاستدلال بالحدیث ، لأنّه تضمن أنّ الأنصار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من الماء ، والمهاجرین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التقی الختانان ، وأین هذا من الجماع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استدلال العلاّمة من حیث إنکار علی علیه السلام إیجاب الحدّ دون الغسل ، ولو لا الارتباط به لما کان للإنکار معنی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المعنی حاصل من جهة أنّهم أوجبوا الحدّ فی التقاء الختانین ولم یوجبوا الغسل ، فالإنکار علی حد خاص ، فینبغی تأمّل هذا کلّه فإنّه حریّ بالتأمّل التامّ ، وبالله سبحانه الاعتصام</w:t>
      </w:r>
      <w:r>
        <w:rPr>
          <w:rFonts w:eastAsia="IRNazanin" w:cs="IRNazanin"/>
          <w:color w:val="111111"/>
          <w:sz w:val="28"/>
          <w:szCs w:val="28"/>
          <w:rtl w:val="true"/>
          <w:lang w:bidi="fa-IR"/>
        </w:rPr>
        <w:t xml:space="preserve">. </w:t>
      </w:r>
      <w:bookmarkStart w:id="609" w:name="pg17122_169655"/>
    </w:p>
    <w:p>
      <w:pPr>
        <w:pStyle w:val="BookText"/>
        <w:rPr/>
      </w:pPr>
      <w:bookmarkEnd w:id="609"/>
      <w:r>
        <w:rPr>
          <w:rFonts w:ascii="IRNazanin" w:hAnsi="IRNazanin" w:eastAsia="IRNazanin"/>
          <w:color w:val="111111"/>
          <w:sz w:val="28"/>
          <w:sz w:val="28"/>
          <w:szCs w:val="28"/>
          <w:rtl w:val="true"/>
          <w:lang w:bidi="fa-IR"/>
        </w:rPr>
        <w:t xml:space="preserve">قال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ابن أبی عمیر ، عن حفص بن سوقة ، عمن أخبره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فی </w:t>
      </w:r>
      <w:r>
        <w:rPr>
          <w:rStyle w:val="FootnoteAnchor"/>
          <w:rtl w:val="true"/>
        </w:rPr>
        <w:footnoteReference w:id="662"/>
      </w:r>
      <w:r>
        <w:rPr>
          <w:rFonts w:ascii="IRNazanin" w:hAnsi="IRNazanin" w:eastAsia="IRNazanin"/>
          <w:color w:val="111111"/>
          <w:sz w:val="28"/>
          <w:sz w:val="28"/>
          <w:szCs w:val="28"/>
          <w:rtl w:val="true"/>
          <w:lang w:bidi="fa-IR"/>
        </w:rPr>
        <w:t xml:space="preserve">رجل أتی </w:t>
      </w:r>
      <w:r>
        <w:rPr>
          <w:rStyle w:val="FootnoteAnchor"/>
          <w:rtl w:val="true"/>
        </w:rPr>
        <w:footnoteReference w:id="663"/>
      </w:r>
      <w:r>
        <w:rPr>
          <w:rFonts w:ascii="IRNazanin" w:hAnsi="IRNazanin" w:eastAsia="IRNazanin"/>
          <w:color w:val="111111"/>
          <w:sz w:val="28"/>
          <w:sz w:val="28"/>
          <w:szCs w:val="28"/>
          <w:rtl w:val="true"/>
          <w:lang w:bidi="fa-IR"/>
        </w:rPr>
        <w:t xml:space="preserve">أهله من خلفها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أحد المأتیین ، فیه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ینافی الأخبار الأوّلة ، لأن هذا الخبر مرسل مقطوع ، مع أنه خبر واحد ، وما هذا حکمه لا یعارض </w:t>
      </w:r>
      <w:r>
        <w:rPr>
          <w:rStyle w:val="FootnoteAnchor"/>
          <w:rtl w:val="true"/>
        </w:rPr>
        <w:footnoteReference w:id="664"/>
      </w:r>
      <w:r>
        <w:rPr>
          <w:rFonts w:ascii="IRNazanin" w:hAnsi="IRNazanin" w:eastAsia="IRNazanin"/>
          <w:color w:val="111111"/>
          <w:sz w:val="28"/>
          <w:sz w:val="28"/>
          <w:szCs w:val="28"/>
          <w:rtl w:val="true"/>
          <w:lang w:bidi="fa-IR"/>
        </w:rPr>
        <w:t xml:space="preserve">الأخبار المسندة ، علی أنه یمکن أن یکون ورد مورد التقیة ، لأنه موافق لمذهب العامة </w:t>
      </w:r>
      <w:r>
        <w:rPr>
          <w:rStyle w:val="FootnoteAnchor"/>
          <w:rtl w:val="true"/>
        </w:rPr>
        <w:footnoteReference w:id="665"/>
      </w:r>
      <w:r>
        <w:rPr>
          <w:rFonts w:ascii="IRNazanin" w:hAnsi="IRNazanin" w:eastAsia="IRNazanin"/>
          <w:color w:val="111111"/>
          <w:sz w:val="28"/>
          <w:sz w:val="28"/>
          <w:szCs w:val="28"/>
          <w:rtl w:val="true"/>
          <w:lang w:bidi="fa-IR"/>
        </w:rPr>
        <w:t>، ولأن الذمة بریئة من وجوب الغسل ، فلا یعلق علیها وجوب الغسل إلاّ بدلیل یوجب العلم ، وهذا الخبر من أخبار الآحاد التی لا یوجب العلم ولا العمل ، فلا یجب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ما ذکره الشیخ فیه واضح ، وکذلک تأییده لما قدمناه فی أول الکتاب ، من أن الإجماع علی تصحیح ما یصح عن الرجل لا یثمر عدم الالتفات إلی من بعده وإن کان ضعیفا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ردّ الشیخ الخبر بالإرسال لیس علی الإطلاق ، بل مع کونه خبر واحد ، یعنی غیر محفوف بالقرائن ، کما یظهر منه فی مواضع</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10" w:name="__RefHeading___Toc39360_2142443653"/>
      <w:bookmarkStart w:id="611" w:name="_Toc238"/>
      <w:bookmarkEnd w:id="610"/>
      <w:r>
        <w:rPr>
          <w:rtl w:val="true"/>
        </w:rPr>
        <w:t>هل یردّ الشیخ الخبر بالإرسال مطلقاً؟</w:t>
      </w:r>
      <w:bookmarkStart w:id="612" w:name="pg17122_169656"/>
      <w:bookmarkEnd w:id="611"/>
    </w:p>
    <w:p>
      <w:pPr>
        <w:pStyle w:val="BookText"/>
        <w:rPr/>
      </w:pPr>
      <w:bookmarkEnd w:id="612"/>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الإجماع علی تصحیح ما یصح عن الرجل لو تم ما ظنّه بعض المتأخّرین لکان من أظهر 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مراده هنا لیس علی حد قوله فی غیره من الأخبار من إرادة القرائن ، بل أنّه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معنی له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حفص بن سوقة فهو ثقة کما فی النجاشی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ذکره الشیخ فیه من الحمل علی التقیة لأنه موافق لمذهب العامة ، ظاهر فی أن أصحابنا لا یقولون بمضمونه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بدلیل یوجب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انتفاء الدلیل المذکور ، وهذا ینافی ما نقله العلاّمة فی المختلف عن السید المرتضی ، حیث ذهب إلی وجوب الغسل ، إنّه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أعلم خلافاً بین المسلمین فی أن الوطء فی الموضع المکروه من ذکر أو أنثی یجری مجری الوطء فی القبل مع الإیقاب وغیبوبة الحشفة فی وجوب الغسل علی الفاعل والمفعول به ، وإن لم یکن معه إنزال ، ولا وجدت فی الکتب المصنفة لأصحابنا الإمامیة إلاّ ذلک ، ولا سمعت من عاصرنی منهم من شیوخهم نحواً من ستین سنة یفتی إلاّ بذلک ، فهذه مسألة إجماعیة </w:t>
      </w:r>
      <w:r>
        <w:rPr>
          <w:rStyle w:val="FootnoteAnchor"/>
          <w:rtl w:val="true"/>
        </w:rPr>
        <w:footnoteReference w:id="668"/>
      </w:r>
      <w:r>
        <w:rPr>
          <w:rFonts w:ascii="IRNazanin" w:hAnsi="IRNazanin" w:eastAsia="IRNazanin"/>
          <w:color w:val="111111"/>
          <w:sz w:val="28"/>
          <w:sz w:val="28"/>
          <w:szCs w:val="28"/>
          <w:rtl w:val="true"/>
          <w:lang w:bidi="fa-IR"/>
        </w:rPr>
        <w:t xml:space="preserve">من الکل ، وإن </w:t>
      </w:r>
      <w:r>
        <w:rPr>
          <w:rStyle w:val="FootnoteAnchor"/>
          <w:rtl w:val="true"/>
        </w:rPr>
        <w:footnoteReference w:id="669"/>
      </w:r>
      <w:r>
        <w:rPr>
          <w:rFonts w:ascii="IRNazanin" w:hAnsi="IRNazanin" w:eastAsia="IRNazanin"/>
          <w:color w:val="111111"/>
          <w:sz w:val="28"/>
          <w:sz w:val="28"/>
          <w:szCs w:val="28"/>
          <w:rtl w:val="true"/>
          <w:lang w:bidi="fa-IR"/>
        </w:rPr>
        <w:t xml:space="preserve">شئت أن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معلوم بالضرورة من دین الرسول صلی الله علیه و آله أنّه لا خلاف بین الفرجین فی هذا الحکم</w:t>
      </w:r>
      <w:r>
        <w:rPr>
          <w:rFonts w:eastAsia="IRNazanin" w:cs="IRNazanin"/>
          <w:color w:val="111111"/>
          <w:sz w:val="28"/>
          <w:szCs w:val="28"/>
          <w:rtl w:val="true"/>
          <w:lang w:bidi="fa-IR"/>
        </w:rPr>
        <w:t>.</w:t>
      </w:r>
    </w:p>
    <w:p>
      <w:pPr>
        <w:pStyle w:val="Heading4"/>
        <w:numPr>
          <w:ilvl w:val="3"/>
          <w:numId w:val="1"/>
        </w:numPr>
        <w:rPr/>
      </w:pPr>
      <w:bookmarkStart w:id="613" w:name="__RefHeading___Toc39362_2142443653"/>
      <w:bookmarkStart w:id="614" w:name="_Toc239"/>
      <w:bookmarkEnd w:id="613"/>
      <w:r>
        <w:rPr>
          <w:rtl w:val="true"/>
        </w:rPr>
        <w:t>حفص بن سوقة ثقة</w:t>
      </w:r>
      <w:bookmarkEnd w:id="61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15" w:name="__RefHeading___Toc39364_2142443653"/>
      <w:bookmarkStart w:id="616" w:name="_Toc240"/>
      <w:bookmarkEnd w:id="615"/>
      <w:r>
        <w:rPr>
          <w:rtl w:val="true"/>
        </w:rPr>
        <w:t>ادّعاء السیّد المرتضی الإجماع علی عدم الفرق بین الفرجین فی وجوب الغسل</w:t>
      </w:r>
      <w:bookmarkStart w:id="617" w:name="pg17122_169657"/>
      <w:bookmarkEnd w:id="616"/>
    </w:p>
    <w:p>
      <w:pPr>
        <w:pStyle w:val="BookText"/>
        <w:rPr/>
      </w:pPr>
      <w:bookmarkEnd w:id="617"/>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واتصل بی فی هذه الأیام عن بعض الشیعة الإمامیة أن الوطء فی الدبر لا یوجب الغسل ، تعویلاً علی أن الأصل عدم الوجوب ، أو علی خبر یذکر أنّه موجود فی منتخبات سعد أو غیرها ، فهذا ممّا لا یلتفت إلیه ، 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فباطل ، لأن الإجماع والقرآن وهو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لامَسْتُمُ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یزیل حکمه ، وأمّا الخبر فلا یعتمد علیه فی معارضة الإجماع والقرآن </w:t>
      </w:r>
      <w:r>
        <w:rPr>
          <w:rStyle w:val="FootnoteAnchor"/>
          <w:rtl w:val="true"/>
        </w:rPr>
        <w:footnoteReference w:id="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المراد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ولمتعجب أن یتعجّب ممّا وقع بین کلامی الشیخ والمرتضی ، والله سبحانه المستعان ، وعلیه فی الأُمور کلّها التکلان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أنّه اتفق للعلاّمة الاستدلال علی وجوب الغسل بالوطء فی دبر الغلام بالإجماع المرکّب </w:t>
      </w:r>
      <w:r>
        <w:rPr>
          <w:rStyle w:val="FootnoteAnchor"/>
          <w:rtl w:val="true"/>
        </w:rPr>
        <w:footnoteReference w:id="671"/>
      </w:r>
      <w:r>
        <w:rPr>
          <w:rFonts w:ascii="IRNazanin" w:hAnsi="IRNazanin" w:eastAsia="IRNazanin"/>
          <w:color w:val="111111"/>
          <w:sz w:val="28"/>
          <w:sz w:val="28"/>
          <w:szCs w:val="28"/>
          <w:rtl w:val="true"/>
          <w:lang w:bidi="fa-IR"/>
        </w:rPr>
        <w:t xml:space="preserve">، والمحقق فی الشرائع نقله عن المرتضی رضی الله عنه وردّه بأنّه لم یثبت </w:t>
      </w:r>
      <w:r>
        <w:rPr>
          <w:rStyle w:val="FootnoteAnchor"/>
          <w:rtl w:val="true"/>
        </w:rPr>
        <w:footnoteReference w:id="672"/>
      </w:r>
      <w:r>
        <w:rPr>
          <w:rFonts w:ascii="IRNazanin" w:hAnsi="IRNazanin" w:eastAsia="IRNazanin"/>
          <w:color w:val="111111"/>
          <w:sz w:val="28"/>
          <w:sz w:val="28"/>
          <w:szCs w:val="28"/>
          <w:rtl w:val="true"/>
          <w:lang w:bidi="fa-IR"/>
        </w:rPr>
        <w:t xml:space="preserve">، والمتأخّرون عن الفاضلین قد اضطربوا فی قول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الإجماع لم یثبت </w:t>
      </w:r>
      <w:r>
        <w:rPr>
          <w:rStyle w:val="FootnoteAnchor"/>
          <w:rtl w:val="true"/>
        </w:rPr>
        <w:footnoteReference w:id="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الإجماع المنقول بخبر الواحد حجة عند الأکثر ، فکیف بنقل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نظری القاصر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أصل ذکر الاستدلال بالإجماع المرکّب لا یخلو من إجمال ، فضلاً عن تحقیق الحال بالنسبة إلی النقل المذکور فی المقال ، وقد فصّلت المقام فی حواشی المختلف ، غیر أنی أذکر هنا ما لا بدّ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الإجماع المرکب حقیقته فی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إطباق أهل الحلّ والعقد علی قولین لا یتجاوزونهما إلی ثالث ، وفائدة هذا الإجماع</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18" w:name="__RefHeading___Toc39366_2142443653"/>
      <w:bookmarkStart w:id="619" w:name="_Toc241"/>
      <w:bookmarkEnd w:id="618"/>
      <w:r>
        <w:rPr>
          <w:rtl w:val="true"/>
        </w:rPr>
        <w:t>الاستدلال لوجوب الغسل بوطء الغلام بالإجماع المرکّب والمناقشة فیه</w:t>
      </w:r>
      <w:bookmarkEnd w:id="619"/>
    </w:p>
    <w:p>
      <w:pPr>
        <w:pStyle w:val="BookText"/>
        <w:rPr/>
      </w:pPr>
      <w:r>
        <w:rPr>
          <w:rFonts w:ascii="IRNazanin" w:hAnsi="IRNazanin" w:eastAsia="IRNazanin"/>
          <w:color w:val="111111"/>
          <w:sz w:val="28"/>
          <w:sz w:val="28"/>
          <w:szCs w:val="28"/>
          <w:rtl w:val="true"/>
          <w:lang w:bidi="fa-IR"/>
        </w:rPr>
        <w:t xml:space="preserve">عدم جواز إحداث قول ثالث ، أمّا الاستدلال به علی حکم من الأحکام فغیر واضح ، لأنّا إذا أردنا فی هذه المسألة المبحوث عنها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یجب الغسل بوطء المرأة فی دبرها یجب بالوطء فی دبر الغلام ، للإجماع المرکب ، وهو أنّ کل من أوجب ذلک أوجب هذا ، ومن نفاه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من قبیل اللغو ، فکیف یصدر من مثل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قد صرّح به فی المختلف ، فقال من جملة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المرکب ، فإنّ کل قائل بوجوبه فی دبر المرأة قائل بوجوبه فی دبر الغلام </w:t>
      </w:r>
      <w:r>
        <w:rPr>
          <w:rStyle w:val="FootnoteAnchor"/>
          <w:rtl w:val="true"/>
        </w:rPr>
        <w:footnoteReference w:id="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خبیر بأنّ هذا لا یفید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یمکن أن یقال فی التوجیه أنّ الأدلّة لمّا دلت علی المرأة لزم القول بمقتضاها ، والاختصاص بالمرأة لا یمکن ، لأنّه خرق للإجماع المرکب ، وذلک لا یجوز ، فلا بدّ من القول به فی الغلام ، وحینئذ فالاستدلال بالإجماع المرکب یراد به هذا المعنی لا غیر ، ولما تقدم من السید نقل الإجماع علی وجوب الغسل بوطء المرأة فی الدبر لزمه القول بالغلام ، لکن لا</w:t>
      </w:r>
    </w:p>
    <w:p>
      <w:pPr>
        <w:pStyle w:val="BookText"/>
        <w:rPr/>
      </w:pPr>
      <w:r>
        <w:rPr>
          <w:rFonts w:ascii="IRNazanin" w:hAnsi="IRNazanin" w:eastAsia="IRNazanin"/>
          <w:color w:val="111111"/>
          <w:sz w:val="28"/>
          <w:sz w:val="28"/>
          <w:szCs w:val="28"/>
          <w:rtl w:val="true"/>
          <w:lang w:bidi="fa-IR"/>
        </w:rPr>
        <w:t xml:space="preserve">یخفی أنّ لزوم القول لیس استدلالاً بالإجماع المرکب ، وکأن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خوفاً من خرق الإجماع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خبیر بأنّ ظاهر کلام السیّد دعوی الإجماع علی الذکر والأُنثی کما نقله العلاّمة </w:t>
      </w:r>
      <w:r>
        <w:rPr>
          <w:rStyle w:val="FootnoteAnchor"/>
          <w:rtl w:val="true"/>
        </w:rPr>
        <w:footnoteReference w:id="675"/>
      </w:r>
      <w:r>
        <w:rPr>
          <w:rFonts w:ascii="IRNazanin" w:hAnsi="IRNazanin" w:eastAsia="IRNazanin"/>
          <w:color w:val="111111"/>
          <w:sz w:val="28"/>
          <w:sz w:val="28"/>
          <w:szCs w:val="28"/>
          <w:rtl w:val="true"/>
          <w:lang w:bidi="fa-IR"/>
        </w:rPr>
        <w:t xml:space="preserve">، فالإجماع بسیط ، وعلی تقدیر الإجماع المرکب وتمام التوجیه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الدلیل لمّا دل علی المرأة لزم الحکم فی الغلام ، لا یکون المعصوم داخلاً یقیناً ، والعبرة فی الإجماع بدخوله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نظری القاصر أنّ قول المحقق بعد النقل عن السید الاستدلال </w:t>
      </w:r>
      <w:bookmarkStart w:id="620" w:name="pg17122_169659"/>
    </w:p>
    <w:p>
      <w:pPr>
        <w:pStyle w:val="BookText"/>
        <w:rPr/>
      </w:pPr>
      <w:bookmarkEnd w:id="620"/>
      <w:r>
        <w:rPr>
          <w:rFonts w:ascii="IRNazanin" w:hAnsi="IRNazanin" w:eastAsia="IRNazanin"/>
          <w:color w:val="111111"/>
          <w:sz w:val="28"/>
          <w:sz w:val="28"/>
          <w:szCs w:val="28"/>
          <w:rtl w:val="true"/>
          <w:lang w:bidi="fa-IR"/>
        </w:rPr>
        <w:t xml:space="preserve">بالإجماع المرکب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مراده عدم تحقق معنی الإجماع المعتبر فیه العلم بدخول المعصوم ، لا أن نقل السید الإجماع لم یثبت به الحکم ، وبهذا یندفع ما قاله شیخنا قدس سره فی المدارک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حجّة السید واضحة بعد ثبوتها ، لکن المحقق اعترضها بأن الإجماع لم یثبت عنده ، وردّه المتأخّرون بأن الإجماع المنقول بخبر الواحد حجة وکفی بالسید ناقلا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حقق شیخنا قدس سره أنّ توقف المحقّق لیس لعدم قبول خبر الواحد عنده ، بل لاستبعاد تحقق الإجماع فی مثل ذلک ، لعدم العلم بدخول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هذا الکلام محل بحث ، لأنّ العلم بدخول قول المعصوم إن کان فی الإجماع غیر المنقول بخبر الواحد فمسلّم ولا کلام فیه ، وإن کان فی المنقول بالخبر فالعلم بدخول المعصوم لیس بشرط ، وإمکان علم الناقل لا مجال لإنکاره مع فرض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یستبعد ذلک ، لا سیّما إذا خالف الناقل نفسه ، أو خالفه غیره ، وإن کان معلوم النسب ، علی أن المحقق یدعی الإجماع فی المعتبر کثیراً ، فکل ما یقول علی السید یقال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أن مراده ما قدّمناه ، وإن کان المحقق قد یعترض علی من یدعی الإجماع کما یعلم من المعتبر </w:t>
      </w:r>
      <w:r>
        <w:rPr>
          <w:rStyle w:val="FootnoteAnchor"/>
          <w:rtl w:val="true"/>
        </w:rPr>
        <w:footnoteReference w:id="677"/>
      </w:r>
      <w:r>
        <w:rPr>
          <w:rFonts w:ascii="IRNazanin" w:hAnsi="IRNazanin" w:eastAsia="IRNazanin"/>
          <w:color w:val="111111"/>
          <w:sz w:val="28"/>
          <w:sz w:val="28"/>
          <w:szCs w:val="28"/>
          <w:rtl w:val="true"/>
          <w:lang w:bidi="fa-IR"/>
        </w:rPr>
        <w:t>، إلاّ أنّه فارق بین الناقلین ، والله تعالی أعلم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الجنب لا یمسّ الدراهم علیها اسم الله تعالی</w:t>
      </w:r>
    </w:p>
    <w:p>
      <w:pPr>
        <w:pStyle w:val="BookText"/>
        <w:rPr/>
      </w:pPr>
      <w:r>
        <w:rPr>
          <w:rFonts w:ascii="IRNazanin" w:hAnsi="IRNazanin" w:eastAsia="IRNazanin"/>
          <w:color w:val="111111"/>
          <w:sz w:val="28"/>
          <w:sz w:val="28"/>
          <w:szCs w:val="28"/>
          <w:rtl w:val="true"/>
          <w:lang w:bidi="fa-IR"/>
        </w:rPr>
        <w:t>أخبرنی الشیخ رحمه الله عن أحمد بن محمد ، عن أبیه ، عن</w:t>
      </w:r>
    </w:p>
    <w:p>
      <w:pPr>
        <w:pStyle w:val="Heading3"/>
        <w:numPr>
          <w:ilvl w:val="2"/>
          <w:numId w:val="1"/>
        </w:numPr>
        <w:rPr/>
      </w:pPr>
      <w:bookmarkStart w:id="621" w:name="__RefHeading___Toc39368_2142443653"/>
      <w:bookmarkStart w:id="622" w:name="_Toc242"/>
      <w:bookmarkEnd w:id="621"/>
      <w:r>
        <w:rPr>
          <w:rtl w:val="true"/>
        </w:rPr>
        <w:t>الجنب لا یمسّ الدراهم علیها اسم اللّه تعالی</w:t>
      </w:r>
      <w:bookmarkEnd w:id="62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23" w:name="__RefHeading___Toc39370_2142443653"/>
      <w:bookmarkStart w:id="624" w:name="_Toc243"/>
      <w:bookmarkEnd w:id="623"/>
      <w:r>
        <w:rPr>
          <w:rtl w:val="true"/>
        </w:rPr>
        <w:t>اشارة</w:t>
      </w:r>
      <w:bookmarkStart w:id="625" w:name="pg17122_169660"/>
      <w:bookmarkEnd w:id="624"/>
    </w:p>
    <w:p>
      <w:pPr>
        <w:pStyle w:val="BookText"/>
        <w:rPr/>
      </w:pPr>
      <w:bookmarkEnd w:id="625"/>
      <w:r>
        <w:rPr>
          <w:rFonts w:ascii="IRNazanin" w:hAnsi="IRNazanin" w:eastAsia="IRNazanin"/>
          <w:color w:val="111111"/>
          <w:sz w:val="28"/>
          <w:sz w:val="28"/>
          <w:szCs w:val="28"/>
          <w:rtl w:val="true"/>
          <w:lang w:bidi="fa-IR"/>
        </w:rPr>
        <w:t xml:space="preserve">محمد بن یحیی وأحمد بن إدریس جمیعاً ، عن محمد بن أحمد بن یحیی ، عن أحمد بن الحسن بن علی بن فضال ، عن عمرو </w:t>
      </w:r>
      <w:r>
        <w:rPr>
          <w:rStyle w:val="FootnoteAnchor"/>
          <w:rtl w:val="true"/>
        </w:rPr>
        <w:footnoteReference w:id="678"/>
      </w:r>
      <w:r>
        <w:rPr>
          <w:rFonts w:ascii="IRNazanin" w:hAnsi="IRNazanin" w:eastAsia="IRNazanin"/>
          <w:color w:val="111111"/>
          <w:sz w:val="28"/>
          <w:sz w:val="28"/>
          <w:szCs w:val="28"/>
          <w:rtl w:val="true"/>
          <w:lang w:bidi="fa-IR"/>
        </w:rPr>
        <w:t xml:space="preserve">بن سعید المدائنی ، عن مصدق بن صدقة ، عن عمار بن موسی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یمس الجنب درهماً ولا دیناراً علیه اسم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علی بن محبوب ، عن محمد بن الحسین وعلی بن السندی ، عن صفوان بن یحیی ، عن إسحاق بن عمار ، عن أبی إبراهیم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الجنب والطامث یمسّان بأیدیهما الدراهم البیض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ینافی الخبر الأول ، لأنه لا یمتنع أن یکون إنّما أجاز له ذلک </w:t>
      </w:r>
      <w:r>
        <w:rPr>
          <w:rStyle w:val="FootnoteAnchor"/>
          <w:rtl w:val="true"/>
        </w:rPr>
        <w:footnoteReference w:id="679"/>
      </w:r>
      <w:r>
        <w:rPr>
          <w:rFonts w:ascii="IRNazanin" w:hAnsi="IRNazanin" w:eastAsia="IRNazanin"/>
          <w:color w:val="111111"/>
          <w:sz w:val="28"/>
          <w:sz w:val="28"/>
          <w:szCs w:val="28"/>
          <w:rtl w:val="true"/>
          <w:lang w:bidi="fa-IR"/>
        </w:rPr>
        <w:t>إذا لم یکن علیها اسم الله تعالی وإن کانت بیضاً ، وفی الأوّل نهی عن مسّها إذا کان علیها شی‌ء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بلا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عند المتأخرین </w:t>
      </w:r>
      <w:r>
        <w:rPr>
          <w:rStyle w:val="FootnoteAnchor"/>
          <w:rtl w:val="true"/>
        </w:rPr>
        <w:footnoteReference w:id="680"/>
      </w:r>
      <w:r>
        <w:rPr>
          <w:rFonts w:ascii="IRNazanin" w:hAnsi="IRNazanin" w:eastAsia="IRNazanin"/>
          <w:color w:val="111111"/>
          <w:sz w:val="28"/>
          <w:sz w:val="28"/>
          <w:szCs w:val="28"/>
          <w:rtl w:val="true"/>
          <w:lang w:bidi="fa-IR"/>
        </w:rPr>
        <w:t xml:space="preserve">، وقد یظن أنّه صحیح ، لأن إسحاق بن عمار لم یذکر النجاشی أنّه فطحی </w:t>
      </w:r>
      <w:r>
        <w:rPr>
          <w:rStyle w:val="FootnoteAnchor"/>
          <w:rtl w:val="true"/>
        </w:rPr>
        <w:footnoteReference w:id="681"/>
      </w:r>
      <w:r>
        <w:rPr>
          <w:rFonts w:ascii="IRNazanin" w:hAnsi="IRNazanin" w:eastAsia="IRNazanin"/>
          <w:color w:val="111111"/>
          <w:sz w:val="28"/>
          <w:sz w:val="28"/>
          <w:szCs w:val="28"/>
          <w:rtl w:val="true"/>
          <w:lang w:bidi="fa-IR"/>
        </w:rPr>
        <w:t>، وقد قدّمنا ترجیح قول النجاشی علی قول الشیخ فی القدح</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26" w:name="__RefHeading___Toc39372_2142443653"/>
      <w:bookmarkStart w:id="627" w:name="_Toc244"/>
      <w:bookmarkEnd w:id="626"/>
      <w:r>
        <w:rPr>
          <w:rtl w:val="true"/>
        </w:rPr>
        <w:t>کلمة حول إسحاق بن عمار</w:t>
      </w:r>
      <w:bookmarkStart w:id="628" w:name="pg17122_169661"/>
      <w:bookmarkEnd w:id="627"/>
    </w:p>
    <w:p>
      <w:pPr>
        <w:pStyle w:val="BookText"/>
        <w:rPr/>
      </w:pPr>
      <w:bookmarkEnd w:id="628"/>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ذکره الشیخ من الجمع لا یخلو من وجه ، وکأنّ المراد بالاسم فی الخبر الأوّل ما یتناول الوصف المختص وغیره ، إلاّ أنی لم أر الآن فی کلام الأصحاب ما یکشف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ظاهر الخبر مسّ ما علیه اسم الله ، والمحقق فی المعتبر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ویحرم علیه مس اسم الله سبحانه ، ولو کان علی درهم أو دینار أو غیرهما ، محتجّاً علیه بروایة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وإن کانت ضعیفة السند ، لکن مضمونها مطابق لما یجب من تعظیم الله سبحانه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وأنت خبیر بأن إثبات التحریم بما قاله محل کلام ، علی أن قوله بضعف الروایة مع ما یظهر من أُصوله لا یخلو من شی‌ء ، والجواب یعلم من کلام المحقق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أشرنا إلی ذلک فی غیر هذا الموضع ، والجواب لا یتم تفصیله إلاّ بمراجعة کلام المحقق </w:t>
      </w:r>
      <w:r>
        <w:rPr>
          <w:rFonts w:eastAsia="IRNazanin" w:cs="IRNazanin"/>
          <w:color w:val="111111"/>
          <w:sz w:val="28"/>
          <w:szCs w:val="28"/>
          <w:rtl w:val="true"/>
          <w:lang w:bidi="fa-IR"/>
        </w:rPr>
        <w:t xml:space="preserve">) </w:t>
      </w:r>
      <w:r>
        <w:rPr>
          <w:rStyle w:val="FootnoteAnchor"/>
          <w:rtl w:val="true"/>
        </w:rPr>
        <w:footnoteReference w:id="683"/>
      </w:r>
      <w:r>
        <w:rPr>
          <w:rFonts w:ascii="Amiri" w:hAnsi="Amiri" w:eastAsia="Amiri" w:cs="Amiri"/>
          <w:color w:val="111111"/>
          <w:sz w:val="28"/>
          <w:sz w:val="28"/>
          <w:szCs w:val="28"/>
          <w:rtl w:val="true"/>
          <w:lang w:bidi="ar-SA"/>
        </w:rPr>
        <w:t xml:space="preserve">فی الأُصول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أنّ الجنب لا یمسّ المصحف</w:t>
      </w:r>
    </w:p>
    <w:p>
      <w:pPr>
        <w:pStyle w:val="BookText"/>
        <w:rPr/>
      </w:pPr>
      <w:r>
        <w:rPr>
          <w:rFonts w:ascii="IRNazanin" w:hAnsi="IRNazanin" w:eastAsia="IRNazanin"/>
          <w:color w:val="111111"/>
          <w:sz w:val="28"/>
          <w:sz w:val="28"/>
          <w:szCs w:val="28"/>
          <w:rtl w:val="true"/>
          <w:lang w:bidi="fa-IR"/>
        </w:rPr>
        <w:t xml:space="preserve">أخبرنی الشیخ رحمه الله عن أحمد بن محمد ، عن أبیه ، عن الحسین بن الحسن بن أبان ، عن الحسین بن سعید ، عن حماد ، عن حریز ، عمن أخبره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إسماعیل بن</w:t>
      </w:r>
    </w:p>
    <w:p>
      <w:pPr>
        <w:pStyle w:val="Heading3"/>
        <w:numPr>
          <w:ilvl w:val="2"/>
          <w:numId w:val="1"/>
        </w:numPr>
        <w:rPr/>
      </w:pPr>
      <w:bookmarkStart w:id="629" w:name="__RefHeading___Toc39374_2142443653"/>
      <w:bookmarkStart w:id="630" w:name="_Toc245"/>
      <w:bookmarkEnd w:id="629"/>
      <w:r>
        <w:rPr>
          <w:rtl w:val="true"/>
        </w:rPr>
        <w:t>الجنب لا یمسّ المصحف</w:t>
      </w:r>
      <w:bookmarkEnd w:id="630"/>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1" w:name="__RefHeading___Toc39376_2142443653"/>
      <w:bookmarkStart w:id="632" w:name="_Toc246"/>
      <w:bookmarkEnd w:id="631"/>
      <w:r>
        <w:rPr>
          <w:rtl w:val="true"/>
        </w:rPr>
        <w:t>اشارة</w:t>
      </w:r>
      <w:bookmarkStart w:id="633" w:name="pg17122_169662"/>
      <w:bookmarkEnd w:id="632"/>
    </w:p>
    <w:p>
      <w:pPr>
        <w:pStyle w:val="BookText"/>
        <w:rPr/>
      </w:pPr>
      <w:bookmarkEnd w:id="633"/>
      <w:r>
        <w:rPr>
          <w:rFonts w:ascii="IRNazanin" w:hAnsi="IRNazanin" w:eastAsia="IRNazanin"/>
          <w:color w:val="111111"/>
          <w:sz w:val="28"/>
          <w:sz w:val="28"/>
          <w:szCs w:val="28"/>
          <w:rtl w:val="true"/>
          <w:lang w:bidi="fa-IR"/>
        </w:rPr>
        <w:t xml:space="preserve">أبی عبد الله علیه السلام عنده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بُنَیّ اقرأ المصحف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لست علی وضوء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تمسّ الکتاب </w:t>
      </w:r>
      <w:r>
        <w:rPr>
          <w:rStyle w:val="FootnoteAnchor"/>
          <w:rtl w:val="true"/>
        </w:rPr>
        <w:footnoteReference w:id="685"/>
      </w:r>
      <w:r>
        <w:rPr>
          <w:rFonts w:ascii="Amiri" w:hAnsi="Amiri" w:eastAsia="Amiri" w:cs="Amiri"/>
          <w:color w:val="111111"/>
          <w:sz w:val="28"/>
          <w:sz w:val="28"/>
          <w:szCs w:val="28"/>
          <w:rtl w:val="true"/>
          <w:lang w:bidi="ar-SA"/>
        </w:rPr>
        <w:t xml:space="preserve">ومُسّ الورق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عنه ، عن حماد بن عیسی ، عن الحسین بن المختار ، عن أبی بصیر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عمّن قرأ فی المصحف وهو علی غیر وضوء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ولا یمسّ الکتاب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فأمّا ما رواه علی بن الحسن بن فضال ، عن جعفر بن محمد بن حکیم وجعفر بن محمد بن أبی الصباح جمیعاً عن إبراهیم بن عبد الحمید ، عن أبی الحسن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المصحف لا تمسّه علی غیر طهر ، ولا جنباً ، ولا تمسّ خطه </w:t>
      </w:r>
      <w:r>
        <w:rPr>
          <w:rStyle w:val="FootnoteAnchor"/>
          <w:rtl w:val="true"/>
        </w:rPr>
        <w:footnoteReference w:id="687"/>
      </w:r>
      <w:r>
        <w:rPr>
          <w:rFonts w:ascii="Amiri" w:hAnsi="Amiri" w:eastAsia="Amiri" w:cs="Amiri"/>
          <w:color w:val="111111"/>
          <w:sz w:val="28"/>
          <w:sz w:val="28"/>
          <w:szCs w:val="28"/>
          <w:rtl w:val="true"/>
          <w:lang w:bidi="ar-SA"/>
        </w:rPr>
        <w:t xml:space="preserve">ولا تعلّقه إن الله تعالی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فالوجه فی هذا الخبر أن نحمله علی ضرب من الکراهیة دون الحظر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الحسین بن المختار ، وقال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واقفی </w:t>
      </w:r>
      <w:r>
        <w:rPr>
          <w:rStyle w:val="FootnoteAnchor"/>
          <w:rtl w:val="true"/>
        </w:rPr>
        <w:footnoteReference w:id="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والنجاشی لم یذکر ذلک ولا وثّقه </w:t>
      </w:r>
      <w:r>
        <w:rPr>
          <w:rStyle w:val="FootnoteAnchor"/>
          <w:rtl w:val="true"/>
        </w:rPr>
        <w:footnoteReference w:id="690"/>
      </w:r>
      <w:r>
        <w:rPr>
          <w:rFonts w:ascii="IRNazanin" w:hAnsi="IRNazanin" w:eastAsia="IRNazanin"/>
          <w:color w:val="111111"/>
          <w:sz w:val="28"/>
          <w:sz w:val="28"/>
          <w:szCs w:val="28"/>
          <w:rtl w:val="true"/>
          <w:lang w:bidi="fa-IR"/>
        </w:rPr>
        <w:t>، والمفید فی إرشاده نقل عنه شیخنا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4" w:name="__RefHeading___Toc39378_2142443653"/>
      <w:bookmarkStart w:id="635" w:name="_Toc247"/>
      <w:bookmarkEnd w:id="634"/>
      <w:r>
        <w:rPr>
          <w:rtl w:val="true"/>
        </w:rPr>
        <w:t>بحث حول الحسین بن المختار</w:t>
      </w:r>
      <w:bookmarkStart w:id="636" w:name="pg17122_169663"/>
      <w:bookmarkEnd w:id="635"/>
    </w:p>
    <w:p>
      <w:pPr>
        <w:pStyle w:val="BookText"/>
        <w:rPr/>
      </w:pPr>
      <w:bookmarkEnd w:id="63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أیّده الله تعالی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ثقات الکاظم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فی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عقدة نقل عن علی بن الحسن أنّه ثقة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فهو مؤیّد لقول المفید ؛ وأبو بصیر قد تقدم القول 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جعفر بن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 ابن محمد بن حکیم </w:t>
      </w:r>
      <w:r>
        <w:rPr>
          <w:rFonts w:eastAsia="IRNazanin" w:cs="IRNazanin"/>
          <w:color w:val="111111"/>
          <w:sz w:val="28"/>
          <w:szCs w:val="28"/>
          <w:rtl w:val="true"/>
          <w:lang w:bidi="fa-IR"/>
        </w:rPr>
        <w:t xml:space="preserve">) </w:t>
      </w:r>
      <w:r>
        <w:rPr>
          <w:rStyle w:val="FootnoteAnchor"/>
          <w:rtl w:val="true"/>
        </w:rPr>
        <w:footnoteReference w:id="691"/>
      </w:r>
      <w:r>
        <w:rPr>
          <w:rFonts w:ascii="IRNazanin" w:hAnsi="IRNazanin" w:eastAsia="IRNazanin"/>
          <w:color w:val="111111"/>
          <w:sz w:val="28"/>
          <w:sz w:val="28"/>
          <w:szCs w:val="28"/>
          <w:rtl w:val="true"/>
          <w:lang w:bidi="fa-IR"/>
        </w:rPr>
        <w:t xml:space="preserve">وهو مذکور فی أصحاب الکاظم علیه السلام من کتاب الشیخ مهملاً </w:t>
      </w:r>
      <w:r>
        <w:rPr>
          <w:rStyle w:val="FootnoteAnchor"/>
          <w:rtl w:val="true"/>
        </w:rPr>
        <w:footnoteReference w:id="692"/>
      </w:r>
      <w:r>
        <w:rPr>
          <w:rFonts w:ascii="IRNazanin" w:hAnsi="IRNazanin" w:eastAsia="IRNazanin"/>
          <w:color w:val="111111"/>
          <w:sz w:val="28"/>
          <w:sz w:val="28"/>
          <w:szCs w:val="28"/>
          <w:rtl w:val="true"/>
          <w:lang w:bidi="fa-IR"/>
        </w:rPr>
        <w:t xml:space="preserve">، وفی الکشی روی ما یقتضی أنّه لیس بشی‌ء </w:t>
      </w:r>
      <w:r>
        <w:rPr>
          <w:rStyle w:val="FootnoteAnchor"/>
          <w:rtl w:val="true"/>
        </w:rPr>
        <w:footnoteReference w:id="693"/>
      </w:r>
      <w:r>
        <w:rPr>
          <w:rFonts w:ascii="IRNazanin" w:hAnsi="IRNazanin" w:eastAsia="IRNazanin"/>
          <w:color w:val="111111"/>
          <w:sz w:val="28"/>
          <w:sz w:val="28"/>
          <w:szCs w:val="28"/>
          <w:rtl w:val="true"/>
          <w:lang w:bidi="fa-IR"/>
        </w:rPr>
        <w:t xml:space="preserve">؛ وجعفر بن محمّد بن أبی الصباح لم أره فی الرجال ؛ وإبراهیم بن عبد الحمید وثقه الشیخ فی الفهرست </w:t>
      </w:r>
      <w:r>
        <w:rPr>
          <w:rStyle w:val="FootnoteAnchor"/>
          <w:rtl w:val="true"/>
        </w:rPr>
        <w:footnoteReference w:id="694"/>
      </w:r>
      <w:r>
        <w:rPr>
          <w:rFonts w:ascii="IRNazanin" w:hAnsi="IRNazanin" w:eastAsia="IRNazanin"/>
          <w:color w:val="111111"/>
          <w:sz w:val="28"/>
          <w:sz w:val="28"/>
          <w:szCs w:val="28"/>
          <w:rtl w:val="true"/>
          <w:lang w:bidi="fa-IR"/>
        </w:rPr>
        <w:t xml:space="preserve">، وفی رجال الکاظم من کتابه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واقفی </w:t>
      </w:r>
      <w:r>
        <w:rPr>
          <w:rStyle w:val="FootnoteAnchor"/>
          <w:rtl w:val="true"/>
        </w:rPr>
        <w:footnoteReference w:id="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والنجاشی ذکره مهملا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کما تری یدل علی أنّ مسّ الکتاب علی غیر وضوء منهی عنه ، ویستفاد منه حکم الجنابة بطریق أولی ، وربما تناول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غیر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الجنابة ، ولا یخفی ما فیه ، وکأنّ الشیخ استدل به للتقریب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والخبر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فی الدلالة</w:t>
      </w:r>
      <w:r>
        <w:rPr>
          <w:rFonts w:eastAsia="IRNazanin" w:cs="IRNazanin"/>
          <w:color w:val="111111"/>
          <w:sz w:val="28"/>
          <w:szCs w:val="28"/>
          <w:rtl w:val="true"/>
          <w:lang w:bidi="fa-IR"/>
        </w:rPr>
        <w:t>.</w:t>
      </w:r>
    </w:p>
    <w:p>
      <w:pPr>
        <w:pStyle w:val="Heading4"/>
        <w:numPr>
          <w:ilvl w:val="3"/>
          <w:numId w:val="1"/>
        </w:numPr>
        <w:rPr/>
      </w:pPr>
      <w:bookmarkStart w:id="637" w:name="__RefHeading___Toc39380_2142443653"/>
      <w:bookmarkStart w:id="638" w:name="_Toc248"/>
      <w:bookmarkEnd w:id="637"/>
      <w:r>
        <w:rPr>
          <w:rtl w:val="true"/>
        </w:rPr>
        <w:t>بحث حول جعفر بن حکیم</w:t>
      </w:r>
      <w:bookmarkEnd w:id="638"/>
    </w:p>
    <w:p>
      <w:pPr>
        <w:pStyle w:val="Heading4"/>
        <w:numPr>
          <w:ilvl w:val="3"/>
          <w:numId w:val="1"/>
        </w:numPr>
        <w:rPr/>
      </w:pPr>
      <w:bookmarkStart w:id="639" w:name="__RefHeading___Toc39382_2142443653"/>
      <w:bookmarkStart w:id="640" w:name="_Toc249"/>
      <w:bookmarkEnd w:id="639"/>
      <w:r>
        <w:rPr>
          <w:rtl w:val="true"/>
        </w:rPr>
        <w:t>جعفر بن محمد بن أبی الصباح لم یوجد فی الرجال</w:t>
      </w:r>
      <w:bookmarkEnd w:id="640"/>
    </w:p>
    <w:p>
      <w:pPr>
        <w:pStyle w:val="Heading4"/>
        <w:numPr>
          <w:ilvl w:val="3"/>
          <w:numId w:val="1"/>
        </w:numPr>
        <w:rPr/>
      </w:pPr>
      <w:bookmarkStart w:id="641" w:name="__RefHeading___Toc39384_2142443653"/>
      <w:bookmarkStart w:id="642" w:name="_Toc250"/>
      <w:bookmarkEnd w:id="641"/>
      <w:r>
        <w:rPr>
          <w:rtl w:val="true"/>
        </w:rPr>
        <w:t>بحث حول إبراهیم بن عبدالحمید</w:t>
      </w:r>
      <w:bookmarkEnd w:id="642"/>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3" w:name="__RefHeading___Toc39386_2142443653"/>
      <w:bookmarkStart w:id="644" w:name="_Toc251"/>
      <w:bookmarkEnd w:id="643"/>
      <w:r>
        <w:rPr>
          <w:rtl w:val="true"/>
        </w:rPr>
        <w:t>مسّ المصحف للمحدث حرام أو مکروه</w:t>
      </w:r>
      <w:bookmarkEnd w:id="644"/>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قاله الشیخ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الحمل علی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من إجمال ، لأنه إن أراد أن مسّ الخط والتعلیق مکروه أشکل بأن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المصحف لا تمسه علی غیر 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یراد به الخط ، أو المجموع من الورق والخط ، فإن کان الأوّل فهو محرم عند الشیخ ، وإن کان الثانی فهو مکروه عند الشیخ أیضا ، إلاّ أنّ ذکر الآیة فی الروایة یقتضی أن مفادها الکراهة ، وهو خلاف المعروف بین جماعة من الأصحاب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أُرید بها الأعم من التحریم والکراهة علی نحو من التوجیه لصحة الاستعمال ، کان أیضاً خلاف المذکور فی کلام من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أُرید بالمصحف الخط فیکون محرّماً والآیة إنّما ذکرت لأول الکلام ، کان خلاف الظاهر من الروایة ، بل هو مستلزم لخلل فی الروایة غیر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وقع فی کلام جماعة من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تدل علی التحریم بظاهرها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الآیة الشریفة یتوقف الاستدلال بها علی أن یکون الضمیر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عائد إلی القرآن ، لا إلی الکتاب المکنون وهو اللوح المحفوظ علی ما قیل مع أنّه أقرب ، وعلی أن الجملة الخبریة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الإنشاء ، وعلی أن یراد بالطهارة الشرعیة ، وإثبات ما ذکر مشکل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قال بعض المفسرین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یطلع علی اللوح المحفوظ إلاّ الملائکة المطهرون عن الأدناس الجسمانیة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 xml:space="preserve">. </w:t>
      </w:r>
      <w:bookmarkStart w:id="645" w:name="pg17122_169665"/>
    </w:p>
    <w:p>
      <w:pPr>
        <w:pStyle w:val="BookText"/>
        <w:rPr/>
      </w:pPr>
      <w:bookmarkEnd w:id="645"/>
      <w:r>
        <w:rPr>
          <w:rFonts w:ascii="IRNazanin" w:hAnsi="IRNazanin" w:eastAsia="IRNazanin"/>
          <w:color w:val="111111"/>
          <w:sz w:val="28"/>
          <w:sz w:val="28"/>
          <w:szCs w:val="28"/>
          <w:rtl w:val="true"/>
          <w:lang w:bidi="fa-IR"/>
        </w:rPr>
        <w:t xml:space="preserve">ونقل عن بعض الأصحاب أنّه ادعی الإجماع علی التحریم </w:t>
      </w:r>
      <w:r>
        <w:rPr>
          <w:rStyle w:val="FootnoteAnchor"/>
          <w:rtl w:val="true"/>
        </w:rPr>
        <w:footnoteReference w:id="700"/>
      </w:r>
      <w:r>
        <w:rPr>
          <w:rFonts w:ascii="IRNazanin" w:hAnsi="IRNazanin" w:eastAsia="IRNazanin"/>
          <w:color w:val="111111"/>
          <w:sz w:val="28"/>
          <w:sz w:val="28"/>
          <w:szCs w:val="28"/>
          <w:rtl w:val="true"/>
          <w:lang w:bidi="fa-IR"/>
        </w:rPr>
        <w:t xml:space="preserve">، والعلاّمة فی المختلف نقل عن الشیخ فی المبسوط کراهة مسّ کتابة القرآن للمحدث </w:t>
      </w:r>
      <w:r>
        <w:rPr>
          <w:rStyle w:val="FootnoteAnchor"/>
          <w:rtl w:val="true"/>
        </w:rPr>
        <w:footnoteReference w:id="701"/>
      </w:r>
      <w:r>
        <w:rPr>
          <w:rFonts w:ascii="IRNazanin" w:hAnsi="IRNazanin" w:eastAsia="IRNazanin"/>
          <w:color w:val="111111"/>
          <w:sz w:val="28"/>
          <w:sz w:val="28"/>
          <w:szCs w:val="28"/>
          <w:rtl w:val="true"/>
          <w:lang w:bidi="fa-IR"/>
        </w:rPr>
        <w:t xml:space="preserve">، وحکاه شیخنا قدس سره عن ابن الجنید </w:t>
      </w:r>
      <w:r>
        <w:rPr>
          <w:rStyle w:val="FootnoteAnchor"/>
          <w:rtl w:val="true"/>
        </w:rPr>
        <w:footnoteReference w:id="702"/>
      </w:r>
      <w:r>
        <w:rPr>
          <w:rFonts w:ascii="IRNazanin" w:hAnsi="IRNazanin" w:eastAsia="IRNazanin"/>
          <w:color w:val="111111"/>
          <w:sz w:val="28"/>
          <w:sz w:val="28"/>
          <w:szCs w:val="28"/>
          <w:rtl w:val="true"/>
          <w:lang w:bidi="fa-IR"/>
        </w:rPr>
        <w:t>، ولعل الإجماع إن ثبت یکون متأخّرا عنهما ، لکنی لا أعلم لمن هو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من العلاّمة فی المختلف أنّه اختار عدم الجواز مستدلاً بالآیة وروایة حریز المذکورة ، وروایة أبی بصیر کذلک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الحدیث وإن کان فی طریقه الحسین بن المختار وهو واقفی ، إلاّ أنّ ابن عقدة وثّقه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وأنت خبیر بأنّ توثیق ابن عقدة لا یفید شیئا ، کما صرّح به فی الخلاصة </w:t>
      </w:r>
      <w:r>
        <w:rPr>
          <w:rStyle w:val="FootnoteAnchor"/>
          <w:rtl w:val="true"/>
        </w:rPr>
        <w:footnoteReference w:id="704"/>
      </w:r>
      <w:r>
        <w:rPr>
          <w:rFonts w:ascii="IRNazanin" w:hAnsi="IRNazanin" w:eastAsia="IRNazanin"/>
          <w:color w:val="111111"/>
          <w:sz w:val="28"/>
          <w:sz w:val="28"/>
          <w:szCs w:val="28"/>
          <w:rtl w:val="true"/>
          <w:lang w:bidi="fa-IR"/>
        </w:rPr>
        <w:t>، وعلی تقدیر ثبوت التوثیق فالخبر موثق والعلاّمة لا یعمل به کما یعلم من عادته ، إلاّ أنّه فی المختلف کثیر الاضطراب فی أمثال هذه المواضع ، ولا یبعد أن یکون ذکر الأحادیث مؤیّداً للآیة علی ما ظنه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وجه التصریح فی الخلاصة بما ذکرت ، مع أنّه قال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المختار من أصحاب أبی الحسن موسی علیه السلام واقفی ، وقال ابن عقدة عن علی بن الحسن أنّه کوفی ثقة ، والاعتماد عندی علی الأول </w:t>
      </w:r>
      <w:r>
        <w:rPr>
          <w:rStyle w:val="FootnoteAnchor"/>
          <w:rtl w:val="true"/>
        </w:rPr>
        <w:footnoteReference w:id="7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الکلام محتمل لأن یرید أنّ التوثیق لا ینافی الوقف</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6" w:name="__RefHeading___Toc39388_2142443653"/>
      <w:bookmarkStart w:id="647" w:name="_Toc252"/>
      <w:bookmarkEnd w:id="646"/>
      <w:r>
        <w:rPr>
          <w:rtl w:val="true"/>
        </w:rPr>
        <w:t>حال الحسین بن المختار عند العلّامة</w:t>
      </w:r>
      <w:bookmarkEnd w:id="647"/>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لاحظ الناظر کلامه یری صریحاً فی خلافه ، ولو نوقش فالظاهر یفید ما ذکرناه ، والأمر سهل بالنسبة إلی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نقل فی المختلف خبراً عن علی بن جعفر واصفاً له بالصحة ، أنّه سأل أخاه موسی بن جعفر علیه السلام عن الرجل یحل له أن یکتب القرآن فی الألواح والصحیفة وهو علی غیر وضوء؟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 نفی الحل مع المباشرة للکتابة </w:t>
      </w:r>
      <w:r>
        <w:rPr>
          <w:rStyle w:val="FootnoteAnchor"/>
          <w:rtl w:val="true"/>
        </w:rPr>
        <w:footnoteReference w:id="7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الخبر رواه الشیخ فی التهذیب عن علی بن جعفر ، والطریق إلیه صحیح </w:t>
      </w:r>
      <w:r>
        <w:rPr>
          <w:rStyle w:val="FootnoteAnchor"/>
          <w:rtl w:val="true"/>
        </w:rPr>
        <w:footnoteReference w:id="707"/>
      </w:r>
      <w:r>
        <w:rPr>
          <w:rFonts w:ascii="IRNazanin" w:hAnsi="IRNazanin" w:eastAsia="IRNazanin"/>
          <w:color w:val="111111"/>
          <w:sz w:val="28"/>
          <w:sz w:val="28"/>
          <w:szCs w:val="28"/>
          <w:rtl w:val="true"/>
          <w:lang w:bidi="fa-IR"/>
        </w:rPr>
        <w:t>، إلاّ أن ظاهره عدم حل الکتابة ، ولمّا کان القول به غیر معلوم ، والأخبار والآیة الشریفة بتقدیر الدلالة لا تساعدان علیه ، فالحمل علی الکراهة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قاله العلاّمة رحمه الله بعید ، وما قاله بعض محققی 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لم یقف فی هذا الباب علی حدیث ترکن النفس </w:t>
      </w:r>
      <w:r>
        <w:rPr>
          <w:rStyle w:val="FootnoteAnchor"/>
          <w:rtl w:val="true"/>
        </w:rPr>
        <w:footnoteReference w:id="708"/>
      </w:r>
      <w:r>
        <w:rPr>
          <w:rFonts w:ascii="IRNazanin" w:hAnsi="IRNazanin" w:eastAsia="IRNazanin"/>
          <w:color w:val="111111"/>
          <w:sz w:val="28"/>
          <w:sz w:val="28"/>
          <w:szCs w:val="28"/>
          <w:rtl w:val="true"/>
          <w:lang w:bidi="fa-IR"/>
        </w:rPr>
        <w:t xml:space="preserve">إلی سنده </w:t>
      </w:r>
      <w:r>
        <w:rPr>
          <w:rStyle w:val="FootnoteAnchor"/>
          <w:rtl w:val="true"/>
        </w:rPr>
        <w:footnoteReference w:id="7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 أنّ بعض الأصحاب ذکر أنّ المراد بالمسّ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الملاقاة بجزء من البشرة ، وفی الظفر والشعر وجهان ، وذکر أیضاً أنّ المراد بکتابة القرآن صور الحروف ، ومنه التشدید والمدّ ، لا الإعراب ، ویعرف کون المکتوب قرآناً بکونه لا یحتمل إلاّ ذلک ، وبالنیّة ، فإذا انتفی الأمران فلا تحریم </w:t>
      </w:r>
      <w:r>
        <w:rPr>
          <w:rStyle w:val="FootnoteAnchor"/>
          <w:rtl w:val="true"/>
        </w:rPr>
        <w:footnoteReference w:id="7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وللمناقشة فی المقام مجال ، إلاّ أن الاحتیاط مطلوب</w:t>
      </w:r>
      <w:r>
        <w:rPr>
          <w:rFonts w:eastAsia="IRNazanin" w:cs="IRNazanin"/>
          <w:color w:val="111111"/>
          <w:sz w:val="28"/>
          <w:szCs w:val="28"/>
          <w:rtl w:val="true"/>
          <w:lang w:bidi="fa-IR"/>
        </w:rPr>
        <w:t xml:space="preserve">. </w:t>
      </w:r>
      <w:bookmarkStart w:id="648" w:name="pg17122_169667"/>
    </w:p>
    <w:p>
      <w:pPr>
        <w:pStyle w:val="BookText"/>
        <w:rPr/>
      </w:pPr>
      <w:bookmarkEnd w:id="648"/>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مسست الشی‌ء أمسّه إذا لمسته بیدک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الجنب والحائض یقرءان القرآن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الشیخ رحمه الله عن أبی القاسم جعفر بن محمد ، عن محمد بن یعقوب ، عن عدة من أصحابنا ، عن أحمد بن محمد ، عن ابن فضال ، عن ابن بکیر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الجنب یأکل ویشرب ویقرأ القرآن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یأکل ویشرب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ویقرأ ویذکر الله تعالی </w:t>
      </w:r>
      <w:r>
        <w:rPr>
          <w:rFonts w:eastAsia="IRNazanin" w:cs="IRNazanin"/>
          <w:color w:val="111111"/>
          <w:sz w:val="28"/>
          <w:szCs w:val="28"/>
          <w:rtl w:val="true"/>
          <w:lang w:bidi="fa-IR"/>
        </w:rPr>
        <w:t xml:space="preserve">) </w:t>
      </w:r>
      <w:r>
        <w:rPr>
          <w:rStyle w:val="FootnoteAnchor"/>
          <w:rtl w:val="true"/>
        </w:rPr>
        <w:footnoteReference w:id="712"/>
      </w:r>
      <w:r>
        <w:rPr>
          <w:rFonts w:ascii="IRNazanin" w:hAnsi="IRNazanin" w:eastAsia="IRNazanin"/>
          <w:color w:val="111111"/>
          <w:sz w:val="28"/>
          <w:sz w:val="28"/>
          <w:szCs w:val="28"/>
          <w:rtl w:val="true"/>
          <w:lang w:bidi="fa-IR"/>
        </w:rPr>
        <w:t xml:space="preserve">ما 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أحمد بن محمد ، عن أبیه ، عن الحسین بن الحسن بن أبان ، عن الحسین بن سعید ، عن فضالة بن أیوب ، عن أبان بن عثمان ، عن الفضیل بن یسار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تتلو الحائض والجنب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 عن ابن أبی عمیر ، عن حماد بن عثمان ، عن عبید الله بن علی الحلبی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أتقرأ النفساء والحائض والجنب والرجل یتغوط ، القرآن؟ قال </w:t>
      </w:r>
      <w:r>
        <w:rPr>
          <w:rStyle w:val="FootnoteAnchor"/>
          <w:rtl w:val="true"/>
        </w:rPr>
        <w:footnoteReference w:id="71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یقرءون ما شاؤوا </w:t>
      </w:r>
      <w:r>
        <w:rPr>
          <w:rFonts w:eastAsia="IRNazanin" w:cs="IRNazanin"/>
          <w:color w:val="111111"/>
          <w:sz w:val="28"/>
          <w:szCs w:val="28"/>
          <w:rtl w:val="true"/>
          <w:lang w:bidi="fa-IR"/>
        </w:rPr>
        <w:t>».</w:t>
      </w:r>
    </w:p>
    <w:p>
      <w:pPr>
        <w:pStyle w:val="Heading4"/>
        <w:numPr>
          <w:ilvl w:val="3"/>
          <w:numId w:val="1"/>
        </w:numPr>
        <w:rPr/>
      </w:pPr>
      <w:bookmarkStart w:id="649" w:name="__RefHeading___Toc39390_2142443653"/>
      <w:bookmarkStart w:id="650" w:name="_Toc253"/>
      <w:bookmarkEnd w:id="649"/>
      <w:r>
        <w:rPr>
          <w:rtl w:val="true"/>
        </w:rPr>
        <w:t>معنی المسّ</w:t>
      </w:r>
      <w:bookmarkEnd w:id="650"/>
    </w:p>
    <w:p>
      <w:pPr>
        <w:pStyle w:val="Heading3"/>
        <w:numPr>
          <w:ilvl w:val="2"/>
          <w:numId w:val="1"/>
        </w:numPr>
        <w:rPr/>
      </w:pPr>
      <w:bookmarkStart w:id="651" w:name="__RefHeading___Toc39392_2142443653"/>
      <w:bookmarkStart w:id="652" w:name="_Toc254"/>
      <w:bookmarkEnd w:id="651"/>
      <w:r>
        <w:rPr>
          <w:rtl w:val="true"/>
        </w:rPr>
        <w:t>الجنب والحائض یقرءان القرآن</w:t>
      </w:r>
      <w:bookmarkEnd w:id="65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53" w:name="__RefHeading___Toc39394_2142443653"/>
      <w:bookmarkStart w:id="654" w:name="_Toc255"/>
      <w:bookmarkEnd w:id="653"/>
      <w:r>
        <w:rPr>
          <w:rtl w:val="true"/>
        </w:rPr>
        <w:t>اشارة</w:t>
      </w:r>
      <w:bookmarkStart w:id="655" w:name="pg17122_169668"/>
      <w:bookmarkEnd w:id="654"/>
    </w:p>
    <w:p>
      <w:pPr>
        <w:pStyle w:val="BookText"/>
        <w:rPr/>
      </w:pPr>
      <w:bookmarkEnd w:id="655"/>
      <w:r>
        <w:rPr>
          <w:rFonts w:ascii="IRNazanin" w:hAnsi="IRNazanin" w:eastAsia="IRNazanin"/>
          <w:color w:val="111111"/>
          <w:sz w:val="28"/>
          <w:sz w:val="28"/>
          <w:szCs w:val="28"/>
          <w:rtl w:val="true"/>
          <w:lang w:bidi="fa-IR"/>
        </w:rPr>
        <w:t xml:space="preserve">سعد بن عبد الله ، عن محمد بن الحسین بن أبی الخطاب ، عن النضر بن شعیب ، عن عبد الغفار الجازی </w:t>
      </w:r>
      <w:r>
        <w:rPr>
          <w:rStyle w:val="FootnoteAnchor"/>
          <w:rtl w:val="true"/>
        </w:rPr>
        <w:footnoteReference w:id="714"/>
      </w:r>
      <w:r>
        <w:rPr>
          <w:rFonts w:ascii="IRNazanin" w:hAnsi="IRNazanin" w:eastAsia="IRNazanin"/>
          <w:color w:val="111111"/>
          <w:sz w:val="28"/>
          <w:sz w:val="28"/>
          <w:szCs w:val="28"/>
          <w:rtl w:val="true"/>
          <w:lang w:bidi="fa-IR"/>
        </w:rPr>
        <w:t xml:space="preserve">، عن أبی عبد الله علیه السلام قال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الحائض تقرأ ما شاءت من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النضر بن شعیب وهو غیر مذکور فی الرجال علی ما رأیت ، وعبد الغفار الجازیّ کما فی هذه النسخة التی نقلت منها ثقة فی النجاشی ، إلاّ أن فیه ابن حبیب الطائی الجازیّ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الفهرست عبد الغفار الجازیّ </w:t>
      </w:r>
      <w:r>
        <w:rPr>
          <w:rStyle w:val="FootnoteAnchor"/>
          <w:rtl w:val="true"/>
        </w:rPr>
        <w:footnoteReference w:id="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من لم یرو عن الأئمة علیهم السلام من کتاب الشیخ عبد الغفار الجازی </w:t>
      </w:r>
      <w:r>
        <w:rPr>
          <w:rStyle w:val="FootnoteAnchor"/>
          <w:rtl w:val="true"/>
        </w:rPr>
        <w:footnoteReference w:id="717"/>
      </w:r>
      <w:r>
        <w:rPr>
          <w:rFonts w:ascii="IRNazanin" w:hAnsi="IRNazanin" w:eastAsia="IRNazanin"/>
          <w:color w:val="111111"/>
          <w:sz w:val="28"/>
          <w:sz w:val="28"/>
          <w:szCs w:val="28"/>
          <w:rtl w:val="true"/>
          <w:lang w:bidi="fa-IR"/>
        </w:rPr>
        <w:t xml:space="preserve">، وفی رجال الصادق علیه السلام عبد الغفار ابن حبیب الحارثی </w:t>
      </w:r>
      <w:r>
        <w:rPr>
          <w:rStyle w:val="FootnoteAnchor"/>
          <w:rtl w:val="true"/>
        </w:rPr>
        <w:footnoteReference w:id="718"/>
      </w:r>
      <w:r>
        <w:rPr>
          <w:rFonts w:ascii="IRNazanin" w:hAnsi="IRNazanin" w:eastAsia="IRNazanin"/>
          <w:color w:val="111111"/>
          <w:sz w:val="28"/>
          <w:sz w:val="28"/>
          <w:szCs w:val="28"/>
          <w:rtl w:val="true"/>
          <w:lang w:bidi="fa-IR"/>
        </w:rPr>
        <w:t xml:space="preserve">، وذکر ابن داود أنّه رأی ذلک بخط الشیخ رحمه الله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وأنت خبیر بأنّ ذکر الشیخ للرجل فی من لم یرو لا یخلو من غرابة ، ولم ینبه علی ذلک شیخنا أیّده الله فی کتاب الرجال </w:t>
      </w:r>
      <w:r>
        <w:rPr>
          <w:rStyle w:val="FootnoteAnchor"/>
          <w:rtl w:val="true"/>
        </w:rPr>
        <w:footnoteReference w:id="720"/>
      </w:r>
      <w:r>
        <w:rPr>
          <w:rFonts w:ascii="IRNazanin" w:hAnsi="IRNazanin" w:eastAsia="IRNazanin"/>
          <w:color w:val="111111"/>
          <w:sz w:val="28"/>
          <w:sz w:val="28"/>
          <w:szCs w:val="28"/>
          <w:rtl w:val="true"/>
          <w:lang w:bidi="fa-IR"/>
        </w:rPr>
        <w:t>، فربما یتخیل</w:t>
      </w:r>
    </w:p>
    <w:p>
      <w:pPr>
        <w:pStyle w:val="Heading4"/>
        <w:numPr>
          <w:ilvl w:val="3"/>
          <w:numId w:val="1"/>
        </w:numPr>
        <w:rPr/>
      </w:pPr>
      <w:bookmarkStart w:id="656" w:name="__RefHeading___Toc39396_2142443653"/>
      <w:bookmarkStart w:id="657" w:name="_Toc256"/>
      <w:bookmarkEnd w:id="656"/>
      <w:r>
        <w:rPr>
          <w:rtl w:val="true"/>
        </w:rPr>
        <w:t>النضر بن شعیب غیر مذکور فی الرجال</w:t>
      </w:r>
      <w:bookmarkEnd w:id="65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58" w:name="__RefHeading___Toc39398_2142443653"/>
      <w:bookmarkStart w:id="659" w:name="_Toc257"/>
      <w:bookmarkEnd w:id="658"/>
      <w:r>
        <w:rPr>
          <w:rtl w:val="true"/>
        </w:rPr>
        <w:t>بحث حول عبدالغفّار الجازی</w:t>
      </w:r>
      <w:bookmarkEnd w:id="659"/>
    </w:p>
    <w:p>
      <w:pPr>
        <w:pStyle w:val="BookText"/>
        <w:rPr/>
      </w:pPr>
      <w:r>
        <w:rPr>
          <w:rFonts w:ascii="IRNazanin" w:hAnsi="IRNazanin" w:eastAsia="IRNazanin"/>
          <w:color w:val="111111"/>
          <w:sz w:val="28"/>
          <w:sz w:val="28"/>
          <w:szCs w:val="28"/>
          <w:rtl w:val="true"/>
          <w:lang w:bidi="fa-IR"/>
        </w:rPr>
        <w:t xml:space="preserve">التعدد ، إلاّ أنّ الاعتماد علی ذلک من کلام الشیخ مشکل ، والنجاشی صرح بأنّ الراوی عن عبد الغفار بن حبیب ، النضر بن شعیب </w:t>
      </w:r>
      <w:r>
        <w:rPr>
          <w:rStyle w:val="FootnoteAnchor"/>
          <w:rtl w:val="true"/>
        </w:rPr>
        <w:footnoteReference w:id="721"/>
      </w:r>
      <w:r>
        <w:rPr>
          <w:rFonts w:ascii="IRNazanin" w:hAnsi="IRNazanin" w:eastAsia="IRNazanin"/>
          <w:color w:val="111111"/>
          <w:sz w:val="28"/>
          <w:sz w:val="28"/>
          <w:szCs w:val="28"/>
          <w:rtl w:val="true"/>
          <w:lang w:bidi="fa-IR"/>
        </w:rPr>
        <w:t>، والأمر وإن کان فی الروایة سهل ، إلاّ أنّ القول فیه یظهر فائدته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فوائد شیخنا أیّده الله علی الکتاب ما هذه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الغفار الحارثی ، بعض الأصحاب جعله الجازی ، ولم نره فی شی‌ء من نسخ الکتاب ، والظاهر أنّه بمعونة ما فی الخلاصة هو الأظهر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الجازی هو الذی فی کتاب الشیخ فی رجال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علیک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تخیّله بعض من أنّ النضر بن شعیب هو النضر بن سوید الثقة </w:t>
      </w:r>
      <w:r>
        <w:rPr>
          <w:rStyle w:val="FootnoteAnchor"/>
          <w:rtl w:val="true"/>
        </w:rPr>
        <w:footnoteReference w:id="722"/>
      </w:r>
      <w:r>
        <w:rPr>
          <w:rFonts w:ascii="IRNazanin" w:hAnsi="IRNazanin" w:eastAsia="IRNazanin"/>
          <w:color w:val="111111"/>
          <w:sz w:val="28"/>
          <w:sz w:val="28"/>
          <w:szCs w:val="28"/>
          <w:rtl w:val="true"/>
          <w:lang w:bidi="fa-IR"/>
        </w:rPr>
        <w:t>، فلا أعلم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الأخبار المذکورة ظاهر الدلالة علی جواز القراءة للمذکورین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مذهب الأکثر ، ونقل علیه المرتضی فی الانتصار ، والشیخ فی الخلاف ، والمحقق فی المعتبر الإجماع ، وحکی الشهید فی الذکری عن سلاّر فی کتاب الأبواب تحریم القراءة مطلقا ، وعن ابن البراج تحریم قراءة ما زاد علی سبع آیات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کلام الشیخ فی کتابی الأخبار التحریم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وسیأتی إن شاء الله تعالی فی بیان کلام الشیخ ما یوضح المرام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عثمان بن عیسی ،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الجنب هل یقرأ القرآن؟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بینه وبین سبع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زرعة عن سماعة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سبعین 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ینافی هذا الخبر الأخبار الأوّلة من وجهین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نخصص الأخبار الأوّلة بهذا الخبر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قولهم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بأن یقرأ ما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 موضع شاء ما بینه وبین سبع آیات ، أو سبعین آیة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نحمل هذا الخبر علی ضرب من الاستحباب دون الحظر والإیجاب ، والأخبار الأوّلة نحملها علی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قد کررنا القول فی مثله بالنسبة إلی عثمان بن عیسی </w:t>
      </w:r>
      <w:r>
        <w:rPr>
          <w:rStyle w:val="FootnoteAnchor"/>
          <w:rtl w:val="true"/>
        </w:rPr>
        <w:footnoteReference w:id="725"/>
      </w:r>
      <w:r>
        <w:rPr>
          <w:rFonts w:ascii="IRNazanin" w:hAnsi="IRNazanin" w:eastAsia="IRNazanin"/>
          <w:color w:val="111111"/>
          <w:sz w:val="28"/>
          <w:sz w:val="28"/>
          <w:szCs w:val="28"/>
          <w:rtl w:val="true"/>
          <w:lang w:bidi="fa-IR"/>
        </w:rPr>
        <w:t xml:space="preserve">، وزرعة لا طریق فی المشیخة إلیه ، والذی فی الفهرست الطریق إلی کتابه </w:t>
      </w:r>
      <w:r>
        <w:rPr>
          <w:rStyle w:val="FootnoteAnchor"/>
          <w:rtl w:val="true"/>
        </w:rPr>
        <w:footnoteReference w:id="726"/>
      </w:r>
      <w:r>
        <w:rPr>
          <w:rFonts w:ascii="IRNazanin" w:hAnsi="IRNazanin" w:eastAsia="IRNazanin"/>
          <w:color w:val="111111"/>
          <w:sz w:val="28"/>
          <w:sz w:val="28"/>
          <w:szCs w:val="28"/>
          <w:rtl w:val="true"/>
          <w:lang w:bidi="fa-IR"/>
        </w:rPr>
        <w:t>، وکون الروایة من الکتاب غیر 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الظن أنّه واحد ، وإنّما اختلفت رواته ، کما یعلم من 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أن نحمل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وإرادة الجنس بعیدة ، مضافاً إلی أنّ احتمال </w:t>
      </w:r>
      <w:bookmarkStart w:id="660" w:name="pg17122_169671"/>
    </w:p>
    <w:p>
      <w:pPr>
        <w:pStyle w:val="BookText"/>
        <w:rPr/>
      </w:pPr>
      <w:bookmarkEnd w:id="660"/>
      <w:r>
        <w:rPr>
          <w:rFonts w:ascii="IRNazanin" w:hAnsi="IRNazanin" w:eastAsia="IRNazanin"/>
          <w:color w:val="111111"/>
          <w:sz w:val="28"/>
          <w:sz w:val="28"/>
          <w:szCs w:val="28"/>
          <w:rtl w:val="true"/>
          <w:lang w:bidi="fa-IR"/>
        </w:rPr>
        <w:t xml:space="preserve">روایة سماعة للسبعة والسبعین معاً یأباه التأمّل فی المساق ، ومن هنا یظهر أنّ ما فی کلام جماعة من أصحاب الفروع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المکروه قراءة ما زاد علی سبع آیات أو </w:t>
      </w:r>
      <w:r>
        <w:rPr>
          <w:rStyle w:val="FootnoteAnchor"/>
          <w:rtl w:val="true"/>
        </w:rPr>
        <w:footnoteReference w:id="727"/>
      </w:r>
      <w:r>
        <w:rPr>
          <w:rFonts w:ascii="IRNazanin" w:hAnsi="IRNazanin" w:eastAsia="IRNazanin"/>
          <w:color w:val="111111"/>
          <w:sz w:val="28"/>
          <w:sz w:val="28"/>
          <w:szCs w:val="28"/>
          <w:rtl w:val="true"/>
          <w:lang w:bidi="fa-IR"/>
        </w:rPr>
        <w:t xml:space="preserve">سبعین آیة </w:t>
      </w:r>
      <w:r>
        <w:rPr>
          <w:rStyle w:val="FootnoteAnchor"/>
          <w:rtl w:val="true"/>
        </w:rPr>
        <w:footnoteReference w:id="7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إجمال ، إذ احتمال التخییر ممکن ، وکذلک احتمال التردید نظراً إلی اختلاف الروایة من الرواة کما یعلم 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أنّ الشیخ رحمه الله کلامه هنا لا یکاد یشتبه علی متأمّله أنّ مراده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سبع آیات أو سبعین آیة فی مقام التوجیه التردد فی الروایة ، والمتأخّرین الذین یظهر منهم اتباعه غالباً لم یتوجّهوا إلی تحقیق الحال ، حتی أن المحقق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زاد علی سبع آیات مکروه ویتأکّد الکراهیة فیما زاد علی السبعین </w:t>
      </w:r>
      <w:r>
        <w:rPr>
          <w:rStyle w:val="FootnoteAnchor"/>
          <w:rtl w:val="true"/>
        </w:rPr>
        <w:footnoteReference w:id="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کما تری یقتضی أنّ السبعة والسبعین معاً واقعة ، مع احتمال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الواقع أحدهما من الإمام ، والاختلاف من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یحتمل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منافاة بین السبعة والسبعین إذا نظرنا إلی ما قاله المحقّق من أصل الکراهة فی ما زاد علی السبعة وتأکّدها فی ما بعد السبعین ، إلاّ أنّ الترجیح لا بد من بیان الوجه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والحال أنّ ظاهر کلام الشیخ التردد من جهة اختلاف الرواة ، لأنه قال فی الوجه کما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نخص الأخبار الأوّلة بهذا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یعطی أن تخصیص الأخبار الأوّلة بهذا الخبر کاف فی الجمع ، وغیر خفی أنّ الخبر لو تعدّد لاحتاج الجمع إلی زیادة لا بد منها ، وهی أن تخص الأخبار الأوّلة بما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61" w:name="__RefHeading___Toc39400_2142443653"/>
      <w:bookmarkStart w:id="662" w:name="_Toc258"/>
      <w:bookmarkEnd w:id="661"/>
      <w:r>
        <w:rPr>
          <w:rtl w:val="true"/>
        </w:rPr>
        <w:t>التوجیه الأوّل لخبر سماعة والمناقشة فیه</w:t>
      </w:r>
      <w:bookmarkStart w:id="663" w:name="pg17122_169672"/>
      <w:bookmarkEnd w:id="662"/>
    </w:p>
    <w:p>
      <w:pPr>
        <w:pStyle w:val="BookText"/>
        <w:rPr/>
      </w:pPr>
      <w:bookmarkEnd w:id="663"/>
      <w:r>
        <w:rPr>
          <w:rFonts w:ascii="IRNazanin" w:hAnsi="IRNazanin" w:eastAsia="IRNazanin"/>
          <w:color w:val="111111"/>
          <w:sz w:val="28"/>
          <w:sz w:val="28"/>
          <w:szCs w:val="28"/>
          <w:rtl w:val="true"/>
          <w:lang w:bidi="fa-IR"/>
        </w:rPr>
        <w:t>بینه وبین سبع ، وما زاد مکروه إلی السبعین ، فما زاد أشد کراهة ، وکلام الشیخ لا یدل علیه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الشیخ فهو فی حیّز الإجمال ، إذ یحتمل أن یرید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نحمل هذا الخبر علی الاستحباب ، أنّه یستحب الاقتصار علی السبعة أو السبعین ، لا أنّه یجب الاقتصار ویحرم الزائد ، ولا یخفی أنّه یتوجه علیه کون الاستحباب لقراءة القرآن لا ریب فیه ، والإیجاب غیر ظاهر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الزائد عن السبع إذا حرم وجب الاقتصار علی السبع ، وهو الاحتمال الثانی من کلامه ، إلاّ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الحظر ، لا یلائم ذلک ، إلاّ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دون الحظر فی الزائد ، والإیجاب فیما دون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خفی أنّ الاستحباب لا یوافق هذا المعنی ، لأنّ السبعة إذا کانت مستحبة فالزائد عنها لیس بمستحب ، والحال أنّ السبعین مستحبة أیضا ، کما هو مفاد الروایة علی ما فهمه المتأخرون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أُرید أنّ السبعة والسبعین مستحبة لم یتم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الحظر والإیجاب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أخبار الجواز وخبر المنع تطابقا علی جواز السبع والسبعین ، وإرادة عدم إیجاب الاقتصار علیهما وتحریم ما زاد علیهما لا یلائمه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والأخبار الأولة علی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أراد أنّ الأخبار الأوّلة نحملها علی الجواز وهذا الخبر علی الاستحباب دون الحظر والإیجاب فی الزائد وما تضمنه الخبر من السبعة أو السبعین أشکل بأنّ الجواز إن أُرید به فیما زاد علی أن یکون المراد به الإباحة لم یتم ذلک ، لأنّ وصف القراءة به لا وجه له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64" w:name="__RefHeading___Toc39402_2142443653"/>
      <w:bookmarkStart w:id="665" w:name="_Toc259"/>
      <w:bookmarkEnd w:id="664"/>
      <w:r>
        <w:rPr>
          <w:rtl w:val="true"/>
        </w:rPr>
        <w:t>التوجیه الثانی لخبر سماعة والمناقشة فیه</w:t>
      </w:r>
      <w:bookmarkEnd w:id="665"/>
    </w:p>
    <w:p>
      <w:pPr>
        <w:pStyle w:val="BookText"/>
        <w:rPr/>
      </w:pPr>
      <w:r>
        <w:rPr>
          <w:rFonts w:ascii="IRNazanin" w:hAnsi="IRNazanin" w:eastAsia="IRNazanin"/>
          <w:color w:val="111111"/>
          <w:sz w:val="28"/>
          <w:sz w:val="28"/>
          <w:szCs w:val="28"/>
          <w:rtl w:val="true"/>
          <w:lang w:bidi="fa-IR"/>
        </w:rPr>
        <w:t>وإن أُرید بالجواز جواز قراءة الزائد ویستحب الاقتصار علی السبع أو السبعین أشکل بما تقدم أیضاً ، من عدم وجه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أُرید بالجواز الاستحباب ، لکنه أقل ثواباً من السبعة أو السبعین أمکن ، کما هو مفاد کلام المحقق </w:t>
      </w:r>
      <w:r>
        <w:rPr>
          <w:rStyle w:val="FootnoteAnchor"/>
          <w:rtl w:val="true"/>
        </w:rPr>
        <w:footnoteReference w:id="731"/>
      </w:r>
      <w:r>
        <w:rPr>
          <w:rFonts w:ascii="IRNazanin" w:hAnsi="IRNazanin" w:eastAsia="IRNazanin"/>
          <w:color w:val="111111"/>
          <w:sz w:val="28"/>
          <w:sz w:val="28"/>
          <w:szCs w:val="28"/>
          <w:rtl w:val="true"/>
          <w:lang w:bidi="fa-IR"/>
        </w:rPr>
        <w:t>، إلاّ أنّ الشیخ أطلق الاستحباب فی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بأنّ السبعة مستحبة ، وما زاد عنها مستحب أقل ثواباً ، والزائد عن السبعین مستحب لکن أقل ثوابا من الزائد علی السبعة ، واستفادة هذا من کلام الشیخ فی غایة العسر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ضرب من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ما قلناه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یعلم أنّ ما قاله العلاّمة فی المختلف بعد ذکر روایة زرعة والطعن فی سندها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علیه السلام أمر الجنب بقراءة القرآن ، وهو یدل علی أقل مراتبه وهو الاستحباب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بینه وبین سبع آیات علی معنی خروج ما بعد ذلک عن الاستحباب بل یبقی إمّا مباحاً أو مکروها </w:t>
      </w:r>
      <w:r>
        <w:rPr>
          <w:rStyle w:val="FootnoteAnchor"/>
          <w:rtl w:val="true"/>
        </w:rPr>
        <w:footnoteReference w:id="7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نظر لا یخفی علی المتدبر فیه ، فینبغی النظر فی المقام بعین العنایة ، فإنّه فی الإجمال قد بلغ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العزائم التی فیها السجدة فلا یجوز لهما أن یقرءا علی حال ، یدل علی ذلک </w:t>
      </w:r>
      <w:bookmarkStart w:id="666" w:name="pg17122_169674"/>
    </w:p>
    <w:p>
      <w:pPr>
        <w:pStyle w:val="BookText"/>
        <w:rPr/>
      </w:pPr>
      <w:bookmarkEnd w:id="666"/>
      <w:r>
        <w:rPr>
          <w:rFonts w:ascii="IRNazanin" w:hAnsi="IRNazanin" w:eastAsia="IRNazanin"/>
          <w:color w:val="111111"/>
          <w:sz w:val="28"/>
          <w:sz w:val="28"/>
          <w:szCs w:val="28"/>
          <w:rtl w:val="true"/>
          <w:lang w:bidi="fa-IR"/>
        </w:rPr>
        <w:t xml:space="preserve">ما أخبرنی </w:t>
      </w:r>
      <w:r>
        <w:rPr>
          <w:rStyle w:val="FootnoteAnchor"/>
          <w:rtl w:val="true"/>
        </w:rPr>
        <w:footnoteReference w:id="733"/>
      </w:r>
      <w:r>
        <w:rPr>
          <w:rFonts w:ascii="IRNazanin" w:hAnsi="IRNazanin" w:eastAsia="IRNazanin"/>
          <w:color w:val="111111"/>
          <w:sz w:val="28"/>
          <w:sz w:val="28"/>
          <w:szCs w:val="28"/>
          <w:rtl w:val="true"/>
          <w:lang w:bidi="fa-IR"/>
        </w:rPr>
        <w:t xml:space="preserve">به أحمد بن عبدون ، عن علی بن محمد بن الزبیر ، عن علی بن الحسن بن فضّال ، عن عبد الرحمن بن أبی نجران ، عن حماد بن عیسی ، عن حریز ، عن زرارة ومحمد بن مسلم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الحائض والجنب یقرءان شیئاً؟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ما شاءا إلاّ السجدة ویذکران الله علی کل 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علی بن الحسن بن فضال </w:t>
      </w:r>
      <w:r>
        <w:rPr>
          <w:rStyle w:val="FootnoteAnchor"/>
          <w:rtl w:val="true"/>
        </w:rPr>
        <w:footnoteReference w:id="734"/>
      </w:r>
      <w:r>
        <w:rPr>
          <w:rFonts w:ascii="IRNazanin" w:hAnsi="IRNazanin" w:eastAsia="IRNazanin"/>
          <w:color w:val="111111"/>
          <w:sz w:val="28"/>
          <w:sz w:val="28"/>
          <w:szCs w:val="28"/>
          <w:rtl w:val="true"/>
          <w:lang w:bidi="fa-IR"/>
        </w:rPr>
        <w:t xml:space="preserve">، عن عمرو بن عثمان ، عن الحسن بن محبوب ، عن علی بن رئاب ، عن أبی عبیدة الحذاء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 عن الطامث تسمع السجدة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کانت من العزائم تسجد إذا سمعتها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ینافی الخبر الأول ، لأنّه لیس فیه أنّه یجوز لها أن تقرأ العزائم ، وإنّما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سمعت العزائم تسجد ، وذلک أیضاً محمول علی الاستحباب لأنّها علی حال لا یجوز لها معها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فی الخبرین قد تکرّر القول فیه بما یغنی عن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 الشیخ ومن تأخّر عنه دلالتها علی تحریم قراءة سورة السجدة کلها ، علی ما حکاه شیخنا قدس سره فی فوائد الکتاب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إنّما تدل علی قراءة لفظ السجدة أعنی ما یوجب السجود ، وهو</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67" w:name="__RefHeading___Toc39404_2142443653"/>
      <w:bookmarkStart w:id="668" w:name="_Toc260"/>
      <w:bookmarkEnd w:id="667"/>
      <w:r>
        <w:rPr>
          <w:rtl w:val="true"/>
        </w:rPr>
        <w:t>حکم قراءة العزیمة للحائض والجنب</w:t>
      </w:r>
      <w:bookmarkEnd w:id="668"/>
    </w:p>
    <w:p>
      <w:pPr>
        <w:pStyle w:val="BookText"/>
        <w:rPr/>
      </w:pPr>
      <w:r>
        <w:rPr>
          <w:rFonts w:ascii="IRNazanin" w:hAnsi="IRNazanin" w:eastAsia="IRNazanin"/>
          <w:color w:val="111111"/>
          <w:sz w:val="28"/>
          <w:sz w:val="28"/>
          <w:szCs w:val="28"/>
          <w:rtl w:val="true"/>
          <w:lang w:bidi="fa-IR"/>
        </w:rPr>
        <w:t xml:space="preserve">المنقول عن المرتضی رضی الله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السجدة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إرادة سورة السجدة أو آیة السجدة ، لأنّ نفس السجدة لمّا تعذر إرادتها حقیقة یراد سورتها أو آیتها ، فما قاله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المراد لفظ السجدة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قدّرت السورة والآیة ، له أن یقدّر لفظة السجدة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لا ینفع فی إثبات المطلوب ، بل هو احتمال بتقدیر تمامیته یزید الإشکال فی دعوی أنّها إنّما تدل علی ما ذکره قدس سره 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المتبادر من السجدة اللفظ الدال علیها ، وفیه ما فیه ، 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ثبوت التحریم یتوقف علی الدلالة ، ومع الإجمال یشکل الحکم بتحریم السورة والآیة ، للاقتصار علی المتیقن وهو اللفظ ، وما عداه 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عدم التحریم أصلاً ، للإجمال من حیث إنّ العلم بالأحکام لا بد منه ، والفرض عدمه ، واحتمال إرادة اللفظ مساوٍ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القول واسع ، إلاّ أنّ التسدید بالتبادر قریب ، وما قاله شیخنا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المعروف من مذهب الأصحاب تحریم قراءة السور وأبعاضها </w:t>
      </w:r>
      <w:r>
        <w:rPr>
          <w:rStyle w:val="FootnoteAnchor"/>
          <w:rtl w:val="true"/>
        </w:rPr>
        <w:footnoteReference w:id="7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عدم الخروج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المعتبر قال المحقق بعد ذکر 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البزنطی فی جامعه عن المثنّی ، عن الحسن الصیقل ، عن أبی عبد الله علیه السلام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وینقل دعوی الإجماع عن بعض الأصحاب فی تحریم السورة بأجمعها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 xml:space="preserve">. </w:t>
      </w:r>
      <w:bookmarkStart w:id="669" w:name="pg17122_169676"/>
    </w:p>
    <w:p>
      <w:pPr>
        <w:pStyle w:val="BookText"/>
        <w:rPr/>
      </w:pPr>
      <w:bookmarkEnd w:id="669"/>
      <w:r>
        <w:rPr>
          <w:rFonts w:ascii="IRNazanin" w:hAnsi="IRNazanin" w:eastAsia="IRNazanin"/>
          <w:color w:val="111111"/>
          <w:sz w:val="28"/>
          <w:sz w:val="28"/>
          <w:szCs w:val="28"/>
          <w:rtl w:val="true"/>
          <w:lang w:bidi="fa-IR"/>
        </w:rPr>
        <w:t xml:space="preserve">وأمّا الخبر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منافاة فیه للأول ، لأنّه یجوز أن یکون قراءة السجدة محرمة علی الحائض ، وإذا سمعت یجب علیها السجود ، کما قاله الشیخ رحمه الله إلاّ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w:t>
      </w:r>
      <w:r>
        <w:rPr>
          <w:rStyle w:val="FootnoteAnchor"/>
          <w:rtl w:val="true"/>
        </w:rPr>
        <w:footnoteReference w:id="738"/>
      </w:r>
      <w:r>
        <w:rPr>
          <w:rFonts w:ascii="IRNazanin" w:hAnsi="IRNazanin" w:eastAsia="IRNazanin"/>
          <w:color w:val="111111"/>
          <w:sz w:val="28"/>
          <w:sz w:val="28"/>
          <w:szCs w:val="28"/>
          <w:rtl w:val="true"/>
          <w:lang w:bidi="fa-IR"/>
        </w:rPr>
        <w:t>أیضا محمول علی الاستحباب ، إلی آخره محل کلام ، لأنّ کونها علی حال لا یجوز لها السجود ینافی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أنّ مراده علی حال لا یجب علیها السجود ، والعبارة غیر وافیة بالمراد ، ومن عجیب ما وقع للشیخ فی التهذیب ، أنّه قال فی کتاب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أربع سور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فی هذه السور سجوداً واجباً ولا یجوز السجود إلاّ لطاهر من النجاسات بلا خلاف </w:t>
      </w:r>
      <w:r>
        <w:rPr>
          <w:rStyle w:val="FootnoteAnchor"/>
          <w:rtl w:val="true"/>
        </w:rPr>
        <w:footnoteReference w:id="739"/>
      </w:r>
      <w:r>
        <w:rPr>
          <w:rFonts w:ascii="IRNazanin" w:hAnsi="IRNazanin" w:eastAsia="IRNazanin"/>
          <w:color w:val="111111"/>
          <w:sz w:val="28"/>
          <w:sz w:val="28"/>
          <w:szCs w:val="28"/>
          <w:rtl w:val="true"/>
          <w:lang w:bidi="fa-IR"/>
        </w:rPr>
        <w:t xml:space="preserve">، وفی کتاب الصلاة ذکر ما یدل علی الاستحباب </w:t>
      </w:r>
      <w:r>
        <w:rPr>
          <w:rStyle w:val="FootnoteAnchor"/>
          <w:rtl w:val="true"/>
        </w:rPr>
        <w:footnoteReference w:id="740"/>
      </w:r>
      <w:r>
        <w:rPr>
          <w:rFonts w:ascii="IRNazanin" w:hAnsi="IRNazanin" w:eastAsia="IRNazanin"/>
          <w:color w:val="111111"/>
          <w:sz w:val="28"/>
          <w:sz w:val="28"/>
          <w:szCs w:val="28"/>
          <w:rtl w:val="true"/>
          <w:lang w:bidi="fa-IR"/>
        </w:rPr>
        <w:t>، کما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إنشاء الله فی کتاب الصلاة من هذا الباب روایة عن الحسین بن سعید ، عن فضالة ، عن أبان بن عثمان ، عن عبد الرحمن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الحائض هل تقرأ القرآن وتسجد سجدة إذا سمعت السجدة؟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تقرأ ولا تسجد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حمل هذه الروایة علی جواز الترک ، وروایة قبلها دالة علی السجود حملها علی الاستحباب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جواز الترک إن أُرید به الإباحة فإشکاله واضح ، وإن أُرید غیرها فلا ینافی الاستحباب ، بل هو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المختلف حمل الروایة المذکورة أخیراً علی أنّ المراد لا تقرأ</w:t>
      </w:r>
    </w:p>
    <w:p>
      <w:pPr>
        <w:pStyle w:val="Heading3"/>
        <w:numPr>
          <w:ilvl w:val="2"/>
          <w:numId w:val="1"/>
        </w:numPr>
        <w:rPr/>
      </w:pPr>
      <w:bookmarkStart w:id="670" w:name="__RefHeading___Toc39406_2142443653"/>
      <w:bookmarkStart w:id="671" w:name="_Toc261"/>
      <w:bookmarkEnd w:id="670"/>
      <w:r>
        <w:rPr>
          <w:rtl w:val="true"/>
        </w:rPr>
        <w:t>الجنب یدهن ویختضب وکذلک الحائض</w:t>
      </w:r>
      <w:bookmarkEnd w:id="67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72" w:name="__RefHeading___Toc39408_2142443653"/>
      <w:bookmarkStart w:id="673" w:name="_Toc262"/>
      <w:bookmarkEnd w:id="672"/>
      <w:r>
        <w:rPr>
          <w:rtl w:val="true"/>
        </w:rPr>
        <w:t>اشارة</w:t>
      </w:r>
      <w:bookmarkEnd w:id="673"/>
    </w:p>
    <w:p>
      <w:pPr>
        <w:pStyle w:val="BookText"/>
        <w:rPr/>
      </w:pPr>
      <w:r>
        <w:rPr>
          <w:rFonts w:ascii="IRNazanin" w:hAnsi="IRNazanin" w:eastAsia="IRNazanin"/>
          <w:color w:val="111111"/>
          <w:sz w:val="28"/>
          <w:sz w:val="28"/>
          <w:szCs w:val="28"/>
          <w:rtl w:val="true"/>
          <w:lang w:bidi="fa-IR"/>
        </w:rPr>
        <w:t xml:space="preserve">العزیمة التی تسجد فیها ، وإطلاق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المسبّب علی السبب </w:t>
      </w:r>
      <w:r>
        <w:rPr>
          <w:rFonts w:eastAsia="IRNazanin" w:cs="IRNazanin"/>
          <w:color w:val="111111"/>
          <w:sz w:val="28"/>
          <w:szCs w:val="28"/>
          <w:rtl w:val="true"/>
          <w:lang w:bidi="fa-IR"/>
        </w:rPr>
        <w:t xml:space="preserve">) </w:t>
      </w:r>
      <w:r>
        <w:rPr>
          <w:rStyle w:val="FootnoteAnchor"/>
          <w:rtl w:val="true"/>
        </w:rPr>
        <w:footnoteReference w:id="742"/>
      </w:r>
      <w:r>
        <w:rPr>
          <w:rFonts w:ascii="Amiri" w:hAnsi="Amiri" w:eastAsia="Amiri" w:cs="Amiri"/>
          <w:color w:val="111111"/>
          <w:sz w:val="28"/>
          <w:sz w:val="28"/>
          <w:szCs w:val="28"/>
          <w:rtl w:val="true"/>
          <w:lang w:bidi="ar-SA"/>
        </w:rPr>
        <w:t xml:space="preserve">مجازاً جائز </w:t>
      </w:r>
      <w:r>
        <w:rPr>
          <w:rStyle w:val="FootnoteAnchor"/>
          <w:rtl w:val="true"/>
        </w:rPr>
        <w:footnoteReference w:id="7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کلام بعض محققی المتأخّرین سلّمه الله أنّه یجوز أن یکون الروایة علی سبیل الإنکار ، أی کیف تقرأ ولا تسجد؟</w:t>
      </w:r>
      <w:r>
        <w:rPr>
          <w:rFonts w:eastAsia="IRNazanin" w:cs="IRNazanin"/>
          <w:color w:val="111111"/>
          <w:sz w:val="28"/>
          <w:szCs w:val="28"/>
          <w:rtl w:val="true"/>
          <w:lang w:bidi="fa-IR"/>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نظری القاصر أنّ هذا لا یتم ، لأنّ السؤال عن الأمرین کما هو صریح الروایة ، والإنکار إنّما یتم علی تقدیر أن یکون السائل عالماً بجواز القراءة ، وإنّما یسأل عن السجود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وللعلاّمة رحمه الله کلام فی المسألة یأتی ما فیه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الجنب یدهن ویختضب وکذلک الحائض</w:t>
      </w:r>
    </w:p>
    <w:p>
      <w:pPr>
        <w:pStyle w:val="BookText"/>
        <w:rPr/>
      </w:pPr>
      <w:r>
        <w:rPr>
          <w:rFonts w:ascii="IRNazanin" w:hAnsi="IRNazanin" w:eastAsia="IRNazanin"/>
          <w:color w:val="111111"/>
          <w:sz w:val="28"/>
          <w:sz w:val="28"/>
          <w:szCs w:val="28"/>
          <w:rtl w:val="true"/>
          <w:lang w:bidi="fa-IR"/>
        </w:rPr>
        <w:t xml:space="preserve">أخبرنی الشیخ رحمه الله عن أحمد بن محمد ، عن أبیه ، عن الحسین بن الحسن بن أبان ، عن الحسین بن سعید ، عن القاسم بن محمد ، عن أبی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إبراهیم علیه السلام ، أیختضب الرجل وهو جنب؟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فیجنب وهو مختضب؟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مکث قلیلا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أبا سعید أفلا أدلّک علی شی‌ء تفعله؟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اختضبت بالحِنّاء وأخذ الحِنّاء مأخذه وبلغ فحینئذ فجامع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الاسناد عن الحسین بن سعید ، عن عبد الله بن بحر ، عن </w:t>
      </w:r>
      <w:bookmarkStart w:id="674" w:name="pg17122_169678"/>
    </w:p>
    <w:p>
      <w:pPr>
        <w:pStyle w:val="BookText"/>
        <w:rPr/>
      </w:pPr>
      <w:bookmarkEnd w:id="674"/>
      <w:r>
        <w:rPr>
          <w:rFonts w:ascii="IRNazanin" w:hAnsi="IRNazanin" w:eastAsia="IRNazanin"/>
          <w:color w:val="111111"/>
          <w:sz w:val="28"/>
          <w:sz w:val="28"/>
          <w:szCs w:val="28"/>
          <w:rtl w:val="true"/>
          <w:lang w:bidi="fa-IR"/>
        </w:rPr>
        <w:t xml:space="preserve">کردین المسمعی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یختضب الرجل وهو جنب ، ولا یغتسل وهو مختضب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وأخبرنی أحمد بن عبدون ، عن علی بن محمد</w:t>
      </w:r>
      <w:r>
        <w:rPr>
          <w:rStyle w:val="FootnoteAnchor"/>
          <w:rtl w:val="true"/>
        </w:rPr>
        <w:footnoteReference w:id="745"/>
      </w:r>
      <w:r>
        <w:rPr>
          <w:rFonts w:ascii="IRNazanin" w:hAnsi="IRNazanin" w:eastAsia="IRNazanin"/>
          <w:color w:val="111111"/>
          <w:sz w:val="28"/>
          <w:sz w:val="28"/>
          <w:szCs w:val="28"/>
          <w:rtl w:val="true"/>
          <w:lang w:bidi="fa-IR"/>
        </w:rPr>
        <w:t xml:space="preserve">بن الزبیر ، عن علی بن الحسن بن فضال ، عن علی بن أسباط ، عن عمّه یعقوب الأحمر ، عن عامر بن جذاعة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تختضب الحائض ولا الجنب ، ولا تجنب وعلیها الخضاب ، ولا یجنب هو وعلیه الخضاب ، ولا یختضب وهو جنب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القاسم بن محمد ، وهو الجوهری ، لأن الراوی عنه الحسین بن سعید فی النجاشی </w:t>
      </w:r>
      <w:r>
        <w:rPr>
          <w:rStyle w:val="FootnoteAnchor"/>
          <w:rtl w:val="true"/>
        </w:rPr>
        <w:footnoteReference w:id="746"/>
      </w:r>
      <w:r>
        <w:rPr>
          <w:rFonts w:ascii="IRNazanin" w:hAnsi="IRNazanin" w:eastAsia="IRNazanin"/>
          <w:color w:val="111111"/>
          <w:sz w:val="28"/>
          <w:sz w:val="28"/>
          <w:szCs w:val="28"/>
          <w:rtl w:val="true"/>
          <w:lang w:bidi="fa-IR"/>
        </w:rPr>
        <w:t xml:space="preserve">وکتاب الشیخ </w:t>
      </w:r>
      <w:r>
        <w:rPr>
          <w:rStyle w:val="FootnoteAnchor"/>
          <w:rtl w:val="true"/>
        </w:rPr>
        <w:footnoteReference w:id="747"/>
      </w:r>
      <w:r>
        <w:rPr>
          <w:rFonts w:ascii="IRNazanin" w:hAnsi="IRNazanin" w:eastAsia="IRNazanin"/>
          <w:color w:val="111111"/>
          <w:sz w:val="28"/>
          <w:sz w:val="28"/>
          <w:szCs w:val="28"/>
          <w:rtl w:val="true"/>
          <w:lang w:bidi="fa-IR"/>
        </w:rPr>
        <w:t xml:space="preserve">، وهو واقفی ، وقد تقدم فیه القول أیضاً </w:t>
      </w:r>
      <w:r>
        <w:rPr>
          <w:rStyle w:val="FootnoteAnchor"/>
          <w:rtl w:val="true"/>
        </w:rPr>
        <w:footnoteReference w:id="748"/>
      </w:r>
      <w:r>
        <w:rPr>
          <w:rFonts w:ascii="Amiri" w:hAnsi="Amiri" w:eastAsia="Amiri" w:cs="Amiri"/>
          <w:color w:val="111111"/>
          <w:sz w:val="28"/>
          <w:sz w:val="28"/>
          <w:szCs w:val="28"/>
          <w:rtl w:val="true"/>
          <w:lang w:bidi="ar-SA"/>
        </w:rPr>
        <w:t xml:space="preserve">، وما قاله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ثقة </w:t>
      </w:r>
      <w:r>
        <w:rPr>
          <w:rStyle w:val="FootnoteAnchor"/>
          <w:rtl w:val="true"/>
        </w:rPr>
        <w:footnoteReference w:id="7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سعید لا یبعد أن یکون المکاری ، وهو واقفی أیضاً وفی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الراوی عنه القاسم بن إسماعیل </w:t>
      </w:r>
      <w:r>
        <w:rPr>
          <w:rStyle w:val="FootnoteAnchor"/>
          <w:rtl w:val="true"/>
        </w:rPr>
        <w:footnoteReference w:id="750"/>
      </w:r>
      <w:r>
        <w:rPr>
          <w:rFonts w:ascii="IRNazanin" w:hAnsi="IRNazanin" w:eastAsia="IRNazanin"/>
          <w:color w:val="111111"/>
          <w:sz w:val="28"/>
          <w:sz w:val="28"/>
          <w:szCs w:val="28"/>
          <w:rtl w:val="true"/>
          <w:lang w:bidi="fa-IR"/>
        </w:rPr>
        <w:t>، فقد یتخیل أن القاسم بن محمد موهوم ، سیّما والقاسم بن إسماعیل یکنی أبا محمد ، وکان الأصل المأخوذ منه القاسم أبی محمد ، إلاّ أن الأمر هنا سهل ، مضافاً إلی احتمال أبی سعید غیر من ذکرناه ، وأیضاً فإن القاسم بن إسماعیل یروی عنه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75" w:name="__RefHeading___Toc39410_2142443653"/>
      <w:bookmarkStart w:id="676" w:name="_Toc263"/>
      <w:bookmarkEnd w:id="675"/>
      <w:r>
        <w:rPr>
          <w:rtl w:val="true"/>
        </w:rPr>
        <w:t>بحث حول القاسم بن محمد الجوهری وأبی سعید</w:t>
      </w:r>
      <w:bookmarkEnd w:id="676"/>
    </w:p>
    <w:p>
      <w:pPr>
        <w:pStyle w:val="BookText"/>
        <w:rPr/>
      </w:pPr>
      <w:r>
        <w:rPr>
          <w:rFonts w:ascii="IRNazanin" w:hAnsi="IRNazanin" w:eastAsia="IRNazanin"/>
          <w:color w:val="111111"/>
          <w:sz w:val="28"/>
          <w:sz w:val="28"/>
          <w:szCs w:val="28"/>
          <w:rtl w:val="true"/>
          <w:lang w:bidi="fa-IR"/>
        </w:rPr>
        <w:t>حمید ، وهو بعید عن مرتبة الحسین 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عبد الله بن بحر ، وهو ضعیف مرتفع القول ، علی ما قاله العلاّمة </w:t>
      </w:r>
      <w:r>
        <w:rPr>
          <w:rStyle w:val="FootnoteAnchor"/>
          <w:rtl w:val="true"/>
        </w:rPr>
        <w:footnoteReference w:id="751"/>
      </w:r>
      <w:r>
        <w:rPr>
          <w:rFonts w:ascii="IRNazanin" w:hAnsi="IRNazanin" w:eastAsia="IRNazanin"/>
          <w:color w:val="111111"/>
          <w:sz w:val="28"/>
          <w:sz w:val="28"/>
          <w:szCs w:val="28"/>
          <w:rtl w:val="true"/>
          <w:lang w:bidi="fa-IR"/>
        </w:rPr>
        <w:t xml:space="preserve">، ونقله ابن داود عن کتاب الشیخ فیمن لم یرو عن الأئمة علیهم السلام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کردویه المسمعی وقد تقدم القول فیه فی أول الکتاب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غیر من تقدم ذکره مراراً عامر بن جذاعة ، وفی الفهرست ذکره الشیخ مهملا </w:t>
      </w:r>
      <w:r>
        <w:rPr>
          <w:rStyle w:val="FootnoteAnchor"/>
          <w:rtl w:val="true"/>
        </w:rPr>
        <w:footnoteReference w:id="754"/>
      </w:r>
      <w:r>
        <w:rPr>
          <w:rFonts w:ascii="IRNazanin" w:hAnsi="IRNazanin" w:eastAsia="IRNazanin"/>
          <w:color w:val="111111"/>
          <w:sz w:val="28"/>
          <w:sz w:val="28"/>
          <w:szCs w:val="28"/>
          <w:rtl w:val="true"/>
          <w:lang w:bidi="fa-IR"/>
        </w:rPr>
        <w:t xml:space="preserve">، والکشی ذکر فی حجر بن زائدة روایة أن عامر بن جذاعة من حواریّ محمد بن علی وجعفر بن محمد </w:t>
      </w:r>
      <w:r>
        <w:rPr>
          <w:rStyle w:val="FootnoteAnchor"/>
          <w:rtl w:val="true"/>
        </w:rPr>
        <w:footnoteReference w:id="755"/>
      </w:r>
      <w:r>
        <w:rPr>
          <w:rFonts w:ascii="IRNazanin" w:hAnsi="IRNazanin" w:eastAsia="IRNazanin"/>
          <w:color w:val="111111"/>
          <w:sz w:val="28"/>
          <w:sz w:val="28"/>
          <w:szCs w:val="28"/>
          <w:rtl w:val="true"/>
          <w:lang w:bidi="fa-IR"/>
        </w:rPr>
        <w:t xml:space="preserve">، ونقل روایة أُخری تتضمن القدح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والعلاّمة فی الخلاصة نقل روایتی الکشی فی عامر بن عبد الله بن جذاعة ، وکأنّه ظن الاتحاد مع عامر بن جذاعة ، وهو غیر بعید </w:t>
      </w:r>
      <w:r>
        <w:rPr>
          <w:rStyle w:val="FootnoteAnchor"/>
          <w:rtl w:val="true"/>
        </w:rPr>
        <w:footnoteReference w:id="757"/>
      </w:r>
      <w:r>
        <w:rPr>
          <w:rFonts w:ascii="IRNazanin" w:hAnsi="IRNazanin" w:eastAsia="IRNazanin"/>
          <w:color w:val="111111"/>
          <w:sz w:val="28"/>
          <w:sz w:val="28"/>
          <w:szCs w:val="28"/>
          <w:rtl w:val="true"/>
          <w:lang w:bidi="fa-IR"/>
        </w:rPr>
        <w:t xml:space="preserve">، لأن النجاشی ذکر عامر بن عبد الله بن جذاعة </w:t>
      </w:r>
      <w:r>
        <w:rPr>
          <w:rStyle w:val="FootnoteAnchor"/>
          <w:rtl w:val="true"/>
        </w:rPr>
        <w:footnoteReference w:id="758"/>
      </w:r>
      <w:r>
        <w:rPr>
          <w:rFonts w:ascii="IRNazanin" w:hAnsi="IRNazanin" w:eastAsia="IRNazanin"/>
          <w:color w:val="111111"/>
          <w:sz w:val="28"/>
          <w:sz w:val="28"/>
          <w:szCs w:val="28"/>
          <w:rtl w:val="true"/>
          <w:lang w:bidi="fa-IR"/>
        </w:rPr>
        <w:t xml:space="preserve">فقط ، والشیخ ذکر الاثنین ، 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الفهرست </w:t>
      </w:r>
      <w:r>
        <w:rPr>
          <w:rStyle w:val="FootnoteAnchor"/>
          <w:rtl w:val="true"/>
        </w:rPr>
        <w:footnoteReference w:id="759"/>
      </w:r>
      <w:r>
        <w:rPr>
          <w:rFonts w:ascii="IRNazanin" w:hAnsi="IRNazanin" w:eastAsia="IRNazanin"/>
          <w:color w:val="111111"/>
          <w:sz w:val="28"/>
          <w:sz w:val="28"/>
          <w:szCs w:val="28"/>
          <w:rtl w:val="true"/>
          <w:lang w:bidi="fa-IR"/>
        </w:rPr>
        <w:t xml:space="preserve">،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الرجال من أصحاب الصادق علیه السلام </w:t>
      </w:r>
      <w:r>
        <w:rPr>
          <w:rStyle w:val="FootnoteAnchor"/>
          <w:rtl w:val="true"/>
        </w:rPr>
        <w:footnoteReference w:id="760"/>
      </w:r>
      <w:r>
        <w:rPr>
          <w:rFonts w:ascii="IRNazanin" w:hAnsi="IRNazanin" w:eastAsia="IRNazanin"/>
          <w:color w:val="111111"/>
          <w:sz w:val="28"/>
          <w:sz w:val="28"/>
          <w:szCs w:val="28"/>
          <w:rtl w:val="true"/>
          <w:lang w:bidi="fa-IR"/>
        </w:rPr>
        <w:t xml:space="preserve">، والاعتماد علی الشیخ واضح الإشکال ، فما ذکره ابن داود </w:t>
      </w:r>
      <w:bookmarkStart w:id="677" w:name="pg17122_169680"/>
    </w:p>
    <w:p>
      <w:pPr>
        <w:pStyle w:val="BookText"/>
        <w:rPr/>
      </w:pPr>
      <w:bookmarkEnd w:id="677"/>
      <w:r>
        <w:rPr>
          <w:rFonts w:ascii="IRNazanin" w:hAnsi="IRNazanin" w:eastAsia="IRNazanin"/>
          <w:color w:val="111111"/>
          <w:sz w:val="28"/>
          <w:sz w:val="28"/>
          <w:szCs w:val="28"/>
          <w:rtl w:val="true"/>
          <w:lang w:bidi="fa-IR"/>
        </w:rPr>
        <w:t xml:space="preserve">من التعدد </w:t>
      </w:r>
      <w:r>
        <w:rPr>
          <w:rStyle w:val="FootnoteAnchor"/>
          <w:rtl w:val="true"/>
        </w:rPr>
        <w:footnoteReference w:id="761"/>
      </w:r>
      <w:r>
        <w:rPr>
          <w:rFonts w:ascii="IRNazanin" w:hAnsi="IRNazanin" w:eastAsia="IRNazanin"/>
          <w:color w:val="111111"/>
          <w:sz w:val="28"/>
          <w:sz w:val="28"/>
          <w:szCs w:val="28"/>
          <w:rtl w:val="true"/>
          <w:lang w:bidi="fa-IR"/>
        </w:rPr>
        <w:t>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روایة الکشی المتضمنة لأنّ عامر بن جذاعة من الحواریین اعتمد علیها العلاّمة ، فقال فی الخلاصة بعد ذکر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یعنی الکشی حدیثاً مرسلاً ینافی ذلک ، والتعدیل أرجح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واعترض علیه جدّی قدس سره فی فوائده علی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فی حدیث المدح علی بن سلیمان ، وأسباط بن سالم ، وهما مجهولا العدالة ، وحدیث الجرح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المتضمن </w:t>
      </w:r>
      <w:r>
        <w:rPr>
          <w:rStyle w:val="FootnoteAnchor"/>
          <w:rtl w:val="true"/>
        </w:rPr>
        <w:footnoteReference w:id="7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الصادق علیه السلام علیه بعدم المغفرة مرسلة الحسین بن سعید ، وهو لا یقصر عن مقامة التعدیل ، إن لم یرجح علیه ، وبالجملة فحال الرجل مجهول ، لعدم صحة الخبرین </w:t>
      </w:r>
      <w:r>
        <w:rPr>
          <w:rStyle w:val="FootnoteAnchor"/>
          <w:rtl w:val="true"/>
        </w:rPr>
        <w:footnoteReference w:id="7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والأمر کما قاله فی جهالة العدالة ، 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روایة الحسین بن سعید لا تقصر عن مقاومة 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له ، کما 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راوی حدیث الذمّ علی بن محمد الراوی عنه الکشی </w:t>
      </w:r>
      <w:r>
        <w:rPr>
          <w:rStyle w:val="FootnoteAnchor"/>
          <w:rtl w:val="true"/>
        </w:rPr>
        <w:footnoteReference w:id="765"/>
      </w:r>
      <w:r>
        <w:rPr>
          <w:rFonts w:ascii="IRNazanin" w:hAnsi="IRNazanin" w:eastAsia="IRNazanin"/>
          <w:color w:val="111111"/>
          <w:sz w:val="28"/>
          <w:sz w:val="28"/>
          <w:szCs w:val="28"/>
          <w:rtl w:val="true"/>
          <w:lang w:bidi="fa-IR"/>
        </w:rPr>
        <w:t xml:space="preserve">، وهو مشترک </w:t>
      </w:r>
      <w:r>
        <w:rPr>
          <w:rStyle w:val="FootnoteAnchor"/>
          <w:rtl w:val="true"/>
        </w:rPr>
        <w:footnoteReference w:id="766"/>
      </w:r>
      <w:r>
        <w:rPr>
          <w:rFonts w:ascii="IRNazanin" w:hAnsi="IRNazanin" w:eastAsia="IRNazanin"/>
          <w:color w:val="111111"/>
          <w:sz w:val="28"/>
          <w:sz w:val="28"/>
          <w:szCs w:val="28"/>
          <w:rtl w:val="true"/>
          <w:lang w:bidi="fa-IR"/>
        </w:rPr>
        <w:t>، وکأنّ جدی قدس سره اعتمد علی کونه الثقة ، وهو أعلم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الدلالة علی أنّ الحنّاء إذا أخذ مأخذه لا کراهة فی</w:t>
      </w:r>
    </w:p>
    <w:p>
      <w:pPr>
        <w:pStyle w:val="Heading4"/>
        <w:numPr>
          <w:ilvl w:val="3"/>
          <w:numId w:val="1"/>
        </w:numPr>
        <w:rPr/>
      </w:pPr>
      <w:bookmarkStart w:id="678" w:name="__RefHeading___Toc39412_2142443653"/>
      <w:bookmarkStart w:id="679" w:name="_Toc264"/>
      <w:bookmarkEnd w:id="678"/>
      <w:r>
        <w:rPr>
          <w:rtl w:val="true"/>
        </w:rPr>
        <w:t>عبدالله بن بحر ضعیف مرتفع القول</w:t>
      </w:r>
      <w:bookmarkEnd w:id="67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80" w:name="__RefHeading___Toc39414_2142443653"/>
      <w:bookmarkStart w:id="681" w:name="_Toc265"/>
      <w:bookmarkEnd w:id="680"/>
      <w:r>
        <w:rPr>
          <w:rtl w:val="true"/>
        </w:rPr>
        <w:t>بحث حول عامر بن جذاعة</w:t>
      </w:r>
      <w:bookmarkStart w:id="682" w:name="pg17122_169681"/>
      <w:bookmarkEnd w:id="681"/>
    </w:p>
    <w:p>
      <w:pPr>
        <w:pStyle w:val="BookText"/>
        <w:rPr/>
      </w:pPr>
      <w:bookmarkEnd w:id="682"/>
      <w:r>
        <w:rPr>
          <w:rFonts w:ascii="IRNazanin" w:hAnsi="IRNazanin" w:eastAsia="IRNazanin"/>
          <w:color w:val="111111"/>
          <w:sz w:val="28"/>
          <w:sz w:val="28"/>
          <w:szCs w:val="28"/>
          <w:rtl w:val="true"/>
          <w:lang w:bidi="fa-IR"/>
        </w:rPr>
        <w:t xml:space="preserve">المجامعة حینئذ ، إذا کان النهی للکراهة بدون ذلک ، إذ القائل بالتحریم غیر منقول فیما وقفت علیه ، بل الشیخ قائل هنا بالکراهة ، علی تقدیر أن یکون ما یذکره هنا قولا ، وقد نقل عنه أنّه قال بالکراهة أیضا فی غیر الکتاب </w:t>
      </w:r>
      <w:r>
        <w:rPr>
          <w:rStyle w:val="FootnoteAnchor"/>
          <w:rtl w:val="true"/>
        </w:rPr>
        <w:footnoteReference w:id="767"/>
      </w:r>
      <w:r>
        <w:rPr>
          <w:rFonts w:ascii="IRNazanin" w:hAnsi="IRNazanin" w:eastAsia="IRNazanin"/>
          <w:color w:val="111111"/>
          <w:sz w:val="28"/>
          <w:sz w:val="28"/>
          <w:szCs w:val="28"/>
          <w:rtl w:val="true"/>
          <w:lang w:bidi="fa-IR"/>
        </w:rPr>
        <w:t xml:space="preserve">، وکذلک المفید </w:t>
      </w:r>
      <w:r>
        <w:rPr>
          <w:rStyle w:val="FootnoteAnchor"/>
          <w:rtl w:val="true"/>
        </w:rPr>
        <w:footnoteReference w:id="768"/>
      </w:r>
      <w:r>
        <w:rPr>
          <w:rFonts w:ascii="IRNazanin" w:hAnsi="IRNazanin" w:eastAsia="IRNazanin"/>
          <w:color w:val="111111"/>
          <w:sz w:val="28"/>
          <w:sz w:val="28"/>
          <w:szCs w:val="28"/>
          <w:rtl w:val="true"/>
          <w:lang w:bidi="fa-IR"/>
        </w:rPr>
        <w:t xml:space="preserve">، والمرتضی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أن یختضب الجنب ویجنب وهو مختضب </w:t>
      </w:r>
      <w:r>
        <w:rPr>
          <w:rStyle w:val="FootnoteAnchor"/>
          <w:rtl w:val="true"/>
        </w:rPr>
        <w:footnoteReference w:id="7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یبعد أن یکون مراده ما تضمن الخبر ، غیر أنّ الخبر کما تری خاص بالحنّاء فی التعلیل ، فلا یبعد أن یکون صدره مراداً به الحنّاء ، إلاّ أنّ المصرح به فی کلام بعض المتأخّرین أنّ الخضاب ما یتلوّن به من حنّاءٍ وغیره </w:t>
      </w:r>
      <w:r>
        <w:rPr>
          <w:rStyle w:val="FootnoteAnchor"/>
          <w:rtl w:val="true"/>
        </w:rPr>
        <w:footnoteReference w:id="771"/>
      </w:r>
      <w:r>
        <w:rPr>
          <w:rFonts w:ascii="IRNazanin" w:hAnsi="IRNazanin" w:eastAsia="IRNazanin"/>
          <w:color w:val="111111"/>
          <w:sz w:val="28"/>
          <w:sz w:val="28"/>
          <w:szCs w:val="28"/>
          <w:rtl w:val="true"/>
          <w:lang w:bidi="fa-IR"/>
        </w:rPr>
        <w:t>، وسیأتی کلام بعض أهل اللغة ، وعلی تقدیر الشمول فی الخضاب یحتمل أن یخص زوال الکراهة فی الحنّاء بما ذکر فی الخبر ، ویبقی غیر الحنّاء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والخبر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یخص کما خص الأول ، أو یخص بغیر الحنّاء ویبقی النهی فیه علی إطلاقه ، وکذلک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الأوّل فیه اختصاص أیضاً بالجنب ، ومن هنا یعلم ما فی إطلاق الشیخ الکراهة من التأمّل ، وسیأتی الکلام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 النقل عن المفید أنّه علّل الکراهة بمنع وصول الماء إلی ظاهر الجوارح التی علیها الخضاب </w:t>
      </w:r>
      <w:r>
        <w:rPr>
          <w:rStyle w:val="FootnoteAnchor"/>
          <w:rtl w:val="true"/>
        </w:rPr>
        <w:footnoteReference w:id="772"/>
      </w:r>
      <w:r>
        <w:rPr>
          <w:rFonts w:ascii="IRNazanin" w:hAnsi="IRNazanin" w:eastAsia="IRNazanin"/>
          <w:color w:val="111111"/>
          <w:sz w:val="28"/>
          <w:sz w:val="28"/>
          <w:szCs w:val="28"/>
          <w:rtl w:val="true"/>
          <w:lang w:bidi="fa-IR"/>
        </w:rPr>
        <w:t xml:space="preserve">، وکذلک تقدم قول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المفید کأنّه ناظر إلی أنّ اللون عرض لا ینتقل ، فیلزم حصول أجزاء من</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83" w:name="__RefHeading___Toc39416_2142443653"/>
      <w:bookmarkStart w:id="684" w:name="_Toc266"/>
      <w:bookmarkEnd w:id="683"/>
      <w:r>
        <w:rPr>
          <w:rtl w:val="true"/>
        </w:rPr>
        <w:t>حکم الجنب یختضب والمختضب یجنب</w:t>
      </w:r>
      <w:bookmarkStart w:id="685" w:name="pg17122_169682"/>
      <w:bookmarkEnd w:id="684"/>
    </w:p>
    <w:p>
      <w:pPr>
        <w:pStyle w:val="BookText"/>
        <w:rPr/>
      </w:pPr>
      <w:bookmarkEnd w:id="685"/>
      <w:r>
        <w:rPr>
          <w:rFonts w:ascii="IRNazanin" w:hAnsi="IRNazanin" w:eastAsia="IRNazanin"/>
          <w:color w:val="111111"/>
          <w:sz w:val="28"/>
          <w:sz w:val="28"/>
          <w:szCs w:val="28"/>
          <w:rtl w:val="true"/>
          <w:lang w:bidi="fa-IR"/>
        </w:rPr>
        <w:t xml:space="preserve">الخضاب فی محل اللون لیکون وجود اللون بوجودها ، لکنها حقیقة لا تمنع الماء منعا تامّاً فکرهت لذلک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خَضَبَه یَخْضِبُه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کخضّبه ، وَکف وامرأةٌ خضیب ، وبَنانٌ مخضوبٌ وخضیب ومخضّب </w:t>
      </w:r>
      <w:r>
        <w:rPr>
          <w:rStyle w:val="FootnoteAnchor"/>
          <w:rtl w:val="true"/>
        </w:rPr>
        <w:footnoteReference w:id="774"/>
      </w:r>
      <w:r>
        <w:rPr>
          <w:rFonts w:ascii="IRNazanin" w:hAnsi="IRNazanin" w:eastAsia="IRNazanin"/>
          <w:color w:val="111111"/>
          <w:sz w:val="28"/>
          <w:sz w:val="28"/>
          <w:szCs w:val="28"/>
          <w:rtl w:val="true"/>
          <w:lang w:bidi="fa-IR"/>
        </w:rPr>
        <w:t xml:space="preserve">، ویستفاد منه أن الخضاب یتناول الشعر وغیره ، والحنّاء وغیرها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الخضاب مع الإطلاق لا یتناول غیر الشعر ، وفیه ما فیه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فضالة ، عن أبی المغراء ، عن سماعة </w:t>
      </w:r>
      <w:r>
        <w:rPr>
          <w:rStyle w:val="FootnoteAnchor"/>
          <w:rtl w:val="true"/>
        </w:rPr>
        <w:footnoteReference w:id="77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العبد الصالح علیه السلام عن الجنب والحائض أیختضبان؟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فضالة ، عن أبی المغراء </w:t>
      </w:r>
      <w:r>
        <w:rPr>
          <w:rStyle w:val="FootnoteAnchor"/>
          <w:rtl w:val="true"/>
        </w:rPr>
        <w:footnoteReference w:id="776"/>
      </w:r>
      <w:r>
        <w:rPr>
          <w:rFonts w:ascii="IRNazanin" w:hAnsi="IRNazanin" w:eastAsia="IRNazanin"/>
          <w:color w:val="111111"/>
          <w:sz w:val="28"/>
          <w:sz w:val="28"/>
          <w:szCs w:val="28"/>
          <w:rtl w:val="true"/>
          <w:lang w:bidi="fa-IR"/>
        </w:rPr>
        <w:t xml:space="preserve">، عن العبد الصالح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یختضب وهو جنب؟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المرأة تختضب وهی حائض؟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به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إبراهیم ، عن أبیه ، عن النوفلی ، عن السکونی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بأن یختضب الرجل ویجنب وهو مختضب ، ولا بأس بأن یتنوّر الجنب ویحتجم ویذبح ، ولا یدهن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86" w:name="__RefHeading___Toc39418_2142443653"/>
      <w:bookmarkStart w:id="687" w:name="_Toc267"/>
      <w:bookmarkEnd w:id="686"/>
      <w:r>
        <w:rPr>
          <w:rtl w:val="true"/>
        </w:rPr>
        <w:t>معنی الاختضاب</w:t>
      </w:r>
      <w:bookmarkStart w:id="688" w:name="pg17122_169683"/>
      <w:bookmarkEnd w:id="687"/>
    </w:p>
    <w:p>
      <w:pPr>
        <w:pStyle w:val="BookText"/>
        <w:rPr/>
      </w:pPr>
      <w:bookmarkEnd w:id="688"/>
      <w:r>
        <w:rPr>
          <w:rFonts w:ascii="IRNazanin" w:hAnsi="IRNazanin" w:eastAsia="IRNazanin"/>
          <w:color w:val="111111"/>
          <w:sz w:val="28"/>
          <w:sz w:val="28"/>
          <w:szCs w:val="28"/>
          <w:rtl w:val="true"/>
          <w:lang w:bidi="fa-IR"/>
        </w:rPr>
        <w:t xml:space="preserve">ولا یذوق شیئاً حتی یغسل یده ویتمضمض ، فإنّ یخاف منه الوَضَح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الجمع بین هذه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نحمل الأوّلة علی ضرب من الکراهیة دون الحظر ، لئلاّ یتناقض الأخبار ، والذی 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سعد بن عبد الله ، عن أحمد بن محمد بن عیسی ، عن محمد ابن الحسن بن علاّن ، عن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Style w:val="FootnoteAnchor"/>
          <w:rtl w:val="true"/>
        </w:rPr>
        <w:footnoteReference w:id="777"/>
      </w:r>
      <w:r>
        <w:rPr>
          <w:rFonts w:ascii="IRNazanin" w:hAnsi="IRNazanin" w:eastAsia="IRNazanin"/>
          <w:color w:val="111111"/>
          <w:sz w:val="28"/>
          <w:sz w:val="28"/>
          <w:szCs w:val="28"/>
          <w:rtl w:val="true"/>
          <w:lang w:bidi="fa-IR"/>
        </w:rPr>
        <w:t xml:space="preserve">بن یونس ، أن أباه کتب إلی أبی الحسن علیه السلام یسأله </w:t>
      </w:r>
      <w:r>
        <w:rPr>
          <w:rStyle w:val="FootnoteAnchor"/>
          <w:rtl w:val="true"/>
        </w:rPr>
        <w:footnoteReference w:id="778"/>
      </w:r>
      <w:r>
        <w:rPr>
          <w:rFonts w:ascii="IRNazanin" w:hAnsi="IRNazanin" w:eastAsia="IRNazanin"/>
          <w:color w:val="111111"/>
          <w:sz w:val="28"/>
          <w:sz w:val="28"/>
          <w:szCs w:val="28"/>
          <w:rtl w:val="true"/>
          <w:lang w:bidi="fa-IR"/>
        </w:rPr>
        <w:t xml:space="preserve">عن الجنب ، یختضب أو یجنب وهو مختضب ، فکتب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أحب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هذا الخبر صریحاً بالکراهیة دون الحظر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 عن عبد الله بن بحر ، عن حریز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 الجنب یدهن ثم یغتسل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هذا الخبر ضرب من الکراهیة ، حسب ما ذکرناه فی روایة السکونی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علی ما قدّمناه ، وأبو المغراء اسمه حمید ابن المثنی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محمد بن الحسن بن علاّن ، ولم أره فی الرجال ، وأمّا</w:t>
      </w:r>
    </w:p>
    <w:p>
      <w:pPr>
        <w:pStyle w:val="Heading4"/>
        <w:numPr>
          <w:ilvl w:val="3"/>
          <w:numId w:val="1"/>
        </w:numPr>
        <w:rPr/>
      </w:pPr>
      <w:bookmarkStart w:id="689" w:name="__RefHeading___Toc39420_2142443653"/>
      <w:bookmarkStart w:id="690" w:name="_Toc268"/>
      <w:bookmarkEnd w:id="689"/>
      <w:r>
        <w:rPr>
          <w:rtl w:val="true"/>
        </w:rPr>
        <w:t>أبو المغرا اسمه حمید بن المثنّی</w:t>
      </w:r>
      <w:bookmarkEnd w:id="69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91" w:name="__RefHeading___Toc39422_2142443653"/>
      <w:bookmarkStart w:id="692" w:name="_Toc269"/>
      <w:bookmarkEnd w:id="691"/>
      <w:r>
        <w:rPr>
          <w:rtl w:val="true"/>
        </w:rPr>
        <w:t>محمد بن الحسن بن علّان لم یذکر فی الرجال</w:t>
      </w:r>
      <w:bookmarkStart w:id="693" w:name="pg17122_169684"/>
      <w:bookmarkEnd w:id="692"/>
    </w:p>
    <w:p>
      <w:pPr>
        <w:pStyle w:val="BookText"/>
        <w:rPr/>
      </w:pPr>
      <w:bookmarkEnd w:id="693"/>
      <w:r>
        <w:rPr>
          <w:rFonts w:ascii="IRNazanin" w:hAnsi="IRNazanin" w:eastAsia="IRNazanin"/>
          <w:color w:val="111111"/>
          <w:sz w:val="28"/>
          <w:sz w:val="28"/>
          <w:szCs w:val="28"/>
          <w:rtl w:val="true"/>
          <w:lang w:bidi="fa-IR"/>
        </w:rPr>
        <w:t xml:space="preserve">جعفر بن محمد بن یونس فالشیخ وثّقه فی رجال الجواد علیه السلام </w:t>
      </w:r>
      <w:r>
        <w:rPr>
          <w:rStyle w:val="FootnoteAnchor"/>
          <w:rtl w:val="true"/>
        </w:rPr>
        <w:footnoteReference w:id="779"/>
      </w:r>
      <w:r>
        <w:rPr>
          <w:rFonts w:ascii="IRNazanin" w:hAnsi="IRNazanin" w:eastAsia="IRNazanin"/>
          <w:color w:val="111111"/>
          <w:sz w:val="28"/>
          <w:sz w:val="28"/>
          <w:szCs w:val="28"/>
          <w:rtl w:val="true"/>
          <w:lang w:bidi="fa-IR"/>
        </w:rPr>
        <w:t xml:space="preserve">، وفی رجال الهادی علیه السلام ذکره مهملاً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فی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من رجال الرضا علیه السلام </w:t>
      </w:r>
      <w:r>
        <w:rPr>
          <w:rStyle w:val="FootnoteAnchor"/>
          <w:rtl w:val="true"/>
        </w:rPr>
        <w:footnoteReference w:id="7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أقف علیه فی کتاب الشیخ ، والروایة عن أبی الحسن لا تدل علیه ، لأنّ الأب هو الکاتب ، نعم الظاهر أنّ جهالة الأب لا تضر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عبد الله بن بحر ، وقد تقدم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قاله الشیخ فی الأوّل والثانی من حمل الأخبار الأولة علی الکراهة قد یتوجه علیه أنّ الخبر الذی فی صدر الباب مفصّل فلیحمل المجمل علیه ، کما أشرنا إلیه سابقا ، والجواب أنّ الإجمال فی الخبر المذکور بالنسبة إلی أنّه لا بد من زیادة تقیید یوجب نوع إشکال ، والکراهة المذکورة فی کلام الشیخ وإن کانت لا تخلو من تأمّل أیضاً ، فإن ظاهرها ثبوت الکراهة وإن أخذت الحنّاء مأخذها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وإشکالها واضح ، وحملها علی اختلاف المراتب شدةً وضعفاً ممکن ، لولا أنّ ظاهر الخبر انتفاء الکراهة إذا أخذت الحنّاء مأخذها </w:t>
      </w:r>
      <w:r>
        <w:rPr>
          <w:rFonts w:eastAsia="IRNazanin" w:cs="IRNazanin"/>
          <w:color w:val="111111"/>
          <w:sz w:val="28"/>
          <w:szCs w:val="28"/>
          <w:rtl w:val="true"/>
          <w:lang w:bidi="fa-IR"/>
        </w:rPr>
        <w:t xml:space="preserve">) </w:t>
      </w:r>
      <w:r>
        <w:rPr>
          <w:rStyle w:val="FootnoteAnchor"/>
          <w:rtl w:val="true"/>
        </w:rPr>
        <w:footnoteReference w:id="782"/>
      </w:r>
      <w:r>
        <w:rPr>
          <w:rFonts w:ascii="IRNazanin" w:hAnsi="IRNazanin" w:eastAsia="IRNazanin"/>
          <w:color w:val="111111"/>
          <w:sz w:val="28"/>
          <w:sz w:val="28"/>
          <w:szCs w:val="28"/>
          <w:rtl w:val="true"/>
          <w:lang w:bidi="fa-IR"/>
        </w:rPr>
        <w:t>ولعلّ الشیخ ملتفت إلی هذا فی الکراهة إلاّ أنّ عدم تعرضه لما قلناه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خبر السکونی یحتمل التعلیل بخوف الوَضَح أن یعود بجمیع</w:t>
      </w:r>
    </w:p>
    <w:p>
      <w:pPr>
        <w:pStyle w:val="Heading4"/>
        <w:numPr>
          <w:ilvl w:val="3"/>
          <w:numId w:val="1"/>
        </w:numPr>
        <w:rPr/>
      </w:pPr>
      <w:bookmarkStart w:id="694" w:name="__RefHeading___Toc39424_2142443653"/>
      <w:bookmarkStart w:id="695" w:name="_Toc270"/>
      <w:bookmarkEnd w:id="694"/>
      <w:r>
        <w:rPr>
          <w:rtl w:val="true"/>
        </w:rPr>
        <w:t>بحث حول جعفر بن محمّد بن یونس</w:t>
      </w:r>
      <w:bookmarkEnd w:id="695"/>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96" w:name="__RefHeading___Toc39426_2142443653"/>
      <w:bookmarkStart w:id="697" w:name="_Toc271"/>
      <w:bookmarkEnd w:id="696"/>
      <w:r>
        <w:rPr>
          <w:rtl w:val="true"/>
        </w:rPr>
        <w:t>وجه الجمع بین الأخبار الناهیة عن اختضاب الجنب والمجوّزة لذلک معنی الوَضَح</w:t>
      </w:r>
      <w:bookmarkEnd w:id="697"/>
    </w:p>
    <w:p>
      <w:pPr>
        <w:pStyle w:val="BookText"/>
        <w:rPr/>
      </w:pPr>
      <w:r>
        <w:rPr>
          <w:rFonts w:ascii="IRNazanin" w:hAnsi="IRNazanin" w:eastAsia="IRNazanin"/>
          <w:color w:val="111111"/>
          <w:sz w:val="28"/>
          <w:sz w:val="28"/>
          <w:szCs w:val="28"/>
          <w:rtl w:val="true"/>
          <w:lang w:bidi="fa-IR"/>
        </w:rPr>
        <w:t xml:space="preserve">ما ذکر فی الخبر ، ویحتمل الاختصاص ،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یذوق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العود 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یدّهن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قاله الشیخ فی خبر حریز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الحمل علی الکراهة لمعارضة خبر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أنّ النهی عن الادّهان فی الخبرین ، والمعارض حینئذ </w:t>
      </w:r>
      <w:r>
        <w:rPr>
          <w:rStyle w:val="FootnoteAnchor"/>
          <w:rtl w:val="true"/>
        </w:rPr>
        <w:footnoteReference w:id="783"/>
      </w:r>
      <w:r>
        <w:rPr>
          <w:rFonts w:ascii="IRNazanin" w:hAnsi="IRNazanin" w:eastAsia="IRNazanin"/>
          <w:color w:val="111111"/>
          <w:sz w:val="28"/>
          <w:sz w:val="28"/>
          <w:szCs w:val="28"/>
          <w:rtl w:val="true"/>
          <w:lang w:bidi="fa-IR"/>
        </w:rPr>
        <w:t xml:space="preserve">منتف ، ولعلّ مراده أنّ بعض المذکور فی الخبر إذا کان مکروها کان جمیعه </w:t>
      </w:r>
      <w:r>
        <w:rPr>
          <w:rStyle w:val="FootnoteAnchor"/>
          <w:rtl w:val="true"/>
        </w:rPr>
        <w:footnoteReference w:id="784"/>
      </w:r>
      <w:r>
        <w:rPr>
          <w:rFonts w:ascii="IRNazanin" w:hAnsi="IRNazanin" w:eastAsia="IRNazanin"/>
          <w:color w:val="111111"/>
          <w:sz w:val="28"/>
          <w:sz w:val="28"/>
          <w:szCs w:val="28"/>
          <w:rtl w:val="true"/>
          <w:lang w:bidi="fa-IR"/>
        </w:rPr>
        <w:t>کذلک ، وفیه ما فیه ، إلاّ أنّ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 أنّ شیخنا قدس سره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بابویه روی فی الفقیه فی الحسن ، عن أبی عبد الله علیه السلام ،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بأن یختضب الرجل وهو 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الروایة أجود ما وصل إلینا فی هذه المسألة </w:t>
      </w:r>
      <w:r>
        <w:rPr>
          <w:rStyle w:val="FootnoteAnchor"/>
          <w:rtl w:val="true"/>
        </w:rPr>
        <w:footnoteReference w:id="7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رأیته فی الفقیه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من سمعه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اغتمس الجنب فی الماء اغتماسة واحدة أجزأه ذلک من غسله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أحکاماً کثیرة ، مثل من أجنب فی یوم ولیلة مراراً أجزأه غسل واحد ، وأنّه لا بأس أن یقرأ الرجل القرآن ، وغیر ذلک ، وقال فی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بأس أن یختضب الجنب إلی آخره </w:t>
      </w:r>
      <w:r>
        <w:rPr>
          <w:rStyle w:val="FootnoteAnchor"/>
          <w:rtl w:val="true"/>
        </w:rPr>
        <w:footnoteReference w:id="7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یظهر أنّه لیس من الروایة ویؤیّده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الشیخ روی خبر الحلبی فی الارتماس فقط ، وقول شیخنا قدس سره إنّ الروایة أجود ما وصل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 أن الروایة حسنة ، وروایة أبی المغراء عن العبد الصالح علیه السلام هنا صحیحة ، فالاعتماد علیها أولی</w:t>
      </w:r>
      <w:r>
        <w:rPr>
          <w:rFonts w:eastAsia="IRNazanin" w:cs="IRNazanin"/>
          <w:color w:val="111111"/>
          <w:sz w:val="28"/>
          <w:szCs w:val="28"/>
          <w:rtl w:val="true"/>
          <w:lang w:bidi="fa-IR"/>
        </w:rPr>
        <w:t xml:space="preserve">. </w:t>
      </w:r>
      <w:bookmarkStart w:id="698" w:name="pg17122_169686"/>
    </w:p>
    <w:p>
      <w:pPr>
        <w:pStyle w:val="BookText"/>
        <w:rPr/>
      </w:pPr>
      <w:bookmarkEnd w:id="698"/>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الوَضَح محرّکة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البرص </w:t>
      </w:r>
      <w:r>
        <w:rPr>
          <w:rStyle w:val="FootnoteAnchor"/>
          <w:rtl w:val="true"/>
        </w:rPr>
        <w:footnoteReference w:id="7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النهایة کذلک فی جملة معانی الوَضَح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الجنب هل علیه مضمضة واستنشاق أم لا؟</w:t>
      </w:r>
    </w:p>
    <w:p>
      <w:pPr>
        <w:pStyle w:val="BookText"/>
        <w:rPr/>
      </w:pPr>
      <w:r>
        <w:rPr>
          <w:rFonts w:ascii="IRNazanin" w:hAnsi="IRNazanin" w:eastAsia="IRNazanin"/>
          <w:color w:val="111111"/>
          <w:sz w:val="28"/>
          <w:sz w:val="28"/>
          <w:szCs w:val="28"/>
          <w:rtl w:val="true"/>
          <w:lang w:bidi="fa-IR"/>
        </w:rPr>
        <w:t xml:space="preserve">أخبرنی الشیخ رحمه الله عن أحمد بن محمد ، عن أبیه ، عن محمد بن یحیی ، عن محمد بن الحسین ، عن موسی بن سعدان ، عن عبد الله بن سنان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یجنب الأنف والفم ، لأنّهما سائلان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علی بن الحکم ، عن سیف بن عمیرة ، عن أبی بکر الحضرمی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علیک مضمضة ولا استنشاق ، لأنّهما من الجوف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أبی یحیی الواسطی ، عن بعض أصحابه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الجنب یتمضمض ویستنشق؟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إنّما یجنب الظاهر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الحسین بن عبید الله ، عن أحمد بن محمد ، عن أبیه ، عن محمد بن علی بن محبوب ، عن محمد بن عیسی ، عن الحسن بن راشد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الفقیه العسکری </w:t>
      </w: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لیس فی الغسل ولا فی الوضوء مضمضة ولا استنشاق </w:t>
      </w:r>
      <w:r>
        <w:rPr>
          <w:rFonts w:eastAsia="IRNazanin" w:cs="IRNazanin"/>
          <w:color w:val="111111"/>
          <w:sz w:val="28"/>
          <w:szCs w:val="28"/>
          <w:rtl w:val="true"/>
          <w:lang w:bidi="fa-IR"/>
        </w:rPr>
        <w:t>».</w:t>
      </w:r>
    </w:p>
    <w:p>
      <w:pPr>
        <w:pStyle w:val="Heading3"/>
        <w:numPr>
          <w:ilvl w:val="2"/>
          <w:numId w:val="1"/>
        </w:numPr>
        <w:rPr/>
      </w:pPr>
      <w:bookmarkStart w:id="699" w:name="__RefHeading___Toc39428_2142443653"/>
      <w:bookmarkStart w:id="700" w:name="_Toc272"/>
      <w:bookmarkEnd w:id="699"/>
      <w:r>
        <w:rPr>
          <w:rtl w:val="true"/>
        </w:rPr>
        <w:t>الجنب هل علیه مضمضة واستنشاق أم لا؟</w:t>
      </w:r>
      <w:bookmarkEnd w:id="70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1" w:name="__RefHeading___Toc39430_2142443653"/>
      <w:bookmarkStart w:id="702" w:name="_Toc273"/>
      <w:bookmarkEnd w:id="701"/>
      <w:r>
        <w:rPr>
          <w:rtl w:val="true"/>
        </w:rPr>
        <w:t>اشارة</w:t>
      </w:r>
      <w:bookmarkStart w:id="703" w:name="pg17122_169687"/>
      <w:bookmarkEnd w:id="702"/>
    </w:p>
    <w:p>
      <w:pPr>
        <w:pStyle w:val="BookText"/>
        <w:rPr/>
      </w:pPr>
      <w:bookmarkEnd w:id="703"/>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موسی بن سعدان ، وهو ضعیف فی الحدیث ، کما فی النجاشی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أبو بکر الحضرمی ، وقد تقدم القول فیه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مع الإرسال أبو یحیی الواسطی ولیس بثقة ، ولا یبعد أن یکون هو سهیل بن زیاد ، إلاّ أنّ الشیخ فی الفهرست ذکر فی الکنی أبا یحیی الواسطی ولم یذکر الاسم </w:t>
      </w:r>
      <w:r>
        <w:rPr>
          <w:rStyle w:val="FootnoteAnchor"/>
          <w:rtl w:val="true"/>
        </w:rPr>
        <w:footnoteReference w:id="791"/>
      </w:r>
      <w:r>
        <w:rPr>
          <w:rFonts w:ascii="IRNazanin" w:hAnsi="IRNazanin" w:eastAsia="IRNazanin"/>
          <w:color w:val="111111"/>
          <w:sz w:val="28"/>
          <w:sz w:val="28"/>
          <w:szCs w:val="28"/>
          <w:rtl w:val="true"/>
          <w:lang w:bidi="fa-IR"/>
        </w:rPr>
        <w:t xml:space="preserve">، غیر أنّ الراوی عنه فی الاسم والکنیة أحمد بن أبی عبد الله ، فالاتحاد قریب ، وإن کان فی کتاب الرجال ذکر أبا یحیی الواسطی فیمن لم یرو عن الأئمّة علیهم السلام والراوی عنه محمد بن أحمد ابن یحیی </w:t>
      </w:r>
      <w:r>
        <w:rPr>
          <w:rStyle w:val="FootnoteAnchor"/>
          <w:rtl w:val="true"/>
        </w:rPr>
        <w:footnoteReference w:id="792"/>
      </w:r>
      <w:r>
        <w:rPr>
          <w:rFonts w:ascii="IRNazanin" w:hAnsi="IRNazanin" w:eastAsia="IRNazanin"/>
          <w:color w:val="111111"/>
          <w:sz w:val="28"/>
          <w:sz w:val="28"/>
          <w:szCs w:val="28"/>
          <w:rtl w:val="true"/>
          <w:lang w:bidi="fa-IR"/>
        </w:rPr>
        <w:t xml:space="preserve">، إذ لا مانع من ذلک ، بل فی کتاب الرجال اتفق أنّه ذکر سهیل ابن زیاد روی عنه البرقی </w:t>
      </w:r>
      <w:r>
        <w:rPr>
          <w:rStyle w:val="FootnoteAnchor"/>
          <w:rtl w:val="true"/>
        </w:rPr>
        <w:footnoteReference w:id="793"/>
      </w:r>
      <w:r>
        <w:rPr>
          <w:rFonts w:ascii="IRNazanin" w:hAnsi="IRNazanin" w:eastAsia="IRNazanin"/>
          <w:color w:val="111111"/>
          <w:sz w:val="28"/>
          <w:sz w:val="28"/>
          <w:szCs w:val="28"/>
          <w:rtl w:val="true"/>
          <w:lang w:bidi="fa-IR"/>
        </w:rPr>
        <w:t xml:space="preserve">، وفی الکنی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الراوی عن أبی یحیی ، محمد بن أحمد بن یحیی </w:t>
      </w:r>
      <w:r>
        <w:rPr>
          <w:rStyle w:val="FootnoteAnchor"/>
          <w:rtl w:val="true"/>
        </w:rPr>
        <w:footnoteReference w:id="794"/>
      </w:r>
      <w:r>
        <w:rPr>
          <w:rFonts w:ascii="IRNazanin" w:hAnsi="IRNazanin" w:eastAsia="IRNazanin"/>
          <w:color w:val="111111"/>
          <w:sz w:val="28"/>
          <w:sz w:val="28"/>
          <w:szCs w:val="28"/>
          <w:rtl w:val="true"/>
          <w:lang w:bidi="fa-IR"/>
        </w:rPr>
        <w:t>، وأمثال هذا من الشیخ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الحسن بن راشد وقد ضعف فی الرجال </w:t>
      </w:r>
      <w:r>
        <w:rPr>
          <w:rStyle w:val="FootnoteAnchor"/>
          <w:rtl w:val="true"/>
        </w:rPr>
        <w:footnoteReference w:id="795"/>
      </w:r>
      <w:r>
        <w:rPr>
          <w:rFonts w:ascii="IRNazanin" w:hAnsi="IRNazanin" w:eastAsia="IRNazanin"/>
          <w:color w:val="111111"/>
          <w:sz w:val="28"/>
          <w:sz w:val="28"/>
          <w:szCs w:val="28"/>
          <w:rtl w:val="true"/>
          <w:lang w:bidi="fa-IR"/>
        </w:rPr>
        <w:t xml:space="preserve">، ومحمد بن عیسی قد قدمنا فیه قولا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4" w:name="__RefHeading___Toc39432_2142443653"/>
      <w:bookmarkStart w:id="705" w:name="_Toc274"/>
      <w:bookmarkEnd w:id="704"/>
      <w:r>
        <w:rPr>
          <w:rtl w:val="true"/>
        </w:rPr>
        <w:t>موسی بن سعدان ضعیف</w:t>
      </w:r>
      <w:bookmarkEnd w:id="705"/>
    </w:p>
    <w:p>
      <w:pPr>
        <w:pStyle w:val="Heading4"/>
        <w:numPr>
          <w:ilvl w:val="3"/>
          <w:numId w:val="1"/>
        </w:numPr>
        <w:rPr/>
      </w:pPr>
      <w:bookmarkStart w:id="706" w:name="__RefHeading___Toc39434_2142443653"/>
      <w:bookmarkStart w:id="707" w:name="_Toc275"/>
      <w:bookmarkEnd w:id="706"/>
      <w:r>
        <w:rPr>
          <w:rtl w:val="true"/>
        </w:rPr>
        <w:t>بحث حول أبی یحیی الواسطی</w:t>
      </w:r>
      <w:bookmarkEnd w:id="707"/>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8" w:name="__RefHeading___Toc39436_2142443653"/>
      <w:bookmarkStart w:id="709" w:name="_Toc276"/>
      <w:bookmarkEnd w:id="708"/>
      <w:r>
        <w:rPr>
          <w:rtl w:val="true"/>
        </w:rPr>
        <w:t>الحسن بن راشد ضعیف</w:t>
      </w:r>
      <w:bookmarkStart w:id="710" w:name="pg17122_169688"/>
      <w:bookmarkEnd w:id="709"/>
    </w:p>
    <w:p>
      <w:pPr>
        <w:pStyle w:val="BookText"/>
        <w:rPr/>
      </w:pPr>
      <w:bookmarkEnd w:id="710"/>
      <w:r>
        <w:rPr>
          <w:rFonts w:ascii="IRNazanin" w:hAnsi="IRNazanin" w:eastAsia="IRNazanin"/>
          <w:color w:val="111111"/>
          <w:sz w:val="28"/>
          <w:sz w:val="28"/>
          <w:szCs w:val="28"/>
          <w:rtl w:val="true"/>
          <w:lang w:bidi="fa-IR"/>
        </w:rPr>
        <w:t>ثم إنّ ضمیر عنه فی الحدیث الثانی لا یخلو من 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فوائد شیخنا قدس سره علی الکتاب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راجع إلی محمد بن الحسین بن أبی الخطاب ، فإنّ من قبله لا یروی عن علی بن الحکم ، وقد روی الشیخ فی التهذیب هذه الروایة عن أحمد بن محمد ، عن علی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وشیخنا المحقّق میرزا محمد أیّده الله قال فی فوائده علی الکتاب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روی الشیخ هذه الروایة عن أحمد بن محمد ، عن علی بن الحکم ، والظاهر أنّه أحمد بن محمد بن عیسی ، فکأنّه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وقع </w:t>
      </w:r>
      <w:r>
        <w:rPr>
          <w:rFonts w:eastAsia="IRNazanin" w:cs="IRNazanin"/>
          <w:color w:val="111111"/>
          <w:sz w:val="28"/>
          <w:szCs w:val="28"/>
          <w:rtl w:val="true"/>
          <w:lang w:bidi="fa-IR"/>
        </w:rPr>
        <w:t xml:space="preserve">] </w:t>
      </w:r>
      <w:r>
        <w:rPr>
          <w:rStyle w:val="FootnoteAnchor"/>
          <w:rtl w:val="true"/>
        </w:rPr>
        <w:footnoteReference w:id="797"/>
      </w:r>
      <w:r>
        <w:rPr>
          <w:rFonts w:ascii="IRNazanin" w:hAnsi="IRNazanin" w:eastAsia="IRNazanin"/>
          <w:color w:val="111111"/>
          <w:sz w:val="28"/>
          <w:sz w:val="28"/>
          <w:szCs w:val="28"/>
          <w:rtl w:val="true"/>
          <w:lang w:bidi="fa-IR"/>
        </w:rPr>
        <w:t xml:space="preserve">نظره إلی أحمد بن محمد 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Style w:val="FootnoteAnchor"/>
          <w:rtl w:val="true"/>
        </w:rPr>
        <w:footnoteReference w:id="7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ولکل من الکلامین وجه ، إلاّ أنّه ربما یرجّح کلام شیخنا قدس سره ضمیر عنه فی الخبر الثالث ، فإن الراوی عن أبی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أبی عبد الله ، وهو فی مرتبة محمد بن الحسین ، وإن أمکن أقربیة المرتبة کما یعلم من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الخبرین الأولین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کان ظاهره نفی وجوب المضمضة والاستنشاق ، من حیث قوله علیه السلام فی 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یجنب الأنف والفم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لأنهما من الجوف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 الثالث وإن دل بظاهره علی نفی الوجوب والاستحباب ، إلاّ أن الحمل علی نفی الوجوب لا بد منه ، لضرورة</w:t>
      </w:r>
    </w:p>
    <w:p>
      <w:pPr>
        <w:pStyle w:val="Heading4"/>
        <w:numPr>
          <w:ilvl w:val="3"/>
          <w:numId w:val="1"/>
        </w:numPr>
        <w:rPr/>
      </w:pPr>
      <w:bookmarkStart w:id="711" w:name="__RefHeading___Toc39438_2142443653"/>
      <w:bookmarkStart w:id="712" w:name="_Toc277"/>
      <w:bookmarkEnd w:id="711"/>
      <w:r>
        <w:rPr>
          <w:rtl w:val="true"/>
        </w:rPr>
        <w:t xml:space="preserve">بحث فی ضمیر </w:t>
      </w:r>
      <w:r>
        <w:rPr>
          <w:rtl w:val="true"/>
        </w:rPr>
        <w:t xml:space="preserve">« </w:t>
      </w:r>
      <w:r>
        <w:rPr>
          <w:rtl w:val="true"/>
        </w:rPr>
        <w:t xml:space="preserve">عنه </w:t>
      </w:r>
      <w:r>
        <w:rPr>
          <w:rtl w:val="true"/>
        </w:rPr>
        <w:t xml:space="preserve">» </w:t>
      </w:r>
      <w:r>
        <w:rPr>
          <w:rtl w:val="true"/>
        </w:rPr>
        <w:t xml:space="preserve">فی قول الشیخ </w:t>
      </w:r>
      <w:r>
        <w:rPr>
          <w:rtl w:val="true"/>
        </w:rPr>
        <w:t xml:space="preserve">: </w:t>
      </w:r>
      <w:r>
        <w:rPr>
          <w:rtl w:val="true"/>
        </w:rPr>
        <w:t>عنه عن علی بن الحکم</w:t>
      </w:r>
      <w:bookmarkEnd w:id="71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13" w:name="__RefHeading___Toc39440_2142443653"/>
      <w:bookmarkStart w:id="714" w:name="_Toc278"/>
      <w:bookmarkEnd w:id="713"/>
      <w:r>
        <w:rPr>
          <w:rtl w:val="true"/>
        </w:rPr>
        <w:t>الأخبار النافیة للمضمضة والاستنشاق عن الجنب محمولة علی نفی الوجوب</w:t>
      </w:r>
      <w:bookmarkEnd w:id="714"/>
    </w:p>
    <w:p>
      <w:pPr>
        <w:pStyle w:val="BookText"/>
        <w:rPr/>
      </w:pPr>
      <w:r>
        <w:rPr>
          <w:rFonts w:ascii="IRNazanin" w:hAnsi="IRNazanin" w:eastAsia="IRNazanin"/>
          <w:color w:val="111111"/>
          <w:sz w:val="28"/>
          <w:sz w:val="28"/>
          <w:szCs w:val="28"/>
          <w:rtl w:val="true"/>
          <w:lang w:bidi="fa-IR"/>
        </w:rPr>
        <w:t xml:space="preserve">الجمع ، وإن کان الخبر الآتی </w:t>
      </w:r>
      <w:r>
        <w:rPr>
          <w:rStyle w:val="FootnoteAnchor"/>
          <w:rtl w:val="true"/>
        </w:rPr>
        <w:footnoteReference w:id="799"/>
      </w:r>
      <w:r>
        <w:rPr>
          <w:rFonts w:ascii="IRNazanin" w:hAnsi="IRNazanin" w:eastAsia="IRNazanin"/>
          <w:color w:val="111111"/>
          <w:sz w:val="28"/>
          <w:sz w:val="28"/>
          <w:szCs w:val="28"/>
          <w:rtl w:val="true"/>
          <w:lang w:bidi="fa-IR"/>
        </w:rPr>
        <w:t>فی المعارضة لا یصلح لذلک کما تری ، إلاّ أنّ بعض صحیح الأخبار تدل علی مقتضاه ، کما سنذکره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ذکر الوضوء فی الخبر یؤیّد أنّ المراد نفی </w:t>
      </w:r>
      <w:r>
        <w:rPr>
          <w:rStyle w:val="FootnoteAnchor"/>
          <w:rtl w:val="true"/>
        </w:rPr>
        <w:footnoteReference w:id="800"/>
      </w:r>
      <w:r>
        <w:rPr>
          <w:rFonts w:ascii="IRNazanin" w:hAnsi="IRNazanin" w:eastAsia="IRNazanin"/>
          <w:color w:val="111111"/>
          <w:sz w:val="28"/>
          <w:sz w:val="28"/>
          <w:szCs w:val="28"/>
          <w:rtl w:val="true"/>
          <w:lang w:bidi="fa-IR"/>
        </w:rPr>
        <w:t xml:space="preserve">الوجوب لما تقدم من استحبابه فیه بمقتضی الأخبار ، ففیه نظر ، یعلم من مراجعة ما تقدم ، إلاّ أنّ بعض الأصحاب نقل الإجماع علی استحباب المضمضة والاستنشاق فی الوضوء </w:t>
      </w:r>
      <w:r>
        <w:rPr>
          <w:rStyle w:val="FootnoteAnchor"/>
          <w:rtl w:val="true"/>
        </w:rPr>
        <w:footnoteReference w:id="801"/>
      </w:r>
      <w:r>
        <w:rPr>
          <w:rFonts w:ascii="IRNazanin" w:hAnsi="IRNazanin" w:eastAsia="IRNazanin"/>
          <w:color w:val="111111"/>
          <w:sz w:val="28"/>
          <w:sz w:val="28"/>
          <w:szCs w:val="28"/>
          <w:rtl w:val="true"/>
          <w:lang w:bidi="fa-IR"/>
        </w:rPr>
        <w:t xml:space="preserve">، علی ما وجدته الآن ، وربما یستفاد من بعض الأخبار الصحیحة فی الصوم استحباب المضمضة فی الوضوء </w:t>
      </w:r>
      <w:r>
        <w:rPr>
          <w:rStyle w:val="FootnoteAnchor"/>
          <w:rtl w:val="true"/>
        </w:rPr>
        <w:footnoteReference w:id="802"/>
      </w:r>
      <w:r>
        <w:rPr>
          <w:rFonts w:ascii="IRNazanin" w:hAnsi="IRNazanin" w:eastAsia="IRNazanin"/>
          <w:color w:val="111111"/>
          <w:sz w:val="28"/>
          <w:sz w:val="28"/>
          <w:szCs w:val="28"/>
          <w:rtl w:val="true"/>
          <w:lang w:bidi="fa-IR"/>
        </w:rPr>
        <w:t>، وحینئذ یتم التوجیه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شیخنا قدس سره أیضاً الإجماع علی استحباب المضمضة والاستنشاق فی الغسل </w:t>
      </w:r>
      <w:r>
        <w:rPr>
          <w:rStyle w:val="FootnoteAnchor"/>
          <w:rtl w:val="true"/>
        </w:rPr>
        <w:footnoteReference w:id="803"/>
      </w:r>
      <w:r>
        <w:rPr>
          <w:rFonts w:ascii="IRNazanin" w:hAnsi="IRNazanin" w:eastAsia="IRNazanin"/>
          <w:color w:val="111111"/>
          <w:sz w:val="28"/>
          <w:sz w:val="28"/>
          <w:szCs w:val="28"/>
          <w:rtl w:val="true"/>
          <w:lang w:bidi="fa-IR"/>
        </w:rPr>
        <w:t xml:space="preserve">، وحینئذ ربما یسهل الخطب ، ورأیت فی کتب بعض أهل الخلاف نقل الوجوب عن أبی حنیفة فی المضمضة والاستنشاق فی الغسل </w:t>
      </w:r>
      <w:r>
        <w:rPr>
          <w:rStyle w:val="FootnoteAnchor"/>
          <w:rtl w:val="true"/>
        </w:rPr>
        <w:footnoteReference w:id="804"/>
      </w:r>
      <w:r>
        <w:rPr>
          <w:rFonts w:ascii="IRNazanin" w:hAnsi="IRNazanin" w:eastAsia="IRNazanin"/>
          <w:color w:val="111111"/>
          <w:sz w:val="28"/>
          <w:sz w:val="28"/>
          <w:szCs w:val="28"/>
          <w:rtl w:val="true"/>
          <w:lang w:bidi="fa-IR"/>
        </w:rPr>
        <w:t>، وعلیه فدلالة الأخبار علی نفی الوجوب بالنسبة إلی أبی حنیفة قریب الاحتمال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ما رواه الحسین بن سعید ، عن حماد ، عن شعیب ، عن </w:t>
      </w:r>
      <w:bookmarkStart w:id="715" w:name="pg17122_169690"/>
    </w:p>
    <w:p>
      <w:pPr>
        <w:pStyle w:val="BookText"/>
        <w:rPr/>
      </w:pPr>
      <w:bookmarkEnd w:id="715"/>
      <w:r>
        <w:rPr>
          <w:rFonts w:ascii="IRNazanin" w:hAnsi="IRNazanin" w:eastAsia="IRNazanin"/>
          <w:color w:val="111111"/>
          <w:sz w:val="28"/>
          <w:sz w:val="28"/>
          <w:szCs w:val="28"/>
          <w:rtl w:val="true"/>
          <w:lang w:bidi="fa-IR"/>
        </w:rPr>
        <w:t xml:space="preserve">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غسل الجنابة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تصبّ علی یدیک الماء ، فتغسل کفّیک ، ثم تدخل یدک فتغسل فرجک ، ثم تمضمض وتستنشق وتصبّ الماء علی رأسک ثلاث مرّات ، وتغسل وجهک وتفیض علی جسدک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نحمله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من </w:t>
      </w:r>
      <w:r>
        <w:rPr>
          <w:rFonts w:eastAsia="IRNazanin" w:cs="IRNazanin"/>
          <w:color w:val="111111"/>
          <w:sz w:val="28"/>
          <w:szCs w:val="28"/>
          <w:rtl w:val="true"/>
          <w:lang w:bidi="fa-IR"/>
        </w:rPr>
        <w:t xml:space="preserve">) </w:t>
      </w:r>
      <w:r>
        <w:rPr>
          <w:rStyle w:val="FootnoteAnchor"/>
          <w:rtl w:val="true"/>
        </w:rPr>
        <w:footnoteReference w:id="805"/>
      </w:r>
      <w:r>
        <w:rPr>
          <w:rFonts w:ascii="IRNazanin" w:hAnsi="IRNazanin" w:eastAsia="IRNazanin"/>
          <w:color w:val="111111"/>
          <w:sz w:val="28"/>
          <w:sz w:val="28"/>
          <w:szCs w:val="28"/>
          <w:rtl w:val="true"/>
          <w:lang w:bidi="fa-IR"/>
        </w:rPr>
        <w:t>الاستحباب دون الوجوب ، لئلاّ تتناقض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فیه أبو بصیر ، والظاهر أنّه یحیی بن القاسم ، بقرینة روایة شعیب عنه ، وفی فوائد شیخنا أیّده الله علی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بصیر هذا هو یحیی ابن القاسم ، وفیه ضعف ، وقد روی هذا المعنی زرارة فی الصحیح ولا بأس بالاستحباب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أیّده الله من ضعف یحیی بن القاسم ، فقد قدمنا فیه القول </w:t>
      </w:r>
      <w:r>
        <w:rPr>
          <w:rStyle w:val="FootnoteAnchor"/>
          <w:rtl w:val="true"/>
        </w:rPr>
        <w:footnoteReference w:id="806"/>
      </w:r>
      <w:r>
        <w:rPr>
          <w:rFonts w:ascii="IRNazanin" w:hAnsi="IRNazanin" w:eastAsia="IRNazanin"/>
          <w:color w:val="111111"/>
          <w:sz w:val="28"/>
          <w:sz w:val="28"/>
          <w:szCs w:val="28"/>
          <w:rtl w:val="true"/>
          <w:lang w:bidi="fa-IR"/>
        </w:rPr>
        <w:t>، وروایة زرارة سنذکرها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ظاهره أنّ السؤال عن واجب الغسل ومقدّماته ، بقرینة ذکر غَسل الکفّین </w:t>
      </w:r>
      <w:r>
        <w:rPr>
          <w:rStyle w:val="FootnoteAnchor"/>
          <w:rtl w:val="true"/>
        </w:rPr>
        <w:footnoteReference w:id="807"/>
      </w:r>
      <w:r>
        <w:rPr>
          <w:rFonts w:ascii="IRNazanin" w:hAnsi="IRNazanin" w:eastAsia="IRNazanin"/>
          <w:color w:val="111111"/>
          <w:sz w:val="28"/>
          <w:sz w:val="28"/>
          <w:szCs w:val="28"/>
          <w:rtl w:val="true"/>
          <w:lang w:bidi="fa-IR"/>
        </w:rPr>
        <w:t>، ویحتمل أن یکون الإمام علیه السلام زاد فی بیان الغُسل المقدمات ، والسؤال لیس إلاّ عن الکیفیة ، وعلی التقدیرین قد اشتمل الحدیث علی</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16" w:name="__RefHeading___Toc39442_2142443653"/>
      <w:bookmarkStart w:id="717" w:name="_Toc279"/>
      <w:bookmarkEnd w:id="716"/>
      <w:r>
        <w:rPr>
          <w:rtl w:val="true"/>
        </w:rPr>
        <w:t>کلمة حول أبی بصیر یحیی بن القاسم</w:t>
      </w:r>
      <w:bookmarkStart w:id="718" w:name="pg17122_169691"/>
      <w:bookmarkEnd w:id="717"/>
    </w:p>
    <w:p>
      <w:pPr>
        <w:pStyle w:val="BookText"/>
        <w:rPr/>
      </w:pPr>
      <w:bookmarkEnd w:id="718"/>
      <w:r>
        <w:rPr>
          <w:rFonts w:ascii="IRNazanin" w:hAnsi="IRNazanin" w:eastAsia="IRNazanin"/>
          <w:color w:val="111111"/>
          <w:sz w:val="28"/>
          <w:sz w:val="28"/>
          <w:szCs w:val="28"/>
          <w:rtl w:val="true"/>
          <w:lang w:bidi="fa-IR"/>
        </w:rPr>
        <w:t>ما هو مستحب قطعاً وهو غَسل الکفین ، وواجب قطعا وهو غَسل الرأس ، وما هو محتمل للوجوب والاستحباب وهو غَسل الفرج ، فإنّه إن کان علیه شی‌ء من النجاسة وجب غسله فی الجملة ، وإن لم یکن احتمل استحباب الغَسل ، لظاهر إطلاق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المضمضة والاستنشاق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سمعت من دعوی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الاستحباب </w:t>
      </w:r>
      <w:r>
        <w:rPr>
          <w:rFonts w:eastAsia="IRNazanin" w:cs="IRNazanin"/>
          <w:color w:val="111111"/>
          <w:sz w:val="28"/>
          <w:szCs w:val="28"/>
          <w:rtl w:val="true"/>
          <w:lang w:bidi="fa-IR"/>
        </w:rPr>
        <w:t xml:space="preserve">) </w:t>
      </w:r>
      <w:r>
        <w:rPr>
          <w:rStyle w:val="FootnoteAnchor"/>
          <w:rtl w:val="true"/>
        </w:rPr>
        <w:footnoteReference w:id="808"/>
      </w:r>
      <w:r>
        <w:rPr>
          <w:rFonts w:ascii="IRNazanin" w:hAnsi="IRNazanin" w:eastAsia="IRNazanin"/>
          <w:color w:val="111111"/>
          <w:sz w:val="28"/>
          <w:sz w:val="28"/>
          <w:szCs w:val="28"/>
          <w:rtl w:val="true"/>
          <w:lang w:bidi="fa-IR"/>
        </w:rPr>
        <w:t>فیهما ، ویؤیّده عدم ظهور الحدیث فی الوجوب ، حیث اشتمل علی الواجب والمستحب ، وإن أمکن أن یقال بوجوب غیر ما ثبت استحبابه ، وفیه کلام ، ولو لا أنّ الخبر لیس له صلاحیة الاستدلال لأمکن أن یذکر فیه 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خبر زرارة المتقدمة إلیه الإشارة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رواه الشیخ فی التهذیب ، عن الحسین بن سعید ، عن ابن أبی عمیر ، عن عمر بن أذینة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غسل الجنابة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تبدأ فتغسل کفّیک ، ثم تفرغ بیمینک علی شمالک فتغسل فرجک ، ثم تمضمض واستنشق ، ثم تغسل جسدک من لدن قرنک إلی قدمیک ، لیس قبله ولا بعده وضوء ، وکل شی‌ء أمسسته الماء فقد أنقیته ، ولو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w:t>
      </w:r>
      <w:r>
        <w:rPr>
          <w:rFonts w:eastAsia="IRNazanin" w:cs="IRNazanin"/>
          <w:color w:val="111111"/>
          <w:sz w:val="28"/>
          <w:szCs w:val="28"/>
          <w:rtl w:val="true"/>
          <w:lang w:bidi="fa-IR"/>
        </w:rPr>
        <w:t xml:space="preserve">) </w:t>
      </w:r>
      <w:r>
        <w:rPr>
          <w:rStyle w:val="FootnoteAnchor"/>
          <w:rtl w:val="true"/>
        </w:rPr>
        <w:footnoteReference w:id="809"/>
      </w:r>
      <w:r>
        <w:rPr>
          <w:rFonts w:ascii="IRNazanin" w:hAnsi="IRNazanin" w:eastAsia="IRNazanin"/>
          <w:color w:val="111111"/>
          <w:sz w:val="28"/>
          <w:sz w:val="28"/>
          <w:szCs w:val="28"/>
          <w:rtl w:val="true"/>
          <w:lang w:bidi="fa-IR"/>
        </w:rPr>
        <w:t xml:space="preserve">جنباً ارتمس فی الماء ارتماسة واحدة أجزأه ذلک وإن لم یدلک جسده </w:t>
      </w:r>
      <w:r>
        <w:rPr>
          <w:rFonts w:eastAsia="IRNazanin" w:cs="IRNazanin"/>
          <w:color w:val="111111"/>
          <w:sz w:val="28"/>
          <w:szCs w:val="28"/>
          <w:rtl w:val="true"/>
          <w:lang w:bidi="fa-IR"/>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کما تری یجری فیها ما ذکرناه فی خبر أبی بصیر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أبی بصیر </w:t>
      </w:r>
      <w:r>
        <w:rPr>
          <w:rFonts w:eastAsia="IRNazanin" w:cs="IRNazanin"/>
          <w:color w:val="111111"/>
          <w:sz w:val="28"/>
          <w:szCs w:val="28"/>
          <w:rtl w:val="true"/>
          <w:lang w:bidi="fa-IR"/>
        </w:rPr>
        <w:t xml:space="preserve">) </w:t>
      </w:r>
      <w:r>
        <w:rPr>
          <w:rStyle w:val="FootnoteAnchor"/>
          <w:rtl w:val="true"/>
        </w:rPr>
        <w:footnoteReference w:id="811"/>
      </w:r>
      <w:r>
        <w:rPr>
          <w:rFonts w:ascii="IRNazanin" w:hAnsi="IRNazanin" w:eastAsia="IRNazanin"/>
          <w:color w:val="111111"/>
          <w:sz w:val="28"/>
          <w:sz w:val="28"/>
          <w:szCs w:val="28"/>
          <w:rtl w:val="true"/>
          <w:lang w:bidi="fa-IR"/>
        </w:rPr>
        <w:t xml:space="preserve">إنّما یدل علی المضمضة والاستنشاق فی الغُسل المرتب ، ومدعی الشیخ </w:t>
      </w:r>
      <w:r>
        <w:rPr>
          <w:rStyle w:val="FootnoteAnchor"/>
          <w:rtl w:val="true"/>
        </w:rPr>
        <w:footnoteReference w:id="812"/>
      </w:r>
      <w:r>
        <w:rPr>
          <w:rFonts w:ascii="IRNazanin" w:hAnsi="IRNazanin" w:eastAsia="IRNazanin"/>
          <w:color w:val="111111"/>
          <w:sz w:val="28"/>
          <w:sz w:val="28"/>
          <w:szCs w:val="28"/>
          <w:rtl w:val="true"/>
          <w:lang w:bidi="fa-IR"/>
        </w:rPr>
        <w:t>علی ظاهر العموم للمرتب وغیره</w:t>
      </w:r>
      <w:r>
        <w:rPr>
          <w:rFonts w:eastAsia="IRNazanin" w:cs="IRNazanin"/>
          <w:color w:val="111111"/>
          <w:sz w:val="28"/>
          <w:szCs w:val="28"/>
          <w:rtl w:val="true"/>
          <w:lang w:bidi="fa-IR"/>
        </w:rPr>
        <w:t>.</w:t>
      </w:r>
    </w:p>
    <w:p>
      <w:pPr>
        <w:pStyle w:val="Heading4"/>
        <w:numPr>
          <w:ilvl w:val="3"/>
          <w:numId w:val="1"/>
        </w:numPr>
        <w:rPr/>
      </w:pPr>
      <w:bookmarkStart w:id="719" w:name="__RefHeading___Toc39444_2142443653"/>
      <w:bookmarkStart w:id="720" w:name="_Toc280"/>
      <w:bookmarkEnd w:id="719"/>
      <w:r>
        <w:rPr>
          <w:rtl w:val="true"/>
        </w:rPr>
        <w:t>هل الأمر بالمضمضة والاستنشاق فی خبر أبی بصیر للوجوب أو للاستحباب؟</w:t>
      </w:r>
      <w:bookmarkEnd w:id="720"/>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21" w:name="__RefHeading___Toc39446_2142443653"/>
      <w:bookmarkStart w:id="722" w:name="_Toc281"/>
      <w:bookmarkEnd w:id="721"/>
      <w:r>
        <w:rPr>
          <w:rtl w:val="true"/>
        </w:rPr>
        <w:t>اختصاص خبر أبی بصیر وزرارة بالغسل المرتب</w:t>
      </w:r>
      <w:bookmarkEnd w:id="722"/>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کما ذکرت ، إلاّ أن الذی رأیته دعوی الإجماع علی الاستحباب فی الغسل مطلقا ، فإن تم الإجماع ، وإلاّ أمکن ما ذکرت ، ولم أر الآن من نبّه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نظری القاصر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صحیح </w:t>
      </w:r>
      <w:r>
        <w:rPr>
          <w:rStyle w:val="FootnoteAnchor"/>
          <w:rtl w:val="true"/>
        </w:rPr>
        <w:footnoteReference w:id="813"/>
      </w:r>
      <w:r>
        <w:rPr>
          <w:rFonts w:ascii="IRNazanin" w:hAnsi="IRNazanin" w:eastAsia="IRNazanin"/>
          <w:color w:val="111111"/>
          <w:sz w:val="28"/>
          <w:sz w:val="28"/>
          <w:szCs w:val="28"/>
          <w:rtl w:val="true"/>
          <w:lang w:bidi="fa-IR"/>
        </w:rPr>
        <w:t xml:space="preserve">زرارة لا یخلو من دلالة علی الاختصاص بالمرتّب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أن رجلاً جنباً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 لیس منفکاً عما تقدّم فی صدره من المضمضة والاستنشاق ، بل قد یدعی ظهور أنّ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فَعَل ما ذکر أوّلاً فی الخبر وارتمس أجزأه ، إلاّ أنّ مجال الاحتمال واسع ، ولو تحقق الظهور لا یضر بحال الاستدلال ، غیر أنّ فی البین توقفا ، فالعمدة علی </w:t>
      </w:r>
      <w:r>
        <w:rPr>
          <w:rStyle w:val="FootnoteAnchor"/>
          <w:rtl w:val="true"/>
        </w:rPr>
        <w:footnoteReference w:id="814"/>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لم یدلک جسده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الارتماس اتی به لبیان هذا ، وفیه إشارة إلی أنّ دلک الجسد فی المرتب یفعل ، وحینئذ لا تعلق له بما تقدم من المستحبات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بما ذکرت استحباب السابق ، إذ لم یستثن سوی دلک الجسد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أن یعلم أنّ بعض محققی المعاصرین سلّمه الله تعالی نقل عن العلاّمة إطلاق غَسل الیدین بحیث یشتمل الغَسل المرتب وغیره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محتمل </w:t>
      </w:r>
      <w:r>
        <w:rPr>
          <w:rStyle w:val="FootnoteAnchor"/>
          <w:rtl w:val="true"/>
        </w:rPr>
        <w:footnoteReference w:id="8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خبیر بأنّ الأخبار لا تعطی ذلک ، إلاّ بمعونة ما قررناه فی خبر زرارة ، وإلاّ فمجرد الاحتمال لا وجه له بدون البیان</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ظاهر خبر زرارة غَسل الکفّین ، وفی صحیح یعقوب بن </w:t>
      </w:r>
      <w:bookmarkStart w:id="723" w:name="pg17122_169693"/>
    </w:p>
    <w:p>
      <w:pPr>
        <w:pStyle w:val="BookText"/>
        <w:rPr/>
      </w:pPr>
      <w:bookmarkEnd w:id="723"/>
      <w:r>
        <w:rPr>
          <w:rFonts w:ascii="IRNazanin" w:hAnsi="IRNazanin" w:eastAsia="IRNazanin"/>
          <w:color w:val="111111"/>
          <w:sz w:val="28"/>
          <w:sz w:val="28"/>
          <w:szCs w:val="28"/>
          <w:rtl w:val="true"/>
          <w:lang w:bidi="fa-IR"/>
        </w:rPr>
        <w:t xml:space="preserve">یقطین </w:t>
      </w:r>
      <w:r>
        <w:rPr>
          <w:rStyle w:val="FootnoteAnchor"/>
          <w:rtl w:val="true"/>
        </w:rPr>
        <w:footnoteReference w:id="816"/>
      </w:r>
      <w:r>
        <w:rPr>
          <w:rFonts w:ascii="IRNazanin" w:hAnsi="IRNazanin" w:eastAsia="IRNazanin"/>
          <w:color w:val="111111"/>
          <w:sz w:val="28"/>
          <w:sz w:val="28"/>
          <w:szCs w:val="28"/>
          <w:rtl w:val="true"/>
          <w:lang w:bidi="fa-IR"/>
        </w:rPr>
        <w:t xml:space="preserve">علی ما نقله شیخنا قدس سره ما یدل علی الغَسل من المرفقین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والشیخ روی فی التهذیب عن الشیخ المفید ، عن أحمد بن محمد ، عن أبیه ، عن الحسین بن الحسن بن أبان ، عن الحسین بن سعید ، عن أحمد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 عن غسل الجنابة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تغسل یدک الیمنی من المرفقین إلی أصابعک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المراد غَسل الیدین معاً بمعونة ذکر المرفقین ، إلاّ علی احتمال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مطلق خبر زرارة وغیره ممّا یدل علی الکفّین علی مقید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 خبر زرارة ونحوه لا إطلاق فیهما ، بل الظاهر منهما نفس الکفّین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القول بالتخییر فی المستحب بین الکفّین والمرفقین ، والثانی أفضل ، إلاّ أنّ المشهور استحباب الغَسل من الزندین فقط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یبعد الاختصاص بالماء القلیل ، کما یستفاد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شی‌ء أمسسته الماء فقد أنقیته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کان المراد به إمرار الید مع الماء ، بمعونة قوله فی الارتماس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لم یدلک جسده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یراد به مجرد إیصال الماء من دون کثرة ، لکن لا بد من</w:t>
      </w:r>
    </w:p>
    <w:p>
      <w:pPr>
        <w:pStyle w:val="Heading4"/>
        <w:numPr>
          <w:ilvl w:val="3"/>
          <w:numId w:val="1"/>
        </w:numPr>
        <w:rPr/>
      </w:pPr>
      <w:bookmarkStart w:id="724" w:name="__RefHeading___Toc39448_2142443653"/>
      <w:bookmarkStart w:id="725" w:name="_Toc282"/>
      <w:bookmarkEnd w:id="724"/>
      <w:r>
        <w:rPr>
          <w:rtl w:val="true"/>
        </w:rPr>
        <w:t>حکم غَسل الیدین عند غُسل الجنابة</w:t>
      </w:r>
      <w:bookmarkEnd w:id="72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26" w:name="__RefHeading___Toc39450_2142443653"/>
      <w:bookmarkStart w:id="727" w:name="_Toc283"/>
      <w:bookmarkEnd w:id="726"/>
      <w:r>
        <w:rPr>
          <w:rtl w:val="true"/>
        </w:rPr>
        <w:t xml:space="preserve">هل المراد بقوله علیه السلام </w:t>
      </w:r>
      <w:r>
        <w:rPr>
          <w:rtl w:val="true"/>
        </w:rPr>
        <w:t xml:space="preserve">: « </w:t>
      </w:r>
      <w:r>
        <w:rPr>
          <w:rtl w:val="true"/>
        </w:rPr>
        <w:t xml:space="preserve">امسسته الماء </w:t>
      </w:r>
      <w:r>
        <w:rPr>
          <w:rtl w:val="true"/>
        </w:rPr>
        <w:t xml:space="preserve">» </w:t>
      </w:r>
      <w:r>
        <w:rPr>
          <w:rtl w:val="true"/>
        </w:rPr>
        <w:t>إمرار الید أو جریان الماء؟</w:t>
      </w:r>
      <w:bookmarkStart w:id="728" w:name="pg17122_169694"/>
      <w:bookmarkEnd w:id="727"/>
    </w:p>
    <w:p>
      <w:pPr>
        <w:pStyle w:val="BookText"/>
        <w:rPr/>
      </w:pPr>
      <w:bookmarkEnd w:id="728"/>
      <w:r>
        <w:rPr>
          <w:rFonts w:ascii="IRNazanin" w:hAnsi="IRNazanin" w:eastAsia="IRNazanin"/>
          <w:color w:val="111111"/>
          <w:sz w:val="28"/>
          <w:sz w:val="28"/>
          <w:szCs w:val="28"/>
          <w:rtl w:val="true"/>
          <w:lang w:bidi="fa-IR"/>
        </w:rPr>
        <w:t xml:space="preserve">صدق الغسل عرفاً علی ما قاله بعض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وصرّح جماعة بأنّه إنّما یتحقق بجریان الماء علی البشرة ولو بمعاون </w:t>
      </w:r>
      <w:r>
        <w:rPr>
          <w:rStyle w:val="FootnoteAnchor"/>
          <w:rtl w:val="true"/>
        </w:rPr>
        <w:footnoteReference w:id="821"/>
      </w:r>
      <w:r>
        <w:rPr>
          <w:rFonts w:ascii="IRNazanin" w:hAnsi="IRNazanin" w:eastAsia="IRNazanin"/>
          <w:color w:val="111111"/>
          <w:sz w:val="28"/>
          <w:sz w:val="28"/>
          <w:szCs w:val="28"/>
          <w:rtl w:val="true"/>
          <w:lang w:bidi="fa-IR"/>
        </w:rPr>
        <w:t>، وفی الأخبار ما یدل علی الجریان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خبر زرارة ربما یرجح إرادة إمرار الید بدلالة </w:t>
      </w:r>
      <w:r>
        <w:rPr>
          <w:rStyle w:val="FootnoteAnchor"/>
          <w:rtl w:val="true"/>
        </w:rPr>
        <w:footnoteReference w:id="822"/>
      </w:r>
      <w:r>
        <w:rPr>
          <w:rFonts w:ascii="IRNazanin" w:hAnsi="IRNazanin" w:eastAsia="IRNazanin"/>
          <w:color w:val="111111"/>
          <w:sz w:val="28"/>
          <w:sz w:val="28"/>
          <w:szCs w:val="28"/>
          <w:rtl w:val="true"/>
          <w:lang w:bidi="fa-IR"/>
        </w:rPr>
        <w:t xml:space="preserve">معتبر الأخبار کما سیأتی فی الترتیب علی الجریان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الجریان ولو بمعاون ، کما صرّح به الجماعة ، لا ینافیه ما فی خبر زرارة ، وحینئذ لا بعد فی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الأخبار متوافقة علی اعتبار الجریان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یمکن أنّ یدفع ، بأن ما یأتی من الأخبار الدالة علی کیفیة الغسل یدلّ علی أنّه یصبّ علی سائر الجسد مرّتین ، وهذا الحدیث سنبینه علی احتمال أن یراد بالمرّتین علی الیمین والیسار ، کما هو المشهور فی الترتیب ، ویحتمل أن یحمل علی الصبّ مرّتین لجمیع البدن ، وعلی التقدیرین فالجریان ولو بمعاون بعید الحصول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مثل هذا فی الوضوء أیضاً یأتی ، إلاّ أن یتکلف إرادة الغسل فی الأغلب ، وفیه ما فیه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ما قدمناه من العرف یسهل الخطب ، فتأمّل </w:t>
      </w:r>
      <w:r>
        <w:rPr>
          <w:rFonts w:eastAsia="IRNazanin" w:cs="IRNazanin"/>
          <w:color w:val="111111"/>
          <w:sz w:val="28"/>
          <w:szCs w:val="28"/>
          <w:rtl w:val="true"/>
          <w:lang w:bidi="fa-IR"/>
        </w:rPr>
        <w:t xml:space="preserve">) </w:t>
      </w:r>
      <w:r>
        <w:rPr>
          <w:rStyle w:val="FootnoteAnchor"/>
          <w:rtl w:val="true"/>
        </w:rPr>
        <w:footnoteReference w:id="823"/>
      </w:r>
      <w:r>
        <w:rPr>
          <w:rFonts w:ascii="IRNazanin" w:hAnsi="IRNazanin" w:eastAsia="IRNazanin"/>
          <w:color w:val="111111"/>
          <w:sz w:val="28"/>
          <w:sz w:val="28"/>
          <w:szCs w:val="28"/>
          <w:rtl w:val="true"/>
          <w:lang w:bidi="fa-IR"/>
        </w:rPr>
        <w:t xml:space="preserve">وقد نقل عن ابن الجنید القول بإجزاء الدهن فی الغسل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تضمنه خبر زرارة </w:t>
      </w:r>
      <w:r>
        <w:rPr>
          <w:rStyle w:val="FootnoteAnchor"/>
          <w:rtl w:val="true"/>
        </w:rPr>
        <w:footnoteReference w:id="825"/>
      </w:r>
      <w:r>
        <w:rPr>
          <w:rFonts w:ascii="IRNazanin" w:hAnsi="IRNazanin" w:eastAsia="IRNazanin"/>
          <w:color w:val="111111"/>
          <w:sz w:val="28"/>
          <w:sz w:val="28"/>
          <w:szCs w:val="28"/>
          <w:rtl w:val="true"/>
          <w:lang w:bidi="fa-IR"/>
        </w:rPr>
        <w:t>من عدم الترتیب مطلقاً ، المخالف لما علیه الأخبار من تقدیم الرأس ، وما علیه المتأخّرون من الترتیب بین الأعضاء</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29" w:name="__RefHeading___Toc39452_2142443653"/>
      <w:bookmarkStart w:id="730" w:name="_Toc284"/>
      <w:bookmarkEnd w:id="729"/>
      <w:r>
        <w:rPr>
          <w:rtl w:val="true"/>
        </w:rPr>
        <w:t>عدم الترتیب بین الرأس والأعضاء فی خبر زرارة</w:t>
      </w:r>
      <w:bookmarkStart w:id="731" w:name="pg17122_169695"/>
      <w:bookmarkEnd w:id="730"/>
    </w:p>
    <w:p>
      <w:pPr>
        <w:pStyle w:val="BookText"/>
        <w:rPr/>
      </w:pPr>
      <w:bookmarkEnd w:id="731"/>
      <w:r>
        <w:rPr>
          <w:rFonts w:ascii="Amiri" w:hAnsi="Amiri" w:eastAsia="Amiri" w:cs="Amiri"/>
          <w:color w:val="111111"/>
          <w:sz w:val="28"/>
          <w:sz w:val="28"/>
          <w:szCs w:val="28"/>
          <w:rtl w:val="true"/>
          <w:lang w:bidi="ar-SA"/>
        </w:rPr>
        <w:t xml:space="preserve">أیضاً </w:t>
      </w:r>
      <w:r>
        <w:rPr>
          <w:rStyle w:val="FootnoteAnchor"/>
          <w:rtl w:val="true"/>
        </w:rPr>
        <w:footnoteReference w:id="826"/>
      </w:r>
      <w:r>
        <w:rPr>
          <w:rFonts w:ascii="IRNazanin" w:hAnsi="IRNazanin" w:eastAsia="IRNazanin"/>
          <w:color w:val="111111"/>
          <w:sz w:val="28"/>
          <w:sz w:val="28"/>
          <w:szCs w:val="28"/>
          <w:rtl w:val="true"/>
          <w:lang w:bidi="fa-IR"/>
        </w:rPr>
        <w:t>، یمکن أن یوجه بأنّه مطلق ، وغیره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مقام التعلیم یأبی تأخیر البیان کما ذکره شیخنا قدس سره فی فوائد الکتاب وغیرها یدفعه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تغسل جسدک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 المراد به غیر الرأس ، إذ الجسد علی مقتضی بعض الأخبار المعتبرة الآتیة غیر الرأس ، حیث قال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أفض علی رأسک وجسدک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یأتی یدل علی أنّ الرأس إذا ذکر مع الجسد لا یکون داخلاً فیه ، أما لو أُطلق ففی عدم تناوله تأمّل ، 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الجَسَد محرّکة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الإنسان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أنّ الحدیث إذا لم یدل علی الرأس فهو أشکل ، کما لا یخفی ، وبالجملة فإطلاقه قابل للتقیید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الخبر المبحوث عنه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تفرغ بیمینک علی شمالک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 قد یدل علی استحباب اختیار الشمال فی غَسل الفرج ، ودلالته علی إجزاء الارتماس ظاهرة ، لکنه خاص بالجنب ، وقد ألحق الأصحاب غیر غسل الجنابة ، وسیأتی فیه القول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وجوب الاستبراء من الجنابة بالبول قبل الغسل</w:t>
      </w:r>
    </w:p>
    <w:p>
      <w:pPr>
        <w:pStyle w:val="BookText"/>
        <w:rPr/>
      </w:pPr>
      <w:r>
        <w:rPr>
          <w:rFonts w:ascii="IRNazanin" w:hAnsi="IRNazanin" w:eastAsia="IRNazanin"/>
          <w:color w:val="111111"/>
          <w:sz w:val="28"/>
          <w:sz w:val="28"/>
          <w:szCs w:val="28"/>
          <w:rtl w:val="true"/>
          <w:lang w:bidi="fa-IR"/>
        </w:rPr>
        <w:t>أخبرنی الشیخ رحمه الله عن أحمد بن محمد ، عن أبیه ، عن</w:t>
      </w:r>
    </w:p>
    <w:p>
      <w:pPr>
        <w:pStyle w:val="Heading3"/>
        <w:numPr>
          <w:ilvl w:val="2"/>
          <w:numId w:val="1"/>
        </w:numPr>
        <w:rPr/>
      </w:pPr>
      <w:bookmarkStart w:id="732" w:name="__RefHeading___Toc39454_2142443653"/>
      <w:bookmarkStart w:id="733" w:name="_Toc285"/>
      <w:bookmarkEnd w:id="732"/>
      <w:r>
        <w:rPr>
          <w:rtl w:val="true"/>
        </w:rPr>
        <w:t>وجوب الاستبراء من الجنابة بالبول قبل الغسل</w:t>
      </w:r>
      <w:bookmarkEnd w:id="73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34" w:name="__RefHeading___Toc39456_2142443653"/>
      <w:bookmarkStart w:id="735" w:name="_Toc286"/>
      <w:bookmarkEnd w:id="734"/>
      <w:r>
        <w:rPr>
          <w:rtl w:val="true"/>
        </w:rPr>
        <w:t>اشارة</w:t>
      </w:r>
      <w:bookmarkEnd w:id="735"/>
    </w:p>
    <w:p>
      <w:pPr>
        <w:pStyle w:val="BookText"/>
        <w:rPr/>
      </w:pPr>
      <w:r>
        <w:rPr>
          <w:rFonts w:ascii="IRNazanin" w:hAnsi="IRNazanin" w:eastAsia="IRNazanin"/>
          <w:color w:val="111111"/>
          <w:sz w:val="28"/>
          <w:sz w:val="28"/>
          <w:szCs w:val="28"/>
          <w:rtl w:val="true"/>
          <w:lang w:bidi="fa-IR"/>
        </w:rPr>
        <w:t xml:space="preserve">الصفار ، عن أحمد بن محمد بن عیسی ، عن عبد الله بن مسکان ، عن سلیمان بن خالد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w:t>
      </w:r>
      <w:r>
        <w:rPr>
          <w:rStyle w:val="FootnoteAnchor"/>
          <w:rtl w:val="true"/>
        </w:rPr>
        <w:footnoteReference w:id="828"/>
      </w:r>
      <w:r>
        <w:rPr>
          <w:rFonts w:ascii="IRNazanin" w:hAnsi="IRNazanin" w:eastAsia="IRNazanin"/>
          <w:color w:val="111111"/>
          <w:sz w:val="28"/>
          <w:sz w:val="28"/>
          <w:szCs w:val="28"/>
          <w:rtl w:val="true"/>
          <w:lang w:bidi="fa-IR"/>
        </w:rPr>
        <w:t xml:space="preserve">أجنب فاغتسل قبل أن یبول فخرج منه شی‌ء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فالمرأة یخرج منها بعد الغسل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الفرق بینهما؟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ما یخرج من المرأة إنّما هو ماء الرجل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الشیخ رحمه الله عن أبی القاسم جعفر بن محمد ، عن محمد بن یعقوب ، عن علی بن إبراهیم ، عن أبیه ، عن ابن أبی عمیر ، عن حماد ، عن الحلبی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الرجل ، یغتسل ثم یجد بللاً وقد کان بال قبل أن یغتسل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بال قبل أن یغتسل فلا یعید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 عن أخیه الحسن ، عن زرعة ، عن سماعة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یجنب ثم یغتسل قبل أن یبول فیجد بللاً بعد ما یغتسل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 الغسل ، فإن کان بال قبل أن یغتسل فلا یعید غسله ولکن یتوضّأ ویستنجی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 عن حماد ، عن حریز ، عن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 عن الرجل یخرج من إحلیله بعد ما اغتسل شی‌ء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یغتسل ویعید الصلاة ، إلاّ أن یکون بال </w:t>
      </w:r>
      <w:r>
        <w:rPr>
          <w:rStyle w:val="FootnoteAnchor"/>
          <w:rtl w:val="true"/>
        </w:rPr>
        <w:footnoteReference w:id="829"/>
      </w:r>
      <w:r>
        <w:rPr>
          <w:rFonts w:ascii="IRNazanin" w:hAnsi="IRNazanin" w:eastAsia="IRNazanin"/>
          <w:color w:val="111111"/>
          <w:sz w:val="28"/>
          <w:sz w:val="28"/>
          <w:szCs w:val="28"/>
          <w:rtl w:val="true"/>
          <w:lang w:bidi="fa-IR"/>
        </w:rPr>
        <w:t xml:space="preserve">قبل أن یغتسل ، فإنّه لا یعید غسله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جعفر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اغتسل وهو جنب قبل أن یبول ثم یجد بللاً فقد انتقض غسله ، وإن کان بال ثم اغتسل ثم وجد بللاً فلیس ینقض غسله ولکن علیه الوضوء </w:t>
      </w:r>
      <w:r>
        <w:rPr>
          <w:rFonts w:eastAsia="IRNazanin" w:cs="IRNazanin"/>
          <w:color w:val="111111"/>
          <w:sz w:val="28"/>
          <w:szCs w:val="28"/>
          <w:rtl w:val="true"/>
          <w:lang w:bidi="fa-IR"/>
        </w:rPr>
        <w:t xml:space="preserve">». </w:t>
      </w:r>
      <w:bookmarkStart w:id="736" w:name="pg17122_169697"/>
    </w:p>
    <w:p>
      <w:pPr>
        <w:pStyle w:val="BookText"/>
        <w:rPr/>
      </w:pPr>
      <w:bookmarkEnd w:id="736"/>
      <w:r>
        <w:rPr>
          <w:rFonts w:ascii="IRNazanin" w:hAnsi="IRNazanin" w:eastAsia="IRNazanin"/>
          <w:color w:val="111111"/>
          <w:sz w:val="28"/>
          <w:sz w:val="28"/>
          <w:szCs w:val="28"/>
          <w:rtl w:val="true"/>
          <w:lang w:bidi="fa-IR"/>
        </w:rPr>
        <w:t xml:space="preserve">عنه ، عن فضالة ، عن معاویة بن میسرة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رأی بعد الغسل شیئاً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بال بعد جماعه قبل الغسل فلیتوضّأ ، وإن </w:t>
      </w:r>
      <w:r>
        <w:rPr>
          <w:rStyle w:val="FootnoteAnchor"/>
          <w:rtl w:val="true"/>
        </w:rPr>
        <w:footnoteReference w:id="830"/>
      </w:r>
      <w:r>
        <w:rPr>
          <w:rFonts w:ascii="IRNazanin" w:hAnsi="IRNazanin" w:eastAsia="IRNazanin"/>
          <w:color w:val="111111"/>
          <w:sz w:val="28"/>
          <w:sz w:val="28"/>
          <w:szCs w:val="28"/>
          <w:rtl w:val="true"/>
          <w:lang w:bidi="fa-IR"/>
        </w:rPr>
        <w:t xml:space="preserve">لم یبل حتی اغتسل ثم وجد البلل فلیعد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 ارتیاب ، إلاّ فی روایة أحمد بن محمد بن عیسی ، عن عبد الله بن مسکان ، فإنّ فی التهذیب والکافی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 عن عثمان بن عیسی ، عن عبد الله بن مسکان </w:t>
      </w:r>
      <w:r>
        <w:rPr>
          <w:rStyle w:val="FootnoteAnchor"/>
          <w:rtl w:val="true"/>
        </w:rPr>
        <w:footnoteReference w:id="831"/>
      </w:r>
      <w:r>
        <w:rPr>
          <w:rFonts w:ascii="IRNazanin" w:hAnsi="IRNazanin" w:eastAsia="IRNazanin"/>
          <w:color w:val="111111"/>
          <w:sz w:val="28"/>
          <w:sz w:val="28"/>
          <w:szCs w:val="28"/>
          <w:rtl w:val="true"/>
          <w:lang w:bidi="fa-IR"/>
        </w:rPr>
        <w:t>؛ فالسند حینئذ لیس بصحیح ، لاحتمال السقوط هنا سهوا ، بل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وسلیمان بن خالد وقد تقدم القول فی حاله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ونزید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سلیمان ذکر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خرج مع زید فقطعت یده ومات فی حیاة أبی عبد الله علیه السلام ، فتوجّع لفقده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فی الخلاصة عن کتاب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سلیمان خرج مع زید فأفلت فمنّ الله علیه وتاب ورجع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النجاشی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فقیهاً وجها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7" w:name="__RefHeading___Toc39458_2142443653"/>
      <w:bookmarkStart w:id="738" w:name="_Toc287"/>
      <w:bookmarkEnd w:id="737"/>
      <w:r>
        <w:rPr>
          <w:rtl w:val="true"/>
        </w:rPr>
        <w:t>کلمة فی روایة أحمد بن محمد بن عیسی عن عبدالله بن مسکان</w:t>
      </w:r>
      <w:bookmarkEnd w:id="73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39" w:name="__RefHeading___Toc39460_2142443653"/>
      <w:bookmarkStart w:id="740" w:name="_Toc288"/>
      <w:bookmarkEnd w:id="739"/>
      <w:r>
        <w:rPr>
          <w:rtl w:val="true"/>
        </w:rPr>
        <w:t>بحث حول سلیمان بن خالد</w:t>
      </w:r>
      <w:bookmarkStart w:id="741" w:name="pg17122_169698"/>
      <w:bookmarkEnd w:id="740"/>
    </w:p>
    <w:p>
      <w:pPr>
        <w:pStyle w:val="BookText"/>
        <w:rPr/>
      </w:pPr>
      <w:bookmarkEnd w:id="741"/>
      <w:r>
        <w:rPr>
          <w:rFonts w:ascii="IRNazanin" w:hAnsi="IRNazanin" w:eastAsia="IRNazanin"/>
          <w:color w:val="111111"/>
          <w:sz w:val="28"/>
          <w:sz w:val="28"/>
          <w:szCs w:val="28"/>
          <w:rtl w:val="true"/>
          <w:lang w:bidi="fa-IR"/>
        </w:rPr>
        <w:t xml:space="preserve">والشیخ رحمه الله ذکره فی کتاب الرجال من أصحاب الصادق علیه السلام ، وأنّه خرج مع زید فقطعت إصبعه معه ، ولم یخرج من أصحاب أبی جعفر غیره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جدّی قدس سره فی فوائد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خالد لم یوثقه النجاشی ، ولا الشیخ ، ولکن روی الکشی عن حمدویه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أیوب بن نوح عنه ، أثقة هو؟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یکون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فالأصل فی توثیقه أیوب بن نوح وناهیک به </w:t>
      </w:r>
      <w:r>
        <w:rPr>
          <w:rStyle w:val="FootnoteAnchor"/>
          <w:rtl w:val="true"/>
        </w:rPr>
        <w:footnoteReference w:id="8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فی الکشی ما قاله قدس سره غیر أنّ الروایة لا یدری قبل التوبة أو بعدها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خروجه غیر معلوم بأیّ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 سعد ظاهر فی التوبة ، وتوثیق أیوب بن نوح وإن کان مطلقا ، إلاّ أنّ قول النجاشی یقیّده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 کما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معاویة بن میسرة ولیس بثقة فی الرجال ، بل ولا فیها مدح له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جمیع الأخبار غیر ظاهر الدلالة علی الوجوب ، کما ادعاه الشیخ ،</w:t>
      </w:r>
    </w:p>
    <w:p>
      <w:pPr>
        <w:pStyle w:val="Heading4"/>
        <w:numPr>
          <w:ilvl w:val="3"/>
          <w:numId w:val="1"/>
        </w:numPr>
        <w:rPr/>
      </w:pPr>
      <w:bookmarkStart w:id="742" w:name="__RefHeading___Toc39462_2142443653"/>
      <w:bookmarkStart w:id="743" w:name="_Toc289"/>
      <w:bookmarkEnd w:id="742"/>
      <w:r>
        <w:rPr>
          <w:rtl w:val="true"/>
        </w:rPr>
        <w:t>معاویة بن میسرة لیس بثقة</w:t>
      </w:r>
      <w:bookmarkEnd w:id="74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44" w:name="__RefHeading___Toc39464_2142443653"/>
      <w:bookmarkStart w:id="745" w:name="_Toc290"/>
      <w:bookmarkEnd w:id="744"/>
      <w:r>
        <w:rPr>
          <w:rtl w:val="true"/>
        </w:rPr>
        <w:t>عدم دلالة الأخبار علی وجوب البول قبل الغسل</w:t>
      </w:r>
      <w:bookmarkEnd w:id="745"/>
    </w:p>
    <w:p>
      <w:pPr>
        <w:pStyle w:val="BookText"/>
        <w:rPr/>
      </w:pPr>
      <w:r>
        <w:rPr>
          <w:rFonts w:ascii="IRNazanin" w:hAnsi="IRNazanin" w:eastAsia="IRNazanin"/>
          <w:color w:val="111111"/>
          <w:sz w:val="28"/>
          <w:sz w:val="28"/>
          <w:szCs w:val="28"/>
          <w:rtl w:val="true"/>
          <w:lang w:bidi="fa-IR"/>
        </w:rPr>
        <w:t>لأنّ غایة ما یستفاد منها عدم إعادة الغَسل مع البول لا وجوب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احتمل الاستدلال للوجوب بخبر أحمد بن محمد السابق نقله عن الشیخ فی التهذیب ، حیث 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غسل الجنابة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تغسل یدک الیمنی من المرفق </w:t>
      </w:r>
      <w:r>
        <w:rPr>
          <w:rStyle w:val="FootnoteAnchor"/>
          <w:rtl w:val="true"/>
        </w:rPr>
        <w:footnoteReference w:id="839"/>
      </w:r>
      <w:r>
        <w:rPr>
          <w:rFonts w:ascii="IRNazanin" w:hAnsi="IRNazanin" w:eastAsia="IRNazanin"/>
          <w:color w:val="111111"/>
          <w:sz w:val="28"/>
          <w:sz w:val="28"/>
          <w:szCs w:val="28"/>
          <w:rtl w:val="true"/>
          <w:lang w:bidi="fa-IR"/>
        </w:rPr>
        <w:t xml:space="preserve">إلی أصابعک ، وتبول إن قدرت علی البول </w:t>
      </w:r>
      <w:r>
        <w:rPr>
          <w:rFonts w:eastAsia="IRNazanin" w:cs="IRNazanin"/>
          <w:color w:val="111111"/>
          <w:sz w:val="28"/>
          <w:szCs w:val="28"/>
          <w:rtl w:val="true"/>
          <w:lang w:bidi="fa-IR"/>
        </w:rPr>
        <w:t xml:space="preserve">» </w:t>
      </w:r>
      <w:r>
        <w:rPr>
          <w:rStyle w:val="FootnoteAnchor"/>
          <w:rtl w:val="true"/>
        </w:rPr>
        <w:footnoteReference w:id="840"/>
      </w:r>
      <w:r>
        <w:rPr>
          <w:rFonts w:ascii="IRNazanin" w:hAnsi="IRNazanin" w:eastAsia="IRNazanin"/>
          <w:color w:val="111111"/>
          <w:sz w:val="28"/>
          <w:sz w:val="28"/>
          <w:szCs w:val="28"/>
          <w:rtl w:val="true"/>
          <w:lang w:bidi="fa-IR"/>
        </w:rPr>
        <w:t>فإنّ الجملة الخبریة بمعنی الأمر فی هذه المواضع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جریان الجملتین علی وَتیرة واحدة ، کما کرّرنا القول فیه ، ولمّا کان غَسل الید مستحباً فالبول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الغَسل إذا خرج بالإجماع لا یلزم خروج ما فیه الخلاف ، فجوابه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 اختلاف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ولزوم الإشکال بوجوب بعض مقتضیات الخبر ، فلا یتم التوجیه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العدول إلی الأمر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اغسل ما أصابک منه ، وأفض الماء </w:t>
      </w:r>
      <w:r>
        <w:rPr>
          <w:rStyle w:val="FootnoteAnchor"/>
          <w:rtl w:val="true"/>
        </w:rPr>
        <w:footnoteReference w:id="841"/>
      </w:r>
      <w:r>
        <w:rPr>
          <w:rFonts w:ascii="IRNazanin" w:hAnsi="IRNazanin" w:eastAsia="IRNazanin"/>
          <w:color w:val="111111"/>
          <w:sz w:val="28"/>
          <w:sz w:val="28"/>
          <w:szCs w:val="28"/>
          <w:rtl w:val="true"/>
          <w:lang w:bidi="fa-IR"/>
        </w:rPr>
        <w:t xml:space="preserve">علی رأسک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علی استحباب ما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تسلیم کون الجملة الخبریة بمعنی الأمر یقتضی أن لا فرق بین الأمر وما یقوم مقامه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قاله بعض محقّقی المعاصرین سلّمه الله فی جواب الاعتراض بأنّ دلالة الجملة الخبریة فی المقامات الطلبیّة علی الوجوب ممّا لا ینبغی التوقف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قول علماء المعانی فی العدول عن الطلبیة إلی الإخباریة لشدّة الاهتمام لیس منحصراً فی ذلک ، بل له أسباب أُخر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 xml:space="preserve">. </w:t>
      </w:r>
      <w:bookmarkStart w:id="746" w:name="pg17122_169700"/>
    </w:p>
    <w:p>
      <w:pPr>
        <w:pStyle w:val="BookText"/>
        <w:rPr/>
      </w:pPr>
      <w:bookmarkEnd w:id="746"/>
      <w:r>
        <w:rPr>
          <w:rFonts w:ascii="IRNazanin" w:hAnsi="IRNazanin" w:eastAsia="IRNazanin"/>
          <w:color w:val="111111"/>
          <w:sz w:val="28"/>
          <w:sz w:val="28"/>
          <w:szCs w:val="28"/>
          <w:rtl w:val="true"/>
          <w:lang w:bidi="fa-IR"/>
        </w:rPr>
        <w:t>لا یخلو من وجه ، غیر أنّا لو سلّمنا إرادة الاهتمام بالنحو الذی ذکروه ، فالدلالة علی الوجوب معارضة بما قدمناه ، وحینئذ یحمل علی الطلب الاستحبابی للمعارض ، کما یقع بالأمر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یدل علی الاستحباب ، فلا بد للعدول عنه من أمر زائد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تأکد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الخبر المبحوث عنه من حکم المرأة لا یخلو من إجمال ، فإنّ حصر ما یخرج منها فی ماء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یوافقه الوجدان فی بعض الأحیان </w:t>
      </w:r>
      <w:r>
        <w:rPr>
          <w:rFonts w:eastAsia="IRNazanin" w:cs="IRNazanin"/>
          <w:color w:val="111111"/>
          <w:sz w:val="28"/>
          <w:szCs w:val="28"/>
          <w:rtl w:val="true"/>
          <w:lang w:bidi="fa-IR"/>
        </w:rPr>
        <w:t xml:space="preserve">) </w:t>
      </w:r>
      <w:r>
        <w:rPr>
          <w:rStyle w:val="FootnoteAnchor"/>
          <w:rtl w:val="true"/>
        </w:rPr>
        <w:footnoteReference w:id="843"/>
      </w: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الحدیث یراد منه حال الاشتباه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إنّما هو حال الاشتباه ، وفیه ما فیه ، والإمام علیه السلام أعلم بالحال إن صح الخبر </w:t>
      </w:r>
      <w:r>
        <w:rPr>
          <w:rFonts w:eastAsia="IRNazanin" w:cs="IRNazanin"/>
          <w:color w:val="111111"/>
          <w:sz w:val="28"/>
          <w:szCs w:val="28"/>
          <w:rtl w:val="true"/>
          <w:lang w:bidi="fa-IR"/>
        </w:rPr>
        <w:t xml:space="preserve">) </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 xml:space="preserve">والوجه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السؤال عن الرجل المجنب و المرأة المجنبة بالحتلام فی کل منهما ، لقول السائل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الفرق ، إلی آخره ، فأنّ السؤال من الرفرق بین المرأة و الرجل إذا کانت جنابة الرجل بالحتلام و جنابة المرأة بالجماع من دونه لا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للظهور ، أما على تقدير الاتحاد في الجنابة فيمكن توجه الجواب بأن العلم بكون الماء من ماء المرأة مع تحقق ماء الرجل أيض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 ومع الاشتباه لا يعاد الغسل ، لكن التعبير بقوله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إلى آخره خفي المرام ، ولا يبعد أن يقال إن المرأة لا يخرج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دفعة واحدة فالخارج بعد إنما هو ماء الرجل فلا استبراء فلا إعادة للغسل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ويحتمل أن يستفاد من الخبر نفي الاستبراء ، وما يقتضيه كلام المفيد من الاستبراء على المرأة لم نقف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يفيده صريحا ، والشيخ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في التهذيب بالخبر المبحوث عنه ونحوه خبر آخر ، وفي الظن إمكان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ظاهر الخبر سقوط الاستبراء لكون الماء من ماء الرجل ولو کان من ماء المرأة ففیها الاستبراء وحینئذ یدل علی مطلوب الشیخ فی الجملة بحیث یخرج کلامه عن الغرابة ، وقد یمکن الدخل فیه باحتمال ما قدمناه من أن المرأة لا تمنی بعد والجواب لا بد فیه من مثل هذا إذ لولاه لم یطابق السؤال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السؤال عن المرأة فی قول وعدم الإنزال منها ، وفیه ما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47" w:name="__RefHeading___Toc39466_2142443653"/>
      <w:bookmarkStart w:id="748" w:name="_Toc291"/>
      <w:bookmarkEnd w:id="747"/>
      <w:r>
        <w:rPr>
          <w:rtl w:val="true"/>
        </w:rPr>
        <w:t xml:space="preserve">الإجمال فی قوله علیه السلام </w:t>
      </w:r>
      <w:r>
        <w:rPr>
          <w:rtl w:val="true"/>
        </w:rPr>
        <w:t xml:space="preserve">: « </w:t>
      </w:r>
      <w:r>
        <w:rPr>
          <w:rtl w:val="true"/>
        </w:rPr>
        <w:t xml:space="preserve">إنّما هو ماء الرجل </w:t>
      </w:r>
      <w:r>
        <w:rPr>
          <w:rtl w:val="true"/>
        </w:rPr>
        <w:t>»</w:t>
      </w:r>
      <w:bookmarkStart w:id="749" w:name="pg17122_169701"/>
      <w:bookmarkEnd w:id="748"/>
    </w:p>
    <w:p>
      <w:pPr>
        <w:pStyle w:val="BookText"/>
        <w:rPr/>
      </w:pPr>
      <w:bookmarkEnd w:id="749"/>
      <w:r>
        <w:rPr>
          <w:rFonts w:ascii="IRNazanin" w:hAnsi="IRNazanin" w:eastAsia="IRNazanin"/>
          <w:color w:val="111111"/>
          <w:sz w:val="28"/>
          <w:sz w:val="28"/>
          <w:szCs w:val="28"/>
          <w:rtl w:val="true"/>
          <w:lang w:bidi="fa-IR"/>
        </w:rPr>
        <w:t xml:space="preserve">وظاهر الخبر أیضاً أنّ خروج شی‌ء هو المقتضی للغُسل إذا لم یبل ، سواء تحقق کونه منیاً ، أو علم عدمه ، أو اشتبه الحال ، وفی عبارات کثیر من العلماء التعبیر بالبلل المشتبه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والحدیث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 البلل ، والقول فیه کالأول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ما تضمنه من أنّه لو بال لا یعید غسله ولکن یتوضّأ ویستنجی ، یدل علی نجاسة الخارج ، وربما یحصل التوقف فی ذلک عند من لا یعمل بالموثق ، من حیث عدم معلومیة کون الماء من النجاسات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کلام بعض 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البلل المشتبه والمعلوم کونه لیس بولاً ولا غیره لا نزاع فیه ، کما لا نزاع فی أنّه لو علم أنّه بول أو منی یجب الوضوء أو الغسل ، وأمّا إیجاب الغسل علی تقدیر الاشتباه بالمنی ، فهو المذکور فی أکثر الکتب ، وعلیه یدل بعض الأخبار بالمفهوم ، والبعض بالتصریح ، ولکنه معارض ببعض الأخبار ، والأصل ینفیه ، وکذلک الأخبار التی دلت علی أنّ الیقین لا ینقضه الشک ، وحصر الموجب فی بعض الأخبار ، فحمل الأخبار علی ما هو غالب الظن أنّه منی أولی ، لترجیح الظاهر علی الأصل ، مع احتمال الاستحباب ، سیما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الظن الغالب </w:t>
      </w:r>
      <w:r>
        <w:rPr>
          <w:rStyle w:val="FootnoteAnchor"/>
          <w:rtl w:val="true"/>
        </w:rPr>
        <w:footnoteReference w:id="8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50" w:name="__RefHeading___Toc39468_2142443653"/>
      <w:bookmarkStart w:id="751" w:name="_Toc292"/>
      <w:bookmarkEnd w:id="750"/>
      <w:r>
        <w:rPr>
          <w:rtl w:val="true"/>
        </w:rPr>
        <w:t>حکم البلل الخارج بعد الغُسل</w:t>
      </w:r>
      <w:bookmarkStart w:id="752" w:name="pg17122_169702"/>
      <w:bookmarkEnd w:id="751"/>
    </w:p>
    <w:p>
      <w:pPr>
        <w:pStyle w:val="BookText"/>
        <w:rPr/>
      </w:pPr>
      <w:bookmarkEnd w:id="752"/>
      <w:r>
        <w:rPr>
          <w:rFonts w:ascii="IRNazanin" w:hAnsi="IRNazanin" w:eastAsia="IRNazanin"/>
          <w:color w:val="111111"/>
          <w:sz w:val="28"/>
          <w:sz w:val="28"/>
          <w:szCs w:val="28"/>
          <w:rtl w:val="true"/>
          <w:lang w:bidi="fa-IR"/>
        </w:rPr>
        <w:t xml:space="preserve">وأنت تعلم أنّ الأخبار المعتبرة لا دلالة فیها علی المشتبه ، والحمل علیه کما ذکره جماعة من المتأخّرین </w:t>
      </w:r>
      <w:r>
        <w:rPr>
          <w:rStyle w:val="FootnoteAnchor"/>
          <w:rtl w:val="true"/>
        </w:rPr>
        <w:footnoteReference w:id="847"/>
      </w:r>
      <w:r>
        <w:rPr>
          <w:rFonts w:ascii="IRNazanin" w:hAnsi="IRNazanin" w:eastAsia="IRNazanin"/>
          <w:color w:val="111111"/>
          <w:sz w:val="28"/>
          <w:sz w:val="28"/>
          <w:szCs w:val="28"/>
          <w:rtl w:val="true"/>
          <w:lang w:bidi="fa-IR"/>
        </w:rPr>
        <w:t xml:space="preserve">، محل بحث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الأخبار متناولة للمشتبه والمحقَّق ، ولمّا خرج المحقَّق بقی المشتبه ، وفیه کلام من حیث ما قاله المذکور کلامه ، فإنّه متوجه لولا أنّ ظاهر الأخبار یفید خلافه ، وبالجملة فالمقام لا یخلو من إشکال ، والله تعالی أعلم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والخبر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ظاهره إعادة الصلاة الواقعة بین رؤیة البلل والغسل ، إلاّ أنّ جماعة من المتأخّرین قالوا بعدم إعادة الصلاة ، لأنّ هذا حدث جدید </w:t>
      </w:r>
      <w:r>
        <w:rPr>
          <w:rStyle w:val="FootnoteAnchor"/>
          <w:rtl w:val="true"/>
        </w:rPr>
        <w:footnoteReference w:id="848"/>
      </w:r>
      <w:r>
        <w:rPr>
          <w:rFonts w:ascii="IRNazanin" w:hAnsi="IRNazanin" w:eastAsia="IRNazanin"/>
          <w:color w:val="111111"/>
          <w:sz w:val="28"/>
          <w:sz w:val="28"/>
          <w:szCs w:val="28"/>
          <w:rtl w:val="true"/>
          <w:lang w:bidi="fa-IR"/>
        </w:rPr>
        <w:t xml:space="preserve">، وحمل بعض الأصحاب الحدیث علی الاستحباب ، أو علی من صلّی بعد وجدان البلل </w:t>
      </w:r>
      <w:r>
        <w:rPr>
          <w:rStyle w:val="FootnoteAnchor"/>
          <w:rtl w:val="true"/>
        </w:rPr>
        <w:footnoteReference w:id="849"/>
      </w:r>
      <w:r>
        <w:rPr>
          <w:rFonts w:ascii="IRNazanin" w:hAnsi="IRNazanin" w:eastAsia="IRNazanin"/>
          <w:color w:val="111111"/>
          <w:sz w:val="28"/>
          <w:sz w:val="28"/>
          <w:szCs w:val="28"/>
          <w:rtl w:val="true"/>
          <w:lang w:bidi="fa-IR"/>
        </w:rPr>
        <w:t xml:space="preserve">،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احتمال بعید من الروایة ، والاستحباب لا بد له من موجب مع ظهور الروایة ، وکون البلل حدثا جدیدا محل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ابن إدریس عن بعض الأصحاب القول بوجوب إعادتها </w:t>
      </w:r>
      <w:r>
        <w:rPr>
          <w:rStyle w:val="FootnoteAnchor"/>
          <w:rtl w:val="true"/>
        </w:rPr>
        <w:footnoteReference w:id="8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مستنده الحدیث المتقدم عن محمد ، ویمکن حمله علی الاستحباب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وربما یخیل فساد الغسل الأوّل ، لأنّ المنی باق بحاله فی مخرجه لا فی مقرّه ، کما قال بعض العامة ، وهو خیال ضعیف ، لأن المتعبد به هو الغسل ممّا خرج لا ممّا بقی ، ولهذا لو حبسه لم یجب الغسل إلاّ بعد خروجه عندنا وعند أکثرهم </w:t>
      </w:r>
      <w:r>
        <w:rPr>
          <w:rStyle w:val="FootnoteAnchor"/>
          <w:rtl w:val="true"/>
        </w:rPr>
        <w:footnoteReference w:id="8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53" w:name="__RefHeading___Toc39470_2142443653"/>
      <w:bookmarkStart w:id="754" w:name="_Toc293"/>
      <w:bookmarkEnd w:id="753"/>
      <w:r>
        <w:rPr>
          <w:rtl w:val="true"/>
        </w:rPr>
        <w:t>حکم الصلاة التی صُلّیت بین الغسل ورؤیة البلل</w:t>
      </w:r>
      <w:bookmarkEnd w:id="754"/>
    </w:p>
    <w:p>
      <w:pPr>
        <w:pStyle w:val="BookText"/>
        <w:rPr/>
      </w:pPr>
      <w:r>
        <w:rPr>
          <w:rFonts w:ascii="IRNazanin" w:hAnsi="IRNazanin" w:eastAsia="IRNazanin"/>
          <w:color w:val="111111"/>
          <w:sz w:val="28"/>
          <w:sz w:val="28"/>
          <w:szCs w:val="28"/>
          <w:rtl w:val="true"/>
          <w:lang w:bidi="fa-IR"/>
        </w:rPr>
        <w:t xml:space="preserve">ولقائل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الموجب إذا کان حدثاً جدیداً موجباً للغسل لم یتحقق شریطة المنی الموجب للغسل وقد قرّروا ذلک فی الغسل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الشرط فی أوّل الخروج ، ولا یخفی أنّ الأمر سهل ، ولعلّ التعلق بالروایة أولی ، والمعارض غیر واضح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فی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متعلق بما سبق؟ فیکون السند واحداً فی الخبرین ، وهو صحیح ، أم هو مرسل؟</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السند الأوّل لتمام الخبر </w:t>
      </w:r>
      <w:r>
        <w:rPr>
          <w:rStyle w:val="FootnoteAnchor"/>
          <w:rtl w:val="true"/>
        </w:rPr>
        <w:footnoteReference w:id="852"/>
      </w:r>
      <w:r>
        <w:rPr>
          <w:rFonts w:ascii="IRNazanin" w:hAnsi="IRNazanin" w:eastAsia="IRNazanin"/>
          <w:color w:val="111111"/>
          <w:sz w:val="28"/>
          <w:sz w:val="28"/>
          <w:szCs w:val="28"/>
          <w:rtl w:val="true"/>
          <w:lang w:bidi="fa-IR"/>
        </w:rPr>
        <w:t>، والاحتمال قائم ، ومحمد هو ابن مسلم علی ما یظن ، والله تعالی أعلم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الحدیث دلالته علی وجوب الوضوء من مجرد البول یتناول الاستبراء وعدمه ، ولعلّه مقید بما سبق من الأخبار الدالة علی أنّ البلل بعد الاستبراء من البول لا یؤثّر شیئاً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تلک الأخبار فی غیر المجنب ، وغیر بعید أن یکون إطلاق الاستبراء بعد البول یتناول الجنب ، وفی البین کلام یعرف بالنظر فیما سبق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ما رواه سعد بن عبد الله ، عن أحمد بن محمد ، عن عبد الله ابن محمد الحجال </w:t>
      </w:r>
      <w:r>
        <w:rPr>
          <w:rStyle w:val="FootnoteAnchor"/>
          <w:rtl w:val="true"/>
        </w:rPr>
        <w:footnoteReference w:id="853"/>
      </w:r>
      <w:r>
        <w:rPr>
          <w:rFonts w:ascii="IRNazanin" w:hAnsi="IRNazanin" w:eastAsia="IRNazanin"/>
          <w:color w:val="111111"/>
          <w:sz w:val="28"/>
          <w:sz w:val="28"/>
          <w:szCs w:val="28"/>
          <w:rtl w:val="true"/>
          <w:lang w:bidi="fa-IR"/>
        </w:rPr>
        <w:t xml:space="preserve">، عن ثعلبة بن میمون ، عن عبد الله بن هلال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 عن الرجل یجامع أهله ، ثم یغتسل قبل أن یبول ، ثم یخرج منه شی‌ء بعد الغسل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شی‌ء علیه ، إنّ ذلک ممّا وضعه الله عنه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عنه ، عن موسی بن الحسن ، عن محمد بن عبد الحمید ، عن أبی جمیلة المفضل بن صالح ، عن زید الشحام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أجنب ، ثم اغتسل قبل أن یبول ، ثم رأی شیئاً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یعید الغسل لیس ذلک الذی رأی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هذین الخبرین أحد شیئین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الغاسل قد اجتهد فی البول فلم یتأتّ له ، فحینئذ لم یلزمه إعادة الغسل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مختصاً بمن فعل ذلک ناسیا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أخبرنی </w:t>
      </w:r>
      <w:r>
        <w:rPr>
          <w:rStyle w:val="FootnoteAnchor"/>
          <w:rtl w:val="true"/>
        </w:rPr>
        <w:footnoteReference w:id="854"/>
      </w:r>
      <w:r>
        <w:rPr>
          <w:rFonts w:ascii="IRNazanin" w:hAnsi="IRNazanin" w:eastAsia="IRNazanin"/>
          <w:color w:val="111111"/>
          <w:sz w:val="28"/>
          <w:sz w:val="28"/>
          <w:szCs w:val="28"/>
          <w:rtl w:val="true"/>
          <w:lang w:bidi="fa-IR"/>
        </w:rPr>
        <w:t xml:space="preserve">به الحسین بن عبید الله ، عن أحمد بن محمد بن یحیی ، عن أبیه ، عن محمد بن علی بن محبوب ، عن علی بن السندی ، عن ابن أبی عمیر ، عن جمیل بن دراج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تصیبه الجنابة فینسی أن یبول حتی یغتسل ، ثم یری بعد الغسل شیئا ، أیغتسل أیضاً؟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تعصّرت ونزل </w:t>
      </w:r>
      <w:r>
        <w:rPr>
          <w:rFonts w:eastAsia="IRNazanin" w:cs="IRNazanin"/>
          <w:color w:val="111111"/>
          <w:sz w:val="28"/>
          <w:szCs w:val="28"/>
          <w:rtl w:val="true"/>
          <w:lang w:bidi="fa-IR"/>
        </w:rPr>
        <w:t xml:space="preserve">) </w:t>
      </w:r>
      <w:r>
        <w:rPr>
          <w:rStyle w:val="FootnoteAnchor"/>
          <w:rtl w:val="true"/>
        </w:rPr>
        <w:footnoteReference w:id="855"/>
      </w:r>
      <w:r>
        <w:rPr>
          <w:rFonts w:ascii="IRNazanin" w:hAnsi="IRNazanin" w:eastAsia="IRNazanin"/>
          <w:color w:val="111111"/>
          <w:sz w:val="28"/>
          <w:sz w:val="28"/>
          <w:szCs w:val="28"/>
          <w:rtl w:val="true"/>
          <w:lang w:bidi="fa-IR"/>
        </w:rPr>
        <w:t xml:space="preserve">من الحبائل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الشیخ رحمه الله عن أحمد بن محمد ، عن أبیه ، عن الصفار ، عن محمد بن عیسی ، عن أحمد بن هلال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اغتسل قبل أن یبول ، فکتب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الغسل بعد البول ، إلاّ أن یکون ناسیاً فلا یعید منه الغسل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فجاء هذا الخبر مفسِّرا للأحادیث کلّها بالوجه الذی ذکرناه من أنّه یختص ذلک بمن ترکه ناسیاً ؛ فأمّا ما یتضمن خبر سماعة ومحمد بن </w:t>
      </w:r>
      <w:bookmarkStart w:id="755" w:name="pg17122_169705"/>
    </w:p>
    <w:p>
      <w:pPr>
        <w:pStyle w:val="BookText"/>
        <w:rPr/>
      </w:pPr>
      <w:bookmarkEnd w:id="755"/>
      <w:r>
        <w:rPr>
          <w:rFonts w:ascii="IRNazanin" w:hAnsi="IRNazanin" w:eastAsia="IRNazanin"/>
          <w:color w:val="111111"/>
          <w:sz w:val="28"/>
          <w:sz w:val="28"/>
          <w:szCs w:val="28"/>
          <w:rtl w:val="true"/>
          <w:lang w:bidi="fa-IR"/>
        </w:rPr>
        <w:t xml:space="preserve">مسلم ، من ذکر إعادة الوضوء ، فمحمول علی الاستحباب ، ویجوز أن یکون المراد بما خرج بعد البول والغسل ما ینقض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یجب علیه الوضوء ولأجل ذلک قال علیه السلام </w:t>
      </w:r>
      <w:r>
        <w:rPr>
          <w:rFonts w:eastAsia="IRNazanin" w:cs="IRNazanin"/>
          <w:color w:val="111111"/>
          <w:sz w:val="28"/>
          <w:szCs w:val="28"/>
          <w:rtl w:val="true"/>
          <w:lang w:bidi="fa-IR"/>
        </w:rPr>
        <w:t xml:space="preserve">] </w:t>
      </w:r>
      <w:r>
        <w:rPr>
          <w:rStyle w:val="FootnoteAnchor"/>
          <w:rtl w:val="true"/>
        </w:rPr>
        <w:footnoteReference w:id="85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الوضوء والاستنجاء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سماعة ، وذلک لا یکون إلاّ فیما ینقض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هلال ، وهو مجهول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أبو جمیلة ، وحاله بالضعف لا یخفی ، وتقدم أیضاً قول فی بقیة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علی بن السندی ، وقد ذکرنا القول فیه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فوائد شیخنا أیّده الله علی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هذا یعنی علی ابن السندی هو علی بن إسماعیل علی ما وصل إلینا من نسخ الکشی ، وقد وثّقه نصر بن الصباح ، فإنّ توثیقه لا یعتمد علیه ، علی أنّ العلاّمة نقله علی بن السری ، وهو یوجب نوع وهن ،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أحمد بن هلال ، والشیخ قد ضعفه </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الخبر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صحّ سنده أمکن حمله علی سقوط الوجوب ،</w:t>
      </w:r>
    </w:p>
    <w:p>
      <w:pPr>
        <w:pStyle w:val="Heading4"/>
        <w:numPr>
          <w:ilvl w:val="3"/>
          <w:numId w:val="1"/>
        </w:numPr>
        <w:rPr/>
      </w:pPr>
      <w:bookmarkStart w:id="756" w:name="__RefHeading___Toc39472_2142443653"/>
      <w:bookmarkStart w:id="757" w:name="_Toc294"/>
      <w:bookmarkEnd w:id="756"/>
      <w:r>
        <w:rPr>
          <w:rtl w:val="true"/>
        </w:rPr>
        <w:t>عبدالله بن هلال مجهول</w:t>
      </w:r>
      <w:bookmarkEnd w:id="757"/>
    </w:p>
    <w:p>
      <w:pPr>
        <w:pStyle w:val="Heading4"/>
        <w:numPr>
          <w:ilvl w:val="3"/>
          <w:numId w:val="1"/>
        </w:numPr>
        <w:rPr/>
      </w:pPr>
      <w:bookmarkStart w:id="758" w:name="__RefHeading___Toc39474_2142443653"/>
      <w:bookmarkStart w:id="759" w:name="_Toc295"/>
      <w:bookmarkEnd w:id="758"/>
      <w:r>
        <w:rPr>
          <w:rtl w:val="true"/>
        </w:rPr>
        <w:t>أبو جمیلة ضعیف</w:t>
      </w:r>
      <w:bookmarkEnd w:id="759"/>
    </w:p>
    <w:p>
      <w:pPr>
        <w:pStyle w:val="Heading4"/>
        <w:numPr>
          <w:ilvl w:val="3"/>
          <w:numId w:val="1"/>
        </w:numPr>
        <w:rPr/>
      </w:pPr>
      <w:bookmarkStart w:id="760" w:name="__RefHeading___Toc39476_2142443653"/>
      <w:bookmarkStart w:id="761" w:name="_Toc296"/>
      <w:bookmarkEnd w:id="760"/>
      <w:r>
        <w:rPr>
          <w:rtl w:val="true"/>
        </w:rPr>
        <w:t>بحث حول علی بن السندی</w:t>
      </w:r>
      <w:bookmarkEnd w:id="761"/>
    </w:p>
    <w:p>
      <w:pPr>
        <w:pStyle w:val="Heading4"/>
        <w:numPr>
          <w:ilvl w:val="3"/>
          <w:numId w:val="1"/>
        </w:numPr>
        <w:rPr/>
      </w:pPr>
      <w:bookmarkStart w:id="762" w:name="__RefHeading___Toc39478_2142443653"/>
      <w:bookmarkStart w:id="763" w:name="_Toc297"/>
      <w:bookmarkEnd w:id="762"/>
      <w:r>
        <w:rPr>
          <w:rtl w:val="true"/>
        </w:rPr>
        <w:t>أحمد بن هلال ضعیف</w:t>
      </w:r>
      <w:bookmarkEnd w:id="76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64" w:name="__RefHeading___Toc39480_2142443653"/>
      <w:bookmarkStart w:id="765" w:name="_Toc298"/>
      <w:bookmarkEnd w:id="764"/>
      <w:r>
        <w:rPr>
          <w:rtl w:val="true"/>
        </w:rPr>
        <w:t>توجیه خبر عبدالله بن هلال</w:t>
      </w:r>
      <w:bookmarkStart w:id="766" w:name="pg17122_169706"/>
      <w:bookmarkEnd w:id="765"/>
    </w:p>
    <w:p>
      <w:pPr>
        <w:pStyle w:val="BookText"/>
        <w:rPr/>
      </w:pPr>
      <w:bookmarkEnd w:id="766"/>
      <w:r>
        <w:rPr>
          <w:rFonts w:ascii="IRNazanin" w:hAnsi="IRNazanin" w:eastAsia="IRNazanin"/>
          <w:color w:val="111111"/>
          <w:sz w:val="28"/>
          <w:sz w:val="28"/>
          <w:szCs w:val="28"/>
          <w:rtl w:val="true"/>
          <w:lang w:bidi="fa-IR"/>
        </w:rPr>
        <w:t>وتحمل الأخبار الأولة علی الاستحباب ، کما سلفت إلیه إشارة من کلام البعض ، إلاّ أنّ السند قد علمته ، ومع الأخبار السابقة الشهرة ، وإن کان فیها کلام ، غیر أنّ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یمکن أن یراد من الحدیث أنّه لا شی‌ء علیه فی عدم البول من الإثم ، وإن کان الغسل لا بد من إعادته ، إلاّ أنّ ظاهر الخبر یأباه ، وأن الاحتمال واسع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مجال للحمل فیه إلاّ علی ما تکلّفه الشیخ ، وفیه ما تعلمه ، أما الوجه الأوّل من وجهی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شیخنا قدس سره فی فوائده علی الکتاب أنّه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وشیخنا أیّده الله یفهم من بعض فوائده إمکان التوجیه له ، بأنّ الاستبراء بالبول إذا وجب فمع العمد یخالف المأمور به ، ومع النسیان یعذر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الوجه ذکره أیّده الله فی مقام الردّ علی شیخنا قدس سره حیث قال فی بعض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التوجیه الثانی من وجهی الشیخ بأنّ السؤال فیها وإن وقع عن حکم الناسی ، إلاّ أنّ التعلیل المستفاد من الجواب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تعصّرت ونزل من الحبائل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عدم الفرق بینه وبین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واعتراض شیخنا أیّده الله کما تری یقتضی الفرق ، 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ینحصر فی النسیان ، لأن عدم التکلیف یتحقق فی الجاهل أیضا ، بناءً علی عدم تکلیفه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شیخنا أیّده الله أراد توجیه کلام الشیخ ، ولعلّ </w:t>
      </w:r>
      <w:r>
        <w:rPr>
          <w:rStyle w:val="FootnoteAnchor"/>
          <w:rtl w:val="true"/>
        </w:rPr>
        <w:footnoteReference w:id="859"/>
      </w:r>
      <w:r>
        <w:rPr>
          <w:rFonts w:ascii="IRNazanin" w:hAnsi="IRNazanin" w:eastAsia="IRNazanin"/>
          <w:color w:val="111111"/>
          <w:sz w:val="28"/>
          <w:sz w:val="28"/>
          <w:szCs w:val="28"/>
          <w:rtl w:val="true"/>
          <w:lang w:bidi="fa-IR"/>
        </w:rPr>
        <w:t>الشیخ یقول بالتکلیف فی غیر الناسی ، ومقام التوجیه واسع ، غیر أنّه قد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67" w:name="__RefHeading___Toc39482_2142443653"/>
      <w:bookmarkStart w:id="768" w:name="_Toc299"/>
      <w:bookmarkEnd w:id="767"/>
      <w:r>
        <w:rPr>
          <w:rtl w:val="true"/>
        </w:rPr>
        <w:t>توجیه خبر زید الشحام</w:t>
      </w:r>
      <w:bookmarkEnd w:id="768"/>
    </w:p>
    <w:p>
      <w:pPr>
        <w:pStyle w:val="BookText"/>
        <w:rPr/>
      </w:pPr>
      <w:r>
        <w:rPr>
          <w:rFonts w:ascii="IRNazanin" w:hAnsi="IRNazanin" w:eastAsia="IRNazanin"/>
          <w:color w:val="111111"/>
          <w:sz w:val="28"/>
          <w:sz w:val="28"/>
          <w:szCs w:val="28"/>
          <w:rtl w:val="true"/>
          <w:lang w:bidi="fa-IR"/>
        </w:rPr>
        <w:t>یستفاد منه ما أشرنا إلیه من توجیه الوجه الأول ، وهو عدم القدرة علی البول ، فإنّه لا ریب أنّ وجوب البول فرع القدرة ، وکأنّ الشیخ ناظر فی حمل الأخبار إلی هذا فی الوجه الأول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التقصیر وعدم جواز الغسل تنتفی الإعادة مع عدم البول حال کونه غیر ناس وغیر متعذر منه ، وسواء وجد بللاً أم لا فما وجه ذکر الشیخ وجود البلل مع النسیان؟</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ذکرت وجه ، إلاّ أنّ الشیخ مشی مع الأخبار ، فلا یبعد وقوفه علی مضمونها ، من أنّ الإعادة مع وجود البلل ، غیر أن مقتضی قوله بوجوب البول ، لزوم الإعادة من دونه مطلقا ، والله أعلم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ویبقی الکلام هنا أنّ شیخنا أیّده الله قال فی أول الفائدة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الأوّل لا دلیل علیه ، کما قال شیخنا قدس سره فربما ینکر علینا فی أنّا استخرجنا من کلامه توجیهاً یصلح دلیلاً له ، والحال أنّه نفاه ، ولعلّ مراده لا دلیل علیه من الأخبار والاعتبارات الصالحة ، وإن کان ما قلناه لا یخلو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فی توجیهه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اجتهد واخترط ولم یتأتّ له البول کان الظاهر عدم بقاء شی‌ء فی المجری ، کما فی البول ، وأنّ التکلیف بأکثر من ذلک کالحرج ، وأنّ القائل بخلافه غیر ظاهر ، وأنت خبیر بما فی الوجوه من التکلّف</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تضمنه خبر جمیل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تعصرت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 لم أفهم معناه ، ولا قول شیخنا قدس سره إنّه متناول للناسی وغیره </w:t>
      </w:r>
      <w:r>
        <w:rPr>
          <w:rStyle w:val="FootnoteAnchor"/>
          <w:rtl w:val="true"/>
        </w:rPr>
        <w:footnoteReference w:id="860"/>
      </w:r>
      <w:r>
        <w:rPr>
          <w:rFonts w:ascii="IRNazanin" w:hAnsi="IRNazanin" w:eastAsia="IRNazanin"/>
          <w:color w:val="111111"/>
          <w:sz w:val="28"/>
          <w:sz w:val="28"/>
          <w:szCs w:val="28"/>
          <w:rtl w:val="true"/>
          <w:lang w:bidi="fa-IR"/>
        </w:rPr>
        <w:t xml:space="preserve">، فإن کان المراد أن نزول المنی إلی الخارج یقتضی عدم بقاء شی‌ء منه ، فالکلام لا یساعد </w:t>
      </w:r>
      <w:bookmarkStart w:id="769" w:name="pg17122_169708"/>
    </w:p>
    <w:p>
      <w:pPr>
        <w:pStyle w:val="BookText"/>
        <w:rPr/>
      </w:pPr>
      <w:bookmarkEnd w:id="769"/>
      <w:r>
        <w:rPr>
          <w:rFonts w:ascii="IRNazanin" w:hAnsi="IRNazanin" w:eastAsia="IRNazanin"/>
          <w:color w:val="111111"/>
          <w:sz w:val="28"/>
          <w:sz w:val="28"/>
          <w:szCs w:val="28"/>
          <w:rtl w:val="true"/>
          <w:lang w:bidi="fa-IR"/>
        </w:rPr>
        <w:t>علیه ، وإن کان المراد أنّ السائل نسی البول ، ولکنه استبرأ ، فهو خلاف ظاهر الروایة ، فلا ینبغی الغفلة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الروایة إنّما تضمنت حکم النسیان من کلام السائل فلا اعتبار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توجیهه بأنّ ظاهر إقرار الإمام علیه السلام یفید المطلوب ، وفیه ما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فالأخبار مع اختلال </w:t>
      </w:r>
      <w:r>
        <w:rPr>
          <w:rStyle w:val="FootnoteAnchor"/>
          <w:rtl w:val="true"/>
        </w:rPr>
        <w:footnoteReference w:id="861"/>
      </w:r>
      <w:r>
        <w:rPr>
          <w:rFonts w:ascii="IRNazanin" w:hAnsi="IRNazanin" w:eastAsia="IRNazanin"/>
          <w:color w:val="111111"/>
          <w:sz w:val="28"/>
          <w:sz w:val="28"/>
          <w:szCs w:val="28"/>
          <w:rtl w:val="true"/>
          <w:lang w:bidi="fa-IR"/>
        </w:rPr>
        <w:t>الأسانید غیر تامّة المعانی ، والأخبار المعتبرة قد سمعت القول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وینبغی أن یعلم أنّ فی البین أُموراً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کلام الشیخ هنا وفی التهذیب القول بالنسیان </w:t>
      </w:r>
      <w:r>
        <w:rPr>
          <w:rStyle w:val="FootnoteAnchor"/>
          <w:rtl w:val="true"/>
        </w:rPr>
        <w:footnoteReference w:id="862"/>
      </w:r>
      <w:r>
        <w:rPr>
          <w:rFonts w:ascii="IRNazanin" w:hAnsi="IRNazanin" w:eastAsia="IRNazanin"/>
          <w:color w:val="111111"/>
          <w:sz w:val="28"/>
          <w:sz w:val="28"/>
          <w:szCs w:val="28"/>
          <w:rtl w:val="true"/>
          <w:lang w:bidi="fa-IR"/>
        </w:rPr>
        <w:t>، وبین المتأخّرین لیس هذا مذکوراً فی الأقسام ، ولا أدری الوجه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بین الأصحاب ونقل ابن إدریس فیه الإجماع علی ما حکی </w:t>
      </w:r>
      <w:r>
        <w:rPr>
          <w:rStyle w:val="FootnoteAnchor"/>
          <w:rtl w:val="true"/>
        </w:rPr>
        <w:footnoteReference w:id="863"/>
      </w:r>
      <w:r>
        <w:rPr>
          <w:rFonts w:ascii="IRNazanin" w:hAnsi="IRNazanin" w:eastAsia="IRNazanin"/>
          <w:color w:val="111111"/>
          <w:sz w:val="28"/>
          <w:sz w:val="28"/>
          <w:szCs w:val="28"/>
          <w:rtl w:val="true"/>
          <w:lang w:bidi="fa-IR"/>
        </w:rPr>
        <w:t>عنه ، أنّ من ترک البول والاستبراء یعید الغسل ، والأخبار الدالّة علی ذلک قد سمعتها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الفقیه بعد أن أورد الخبر المتضمن لإعادة الغسل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فی حدیث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قد رأی بللاً ولم یکن بال فلیتوضّأ ولا یغتسل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مصنف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إعادة الغسل أصل ، والخبر الثانی رخصة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واستعمال الصدوق للرخصة فی کتابه کثیر ، أمّا معناها فلا یخلو من إجمال ، کما نبّهنا علیه فی حاشیته ، وإرادة المعنی الأُصولی بعیدة من</w:t>
      </w:r>
    </w:p>
    <w:p>
      <w:pPr>
        <w:pStyle w:val="Heading4"/>
        <w:numPr>
          <w:ilvl w:val="3"/>
          <w:numId w:val="1"/>
        </w:numPr>
        <w:rPr/>
      </w:pPr>
      <w:bookmarkStart w:id="770" w:name="__RefHeading___Toc39484_2142443653"/>
      <w:bookmarkStart w:id="771" w:name="_Toc300"/>
      <w:bookmarkEnd w:id="770"/>
      <w:r>
        <w:rPr>
          <w:rtl w:val="true"/>
        </w:rPr>
        <w:t>إعادة الغسل لتارک البول والاستبراء</w:t>
      </w:r>
      <w:bookmarkEnd w:id="77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72" w:name="__RefHeading___Toc39486_2142443653"/>
      <w:bookmarkStart w:id="773" w:name="_Toc301"/>
      <w:bookmarkEnd w:id="772"/>
      <w:r>
        <w:rPr>
          <w:rtl w:val="true"/>
        </w:rPr>
        <w:t>إعادة الوضوء لمن بال فاغتسل ثمّ وجد بللاً</w:t>
      </w:r>
      <w:bookmarkEnd w:id="773"/>
    </w:p>
    <w:p>
      <w:pPr>
        <w:pStyle w:val="BookText"/>
        <w:rPr/>
      </w:pPr>
      <w:r>
        <w:rPr>
          <w:rFonts w:ascii="IRNazanin" w:hAnsi="IRNazanin" w:eastAsia="IRNazanin"/>
          <w:color w:val="111111"/>
          <w:sz w:val="28"/>
          <w:sz w:val="28"/>
          <w:szCs w:val="28"/>
          <w:rtl w:val="true"/>
          <w:lang w:bidi="fa-IR"/>
        </w:rPr>
        <w:t>کلامه ، علی أنّ الخبر الثانی لا یخفی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المحقق فی بعض کتبه ما یعطی عدم إعادة الغسل لو حصل أحد الأمرین ، من البول أو الاستبراء ، سواء کان البول ممکناً أم لا </w:t>
      </w:r>
      <w:r>
        <w:rPr>
          <w:rStyle w:val="FootnoteAnchor"/>
          <w:rtl w:val="true"/>
        </w:rPr>
        <w:footnoteReference w:id="8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یستبعد ذلک مع إطلاق الأخبار ، ویقربه النظر فیما أسلفناه بعین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الشیخ أخیراً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خبر محمد بن مسلم الدال علی إعادة الوضوء محمول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أنّه فهم من الروایة حصول البول والاستبراء ، وقد علمت أنّ خبر سماعة تضمن الاستنجاء ، فلا یتم ما فهمه الشیخ إلاّ بتکلّف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محمد ربما کان ظاهرها ما قاله الشیخ أخیراً فی الحمل علی خروج ما ینقض الوضوء ، ولعلّ مراده به عدم الاستبراء ، فإنّ ذلک یوجب نقض ما خرج للوضوء ، إلاّ أنّ عبارة الشیخ لا تخلو من حزازة ، وربما ظهر منها أنّ مفاد الروایات مع الاشتباه ، وقد سبق منا نوع کلام لا ینبغی الغفلة عنه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ولشیخنا قدس سره هنا کلام فی المدارک ، ذکرنا ما فیه فی موضع آخر ،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اعتمد فی وجوب الوضوء إذا حصل البول من دون الاستبراء ثم وجد البلل علی صحیح محمد المذکور هنا ، ومفهوم حسنة حفص بن البختری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یبول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ینتره ثلاثاً ، ثم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Style w:val="FootnoteAnchor"/>
          <w:rtl w:val="true"/>
        </w:rPr>
        <w:footnoteReference w:id="866"/>
      </w:r>
      <w:r>
        <w:rPr>
          <w:rFonts w:ascii="IRNazanin" w:hAnsi="IRNazanin" w:eastAsia="IRNazanin"/>
          <w:color w:val="111111"/>
          <w:sz w:val="28"/>
          <w:sz w:val="28"/>
          <w:szCs w:val="28"/>
          <w:rtl w:val="true"/>
          <w:lang w:bidi="fa-IR"/>
        </w:rPr>
        <w:t xml:space="preserve">حتی یبلغ الساق فلا یبالی </w:t>
      </w:r>
      <w:r>
        <w:rPr>
          <w:rFonts w:eastAsia="IRNazanin" w:cs="IRNazanin"/>
          <w:color w:val="111111"/>
          <w:sz w:val="28"/>
          <w:szCs w:val="28"/>
          <w:rtl w:val="true"/>
          <w:lang w:bidi="fa-IR"/>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 xml:space="preserve">. </w:t>
      </w:r>
      <w:bookmarkStart w:id="774" w:name="pg17122_169710"/>
    </w:p>
    <w:p>
      <w:pPr>
        <w:pStyle w:val="BookText"/>
        <w:rPr/>
      </w:pPr>
      <w:bookmarkEnd w:id="774"/>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ولا ینافی ذلک ما رواه عبد الله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یعفور فی الصحیح ، أنّه سأل أبا عبد الله علیه السلام عن رجل بال ثم توضّأ وقام إلی الصلاة فوجد بللاً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شی‌ء علیه ولا یتوضّأ </w:t>
      </w:r>
      <w:r>
        <w:rPr>
          <w:rFonts w:eastAsia="IRNazanin" w:cs="IRNazanin"/>
          <w:color w:val="111111"/>
          <w:sz w:val="28"/>
          <w:szCs w:val="28"/>
          <w:rtl w:val="true"/>
          <w:lang w:bidi="fa-IR"/>
        </w:rPr>
        <w:t xml:space="preserve">» </w:t>
      </w:r>
      <w:r>
        <w:rPr>
          <w:rStyle w:val="FootnoteAnchor"/>
          <w:rtl w:val="true"/>
        </w:rPr>
        <w:footnoteReference w:id="868"/>
      </w:r>
      <w:r>
        <w:rPr>
          <w:rFonts w:ascii="IRNazanin" w:hAnsi="IRNazanin" w:eastAsia="IRNazanin"/>
          <w:color w:val="111111"/>
          <w:sz w:val="28"/>
          <w:sz w:val="28"/>
          <w:szCs w:val="28"/>
          <w:rtl w:val="true"/>
          <w:lang w:bidi="fa-IR"/>
        </w:rPr>
        <w:t xml:space="preserve">لأنّ هذه الروایة مطلقة وأخبارنا </w:t>
      </w:r>
      <w:r>
        <w:rPr>
          <w:rStyle w:val="FootnoteAnchor"/>
          <w:rtl w:val="true"/>
        </w:rPr>
        <w:footnoteReference w:id="869"/>
      </w:r>
      <w:r>
        <w:rPr>
          <w:rFonts w:ascii="IRNazanin" w:hAnsi="IRNazanin" w:eastAsia="IRNazanin"/>
          <w:color w:val="111111"/>
          <w:sz w:val="28"/>
          <w:sz w:val="28"/>
          <w:szCs w:val="28"/>
          <w:rtl w:val="true"/>
          <w:lang w:bidi="fa-IR"/>
        </w:rPr>
        <w:t xml:space="preserve">مفصلة ، والمفصل یحکّم علی المطلق </w:t>
      </w:r>
      <w:r>
        <w:rPr>
          <w:rStyle w:val="FootnoteAnchor"/>
          <w:rtl w:val="true"/>
        </w:rPr>
        <w:footnoteReference w:id="8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الإطلاق والتقیید لیس علی الإطلاق ، والتناول للبول بعد الجنابة محل کلام ، وروایة محمد غیر صریحة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مقدار الماء الذی یجزئ فی غسل الجنابة والوضوء</w:t>
      </w:r>
    </w:p>
    <w:p>
      <w:pPr>
        <w:pStyle w:val="BookText"/>
        <w:rPr/>
      </w:pPr>
      <w:r>
        <w:rPr>
          <w:rFonts w:ascii="IRNazanin" w:hAnsi="IRNazanin" w:eastAsia="IRNazanin"/>
          <w:color w:val="111111"/>
          <w:sz w:val="28"/>
          <w:sz w:val="28"/>
          <w:szCs w:val="28"/>
          <w:rtl w:val="true"/>
          <w:lang w:bidi="fa-IR"/>
        </w:rPr>
        <w:t xml:space="preserve">أخبرنی الشیخ رحمه الله عن أحمد بن محمد ، عن أبیه ، عن الحسین بن الحسن بن أبان ، عن الحسین بن سعید ، عن ابن سنان ، عن ابن مسکان ، عن أبی بصیر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الوضوء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رسول الله صلی الله علیه و آله یتوضّأ بمُدٍّ ویغتسل بصاع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الإسناد ، عن الحسین بن سعید ، عن حماد ، عن حریز ، عن زرارة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رسول الله صلی الله علیه و آله یتوضّأ بمُدّ ویغتسل بصاع ، والمُدّ رطل ونصف ، والصاع ستة أرطال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الحسین بن عبید الله ، عن أحمد بن محمد بن یحیی ، عن أبیه ، عن محمد بن أحمد بن یحیی ، عن علی بن محمد ، عن سلیمان بن حفص المروزی ، وأخبرنی الشیخ رحمه الله عن أحمد بن</w:t>
      </w:r>
    </w:p>
    <w:p>
      <w:pPr>
        <w:pStyle w:val="Heading3"/>
        <w:numPr>
          <w:ilvl w:val="2"/>
          <w:numId w:val="1"/>
        </w:numPr>
        <w:rPr/>
      </w:pPr>
      <w:bookmarkStart w:id="775" w:name="__RefHeading___Toc39488_2142443653"/>
      <w:bookmarkStart w:id="776" w:name="_Toc302"/>
      <w:bookmarkEnd w:id="775"/>
      <w:r>
        <w:rPr>
          <w:rtl w:val="true"/>
        </w:rPr>
        <w:t>مقدار الماء الذی یجزئ فی غسل الجنابة والوضوء</w:t>
      </w:r>
      <w:bookmarkEnd w:id="776"/>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77" w:name="__RefHeading___Toc39490_2142443653"/>
      <w:bookmarkStart w:id="778" w:name="_Toc303"/>
      <w:bookmarkEnd w:id="777"/>
      <w:r>
        <w:rPr>
          <w:rtl w:val="true"/>
        </w:rPr>
        <w:t>اشارة</w:t>
      </w:r>
      <w:bookmarkEnd w:id="778"/>
    </w:p>
    <w:p>
      <w:pPr>
        <w:pStyle w:val="BookText"/>
        <w:rPr/>
      </w:pPr>
      <w:r>
        <w:rPr>
          <w:rFonts w:ascii="IRNazanin" w:hAnsi="IRNazanin" w:eastAsia="IRNazanin"/>
          <w:color w:val="111111"/>
          <w:sz w:val="28"/>
          <w:sz w:val="28"/>
          <w:szCs w:val="28"/>
          <w:rtl w:val="true"/>
          <w:lang w:bidi="fa-IR"/>
        </w:rPr>
        <w:t xml:space="preserve">محمد ، عن أبیه ، عن الصفار ، عن موسی بن عمر ، عن سلیمان بن حفص المروزی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بصاع من ماء ، والوضوء بمدٍّ من ماء ، وصاع النبی صلی الله علیه و آله خمسة أمداد ، والمد مائتان وثمانون درهما ، والدرهم ستة دوانیق ، والدانق وزن ستّ حبّات ، والحبّة وزن حبّتی شعیر من أوساط الحب ، لا من صغاره ولا من کباره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الاسناد ، عن محمد بن أحمد بن یحیی ، عن أبی جعفر عن أبیه ، عن زرعة ، عن سماعة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الذی یجزئ من الماء للغسل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اغتسل رسول الله صلی الله علیه و آله بصاع وتوضّأ من مدٍّ </w:t>
      </w:r>
      <w:r>
        <w:rPr>
          <w:rStyle w:val="FootnoteAnchor"/>
          <w:rtl w:val="true"/>
        </w:rPr>
        <w:footnoteReference w:id="871"/>
      </w:r>
      <w:r>
        <w:rPr>
          <w:rFonts w:ascii="IRNazanin" w:hAnsi="IRNazanin" w:eastAsia="IRNazanin"/>
          <w:color w:val="111111"/>
          <w:sz w:val="28"/>
          <w:sz w:val="28"/>
          <w:szCs w:val="28"/>
          <w:rtl w:val="true"/>
          <w:lang w:bidi="fa-IR"/>
        </w:rPr>
        <w:t xml:space="preserve">، وکان الصاع علی عهده خمسة أمداد ، وکان المدّ قدر رطل وثلاث أواق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فی هذا الخبر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الصاع خمسة أمداد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المدّ برطل وثلاث أواق مطابق للخبر الذی رواه زرارة ، لأنّه فسّر المدّ برطل ونصف ، فالصاع یکون ستة أرطال ، وذلک مطابق لهذا المقدار </w:t>
      </w:r>
      <w:r>
        <w:rPr>
          <w:rStyle w:val="FootnoteAnchor"/>
          <w:rtl w:val="true"/>
        </w:rPr>
        <w:footnoteReference w:id="872"/>
      </w:r>
      <w:r>
        <w:rPr>
          <w:rFonts w:ascii="IRNazanin" w:hAnsi="IRNazanin" w:eastAsia="IRNazanin"/>
          <w:color w:val="111111"/>
          <w:sz w:val="28"/>
          <w:sz w:val="28"/>
          <w:szCs w:val="28"/>
          <w:rtl w:val="true"/>
          <w:lang w:bidi="fa-IR"/>
        </w:rPr>
        <w:t xml:space="preserve">، فأمّا تفسیر سلیمان المروزی المدّ بمأتین وثمانین درهماً فمطابق للخبرین ، لأنّه یکون مقداره ستة أرطال بالمدنی ، ویکون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خمسة أمداد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من الراوی ، لأنّ المشهور من هذه الروایة أربعة أمداد ، ویجوز أن یکون ذلک إخباراً عما کان یفعله النبی صلی الله علیه و آله إذا شارک فی الاغتسال بعض أزواجه ، یدل علی ذلک </w:t>
      </w:r>
      <w:bookmarkStart w:id="779" w:name="pg17122_169712"/>
    </w:p>
    <w:p>
      <w:pPr>
        <w:pStyle w:val="BookText"/>
        <w:rPr/>
      </w:pPr>
      <w:bookmarkEnd w:id="779"/>
      <w:r>
        <w:rPr>
          <w:rFonts w:ascii="IRNazanin" w:hAnsi="IRNazanin" w:eastAsia="IRNazanin"/>
          <w:color w:val="111111"/>
          <w:sz w:val="28"/>
          <w:sz w:val="28"/>
          <w:szCs w:val="28"/>
          <w:rtl w:val="true"/>
          <w:lang w:bidi="fa-IR"/>
        </w:rPr>
        <w:t xml:space="preserve">ما رواه محمد </w:t>
      </w:r>
      <w:r>
        <w:rPr>
          <w:rStyle w:val="FootnoteAnchor"/>
          <w:rtl w:val="true"/>
        </w:rPr>
        <w:footnoteReference w:id="873"/>
      </w:r>
      <w:r>
        <w:rPr>
          <w:rFonts w:ascii="IRNazanin" w:hAnsi="IRNazanin" w:eastAsia="IRNazanin"/>
          <w:color w:val="111111"/>
          <w:sz w:val="28"/>
          <w:sz w:val="28"/>
          <w:szCs w:val="28"/>
          <w:rtl w:val="true"/>
          <w:lang w:bidi="fa-IR"/>
        </w:rPr>
        <w:t xml:space="preserve">بن یحیی ، عن محمد بن الحسین </w:t>
      </w:r>
      <w:r>
        <w:rPr>
          <w:rStyle w:val="FootnoteAnchor"/>
          <w:rtl w:val="true"/>
        </w:rPr>
        <w:footnoteReference w:id="874"/>
      </w:r>
      <w:r>
        <w:rPr>
          <w:rFonts w:ascii="IRNazanin" w:hAnsi="IRNazanin" w:eastAsia="IRNazanin"/>
          <w:color w:val="111111"/>
          <w:sz w:val="28"/>
          <w:sz w:val="28"/>
          <w:szCs w:val="28"/>
          <w:rtl w:val="true"/>
          <w:lang w:bidi="fa-IR"/>
        </w:rPr>
        <w:t xml:space="preserve">، عن صفوان ، عن العلاء ، عن محمد بن مسلم ، عن أحدهما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وقت </w:t>
      </w:r>
      <w:r>
        <w:rPr>
          <w:rStyle w:val="FootnoteAnchor"/>
          <w:rtl w:val="true"/>
        </w:rPr>
        <w:footnoteReference w:id="875"/>
      </w:r>
      <w:r>
        <w:rPr>
          <w:rFonts w:ascii="IRNazanin" w:hAnsi="IRNazanin" w:eastAsia="IRNazanin"/>
          <w:color w:val="111111"/>
          <w:sz w:val="28"/>
          <w:sz w:val="28"/>
          <w:szCs w:val="28"/>
          <w:rtl w:val="true"/>
          <w:lang w:bidi="fa-IR"/>
        </w:rPr>
        <w:t xml:space="preserve">غسل الجنابة کم یجزئ من الماء؟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رسول الله صلی الله علیه و آله یغتسل بخمسة أمداد بینه وبین صاحبته ، ویغتسلان جمیعاً من إناء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 عن النضر ، عن محمد بن أبی حمزة ، عن معاویة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رسول الله صلی الله علیه و آله یغتسل بصاع ، وإذا کان معه بعض نسائه یغتسل بصاع ومدّ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ابن سنان ، وهو محمد علی الظاهر ، کما قدمنا القول فیه </w:t>
      </w:r>
      <w:r>
        <w:rPr>
          <w:rStyle w:val="FootnoteAnchor"/>
          <w:rtl w:val="true"/>
        </w:rPr>
        <w:footnoteReference w:id="876"/>
      </w:r>
      <w:r>
        <w:rPr>
          <w:rFonts w:ascii="IRNazanin" w:hAnsi="IRNazanin" w:eastAsia="IRNazanin"/>
          <w:color w:val="111111"/>
          <w:sz w:val="28"/>
          <w:sz w:val="28"/>
          <w:szCs w:val="28"/>
          <w:rtl w:val="true"/>
          <w:lang w:bidi="fa-IR"/>
        </w:rPr>
        <w:t xml:space="preserve">، وأبو بصیر تکرّر أیضا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ارتیاب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الواقع فیه لا یخلو من اشتباه ، وفی التهذیب روایة علی بن محمد عن رجل </w:t>
      </w:r>
      <w:r>
        <w:rPr>
          <w:rStyle w:val="FootnoteAnchor"/>
          <w:rtl w:val="true"/>
        </w:rPr>
        <w:footnoteReference w:id="878"/>
      </w:r>
      <w:r>
        <w:rPr>
          <w:rFonts w:ascii="IRNazanin" w:hAnsi="IRNazanin" w:eastAsia="IRNazanin"/>
          <w:color w:val="111111"/>
          <w:sz w:val="28"/>
          <w:sz w:val="28"/>
          <w:szCs w:val="28"/>
          <w:rtl w:val="true"/>
          <w:lang w:bidi="fa-IR"/>
        </w:rPr>
        <w:t>، وأمّا سلیمان بن حفص فهو مجهول الحال ، وموسی بن عمر لا یبعد أن یکون ابن بزیع الثقة ، إلاّ أن باب الاحتمال فیه متّسع ، وتحقیق الحال فیه هنا خال عن الفائدة</w:t>
      </w:r>
      <w:r>
        <w:rPr>
          <w:rFonts w:eastAsia="IRNazanin" w:cs="IRNazanin"/>
          <w:color w:val="111111"/>
          <w:sz w:val="28"/>
          <w:szCs w:val="28"/>
          <w:rtl w:val="true"/>
          <w:lang w:bidi="fa-IR"/>
        </w:rPr>
        <w:t>.</w:t>
      </w:r>
    </w:p>
    <w:p>
      <w:pPr>
        <w:pStyle w:val="Heading4"/>
        <w:numPr>
          <w:ilvl w:val="3"/>
          <w:numId w:val="1"/>
        </w:numPr>
        <w:rPr/>
      </w:pPr>
      <w:bookmarkStart w:id="780" w:name="__RefHeading___Toc39492_2142443653"/>
      <w:bookmarkStart w:id="781" w:name="_Toc304"/>
      <w:bookmarkEnd w:id="780"/>
      <w:r>
        <w:rPr>
          <w:rtl w:val="true"/>
        </w:rPr>
        <w:t>روایة علی بن محمد عن سلیمان بن حفص لا یخلو من اشتباه</w:t>
      </w:r>
      <w:bookmarkEnd w:id="781"/>
    </w:p>
    <w:p>
      <w:pPr>
        <w:pStyle w:val="Heading4"/>
        <w:numPr>
          <w:ilvl w:val="3"/>
          <w:numId w:val="1"/>
        </w:numPr>
        <w:rPr/>
      </w:pPr>
      <w:bookmarkStart w:id="782" w:name="__RefHeading___Toc39494_2142443653"/>
      <w:bookmarkStart w:id="783" w:name="_Toc305"/>
      <w:bookmarkEnd w:id="782"/>
      <w:r>
        <w:rPr>
          <w:rtl w:val="true"/>
        </w:rPr>
        <w:t>سلیمان بن حفص مجهول</w:t>
      </w:r>
      <w:bookmarkEnd w:id="78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84" w:name="__RefHeading___Toc39496_2142443653"/>
      <w:bookmarkStart w:id="785" w:name="_Toc306"/>
      <w:bookmarkEnd w:id="784"/>
      <w:r>
        <w:rPr>
          <w:rtl w:val="true"/>
        </w:rPr>
        <w:t>إشارة إلی حال موسی بن عمر</w:t>
      </w:r>
      <w:bookmarkStart w:id="786" w:name="pg17122_169713"/>
      <w:bookmarkEnd w:id="785"/>
    </w:p>
    <w:p>
      <w:pPr>
        <w:pStyle w:val="BookText"/>
        <w:rPr/>
      </w:pPr>
      <w:bookmarkEnd w:id="786"/>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عیسی الأشعری المعبّر عنه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 لأن أبا جعفر هو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Style w:val="FootnoteAnchor"/>
          <w:rtl w:val="true"/>
        </w:rPr>
        <w:footnoteReference w:id="879"/>
      </w:r>
      <w:r>
        <w:rPr>
          <w:rFonts w:ascii="IRNazanin" w:hAnsi="IRNazanin" w:eastAsia="IRNazanin"/>
          <w:color w:val="111111"/>
          <w:sz w:val="28"/>
          <w:sz w:val="28"/>
          <w:szCs w:val="28"/>
          <w:rtl w:val="true"/>
          <w:lang w:bidi="fa-IR"/>
        </w:rPr>
        <w:t xml:space="preserve">بن عیسی ، وعلی ما یظهر من الرجال أنّ محمّداً لا یزید علی </w:t>
      </w:r>
      <w:r>
        <w:rPr>
          <w:rStyle w:val="FootnoteAnchor"/>
          <w:rtl w:val="true"/>
        </w:rPr>
        <w:footnoteReference w:id="880"/>
      </w:r>
      <w:r>
        <w:rPr>
          <w:rFonts w:ascii="Amiri" w:hAnsi="Amiri" w:eastAsia="Amiri" w:cs="Amiri"/>
          <w:color w:val="111111"/>
          <w:sz w:val="28"/>
          <w:sz w:val="28"/>
          <w:szCs w:val="28"/>
          <w:rtl w:val="true"/>
          <w:lang w:bidi="ar-SA"/>
        </w:rPr>
        <w:t xml:space="preserve">أنّ له شأناً فی الجملة </w:t>
      </w:r>
      <w:r>
        <w:rPr>
          <w:rStyle w:val="FootnoteAnchor"/>
          <w:rtl w:val="true"/>
        </w:rPr>
        <w:footnoteReference w:id="881"/>
      </w:r>
      <w:r>
        <w:rPr>
          <w:rFonts w:ascii="IRNazanin" w:hAnsi="IRNazanin" w:eastAsia="IRNazanin"/>
          <w:color w:val="111111"/>
          <w:sz w:val="28"/>
          <w:sz w:val="28"/>
          <w:szCs w:val="28"/>
          <w:rtl w:val="true"/>
          <w:lang w:bidi="fa-IR"/>
        </w:rPr>
        <w:t xml:space="preserve">، أمّا کونه ثقة فلا ، وتصحیح العلاّمة بعض الطرق الذی هو فیها </w:t>
      </w:r>
      <w:r>
        <w:rPr>
          <w:rStyle w:val="FootnoteAnchor"/>
          <w:rtl w:val="true"/>
        </w:rPr>
        <w:footnoteReference w:id="882"/>
      </w:r>
      <w:r>
        <w:rPr>
          <w:rFonts w:ascii="IRNazanin" w:hAnsi="IRNazanin" w:eastAsia="IRNazanin"/>
          <w:color w:val="111111"/>
          <w:sz w:val="28"/>
          <w:sz w:val="28"/>
          <w:szCs w:val="28"/>
          <w:rtl w:val="true"/>
          <w:lang w:bidi="fa-IR"/>
        </w:rPr>
        <w:t>محل کلام کررنا فیه القول ، وعلی ظاهر قواعدهم عدّ الحدیث من الموثق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علی ما قدمنا فیه القول بالنسبة إلی محمد بن أبی حمزة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ظاهر ، وربما دل لفظ کان علی المداومة ، کما صرّح به ابن الأثیر فی أحکام الأحکام ، حیث قال بعد روایة مثل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عندهم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یفعل کذا ، إذا تکرر منه فعله وکان عادته ، وقد یستعمل لإفادة مجرد الفعل ووقوعه من دون الدلالة علی</w:t>
      </w:r>
    </w:p>
    <w:p>
      <w:pPr>
        <w:pStyle w:val="BookText"/>
        <w:rPr/>
      </w:pPr>
      <w:r>
        <w:rPr>
          <w:rFonts w:ascii="IRNazanin" w:hAnsi="IRNazanin" w:eastAsia="IRNazanin"/>
          <w:color w:val="111111"/>
          <w:sz w:val="28"/>
          <w:sz w:val="28"/>
          <w:szCs w:val="28"/>
          <w:rtl w:val="true"/>
          <w:lang w:bidi="fa-IR"/>
        </w:rPr>
        <w:t>التکرار ، والأوّل أکثر فی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والخبر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کالأوّل ، وذکر بعض محقّقی المعاصرین سلّمه الله أنّ فی کلام بعض العامة أنّ معنی الحدیث أنّه صلی الله علیه و آله کان یتوضّأ بمدّ من ذلک الصاع ، فیکون اغتساله بثلاثة أمداد ، وفساده ظاهر </w:t>
      </w:r>
      <w:r>
        <w:rPr>
          <w:rStyle w:val="FootnoteAnchor"/>
          <w:rtl w:val="true"/>
        </w:rPr>
        <w:footnoteReference w:id="88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والمذکور فی</w:t>
      </w:r>
    </w:p>
    <w:p>
      <w:pPr>
        <w:pStyle w:val="Heading4"/>
        <w:numPr>
          <w:ilvl w:val="3"/>
          <w:numId w:val="1"/>
        </w:numPr>
        <w:rPr/>
      </w:pPr>
      <w:bookmarkStart w:id="787" w:name="__RefHeading___Toc39498_2142443653"/>
      <w:bookmarkStart w:id="788" w:name="_Toc307"/>
      <w:bookmarkEnd w:id="787"/>
      <w:r>
        <w:rPr>
          <w:rtl w:val="true"/>
        </w:rPr>
        <w:t>بحث حول محمد بن عیسی الاشعری</w:t>
      </w:r>
      <w:bookmarkEnd w:id="788"/>
    </w:p>
    <w:p>
      <w:pPr>
        <w:pStyle w:val="Heading4"/>
        <w:numPr>
          <w:ilvl w:val="3"/>
          <w:numId w:val="1"/>
        </w:numPr>
        <w:rPr/>
      </w:pPr>
      <w:bookmarkStart w:id="789" w:name="__RefHeading___Toc39500_2142443653"/>
      <w:bookmarkStart w:id="790" w:name="_Toc308"/>
      <w:bookmarkEnd w:id="789"/>
      <w:r>
        <w:rPr>
          <w:rtl w:val="true"/>
        </w:rPr>
        <w:t>إشارة إلی حال محمد بن أبی حمزة</w:t>
      </w:r>
      <w:bookmarkEnd w:id="790"/>
    </w:p>
    <w:p>
      <w:pPr>
        <w:pStyle w:val="Heading4"/>
        <w:numPr>
          <w:ilvl w:val="3"/>
          <w:numId w:val="1"/>
        </w:numPr>
        <w:rPr/>
      </w:pPr>
      <w:bookmarkStart w:id="791" w:name="__RefHeading___Toc39502_2142443653"/>
      <w:bookmarkStart w:id="792" w:name="_Toc309"/>
      <w:bookmarkEnd w:id="791"/>
      <w:r>
        <w:rPr>
          <w:rtl w:val="true"/>
        </w:rPr>
        <w:t xml:space="preserve">جملة </w:t>
      </w:r>
      <w:r>
        <w:rPr>
          <w:rtl w:val="true"/>
        </w:rPr>
        <w:t xml:space="preserve">: </w:t>
      </w:r>
      <w:r>
        <w:rPr>
          <w:rtl w:val="true"/>
        </w:rPr>
        <w:t>کان یفعل کذا ، تدل علی المداومة</w:t>
      </w:r>
      <w:bookmarkEnd w:id="792"/>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93" w:name="__RefHeading___Toc39504_2142443653"/>
      <w:bookmarkStart w:id="794" w:name="_Toc310"/>
      <w:bookmarkEnd w:id="793"/>
      <w:r>
        <w:rPr>
          <w:rtl w:val="true"/>
        </w:rPr>
        <w:t>استحباب الوضوء بمدٍّ والغسل بصاع</w:t>
      </w:r>
      <w:bookmarkStart w:id="795" w:name="pg17122_169714"/>
      <w:bookmarkEnd w:id="794"/>
    </w:p>
    <w:p>
      <w:pPr>
        <w:pStyle w:val="BookText"/>
        <w:rPr/>
      </w:pPr>
      <w:bookmarkEnd w:id="795"/>
      <w:r>
        <w:rPr>
          <w:rFonts w:ascii="IRNazanin" w:hAnsi="IRNazanin" w:eastAsia="IRNazanin"/>
          <w:color w:val="111111"/>
          <w:sz w:val="28"/>
          <w:sz w:val="28"/>
          <w:szCs w:val="28"/>
          <w:rtl w:val="true"/>
          <w:lang w:bidi="fa-IR"/>
        </w:rPr>
        <w:t xml:space="preserve">کلام من رأینا کلامه من الأصحاب ، استحباب أن یکون الوضوء بمدّ والغسل بصاع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تضمنه حدیث زرارة من أنّ الصاع أربعة أمداد وأنّ المدّ رطل ونصف ، فیکون الصاع ستة أرطال بالمدنی ، علی ما قاله الشیخ رحمه الله فی غیر هذا الکتاب ، وسیأتی ما لا بدّ منه فی الفطرة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خبر المروزی ، فلا یخفی منافاته لما تقدم من الأخبار وللمشهور بین من رأینا کلامه ، من کون الدانق ست حبّات ، </w:t>
      </w:r>
      <w:r>
        <w:rPr>
          <w:rStyle w:val="FootnoteAnchor"/>
          <w:rtl w:val="true"/>
        </w:rPr>
        <w:footnoteReference w:id="886"/>
      </w:r>
      <w:r>
        <w:rPr>
          <w:rFonts w:ascii="IRNazanin" w:hAnsi="IRNazanin" w:eastAsia="IRNazanin"/>
          <w:color w:val="111111"/>
          <w:sz w:val="28"/>
          <w:sz w:val="28"/>
          <w:szCs w:val="28"/>
          <w:rtl w:val="true"/>
          <w:lang w:bidi="fa-IR"/>
        </w:rPr>
        <w:t xml:space="preserve">إلی آخره ، إذ المنقول أنّه ثمانی حبات </w:t>
      </w:r>
      <w:r>
        <w:rPr>
          <w:rStyle w:val="FootnoteAnchor"/>
          <w:rtl w:val="true"/>
        </w:rPr>
        <w:footnoteReference w:id="887"/>
      </w:r>
      <w:r>
        <w:rPr>
          <w:rFonts w:ascii="IRNazanin" w:hAnsi="IRNazanin" w:eastAsia="IRNazanin"/>
          <w:color w:val="111111"/>
          <w:sz w:val="28"/>
          <w:sz w:val="28"/>
          <w:szCs w:val="28"/>
          <w:rtl w:val="true"/>
          <w:lang w:bidi="fa-IR"/>
        </w:rPr>
        <w:t xml:space="preserve">، وفی المنتهی فی بحث الفطرة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الصاع أربعة أمداد ، والمدّ رطلان وربع بالعراقی ، وهو مائتان واثنان وتسعون </w:t>
      </w:r>
      <w:r>
        <w:rPr>
          <w:rStyle w:val="FootnoteAnchor"/>
          <w:rtl w:val="true"/>
        </w:rPr>
        <w:footnoteReference w:id="888"/>
      </w:r>
      <w:r>
        <w:rPr>
          <w:rFonts w:ascii="IRNazanin" w:hAnsi="IRNazanin" w:eastAsia="IRNazanin"/>
          <w:color w:val="111111"/>
          <w:sz w:val="28"/>
          <w:sz w:val="28"/>
          <w:szCs w:val="28"/>
          <w:rtl w:val="true"/>
          <w:lang w:bidi="fa-IR"/>
        </w:rPr>
        <w:t xml:space="preserve">درهماً ونصف ، والدرهم ستة دوانیق ، والدانق ثمانی </w:t>
      </w:r>
      <w:r>
        <w:rPr>
          <w:rStyle w:val="FootnoteAnchor"/>
          <w:rtl w:val="true"/>
        </w:rPr>
        <w:footnoteReference w:id="889"/>
      </w:r>
      <w:r>
        <w:rPr>
          <w:rFonts w:ascii="IRNazanin" w:hAnsi="IRNazanin" w:eastAsia="IRNazanin"/>
          <w:color w:val="111111"/>
          <w:sz w:val="28"/>
          <w:sz w:val="28"/>
          <w:szCs w:val="28"/>
          <w:rtl w:val="true"/>
          <w:lang w:bidi="fa-IR"/>
        </w:rPr>
        <w:t xml:space="preserve">حبات من أوسط حبات الشعیر ، یکون مقدار الصاع تسعة أرطال بالعراقی ، وستة بالمدنی ، ذهب إلیه علماؤنا أجمع </w:t>
      </w:r>
      <w:r>
        <w:rPr>
          <w:rStyle w:val="FootnoteAnchor"/>
          <w:rtl w:val="true"/>
        </w:rPr>
        <w:footnoteReference w:id="890"/>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قاله الشیخ فی التوجیه واضح فی عدم التمامیة ، وفی فوائد شیخنا قدس سره علی الکتاب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 المدّ برطل وثلاثة أواق مطابق للخبر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نظر ، فإنّ المدّ إذا کان رطلاً وثلاث أواق تکون الخمسة أمداد خمسة أرطال وخمسة عشر أوقیة ، وذلک لا یطابق التقدیر</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96" w:name="__RefHeading___Toc39506_2142443653"/>
      <w:bookmarkStart w:id="797" w:name="_Toc311"/>
      <w:bookmarkEnd w:id="796"/>
      <w:r>
        <w:rPr>
          <w:rtl w:val="true"/>
        </w:rPr>
        <w:t>تفسیر الصاع والمدّ</w:t>
      </w:r>
      <w:bookmarkEnd w:id="797"/>
    </w:p>
    <w:p>
      <w:pPr>
        <w:pStyle w:val="BookText"/>
        <w:rPr/>
      </w:pPr>
      <w:r>
        <w:rPr>
          <w:rFonts w:ascii="IRNazanin" w:hAnsi="IRNazanin" w:eastAsia="IRNazanin"/>
          <w:color w:val="111111"/>
          <w:sz w:val="28"/>
          <w:sz w:val="28"/>
          <w:szCs w:val="28"/>
          <w:rtl w:val="true"/>
          <w:lang w:bidi="fa-IR"/>
        </w:rPr>
        <w:t>بستة أرطال ، إلاّ إذا کانت الخمسة عشر أوقیة رطلاً ، وهو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خبیر بأنّ الخمسة عشر أوقیة إذا کانت رطلاً ، فإمّا أن تکون الأرطال کلها کذلک ، أو بعضها خمسة عشر ، والباقی اثنی عشر أوقیة ، فإن کان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احتمل جمع ما قاله الشیخ ، وإن کان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لاختلاف الرطل ، ولا یبعد أن یکون مراد الشیخ أنّ الثلاث الأواق الزائدة لا تضر بحال المطلوب إرادته من الستة الأرطال ، إذ هی یسیرة ، وغیر هذا لا یمکن إرادته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یتوجه علی الشیخ ما فی الروایة من الإشکالات غیر هذا ، کما أشرنا إلی بعضها ، ومنها تفسیر المدّ فی خبر زرارة برطل ونصف ، وهنا مفسّر برطل وثلاث أواق ، وما قاله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تفسیر سلیمان المدّ بمأتین وثمانین ، إلی آخره ، قد اعترض علیه شیخنا قدس سره بأنّ المطابقة غیر متحققة ، فإن المدّ إذا کان وزن مائتین وثمانین درهماً ، تکون الأربعة أمداد ألفاً ومائة وعشرین ، وذلک ینقص عن وزن ستة أرطال المدینة بخمسین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والأمر کما قاله ، ویزید أنّ ما قاله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لفظ خمسة أمداد وقعت وهماً من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 بحال ما تقدم من الشیخ ، کما یعرف بأیسر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فی الروایة لا یخلو من اختلال ، والشیخ قد مشی علی مسلک الراوی ، والله تعالی أعلم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الاحتمال الأخیر الذی ذکره الشیخ ففی غایة البعد ، إلاّ أنّه قابل للتوجیه ، والخبران المستدل بهما لا یدلاّن علی أن المدّ لها ، والصاع له صلی الله علیه و آله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روی الشیخ فی زیادات الصلاة من التهذیب ، عن الحسین بن سعید ، عن حماد ، عن حریز ، عن زرارة ومحمد بن مسلم وأبی بصیر ، </w:t>
      </w:r>
    </w:p>
    <w:p>
      <w:pPr>
        <w:pStyle w:val="BookText"/>
        <w:rPr/>
      </w:pPr>
      <w:r>
        <w:rPr>
          <w:rFonts w:ascii="IRNazanin" w:hAnsi="IRNazanin" w:eastAsia="IRNazanin"/>
          <w:color w:val="111111"/>
          <w:sz w:val="28"/>
          <w:sz w:val="28"/>
          <w:szCs w:val="28"/>
          <w:rtl w:val="true"/>
          <w:lang w:bidi="fa-IR"/>
        </w:rPr>
        <w:t xml:space="preserve">عن أبی جعفر وأبی عبد الله ، أنّهما 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توضّأ رسول الله صلی الله علیه و آله بمدّ </w:t>
      </w:r>
      <w:r>
        <w:rPr>
          <w:rStyle w:val="FootnoteAnchor"/>
          <w:rtl w:val="true"/>
        </w:rPr>
        <w:footnoteReference w:id="892"/>
      </w:r>
      <w:r>
        <w:rPr>
          <w:rFonts w:ascii="IRNazanin" w:hAnsi="IRNazanin" w:eastAsia="IRNazanin"/>
          <w:color w:val="111111"/>
          <w:sz w:val="28"/>
          <w:sz w:val="28"/>
          <w:szCs w:val="28"/>
          <w:rtl w:val="true"/>
          <w:lang w:bidi="fa-IR"/>
        </w:rPr>
        <w:t xml:space="preserve">واغتسل بصاع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اغتسل هو وزوجته بخمسة أمداد من إناء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صنع؟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بدأ هو فضرب بیده فی الماء قبلها وأنقی فرجه ، ثم ضربت فأنقت فرجها ، ثم أفاض هو وأفاضت هی علی نفسها حتی فرغا ، وکان الذی اغتسل به رسول الله صلی الله علیه و آله ثلاثة أمداد ، والذی اغتسلت به مدّین ، وإنّما أجزأ عنهما لأنّهما اشترکا جمیعا ، ومن انفرد بالغسل وحده فلا بد له من صاع </w:t>
      </w:r>
      <w:r>
        <w:rPr>
          <w:rFonts w:eastAsia="IRNazanin" w:cs="IRNazanin"/>
          <w:color w:val="111111"/>
          <w:sz w:val="28"/>
          <w:szCs w:val="28"/>
          <w:rtl w:val="true"/>
          <w:lang w:bidi="fa-IR"/>
        </w:rPr>
        <w:t xml:space="preserve">»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لولا أنّی أشم منها رائحة التقیة من حیث ذکر الوضوء أوّلا وذکر غیر ذلک أیضا ، لکانت دالّة علی أنّ مع المشارکة یزول استحباب الصاع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فیها دلالة علی أُمور أُخر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المستعمل من الغیر فی الغسل فی الجملة ، فینفی به بعض أقوال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إنقاء الفرج بشی‌ء من الماء ، بل قد یستفاد منها الاکتفاء فی غسل المنی مرّة واحدة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قاله فی المنتهی من أنّ التقدیر لم یحصل بعد الاغتسال بل قبله ، وذلک یستلزم إدخال ما غسل الفرجین فی المقدار </w:t>
      </w:r>
      <w:r>
        <w:rPr>
          <w:rStyle w:val="FootnoteAnchor"/>
          <w:rtl w:val="true"/>
        </w:rPr>
        <w:footnoteReference w:id="8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من غرابة ، فإنّ ظاهر النص سقوط المقدار بالاجتماع ، اللهم إلاّ أن یرید </w:t>
      </w:r>
      <w:r>
        <w:rPr>
          <w:rStyle w:val="FootnoteAnchor"/>
          <w:rtl w:val="true"/>
        </w:rPr>
        <w:footnoteReference w:id="895"/>
      </w:r>
      <w:r>
        <w:rPr>
          <w:rFonts w:ascii="IRNazanin" w:hAnsi="IRNazanin" w:eastAsia="IRNazanin"/>
          <w:color w:val="111111"/>
          <w:sz w:val="28"/>
          <w:sz w:val="28"/>
          <w:szCs w:val="28"/>
          <w:rtl w:val="true"/>
          <w:lang w:bidi="fa-IR"/>
        </w:rPr>
        <w:t xml:space="preserve">مطلق المقدار من الصاع وغیره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الخبر ظاهر فی خلاف ما قاله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إنّ الرطل العراقی علی ما قاله العلاّمة فی المنتهی فی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مائة وثمانیة وعشرون درهماً وأربعة أسباع درهم ، إنّه تسعون </w:t>
      </w:r>
      <w:r>
        <w:rPr>
          <w:rStyle w:val="FootnoteAnchor"/>
          <w:rtl w:val="true"/>
        </w:rPr>
        <w:footnoteReference w:id="896"/>
      </w:r>
      <w:r>
        <w:rPr>
          <w:rFonts w:ascii="Amiri" w:hAnsi="Amiri" w:eastAsia="Amiri" w:cs="Amiri"/>
          <w:color w:val="111111"/>
          <w:sz w:val="28"/>
          <w:sz w:val="28"/>
          <w:szCs w:val="28"/>
          <w:rtl w:val="true"/>
          <w:lang w:bidi="ar-SA"/>
        </w:rPr>
        <w:t xml:space="preserve">مثقالا ، والمثقال درهم وثلاثة أسباع درهم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غیره أنّ الرطل مائة وثلاثون درهما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والرطل المدنی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إنّه رطل ونصف عراقی </w:t>
      </w:r>
      <w:r>
        <w:rPr>
          <w:rStyle w:val="FootnoteAnchor"/>
          <w:rtl w:val="true"/>
        </w:rPr>
        <w:footnoteReference w:id="8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وسیجی‌ء ذکر ما لا بدّ منه إن شاء الله فی محله ، وبالجملة فللکلام فی المقام مجال واسع ، ولعلّ فی هذا القدر کفایة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أحمد بن یحیی ، عن الحسن بن موسی الخشاب ، عن غیاث بن کلوب ، عن إسحاق بن عمّار ، عن جعفر ، عن أبیه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علیه السلام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من الجنابة والوضوء یجزئ منه ما أجزأ من الدهن الذی یبلّ الجسد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محمد بن الحسین بن أبی الخطاب والحسن بن موسی الخشاب ، عن یزید بن إسحاق </w:t>
      </w:r>
      <w:r>
        <w:rPr>
          <w:rStyle w:val="FootnoteAnchor"/>
          <w:rtl w:val="true"/>
        </w:rPr>
        <w:footnoteReference w:id="900"/>
      </w:r>
      <w:r>
        <w:rPr>
          <w:rFonts w:ascii="IRNazanin" w:hAnsi="IRNazanin" w:eastAsia="IRNazanin"/>
          <w:color w:val="111111"/>
          <w:sz w:val="28"/>
          <w:sz w:val="28"/>
          <w:szCs w:val="28"/>
          <w:rtl w:val="true"/>
          <w:lang w:bidi="fa-IR"/>
        </w:rPr>
        <w:t xml:space="preserve">، عن هارون بن حمزة الغنوی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یجزیک من الغسل والاستنجاء ما بللت یدک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یجری مجراها </w:t>
      </w:r>
      <w:r>
        <w:rPr>
          <w:rStyle w:val="FootnoteAnchor"/>
          <w:rtl w:val="true"/>
        </w:rPr>
        <w:footnoteReference w:id="901"/>
      </w:r>
      <w:r>
        <w:rPr>
          <w:rFonts w:ascii="IRNazanin" w:hAnsi="IRNazanin" w:eastAsia="IRNazanin"/>
          <w:color w:val="111111"/>
          <w:sz w:val="28"/>
          <w:sz w:val="28"/>
          <w:szCs w:val="28"/>
          <w:rtl w:val="true"/>
          <w:lang w:bidi="fa-IR"/>
        </w:rPr>
        <w:t xml:space="preserve">من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محمولة علی الإجزاء </w:t>
      </w:r>
      <w:bookmarkStart w:id="798" w:name="pg17122_169718"/>
    </w:p>
    <w:p>
      <w:pPr>
        <w:pStyle w:val="BookText"/>
        <w:rPr/>
      </w:pPr>
      <w:bookmarkEnd w:id="798"/>
      <w:r>
        <w:rPr>
          <w:rFonts w:ascii="IRNazanin" w:hAnsi="IRNazanin" w:eastAsia="IRNazanin"/>
          <w:color w:val="111111"/>
          <w:sz w:val="28"/>
          <w:sz w:val="28"/>
          <w:szCs w:val="28"/>
          <w:rtl w:val="true"/>
          <w:lang w:bidi="fa-IR"/>
        </w:rPr>
        <w:t>والأوّلة علی الفضل ، إلاّ أنّ مع ذلک فلا بدّ أن یجری الماء علی الأعضاء لیکون غاسلاً وإن کان قلیلاً مثل الدهن ، فإنّه متی لم یجر لم یسمّ غاسلاً ، ولا یکون ذلک مجزئاً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علی بن إبراهیم ، عن أبیه ، عن ابن أبی عمیر ، عن جمیل ، عن زرارة ، 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الجنب ما جری </w:t>
      </w:r>
      <w:r>
        <w:rPr>
          <w:rStyle w:val="FootnoteAnchor"/>
          <w:rtl w:val="true"/>
        </w:rPr>
        <w:footnoteReference w:id="902"/>
      </w:r>
      <w:r>
        <w:rPr>
          <w:rFonts w:ascii="IRNazanin" w:hAnsi="IRNazanin" w:eastAsia="IRNazanin"/>
          <w:color w:val="111111"/>
          <w:sz w:val="28"/>
          <w:sz w:val="28"/>
          <w:szCs w:val="28"/>
          <w:rtl w:val="true"/>
          <w:lang w:bidi="fa-IR"/>
        </w:rPr>
        <w:t xml:space="preserve">علیه الماء من جسده قلیله وکثیره فقد أجزأه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 عن فضالة بن أیوب ، عن جمیل ، عن زرارة عن أبی جعفر علیه السلام فی الوضوء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مسّ جلدک الماء فحسبک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صفوان ، عن ابن مسکان ، عن محمد الحلبی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أسبغ الوضوء إن وجدت ماءً ، وإلاّ فإنّه یکفیک الیسیر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بن کلوب ، ولم یذکر أصحاب الرجال مدحه فضلاً عن کونه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یزید بن إسحاق ، ولم أفهم من کتب الرجال مدحه ، فضلاً عن الثقة ، إلاّ أنّ جدی قدس سره فی شرح الدرایة یفهم منه توثیقه </w:t>
      </w:r>
      <w:r>
        <w:rPr>
          <w:rStyle w:val="FootnoteAnchor"/>
          <w:rtl w:val="true"/>
        </w:rPr>
        <w:footnoteReference w:id="903"/>
      </w:r>
      <w:r>
        <w:rPr>
          <w:rFonts w:ascii="IRNazanin" w:hAnsi="IRNazanin" w:eastAsia="IRNazanin"/>
          <w:color w:val="111111"/>
          <w:sz w:val="28"/>
          <w:sz w:val="28"/>
          <w:szCs w:val="28"/>
          <w:rtl w:val="true"/>
          <w:lang w:bidi="fa-IR"/>
        </w:rPr>
        <w:t xml:space="preserve">، وکأنّه أخذه من تصحیح العلاّمة طریق الصدوق إلی هارون بن حمزة </w:t>
      </w:r>
      <w:r>
        <w:rPr>
          <w:rStyle w:val="FootnoteAnchor"/>
          <w:rtl w:val="true"/>
        </w:rPr>
        <w:footnoteReference w:id="904"/>
      </w:r>
      <w:r>
        <w:rPr>
          <w:rFonts w:ascii="IRNazanin" w:hAnsi="IRNazanin" w:eastAsia="IRNazanin"/>
          <w:color w:val="111111"/>
          <w:sz w:val="28"/>
          <w:sz w:val="28"/>
          <w:szCs w:val="28"/>
          <w:rtl w:val="true"/>
          <w:lang w:bidi="fa-IR"/>
        </w:rPr>
        <w:t>، وهو فیه ، ولا یخفی علیک حقیقة الحال ، وأمّا هارون بن حمزة فهو ثقة</w:t>
      </w:r>
      <w:r>
        <w:rPr>
          <w:rFonts w:eastAsia="IRNazanin" w:cs="IRNazanin"/>
          <w:color w:val="111111"/>
          <w:sz w:val="28"/>
          <w:szCs w:val="28"/>
          <w:rtl w:val="true"/>
          <w:lang w:bidi="fa-IR"/>
        </w:rPr>
        <w:t>.</w:t>
      </w:r>
    </w:p>
    <w:p>
      <w:pPr>
        <w:pStyle w:val="Heading4"/>
        <w:numPr>
          <w:ilvl w:val="3"/>
          <w:numId w:val="1"/>
        </w:numPr>
        <w:rPr/>
      </w:pPr>
      <w:bookmarkStart w:id="799" w:name="__RefHeading___Toc39508_2142443653"/>
      <w:bookmarkStart w:id="800" w:name="_Toc312"/>
      <w:bookmarkEnd w:id="799"/>
      <w:r>
        <w:rPr>
          <w:rtl w:val="true"/>
        </w:rPr>
        <w:t>غیاث بن کلوب غیر ممدوح</w:t>
      </w:r>
      <w:bookmarkEnd w:id="800"/>
    </w:p>
    <w:p>
      <w:pPr>
        <w:pStyle w:val="Heading4"/>
        <w:numPr>
          <w:ilvl w:val="3"/>
          <w:numId w:val="1"/>
        </w:numPr>
        <w:rPr/>
      </w:pPr>
      <w:bookmarkStart w:id="801" w:name="__RefHeading___Toc39510_2142443653"/>
      <w:bookmarkStart w:id="802" w:name="_Toc313"/>
      <w:bookmarkEnd w:id="801"/>
      <w:r>
        <w:rPr>
          <w:rtl w:val="true"/>
        </w:rPr>
        <w:t>بحث حول یزید بن اسحاق</w:t>
      </w:r>
      <w:bookmarkEnd w:id="80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03" w:name="__RefHeading___Toc39512_2142443653"/>
      <w:bookmarkStart w:id="804" w:name="_Toc314"/>
      <w:bookmarkEnd w:id="803"/>
      <w:r>
        <w:rPr>
          <w:rtl w:val="true"/>
        </w:rPr>
        <w:t>هارون بن حمزة ثقة</w:t>
      </w:r>
      <w:bookmarkStart w:id="805" w:name="pg17122_169719"/>
      <w:bookmarkEnd w:id="804"/>
    </w:p>
    <w:p>
      <w:pPr>
        <w:pStyle w:val="BookText"/>
        <w:rPr/>
      </w:pPr>
      <w:bookmarkEnd w:id="805"/>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ارتیاب فی صحتهما علی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الأولین ما قاله الشیخ لا یخلو من وجه ، غیر أنّ ما ذکره من اعتبار الجریان یرید به ولو بمعاون ، کما ذکره المتأخرین </w:t>
      </w:r>
      <w:r>
        <w:rPr>
          <w:rStyle w:val="FootnoteAnchor"/>
          <w:rtl w:val="true"/>
        </w:rPr>
        <w:footnoteReference w:id="905"/>
      </w:r>
      <w:r>
        <w:rPr>
          <w:rFonts w:ascii="IRNazanin" w:hAnsi="IRNazanin" w:eastAsia="IRNazanin"/>
          <w:color w:val="111111"/>
          <w:sz w:val="28"/>
          <w:sz w:val="28"/>
          <w:szCs w:val="28"/>
          <w:rtl w:val="true"/>
          <w:lang w:bidi="fa-IR"/>
        </w:rPr>
        <w:t xml:space="preserve">، وقد قدّمنا فیه القول ، وإن أمکن المناقشة فی 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لم یجر لم یسمّ غاسلاً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استدل به رحمه الله من الخبرین لا یخلو من تأمّل ، 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دلالته من حیث المفهوم ، وبتقدیر تمامیته ظاهر ، ومنطوق الثانی خلافه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الثانی مجمل والأوّل مبیّن ، فیحمل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ما فیه ، 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فغیر خفیّ دلالته علی خلاف مطلوب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قدمناه کفایة بالنسبة إلی ما هو المقصود هنا ، نعم ینبغی أن یعلم أنّ الشیخ رحمه الله أجمل المقام ، فإنّ الأخبار الأوّلة الدالة علی الصاع للغسل لا ریب أنّها للاستحباب ، وهذه الأخبار منها ما هو دالّ علی إجزاء ما یبلّ الجسد ، وهذا لا ریب أنّه لا یعارض الاستحباب ، وما دل منها علی اعتبار الجریان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أن یذکر فی مقام المعارضة لما دل علی إجزاء مثل الدهن ، ثم یحمل علی الجریان </w:t>
      </w:r>
      <w:r>
        <w:rPr>
          <w:rFonts w:eastAsia="IRNazanin" w:cs="IRNazanin"/>
          <w:color w:val="111111"/>
          <w:sz w:val="28"/>
          <w:szCs w:val="28"/>
          <w:rtl w:val="true"/>
          <w:lang w:bidi="fa-IR"/>
        </w:rPr>
        <w:t xml:space="preserve">) </w:t>
      </w:r>
      <w:r>
        <w:rPr>
          <w:rStyle w:val="FootnoteAnchor"/>
          <w:rtl w:val="true"/>
        </w:rPr>
        <w:footnoteReference w:id="906"/>
      </w:r>
      <w:r>
        <w:rPr>
          <w:rFonts w:ascii="IRNazanin" w:hAnsi="IRNazanin" w:eastAsia="IRNazanin"/>
          <w:color w:val="111111"/>
          <w:sz w:val="28"/>
          <w:sz w:val="28"/>
          <w:szCs w:val="28"/>
          <w:rtl w:val="true"/>
          <w:lang w:bidi="fa-IR"/>
        </w:rPr>
        <w:t>ولو بمعاون ، أو بیّن أنّ الدهن مبالغة ، والحال فی کلام الشیخ 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الأخبار المذکورة فیها إطلاق وفیها تقیید بالنسبة إلی الغسل ، لکنّ الأصحاب لم یذکروا الفرق بین الأغسال علی ما رأیت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06" w:name="__RefHeading___Toc39514_2142443653"/>
      <w:bookmarkStart w:id="807" w:name="_Toc315"/>
      <w:bookmarkEnd w:id="806"/>
      <w:r>
        <w:rPr>
          <w:rtl w:val="true"/>
        </w:rPr>
        <w:t>عدم إجزاء مثل الدهن إلّا مع الجریان ولو بمعاون</w:t>
      </w:r>
      <w:bookmarkStart w:id="808" w:name="pg17122_169720"/>
      <w:bookmarkEnd w:id="807"/>
    </w:p>
    <w:p>
      <w:pPr>
        <w:pStyle w:val="BookText"/>
        <w:rPr/>
      </w:pPr>
      <w:bookmarkEnd w:id="808"/>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وجوب الترتیب فی غسل الجنابة</w:t>
      </w:r>
    </w:p>
    <w:p>
      <w:pPr>
        <w:pStyle w:val="BookText"/>
        <w:rPr/>
      </w:pPr>
      <w:r>
        <w:rPr>
          <w:rFonts w:ascii="IRNazanin" w:hAnsi="IRNazanin" w:eastAsia="IRNazanin"/>
          <w:color w:val="111111"/>
          <w:sz w:val="28"/>
          <w:sz w:val="28"/>
          <w:szCs w:val="28"/>
          <w:rtl w:val="true"/>
          <w:lang w:bidi="fa-IR"/>
        </w:rPr>
        <w:t xml:space="preserve">أخبرنی الشیخ رحمه الله عن أحمد بن محمد ، عن أبیه ، عن الحسین بن الحسن بن أبان ، عن الحسین بن سعید ، عن أحمد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Style w:val="FootnoteAnchor"/>
          <w:rtl w:val="true"/>
        </w:rPr>
        <w:footnoteReference w:id="907"/>
      </w:r>
      <w:r>
        <w:rPr>
          <w:rFonts w:ascii="IRNazanin" w:hAnsi="IRNazanin" w:eastAsia="IRNazanin"/>
          <w:color w:val="111111"/>
          <w:sz w:val="28"/>
          <w:sz w:val="28"/>
          <w:szCs w:val="28"/>
          <w:rtl w:val="true"/>
          <w:lang w:bidi="fa-IR"/>
        </w:rPr>
        <w:t xml:space="preserve">علیه السلام عن غسل الجنابة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تغسل یدک الیمنی من المرفق إلی أصابعک ، وتبول إن قدرت علی البول ، ثم تدخل یدک فی الإناء ، ثم اغسل ما أصابک منه ، ثم أفض علی رأسک وجسدک ، ولا وضوء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الاسناد ، عن الحسین بن سعید ، عن صفوان وفضالة ، عن العلاء ، عن محمد بن مسلم ، عن أحدهما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غسل الجنابة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تبدأ بکفیک ، ثم تغسل فرجک ، ثم تصبّ علی رأسک ثلاثاً ، ثم تصبّ علی سائر جسدک مرّتین ، فما یجری </w:t>
      </w:r>
      <w:r>
        <w:rPr>
          <w:rStyle w:val="FootnoteAnchor"/>
          <w:rtl w:val="true"/>
        </w:rPr>
        <w:footnoteReference w:id="908"/>
      </w:r>
      <w:r>
        <w:rPr>
          <w:rFonts w:ascii="IRNazanin" w:hAnsi="IRNazanin" w:eastAsia="IRNazanin"/>
          <w:color w:val="111111"/>
          <w:sz w:val="28"/>
          <w:sz w:val="28"/>
          <w:szCs w:val="28"/>
          <w:rtl w:val="true"/>
          <w:lang w:bidi="fa-IR"/>
        </w:rPr>
        <w:t xml:space="preserve">علیه الماء فقد طهر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الحسین بن عبید الله ، عن أحمد بن محمد بن یحیی ، عن أبیه ، عن محمد بن أحمد بن یحیی ، عن علی بن إسماعیل ، عن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Style w:val="FootnoteAnchor"/>
          <w:rtl w:val="true"/>
        </w:rPr>
        <w:footnoteReference w:id="909"/>
      </w:r>
      <w:r>
        <w:rPr>
          <w:rFonts w:ascii="IRNazanin" w:hAnsi="IRNazanin" w:eastAsia="IRNazanin"/>
          <w:color w:val="111111"/>
          <w:sz w:val="28"/>
          <w:sz w:val="28"/>
          <w:szCs w:val="28"/>
          <w:rtl w:val="true"/>
          <w:lang w:bidi="fa-IR"/>
        </w:rPr>
        <w:t xml:space="preserve">، عن حریز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اغتسل من جنابة ولم یغسل رأسه ، ثم بدا له أن یغسل رأسه لم یجد بدّاً من إعادة الغسل </w:t>
      </w:r>
      <w:r>
        <w:rPr>
          <w:rFonts w:eastAsia="IRNazanin" w:cs="IRNazanin"/>
          <w:color w:val="111111"/>
          <w:sz w:val="28"/>
          <w:szCs w:val="28"/>
          <w:rtl w:val="true"/>
          <w:lang w:bidi="fa-IR"/>
        </w:rPr>
        <w:t>».</w:t>
      </w:r>
    </w:p>
    <w:p>
      <w:pPr>
        <w:pStyle w:val="Heading3"/>
        <w:numPr>
          <w:ilvl w:val="2"/>
          <w:numId w:val="1"/>
        </w:numPr>
        <w:rPr/>
      </w:pPr>
      <w:bookmarkStart w:id="809" w:name="__RefHeading___Toc39516_2142443653"/>
      <w:bookmarkStart w:id="810" w:name="_Toc316"/>
      <w:bookmarkEnd w:id="809"/>
      <w:r>
        <w:rPr>
          <w:rtl w:val="true"/>
        </w:rPr>
        <w:t>وجوب الترتیب فی غسل الجنابة</w:t>
      </w:r>
      <w:bookmarkEnd w:id="810"/>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11" w:name="__RefHeading___Toc39518_2142443653"/>
      <w:bookmarkStart w:id="812" w:name="_Toc317"/>
      <w:bookmarkEnd w:id="811"/>
      <w:r>
        <w:rPr>
          <w:rtl w:val="true"/>
        </w:rPr>
        <w:t>اشارة</w:t>
      </w:r>
      <w:bookmarkStart w:id="813" w:name="pg17122_169721"/>
      <w:bookmarkEnd w:id="812"/>
    </w:p>
    <w:p>
      <w:pPr>
        <w:pStyle w:val="BookText"/>
        <w:rPr/>
      </w:pPr>
      <w:bookmarkEnd w:id="813"/>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ارتیاب فیه ، وأحمد بن محمد فی الأوّل الراوی عنه الحسین هو ابن أبی 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علی بن إسماعیل وقد کرّرنا القول فی شأنه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الأخبار الثلاثة لا یدل علی الترتیب المذکور فی کلام المتأخّرین ، من الترتیب بین الجانبین أیضا </w:t>
      </w:r>
      <w:r>
        <w:rPr>
          <w:rStyle w:val="FootnoteAnchor"/>
          <w:rtl w:val="true"/>
        </w:rPr>
        <w:footnoteReference w:id="911"/>
      </w:r>
      <w:r>
        <w:rPr>
          <w:rFonts w:ascii="IRNazanin" w:hAnsi="IRNazanin" w:eastAsia="IRNazanin"/>
          <w:color w:val="111111"/>
          <w:sz w:val="28"/>
          <w:sz w:val="28"/>
          <w:szCs w:val="28"/>
          <w:rtl w:val="true"/>
          <w:lang w:bidi="fa-IR"/>
        </w:rPr>
        <w:t xml:space="preserve">، وفی فوائد شیخنا أیّده الله علی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مقتضی صحیحتی أحمد بن محمد ومحمد بن مسلم ، عدم وجوب ذلک ، فإنّه لو کان واجباً لذکر فی جواب السؤال ، وفی معناهما روایات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 عن أبی عبد الله علیه السلام ، وصحیحة یعقوب ابن یقطین ، عن أبی الحسن علیه السلام ، وهو ظاهر اختیار الصدوقین وابن الجنید ، تمسکاً بمقتضی الأخبار الصحیحة المطابقة لمقتضی الأصل وظاهر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حسنة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یغتسل الرجل </w:t>
      </w:r>
      <w:r>
        <w:rPr>
          <w:rStyle w:val="FootnoteAnchor"/>
          <w:rtl w:val="true"/>
        </w:rPr>
        <w:footnoteReference w:id="912"/>
      </w:r>
      <w:r>
        <w:rPr>
          <w:rFonts w:ascii="IRNazanin" w:hAnsi="IRNazanin" w:eastAsia="IRNazanin"/>
          <w:color w:val="111111"/>
          <w:sz w:val="28"/>
          <w:sz w:val="28"/>
          <w:szCs w:val="28"/>
          <w:rtl w:val="true"/>
          <w:lang w:bidi="fa-IR"/>
        </w:rPr>
        <w:t xml:space="preserve">الجنب؟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لم یکن أصاب کفّه شی‌ء </w:t>
      </w:r>
      <w:r>
        <w:rPr>
          <w:rStyle w:val="FootnoteAnchor"/>
          <w:rtl w:val="true"/>
        </w:rPr>
        <w:footnoteReference w:id="913"/>
      </w:r>
      <w:r>
        <w:rPr>
          <w:rFonts w:ascii="IRNazanin" w:hAnsi="IRNazanin" w:eastAsia="IRNazanin"/>
          <w:color w:val="111111"/>
          <w:sz w:val="28"/>
          <w:sz w:val="28"/>
          <w:szCs w:val="28"/>
          <w:rtl w:val="true"/>
          <w:lang w:bidi="fa-IR"/>
        </w:rPr>
        <w:t>غمسها فی الماء ، ثم بدأ بفرجه</w:t>
      </w:r>
    </w:p>
    <w:p>
      <w:pPr>
        <w:pStyle w:val="Heading4"/>
        <w:numPr>
          <w:ilvl w:val="3"/>
          <w:numId w:val="1"/>
        </w:numPr>
        <w:rPr/>
      </w:pPr>
      <w:bookmarkStart w:id="814" w:name="__RefHeading___Toc39520_2142443653"/>
      <w:bookmarkStart w:id="815" w:name="_Toc318"/>
      <w:bookmarkEnd w:id="814"/>
      <w:r>
        <w:rPr>
          <w:rtl w:val="true"/>
        </w:rPr>
        <w:t>أحمد بن محمد الراوی عنه الحسن بن سعید هو ابن أبی نصر</w:t>
      </w:r>
      <w:bookmarkEnd w:id="815"/>
    </w:p>
    <w:p>
      <w:pPr>
        <w:pStyle w:val="Heading4"/>
        <w:numPr>
          <w:ilvl w:val="3"/>
          <w:numId w:val="1"/>
        </w:numPr>
        <w:rPr/>
      </w:pPr>
      <w:bookmarkStart w:id="816" w:name="__RefHeading___Toc39522_2142443653"/>
      <w:bookmarkStart w:id="817" w:name="_Toc319"/>
      <w:bookmarkEnd w:id="816"/>
      <w:r>
        <w:rPr>
          <w:rtl w:val="true"/>
        </w:rPr>
        <w:t>إشارة إلی علی بن اسماعیل</w:t>
      </w:r>
      <w:bookmarkEnd w:id="81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18" w:name="__RefHeading___Toc39524_2142443653"/>
      <w:bookmarkStart w:id="819" w:name="_Toc320"/>
      <w:bookmarkEnd w:id="818"/>
      <w:r>
        <w:rPr>
          <w:rtl w:val="true"/>
        </w:rPr>
        <w:t>قول المیرزا محمد باستحباب الترتیب والمناقشة فیه</w:t>
      </w:r>
      <w:bookmarkEnd w:id="819"/>
    </w:p>
    <w:p>
      <w:pPr>
        <w:pStyle w:val="BookText"/>
        <w:rPr/>
      </w:pPr>
      <w:r>
        <w:rPr>
          <w:rFonts w:ascii="IRNazanin" w:hAnsi="IRNazanin" w:eastAsia="IRNazanin"/>
          <w:color w:val="111111"/>
          <w:sz w:val="28"/>
          <w:sz w:val="28"/>
          <w:szCs w:val="28"/>
          <w:rtl w:val="true"/>
          <w:lang w:bidi="fa-IR"/>
        </w:rPr>
        <w:t xml:space="preserve">فأنقاه بثلاث غرف ، ثم صبّ علی رأسه ثلاث أکفّ ، ثم صبّ علی منکبه الأیمن مرّتین ، وعلی منکبه الأیسر مرّتین ، فما جری علیه الماء فقد أجزأه </w:t>
      </w:r>
      <w:r>
        <w:rPr>
          <w:rFonts w:eastAsia="IRNazanin" w:cs="IRNazanin"/>
          <w:color w:val="111111"/>
          <w:sz w:val="28"/>
          <w:szCs w:val="28"/>
          <w:rtl w:val="true"/>
          <w:lang w:bidi="fa-IR"/>
        </w:rPr>
        <w:t xml:space="preserve">» </w:t>
      </w:r>
      <w:r>
        <w:rPr>
          <w:rStyle w:val="FootnoteAnchor"/>
          <w:rtl w:val="true"/>
        </w:rPr>
        <w:footnoteReference w:id="914"/>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صبّ علی منکبه الأیمن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یشعر بتقدیمه ، لکن لا یعارض بمثله الأخبار المتقدمة ، وأین هذا من الترتیب المشهور ، والرجحان المطلق ممّا لا نزاع فیه ، فیمکن الجمع بالاستحباب والأولوّیة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أیّده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قاله متوجه ، غیر أنّ 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الترتیب لو کان واجباً لذکر فی جواب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یشکل ، بأنّ هذا بعینه وارد فی صحیح أحمد بن محمد ، فإنّ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أفض علی رأسک وجسدک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یفید الترتیب بین الرأس والبدن ، والحال أنّه لا قائل به ، ولو سلّم إرادته من حیث إنّ الظاهر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أفض علی رأسک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البدأة به ، أشکل فی صحیح زرارة الذی ذکره ، فإنّ فیه بعد ذکر المضمضة والاستنشاق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تغسل جسدک من لدن قرنک إلی قدمیک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الجواب عن هذا فهو الجواب عن الجانب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عمّا ذکرت هو الإجماع 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مدعی أیضاً من الجانب الآخر ، وخلاف معلوم النسب لا یضر بالحال ، ودلالة خبر زرارة الذی نقل أیضاً مساعد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 الإجماع علی الترتیب المشهور هو الشیخ ، والإجماع المنقول بخبر الواحد محل کلام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ارتیاب عند الأصحاب فی قبول الإجماع المنقول بخبر الواحد</w:t>
      </w:r>
      <w:r>
        <w:rPr>
          <w:rFonts w:eastAsia="IRNazanin" w:cs="IRNazanin"/>
          <w:color w:val="111111"/>
          <w:sz w:val="28"/>
          <w:szCs w:val="28"/>
          <w:rtl w:val="true"/>
          <w:lang w:bidi="fa-IR"/>
        </w:rPr>
        <w:t xml:space="preserve">. </w:t>
      </w:r>
      <w:bookmarkStart w:id="820" w:name="pg17122_169723"/>
    </w:p>
    <w:p>
      <w:pPr>
        <w:pStyle w:val="BookText"/>
        <w:rPr/>
      </w:pPr>
      <w:bookmarkEnd w:id="820"/>
      <w:r>
        <w:rPr>
          <w:rFonts w:ascii="IRNazanin" w:hAnsi="IRNazanin" w:eastAsia="IRNazanin"/>
          <w:color w:val="111111"/>
          <w:sz w:val="28"/>
          <w:sz w:val="28"/>
          <w:szCs w:val="28"/>
          <w:rtl w:val="true"/>
          <w:lang w:bidi="fa-IR"/>
        </w:rPr>
        <w:t xml:space="preserve">وهذا الکلام إنّما أوردناه لبیان حقیقة الحال ودفع ما عساه یقال ، والحق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نقل الإجماع بخبر الواحد لا یخرج عن کونه خبراً ، بل هو قریب من المرسل ، غایة الأمر أنّا لو سلّمنا أنّه مسند فهو حجّة کحجّیة </w:t>
      </w:r>
      <w:r>
        <w:rPr>
          <w:rStyle w:val="FootnoteAnchor"/>
          <w:rtl w:val="true"/>
        </w:rPr>
        <w:footnoteReference w:id="915"/>
      </w:r>
      <w:r>
        <w:rPr>
          <w:rFonts w:ascii="IRNazanin" w:hAnsi="IRNazanin" w:eastAsia="IRNazanin"/>
          <w:color w:val="111111"/>
          <w:sz w:val="28"/>
          <w:sz w:val="28"/>
          <w:szCs w:val="28"/>
          <w:rtl w:val="true"/>
          <w:lang w:bidi="fa-IR"/>
        </w:rPr>
        <w:t xml:space="preserve">الخبر ، فدلیل العمل بخبر الواحد دلیله ، وإن أمکن الفرق بأنّ العادة قاضیة بامتناع تحقیق </w:t>
      </w:r>
      <w:r>
        <w:rPr>
          <w:rStyle w:val="FootnoteAnchor"/>
          <w:rtl w:val="true"/>
        </w:rPr>
        <w:footnoteReference w:id="916"/>
      </w:r>
      <w:r>
        <w:rPr>
          <w:rFonts w:ascii="IRNazanin" w:hAnsi="IRNazanin" w:eastAsia="IRNazanin"/>
          <w:color w:val="111111"/>
          <w:sz w:val="28"/>
          <w:sz w:val="28"/>
          <w:szCs w:val="28"/>
          <w:rtl w:val="true"/>
          <w:lang w:bidi="fa-IR"/>
        </w:rPr>
        <w:t xml:space="preserve">الإجماع فی زمن مدعیة ، إلاّ أنّ إنکار ذلک إذا وقع من العدل مشکل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الإجماع المنقول إذا رجع إلی الخبر کان مع المعارض حکمه حکم الخبر فی الترجیح بالضبط ونحوه ، ولا ریب أنّ ناقل الإجماع إذا علم منه مخالفة نفسه أشکل الحکم بضبطه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مخالفة نفسه قرینة علی إرادته غیر معنی الإجماع منه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یضر بالحال أیضا ، لأنه نوع من التدلیس ، کیف ومن لم یطلع علی خلاف </w:t>
      </w:r>
      <w:r>
        <w:rPr>
          <w:rStyle w:val="FootnoteAnchor"/>
          <w:rtl w:val="true"/>
        </w:rPr>
        <w:footnoteReference w:id="918"/>
      </w:r>
      <w:r>
        <w:rPr>
          <w:rFonts w:ascii="IRNazanin" w:hAnsi="IRNazanin" w:eastAsia="IRNazanin"/>
          <w:color w:val="111111"/>
          <w:sz w:val="28"/>
          <w:sz w:val="28"/>
          <w:szCs w:val="28"/>
          <w:rtl w:val="true"/>
          <w:lang w:bidi="fa-IR"/>
        </w:rPr>
        <w:t xml:space="preserve">نفسه ینسی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rtl w:val="true"/>
          <w:lang w:bidi="fa-IR"/>
        </w:rPr>
        <w:t xml:space="preserve">] </w:t>
      </w:r>
      <w:r>
        <w:rPr>
          <w:rStyle w:val="FootnoteAnchor"/>
          <w:rtl w:val="true"/>
        </w:rPr>
        <w:footnoteReference w:id="919"/>
      </w:r>
      <w:r>
        <w:rPr>
          <w:rFonts w:ascii="IRNazanin" w:hAnsi="IRNazanin" w:eastAsia="IRNazanin"/>
          <w:color w:val="111111"/>
          <w:sz w:val="28"/>
          <w:sz w:val="28"/>
          <w:szCs w:val="28"/>
          <w:rtl w:val="true"/>
          <w:lang w:bidi="fa-IR"/>
        </w:rPr>
        <w:t xml:space="preserve">نقل الإجماع ، ووجوب التتبّع لیصیر من قبیل العام المخصوص لا وجه له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علم الخلاف یبین إرادة غیر المعنی الحقیقی ، وبدونه فلا ، وأنت خبیر بما فی هذا من التکلف ، وعدم المناسبة لصون الأحکام الشرعیة عن التخلیط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عرفت هذا کلّه فاعلم أنّ الحال إذا رجع إلی التعارض والترجیح ، فالإحالة علی الفکر فی حقائق الأُمور أولی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21" w:name="__RefHeading___Toc39526_2142443653"/>
      <w:bookmarkStart w:id="822" w:name="_Toc321"/>
      <w:bookmarkEnd w:id="821"/>
      <w:r>
        <w:rPr>
          <w:rtl w:val="true"/>
        </w:rPr>
        <w:t>تحقیق حول الإجماع المنقول بخبر الواحد</w:t>
      </w:r>
      <w:bookmarkStart w:id="823" w:name="pg17122_169724"/>
      <w:bookmarkEnd w:id="822"/>
    </w:p>
    <w:p>
      <w:pPr>
        <w:pStyle w:val="BookText"/>
        <w:rPr/>
      </w:pPr>
      <w:bookmarkEnd w:id="823"/>
      <w:r>
        <w:rPr>
          <w:rFonts w:ascii="IRNazanin" w:hAnsi="IRNazanin" w:eastAsia="IRNazanin"/>
          <w:color w:val="111111"/>
          <w:sz w:val="28"/>
          <w:sz w:val="28"/>
          <w:szCs w:val="28"/>
          <w:rtl w:val="true"/>
          <w:lang w:bidi="fa-IR"/>
        </w:rPr>
        <w:t xml:space="preserve">ثم إنّ الأخبار المعتبرة لا ینکر إفادتها ما قاله شیخنا أیّده الله </w:t>
      </w:r>
      <w:r>
        <w:rPr>
          <w:rFonts w:eastAsia="IRNazanin" w:cs="IRNazanin"/>
          <w:color w:val="111111"/>
          <w:sz w:val="28"/>
          <w:szCs w:val="28"/>
          <w:rtl w:val="true"/>
          <w:lang w:bidi="fa-IR"/>
        </w:rPr>
        <w:t xml:space="preserve">- </w:t>
      </w:r>
      <w:r>
        <w:rPr>
          <w:rStyle w:val="FootnoteAnchor"/>
          <w:rtl w:val="true"/>
        </w:rPr>
        <w:footnoteReference w:id="920"/>
      </w:r>
      <w:r>
        <w:rPr>
          <w:rFonts w:ascii="IRNazanin" w:hAnsi="IRNazanin" w:eastAsia="IRNazanin"/>
          <w:color w:val="111111"/>
          <w:sz w:val="28"/>
          <w:sz w:val="28"/>
          <w:szCs w:val="28"/>
          <w:rtl w:val="true"/>
          <w:lang w:bidi="fa-IR"/>
        </w:rPr>
        <w:t xml:space="preserve">وکذلک </w:t>
      </w:r>
      <w:r>
        <w:rPr>
          <w:rStyle w:val="FootnoteAnchor"/>
          <w:rtl w:val="true"/>
        </w:rPr>
        <w:footnoteReference w:id="921"/>
      </w:r>
      <w:r>
        <w:rPr>
          <w:rFonts w:ascii="IRNazanin" w:hAnsi="IRNazanin" w:eastAsia="IRNazanin"/>
          <w:color w:val="111111"/>
          <w:sz w:val="28"/>
          <w:sz w:val="28"/>
          <w:szCs w:val="28"/>
          <w:rtl w:val="true"/>
          <w:lang w:bidi="fa-IR"/>
        </w:rPr>
        <w:t>کان الوالد قدس سره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وشیخنا قدس سره صرّح به فی فوائد الکتاب ، إلاّ أنّ القول بأنّه لو وجب الترتیب بین الجانبین لذکر فی جواب السؤال ، مع الإجمال الواقع فی بعضها لا یخلو من إشکال ، وقد قدّمنا ما یصلح للجواب عن ذلک فی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مطلق ومقید لا یخرج عن هذا ، ولو لا التسدید الذی قدمناه ما صح حمل مطلق علی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الخبر الأوّل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تغسل یدک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ودلالة الثانی علی غَسل الکفّین قد قدّمنا القول فیه ، کما ذکرنا حکم البول المذکور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تضمنه الخبر الثانی من الصب علی الرأس ثلاثاً یحتمل أن یراد به الغسل ثلاثاً ، ویحتمل الصب ثلاثا والغَسل مرّة ، ودلالة الخبر الثالث علی وجوب تقدیم الرأس ظاهرة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إفاضة الماء علی الشی‌ء إفراغه علیه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 الماء إذا جری ، وفاض الدمع إذا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الأثیر فی أحکام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یستعمل بمعنی البقیة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مأخوذ من السور ، قال الشنفری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احتملوا رأسی وفی الرأس أکثری</w:t>
      </w:r>
    </w:p>
    <w:p>
      <w:pPr>
        <w:pStyle w:val="BookText"/>
        <w:rPr/>
      </w:pPr>
      <w:r>
        <w:rPr>
          <w:rFonts w:ascii="IRNazanin" w:hAnsi="IRNazanin" w:eastAsia="IRNazanin"/>
          <w:color w:val="111111"/>
          <w:sz w:val="28"/>
          <w:sz w:val="28"/>
          <w:szCs w:val="28"/>
          <w:rtl w:val="true"/>
          <w:lang w:bidi="fa-IR"/>
        </w:rPr>
        <w:t>وغودر عند الملتقی ثم سائری</w:t>
      </w:r>
      <w:r>
        <w:rPr>
          <w:rStyle w:val="FootnoteAnchor"/>
          <w:rtl w:val="true"/>
        </w:rPr>
        <w:footnoteReference w:id="922"/>
      </w:r>
    </w:p>
    <w:p>
      <w:pPr>
        <w:pStyle w:val="Heading4"/>
        <w:numPr>
          <w:ilvl w:val="3"/>
          <w:numId w:val="1"/>
        </w:numPr>
        <w:rPr/>
      </w:pPr>
      <w:bookmarkStart w:id="824" w:name="__RefHeading___Toc39528_2142443653"/>
      <w:bookmarkStart w:id="825" w:name="_Toc322"/>
      <w:bookmarkEnd w:id="824"/>
      <w:r>
        <w:rPr>
          <w:rtl w:val="true"/>
        </w:rPr>
        <w:t>معنی الإفاضة</w:t>
      </w:r>
      <w:bookmarkEnd w:id="825"/>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26" w:name="__RefHeading___Toc39530_2142443653"/>
      <w:bookmarkStart w:id="827" w:name="_Toc323"/>
      <w:bookmarkEnd w:id="826"/>
      <w:r>
        <w:rPr>
          <w:rtl w:val="true"/>
        </w:rPr>
        <w:t>معنی سائر</w:t>
      </w:r>
      <w:bookmarkEnd w:id="827"/>
    </w:p>
    <w:p>
      <w:pPr>
        <w:pStyle w:val="BookText"/>
        <w:rPr/>
      </w:pPr>
      <w:r>
        <w:rPr>
          <w:rFonts w:ascii="IRNazanin" w:hAnsi="IRNazanin" w:eastAsia="IRNazanin"/>
          <w:color w:val="111111"/>
          <w:sz w:val="28"/>
          <w:sz w:val="28"/>
          <w:szCs w:val="28"/>
          <w:rtl w:val="true"/>
          <w:lang w:bidi="fa-IR"/>
        </w:rPr>
        <w:t xml:space="preserve">أی بقیّتی ، وقد ذکر فی أوهام الخواص أنّ جعلها بمعنی جمیع من ذلک ، وفی الصحاح ما یفید جوازه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ابن أبی عمیر ، عن هشام بن سالم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عبد الله علیه السلام فیما بین مکة والمدینة ، معه أُمّ إسماعیل فأصاب من جاریة له فأمرها فغسلت جسدها وترکت رأسها قال 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أردت أن ترکبی فاغسلی رأسک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ذلک فعلمت بذلک أُمّ إسماعیل فحلقت رأسها ، فلمّا کان من قابل انتهی أبو عبد الله علیه السلام إلی ذلک الموضع </w:t>
      </w:r>
      <w:r>
        <w:rPr>
          <w:rStyle w:val="FootnoteAnchor"/>
          <w:rtl w:val="true"/>
        </w:rPr>
        <w:footnoteReference w:id="924"/>
      </w:r>
      <w:r>
        <w:rPr>
          <w:rFonts w:ascii="IRNazanin" w:hAnsi="IRNazanin" w:eastAsia="IRNazanin"/>
          <w:color w:val="111111"/>
          <w:sz w:val="28"/>
          <w:sz w:val="28"/>
          <w:szCs w:val="28"/>
          <w:rtl w:val="true"/>
          <w:lang w:bidi="fa-IR"/>
        </w:rPr>
        <w:t xml:space="preserve">فقالت له أُمّ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موضع هذا؟ فقال 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الموضع الذی أحبط الله فیه حجّک عام 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الخبر یوشک أن یکون قد وهم الراوی فیه ، ولم یضبطه فاشتبه علیه الأمر ، لأنّه لا یمتنع أن یکون سمع أن یقول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علیه السلام </w:t>
      </w:r>
      <w:r>
        <w:rPr>
          <w:rFonts w:eastAsia="IRNazanin" w:cs="IRNazanin"/>
          <w:color w:val="111111"/>
          <w:sz w:val="28"/>
          <w:szCs w:val="28"/>
          <w:rtl w:val="true"/>
          <w:lang w:bidi="fa-IR"/>
        </w:rPr>
        <w:t xml:space="preserve">] </w:t>
      </w:r>
      <w:r>
        <w:rPr>
          <w:rStyle w:val="FootnoteAnchor"/>
          <w:rtl w:val="true"/>
        </w:rPr>
        <w:footnoteReference w:id="9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اغسلی رأسک فإذا أردت الرکوب فاغسلی جسدک ، فرواه بالعکس من ذلک ، والذی یدل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راوی هذا الخبر وهو هشام بن سالم روی هذا الخبر بعینه علی ما قلناه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ذلک الحسین بن سعید ، عن النضر ، عن هشام بن سالم ، عن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 الله علیه السلام فسطاطه وهو یکلم امرأة فأبطأت علیه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ادنه ، هذه أُمّ إسماعیل جاءت وأنا </w:t>
      </w:r>
      <w:bookmarkStart w:id="828" w:name="pg17122_169726"/>
    </w:p>
    <w:p>
      <w:pPr>
        <w:pStyle w:val="BookText"/>
        <w:rPr/>
      </w:pPr>
      <w:bookmarkEnd w:id="828"/>
      <w:r>
        <w:rPr>
          <w:rFonts w:ascii="IRNazanin" w:hAnsi="IRNazanin" w:eastAsia="IRNazanin"/>
          <w:color w:val="111111"/>
          <w:sz w:val="28"/>
          <w:sz w:val="28"/>
          <w:szCs w:val="28"/>
          <w:rtl w:val="true"/>
          <w:lang w:bidi="fa-IR"/>
        </w:rPr>
        <w:t xml:space="preserve">أزعم أن هذا المکان الذی أحبط الله فیه حجّها عام أول ، کنت أردت الإحرام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ضعوا لی الماء فی الخباء فذهبت الجاریة بالماء فوضعته فاستخففتها فأصبت منها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اغسلی رأسک وامسحیه مسحاً شدیداً لا تعلم به مولاتک فإذا أردت الإحرام فاغسلی جسدک ولا تغسلی رأسک فتستریب مولاتک ، فدخلت فسطاط مولاتها فدنت </w:t>
      </w:r>
      <w:r>
        <w:rPr>
          <w:rStyle w:val="FootnoteAnchor"/>
          <w:rtl w:val="true"/>
        </w:rPr>
        <w:footnoteReference w:id="926"/>
      </w:r>
      <w:r>
        <w:rPr>
          <w:rFonts w:ascii="IRNazanin" w:hAnsi="IRNazanin" w:eastAsia="IRNazanin"/>
          <w:color w:val="111111"/>
          <w:sz w:val="28"/>
          <w:sz w:val="28"/>
          <w:szCs w:val="28"/>
          <w:rtl w:val="true"/>
          <w:lang w:bidi="fa-IR"/>
        </w:rPr>
        <w:t xml:space="preserve">تتناول شیئاً فمسّت مولاتها رأسها فإذاً لزوجة الماء فحلقت رأسها وضربتها ، فقلت لها </w:t>
      </w:r>
      <w:r>
        <w:rPr>
          <w:rStyle w:val="FootnoteAnchor"/>
          <w:rtl w:val="true"/>
        </w:rPr>
        <w:footnoteReference w:id="927"/>
      </w:r>
      <w:r>
        <w:rPr>
          <w:rFonts w:ascii="IRNazanin" w:hAnsi="IRNazanin" w:eastAsia="IRNazanin"/>
          <w:color w:val="111111"/>
          <w:sz w:val="28"/>
          <w:sz w:val="28"/>
          <w:szCs w:val="28"/>
          <w:rtl w:val="true"/>
          <w:lang w:bidi="fa-IR"/>
        </w:rPr>
        <w:t xml:space="preserve">المکان الذی أحبط الله فیه حجّک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الخبرین لا ارتیاب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قاله الشیخ فیه لا یخلو من وجه ، وإن بَعَّدَه احتمال أن یکون الروایة الأُولی مشافهة والثانیة بواسطة ، فلا تدل علی مطلوب الشیخ ، مضافاً إلی أنّ التخالف غیر محصور فیما قاله الشیخ کما یظهر من ملاحظة الروایتین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هؤلاء الرواة الإثبات </w:t>
      </w:r>
      <w:r>
        <w:rPr>
          <w:rFonts w:eastAsia="Amiri" w:cs="Amiri" w:ascii="Amiri" w:hAnsi="Amiri"/>
          <w:color w:val="111111"/>
          <w:sz w:val="28"/>
          <w:szCs w:val="28"/>
          <w:rtl w:val="true"/>
          <w:lang w:bidi="ar-SA"/>
        </w:rPr>
        <w:t xml:space="preserve">) </w:t>
      </w:r>
      <w:r>
        <w:rPr>
          <w:rStyle w:val="FootnoteAnchor"/>
          <w:rtl w:val="true"/>
        </w:rPr>
        <w:footnoteReference w:id="928"/>
      </w:r>
      <w:r>
        <w:rPr>
          <w:rFonts w:ascii="IRNazanin" w:hAnsi="IRNazanin" w:eastAsia="IRNazanin"/>
          <w:color w:val="111111"/>
          <w:sz w:val="28"/>
          <w:sz w:val="28"/>
          <w:szCs w:val="28"/>
          <w:rtl w:val="true"/>
          <w:lang w:bidi="fa-IR"/>
        </w:rPr>
        <w:t>یستبعد منهم عدم الضبط ، والله تعالی أعلم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دلالة الخبرین علی إبطال الحج علی وجه المبالغة </w:t>
      </w:r>
      <w:r>
        <w:rPr>
          <w:rStyle w:val="FootnoteAnchor"/>
          <w:rtl w:val="true"/>
        </w:rPr>
        <w:footnoteReference w:id="929"/>
      </w:r>
      <w:r>
        <w:rPr>
          <w:rFonts w:ascii="IRNazanin" w:hAnsi="IRNazanin" w:eastAsia="IRNazanin"/>
          <w:color w:val="111111"/>
          <w:sz w:val="28"/>
          <w:sz w:val="28"/>
          <w:szCs w:val="28"/>
          <w:rtl w:val="true"/>
          <w:lang w:bidi="fa-IR"/>
        </w:rPr>
        <w:t>لنقصان الثواب</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29" w:name="__RefHeading___Toc39532_2142443653"/>
      <w:bookmarkStart w:id="830" w:name="_Toc324"/>
      <w:bookmarkEnd w:id="829"/>
      <w:r>
        <w:rPr>
          <w:rtl w:val="true"/>
        </w:rPr>
        <w:t>المناقشة فی توجیه الشیخ لخبر هشام بن سالم</w:t>
      </w:r>
      <w:bookmarkStart w:id="831" w:name="pg17122_169727"/>
      <w:bookmarkEnd w:id="830"/>
    </w:p>
    <w:p>
      <w:pPr>
        <w:pStyle w:val="BookText"/>
        <w:rPr/>
      </w:pPr>
      <w:bookmarkEnd w:id="831"/>
      <w:r>
        <w:rPr>
          <w:rFonts w:ascii="IRNazanin" w:hAnsi="IRNazanin" w:eastAsia="IRNazanin"/>
          <w:color w:val="111111"/>
          <w:sz w:val="28"/>
          <w:sz w:val="28"/>
          <w:szCs w:val="28"/>
          <w:rtl w:val="true"/>
          <w:lang w:bidi="fa-IR"/>
        </w:rPr>
        <w:t xml:space="preserve">وأنت خبیر بأنّه یستفاد من خبر هشام عدم وجوب الموالاة فی الغسل کما هو المشهور بین الأصحاب ، بل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متفق علیه </w:t>
      </w:r>
      <w:r>
        <w:rPr>
          <w:rStyle w:val="FootnoteAnchor"/>
          <w:rtl w:val="true"/>
        </w:rPr>
        <w:footnoteReference w:id="930"/>
      </w:r>
      <w:r>
        <w:rPr>
          <w:rFonts w:ascii="IRNazanin" w:hAnsi="IRNazanin" w:eastAsia="IRNazanin"/>
          <w:color w:val="111111"/>
          <w:sz w:val="28"/>
          <w:sz w:val="28"/>
          <w:szCs w:val="28"/>
          <w:rtl w:val="true"/>
          <w:lang w:bidi="fa-IR"/>
        </w:rPr>
        <w:t xml:space="preserve">، واستدل علی عدم الوجوب بصدق الامتثال بدونها ، وبصحیح إبراهیم ابن عمر الیمانی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علیّاً علیه السلام لم یر بأساً أن یغسل الجنب رأسه غدوة وسائر جسده عند الصلاة </w:t>
      </w:r>
      <w:r>
        <w:rPr>
          <w:rFonts w:eastAsia="IRNazanin" w:cs="IRNazanin"/>
          <w:color w:val="111111"/>
          <w:sz w:val="28"/>
          <w:szCs w:val="28"/>
          <w:rtl w:val="true"/>
          <w:lang w:bidi="fa-IR"/>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یذهب علیک أنّ ظاهر الحدیث المستدل به مع هذه الروایة عدم صحة غَسل بعض الرأس مع أنّ إطلاق عدم وجوب الموالاة یقتضی الصحة ، مضافا إلی إطلاق الأمر الذی قالوه ، ولم أر من ذکر ذلک من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بعض الاستدلال فی الوضوء یتناول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فجوابه الخروج بالدلیل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فاعلم أنّ خبر محمد بن مسلم وغیره من الأخبار الدالة علی تقدیم الرأس لا یخلو من إجمال فی حقیقة الرأس ، فیحتمل أن یراد به منابت الشعر خاصة ، ویحتمل إرادة المنابت مع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شیخنا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صحیح یعقوب بن یقطین یدل علی أنّ الرأس المنابت خاصة </w:t>
      </w:r>
      <w:r>
        <w:rPr>
          <w:rStyle w:val="FootnoteAnchor"/>
          <w:rtl w:val="true"/>
        </w:rPr>
        <w:footnoteReference w:id="932"/>
      </w:r>
      <w:r>
        <w:rPr>
          <w:rFonts w:ascii="IRNazanin" w:hAnsi="IRNazanin" w:eastAsia="IRNazanin"/>
          <w:color w:val="111111"/>
          <w:sz w:val="28"/>
          <w:sz w:val="28"/>
          <w:szCs w:val="28"/>
          <w:rtl w:val="true"/>
          <w:lang w:bidi="fa-IR"/>
        </w:rPr>
        <w:t xml:space="preserve">، والروایة لم یحضرنی الآن سندها ، لکن متنها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یصب الماء علی رأسه وعلی وجهه وعلی جسده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وجه استفادة ما قاله من ذکر الوجه بعد الرأس ، ولا یخفی علیک الحال بسبب بقاء نوع إجمال</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32" w:name="__RefHeading___Toc39534_2142443653"/>
      <w:bookmarkStart w:id="833" w:name="_Toc325"/>
      <w:bookmarkEnd w:id="832"/>
      <w:r>
        <w:rPr>
          <w:rtl w:val="true"/>
        </w:rPr>
        <w:t>عدم وجوب الموالاة فی الغسل</w:t>
      </w:r>
      <w:bookmarkStart w:id="834" w:name="pg17122_169728"/>
      <w:bookmarkEnd w:id="833"/>
    </w:p>
    <w:p>
      <w:pPr>
        <w:pStyle w:val="BookText"/>
        <w:rPr/>
      </w:pPr>
      <w:bookmarkEnd w:id="834"/>
      <w:r>
        <w:rPr>
          <w:rFonts w:ascii="IRNazanin" w:hAnsi="IRNazanin" w:eastAsia="IRNazanin"/>
          <w:color w:val="111111"/>
          <w:sz w:val="28"/>
          <w:sz w:val="28"/>
          <w:szCs w:val="28"/>
          <w:rtl w:val="true"/>
          <w:lang w:bidi="fa-IR"/>
        </w:rPr>
        <w:t xml:space="preserve">وفی حسنة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صبّ علی رأسه ثلاث أکفّ ، ثم صبّ علی منکبه الأیمن </w:t>
      </w:r>
      <w:r>
        <w:rPr>
          <w:rFonts w:eastAsia="IRNazanin" w:cs="IRNazanin"/>
          <w:color w:val="111111"/>
          <w:sz w:val="28"/>
          <w:szCs w:val="28"/>
          <w:rtl w:val="true"/>
          <w:lang w:bidi="fa-IR"/>
        </w:rPr>
        <w:t xml:space="preserve">» </w:t>
      </w:r>
      <w:r>
        <w:rPr>
          <w:rStyle w:val="FootnoteAnchor"/>
          <w:rtl w:val="true"/>
        </w:rPr>
        <w:footnoteReference w:id="933"/>
      </w:r>
      <w:r>
        <w:rPr>
          <w:rFonts w:ascii="IRNazanin" w:hAnsi="IRNazanin" w:eastAsia="IRNazanin"/>
          <w:color w:val="111111"/>
          <w:sz w:val="28"/>
          <w:sz w:val="28"/>
          <w:szCs w:val="28"/>
          <w:rtl w:val="true"/>
          <w:lang w:bidi="fa-IR"/>
        </w:rPr>
        <w:t>وظاهرها یقتضی دخول الرقبة والوجه فی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وصرح جدی قدس سره فی الروضة بأنّ الرأس والرقبة عضو واحد </w:t>
      </w:r>
      <w:r>
        <w:rPr>
          <w:rStyle w:val="FootnoteAnchor"/>
          <w:rtl w:val="true"/>
        </w:rPr>
        <w:footnoteReference w:id="9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یبعد استفادة ذلک من الروایات ، ویکون ذکر الوجه بینهما فی صحیح یعقوب تنصیصاً </w:t>
      </w:r>
      <w:r>
        <w:rPr>
          <w:rStyle w:val="FootnoteAnchor"/>
          <w:rtl w:val="true"/>
        </w:rPr>
        <w:footnoteReference w:id="935"/>
      </w:r>
      <w:r>
        <w:rPr>
          <w:rFonts w:ascii="IRNazanin" w:hAnsi="IRNazanin" w:eastAsia="IRNazanin"/>
          <w:color w:val="111111"/>
          <w:sz w:val="28"/>
          <w:sz w:val="28"/>
          <w:szCs w:val="28"/>
          <w:rtl w:val="true"/>
          <w:lang w:bidi="fa-IR"/>
        </w:rPr>
        <w:t>علیه لا لکونه خارجا عن الرأس ، ومع ذلک فالحکم لا یخلو من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وروایة هشام لا صراحة فیها بکون الرأس هو المنابت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وثمرة ما ذکرنا فی الرأس تظهر فی الموالاة التی أشرنا إلیها سابقاً ، فلا ینبغی الغفلة عن جمیع ذلک ، فإنی لم أره محرّراً فی کلام المتأخّرین ، والله أعلم بالحال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الفُسطاط بالضم والکسر المدینة ، وقال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ضرب من الأبنیة فی السفر </w:t>
      </w:r>
      <w:r>
        <w:rPr>
          <w:rStyle w:val="FootnoteAnchor"/>
          <w:rtl w:val="true"/>
        </w:rPr>
        <w:footnoteReference w:id="9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القاموس من جملة معانیه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السرادق من الأبنیة </w:t>
      </w:r>
      <w:r>
        <w:rPr>
          <w:rStyle w:val="FootnoteAnchor"/>
          <w:rtl w:val="true"/>
        </w:rPr>
        <w:footnoteReference w:id="9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به بیت من الشعر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والخباء بکسر الخاء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خیمة من وبر أو صوف ولا یکون من شَعر وهو علی عمودین أو ثلاثة ، وما فوق ذلک فهو بیت ، کذا نقل عن الصحاح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5" w:name="__RefHeading___Toc39536_2142443653"/>
      <w:bookmarkStart w:id="836" w:name="_Toc326"/>
      <w:bookmarkEnd w:id="835"/>
      <w:r>
        <w:rPr>
          <w:rtl w:val="true"/>
        </w:rPr>
        <w:t>هل الوجه والرقبة داخلان فی حقیقة الرأس؟</w:t>
      </w:r>
      <w:bookmarkEnd w:id="836"/>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37" w:name="__RefHeading___Toc39538_2142443653"/>
      <w:bookmarkStart w:id="838" w:name="_Toc327"/>
      <w:bookmarkEnd w:id="837"/>
      <w:r>
        <w:rPr>
          <w:rtl w:val="true"/>
        </w:rPr>
        <w:t>معنی الفسطاط والخِباء</w:t>
      </w:r>
      <w:bookmarkEnd w:id="838"/>
    </w:p>
    <w:p>
      <w:pPr>
        <w:pStyle w:val="BookText"/>
        <w:rPr/>
      </w:pPr>
      <w:r>
        <w:rPr>
          <w:rFonts w:ascii="IRNazanin" w:hAnsi="IRNazanin" w:eastAsia="IRNazanin"/>
          <w:color w:val="111111"/>
          <w:sz w:val="28"/>
          <w:sz w:val="28"/>
          <w:szCs w:val="28"/>
          <w:rtl w:val="true"/>
          <w:lang w:bidi="fa-IR"/>
        </w:rPr>
        <w:t xml:space="preserve">والهاء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هاء السکت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وأبطأت أی توقّفت ولم أسرع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فاستخففتها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 وجدتها خفیفة علی طبعی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بقی شی‌ء وهو 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تعلم به مولاتک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نصبه بأن مقدّرة أی لئلاّ تعلم ، والضمیر المجرور یعود إلی الغسل ، ویمکن أن یکون مرفوعا بأن یکون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نعتاً للمسح والمجرور عائد إلیه ، والفعل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فتستریب مولاتک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بفاء السببیة بعد النهی ، کما ذکر فی الحبل المتین </w:t>
      </w:r>
      <w:r>
        <w:rPr>
          <w:rStyle w:val="FootnoteAnchor"/>
          <w:rtl w:val="true"/>
        </w:rPr>
        <w:footnoteReference w:id="941"/>
      </w:r>
      <w:r>
        <w:rPr>
          <w:rFonts w:ascii="Amiri" w:hAnsi="Amiri" w:eastAsia="Amiri" w:cs="Amiri"/>
          <w:color w:val="111111"/>
          <w:sz w:val="28"/>
          <w:sz w:val="28"/>
          <w:szCs w:val="28"/>
          <w:rtl w:val="true"/>
          <w:lang w:bidi="ar-SA"/>
        </w:rPr>
        <w:t>، فلیتأملّ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یعقوب ، عن علی بن إبراهیم ، عن أبیه ، عن ابن أبی عمیر ، عن حماد ، عن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ارتمس الجنب فی الماء ارتماسة واحدة أجزأه ذلک من غسله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ینافی ما قدمناه من وجوب الترتیب ، لأنّ المرتمس یترتب حکماً وإن لم یترتب فعلاً ، لأنّه إذا خرج من الماء حکم له أوّلاً بطهارة رأسه ثم جانبه الأیمن ثم جانبه الأیسر فیکون علی هذا التقدیر مرتّبا ، ویجوز أن یکون عند الارتماس یسقط مراعاة الترتیب کما یسقط عند غسل الجنابة فرض الوضوء</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ما رواه محمد بن علی بن محبوب ، عن أحمد بن محمد ، عن موسی بن القاسم ، عن علی بن جعفر ، عن أخیه موسی بن </w:t>
      </w:r>
      <w:bookmarkStart w:id="839" w:name="pg17122_169730"/>
    </w:p>
    <w:p>
      <w:pPr>
        <w:pStyle w:val="BookText"/>
        <w:rPr/>
      </w:pPr>
      <w:bookmarkEnd w:id="839"/>
      <w:r>
        <w:rPr>
          <w:rFonts w:ascii="IRNazanin" w:hAnsi="IRNazanin" w:eastAsia="IRNazanin"/>
          <w:color w:val="111111"/>
          <w:sz w:val="28"/>
          <w:sz w:val="28"/>
          <w:szCs w:val="28"/>
          <w:rtl w:val="true"/>
          <w:lang w:bidi="fa-IR"/>
        </w:rPr>
        <w:t xml:space="preserve">جعفر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یجنب هل یجزیه من غسل الجنابة أن یقوم فی المطر حتی یغسل رأسه وجسده وهو یقدر علی ما سوی ذلک؟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یغسله اغتساله بالماء أجزأه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الخبر أیضاً یحتمل أن یکون إنّما أجاز له إذا غسل هو الأعضاء عند نزول المطر علیه علی ما یجب ترتیبها ، ویحتمل أن یکون القول فیه ما قلناه فی الخبر الأوّل من أنّه مترتّب حکماً لا فعلاً ، أو یکون هذا حکم یخصّه دون من یرید الغسل بوضع الماء علی جسده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فی الأوّل حسن ، وفی الثانی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أن الارتماس یقوم مقام الترتیب ، وما ذکره الشیخ من أنّه إذا خرج من الماء إلی آخره ، غیر واضح الوجه ، بل الوجه الثانی هو الظاهر من الروایة ، وقد تقدم فی باب المضمضة </w:t>
      </w:r>
      <w:r>
        <w:rPr>
          <w:rStyle w:val="FootnoteAnchor"/>
          <w:rtl w:val="true"/>
        </w:rPr>
        <w:footnoteReference w:id="942"/>
      </w:r>
      <w:r>
        <w:rPr>
          <w:rFonts w:ascii="IRNazanin" w:hAnsi="IRNazanin" w:eastAsia="IRNazanin"/>
          <w:color w:val="111111"/>
          <w:sz w:val="28"/>
          <w:sz w:val="28"/>
          <w:szCs w:val="28"/>
          <w:rtl w:val="true"/>
          <w:lang w:bidi="fa-IR"/>
        </w:rPr>
        <w:t xml:space="preserve">عن التهذیب خبراً صحیحاً عن زرارة ، وفیه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أنّ رجلاً جنباً ارتمس فی الماء ارتماسة واحدة أجزأه ذلک وإن لم یدلک جسده </w:t>
      </w:r>
      <w:r>
        <w:rPr>
          <w:rFonts w:eastAsia="IRNazanin" w:cs="IRNazanin"/>
          <w:color w:val="111111"/>
          <w:sz w:val="28"/>
          <w:szCs w:val="28"/>
          <w:rtl w:val="true"/>
          <w:lang w:bidi="fa-IR"/>
        </w:rPr>
        <w:t xml:space="preserve">»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ربما یدل علی إجزاء الارتماس عن الترتیب ، واحتمال أن یراد الإجزاء فیه بالنسبة إلی عدم دلک الجسد وإن أمکن ، إلاّ أنّا بیّنا سابقاً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40" w:name="__RefHeading___Toc39540_2142443653"/>
      <w:bookmarkStart w:id="841" w:name="_Toc328"/>
      <w:bookmarkEnd w:id="840"/>
      <w:r>
        <w:rPr>
          <w:rtl w:val="true"/>
        </w:rPr>
        <w:t>هل الارتماس یقوم مقام الترتیب؟</w:t>
      </w:r>
      <w:bookmarkEnd w:id="841"/>
    </w:p>
    <w:p>
      <w:pPr>
        <w:pStyle w:val="BookText"/>
        <w:rPr/>
      </w:pPr>
      <w:r>
        <w:rPr>
          <w:rFonts w:ascii="IRNazanin" w:hAnsi="IRNazanin" w:eastAsia="IRNazanin"/>
          <w:color w:val="111111"/>
          <w:sz w:val="28"/>
          <w:sz w:val="28"/>
          <w:szCs w:val="28"/>
          <w:rtl w:val="true"/>
          <w:lang w:bidi="fa-IR"/>
        </w:rPr>
        <w:t xml:space="preserve">احتمالا لا ینافی إبقاءه علی الإطلاق من وجه آخر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فوائد شیخنا قدس سره علی الکتاب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دلت علیه الروایة الصحیحة السند المعتبرة فیمن لا یحضره الفقیه أنّ الغسل یتحقق بالارتماسة الواحدة ، وأمّا أنّ غسل الارتماس یترتب فی نفسه بالمعنی الذی ذکره الشیخ فی هذا الکتاب ، أو أنّ المغتسِل یعتقد الترتیب کما ذکره بعض آخر فلیس فی الأدلّة الشرعیة ما یدل علیه ، فإثباته مجازفة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قدس سره بروایة الفقیه إلی ما رواه عن الحلبی </w:t>
      </w:r>
      <w:r>
        <w:rPr>
          <w:rStyle w:val="FootnoteAnchor"/>
          <w:rtl w:val="true"/>
        </w:rPr>
        <w:footnoteReference w:id="945"/>
      </w:r>
      <w:r>
        <w:rPr>
          <w:rFonts w:ascii="IRNazanin" w:hAnsi="IRNazanin" w:eastAsia="IRNazanin"/>
          <w:color w:val="111111"/>
          <w:sz w:val="28"/>
          <w:sz w:val="28"/>
          <w:szCs w:val="28"/>
          <w:rtl w:val="true"/>
          <w:lang w:bidi="fa-IR"/>
        </w:rPr>
        <w:t xml:space="preserve">، وطریقه إلیه صحیح علی ما بیّناه فی حاشیته ، وما ذکره قدس سره عن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اعتقاد الترتیب ، فقد حکی عن الشیخ فی المبسوط أنّه نقل عن بعض الأصحاب أنّ غسل الارتماس یترتب حکماً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قاله الشیخ یحتمل 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عقله عنه الفاضل إنّه یعتقد الترتیب حال الارتماس ، ویظهر ذلک من المعتبر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 الأصحاب یرتب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فذکره بصیغة الفعل المتعدی وفیه ضمیر یعود إلی المغتسِل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الغسل بالارتماس فی حکم الغسل المرتب بغیر الارتماس ، وتظهر الفائدة لو وجد لمعة مغفلة فإنّه یأتی بها وبما بعدها </w:t>
      </w:r>
      <w:r>
        <w:rPr>
          <w:rStyle w:val="FootnoteAnchor"/>
          <w:rtl w:val="true"/>
        </w:rPr>
        <w:footnoteReference w:id="9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علیک حال الکلام من جمیع جهاته ، فإنّه مجرد کلام من </w:t>
      </w:r>
      <w:bookmarkStart w:id="842" w:name="pg17122_169732"/>
    </w:p>
    <w:p>
      <w:pPr>
        <w:pStyle w:val="BookText"/>
        <w:rPr/>
      </w:pPr>
      <w:bookmarkEnd w:id="842"/>
      <w:r>
        <w:rPr>
          <w:rFonts w:ascii="IRNazanin" w:hAnsi="IRNazanin" w:eastAsia="IRNazanin"/>
          <w:color w:val="111111"/>
          <w:sz w:val="28"/>
          <w:sz w:val="28"/>
          <w:szCs w:val="28"/>
          <w:rtl w:val="true"/>
          <w:lang w:bidi="fa-IR"/>
        </w:rPr>
        <w:t>غیر التفات إلی تحقیق أصله ، وهم أعلم بما قالوه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الخبر الثانی قد نقل عن الشیخ فی المبسوط أنّه ألحق فیه بالارتماس الوقوف تحت المجری والمطر الغزیرین </w:t>
      </w:r>
      <w:r>
        <w:rPr>
          <w:rStyle w:val="FootnoteAnchor"/>
          <w:rtl w:val="true"/>
        </w:rPr>
        <w:footnoteReference w:id="948"/>
      </w:r>
      <w:r>
        <w:rPr>
          <w:rFonts w:ascii="IRNazanin" w:hAnsi="IRNazanin" w:eastAsia="IRNazanin"/>
          <w:color w:val="111111"/>
          <w:sz w:val="28"/>
          <w:sz w:val="28"/>
          <w:szCs w:val="28"/>
          <w:rtl w:val="true"/>
          <w:lang w:bidi="fa-IR"/>
        </w:rPr>
        <w:t>، واحتج بهذا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المختلف حکی عن ابن إدریس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یسقط الترتیب مع الارتماس لا مع الوقوف تحت المطر والمجری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مدارک شیخنا قدس سره أنّ حدیث علی بن جعفر قاصر عن إفادة ما ادعاه الشیخ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وبعض محققی المتأخّرین سلّمه الله وجّه استدلال الشیخ بالروایة بأن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یغسله اغتساله بالماء أجزأه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 فإذا کان الاغتسال علی نوعین ، غسل ترتیب وغسل ارتماس ، فالحدیث یدل علی أن أیّ هذین النوعین حصل بالوقوف تحت المطر أجزأ ، فدلیل الشیخ غیر قاصر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ذکرت فی حاشیة الفقیه وحاشیة المختلف کلاماً طویلاً فی المقام ، والذی یقال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وجه القصور هو أن معاد الأخبار إجزاء الارتماس عن الترتیب ، والارتماس لیس له حقیقة شرعیة ولا لغویة یرجع إلیها ، بل المرجع إلی العرف ، فالحدیث بمجرّده لا یستفاد منه العموم إلاّ مع تحقق النوعین فی مدلوله ، والعرف لا یساعد علیه کما لا یخفی علی من راجع وجدانه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43" w:name="__RefHeading___Toc39542_2142443653"/>
      <w:bookmarkStart w:id="844" w:name="_Toc329"/>
      <w:bookmarkEnd w:id="843"/>
      <w:r>
        <w:rPr>
          <w:rtl w:val="true"/>
        </w:rPr>
        <w:t>هل یحصل الارتماس بالوقوف تحت المطر والمجری؟</w:t>
      </w:r>
      <w:bookmarkEnd w:id="844"/>
    </w:p>
    <w:p>
      <w:pPr>
        <w:pStyle w:val="BookText"/>
        <w:rPr/>
      </w:pPr>
      <w:r>
        <w:rPr>
          <w:rFonts w:ascii="IRNazanin" w:hAnsi="IRNazanin" w:eastAsia="IRNazanin"/>
          <w:color w:val="111111"/>
          <w:sz w:val="28"/>
          <w:sz w:val="28"/>
          <w:szCs w:val="28"/>
          <w:rtl w:val="true"/>
          <w:lang w:bidi="fa-IR"/>
        </w:rPr>
        <w:t>وما وقع للعلاّمة فی الحدیث غریب کما یعلمه من وقف علی کلامنا وکلامه ، ولو لا خوف الخروج عما نحن بصدده لذکرناه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علیک ما فی قول الشیخ بعد ذکر خبر علی بن جعفر ، فإنّ مقتضی قوله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إنّما أجاز له إذا غسل هو الأعضاء علی ما یجب ترتیبها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قوله علیه السلام فی الروایة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یغسله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 یراد به أنّ ماء المطر إذا فعل به الغاسل کما یفعل بغیر ماء المطر أجزأه ، وهذا لا یخلو من إجمال ، لأنه إمّا أن یراد القصد إلی الترتیب أو القصد مع المباشرة بدلک الجسد ، والمتقدم من الشیخ أن المرتمس بمجرد خروج العضو یحصل له الترتیب لا بغیره من القصد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فی الارتماس لا فی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أنّه جعل الارتماس مرتباً حکماً ، فلا بد من المغایرة ، وتحقّقها بأیّ نوع فی حیّز الإجمال ، بل ظاهر الأوّل الحصر فی 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قول الشیخ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أن یکون القول فیه ما قلناه فی الخبر الأوّل إلی آخره ، إن أراد به ما ذکره من أنّه إذا خرج من الماء لم </w:t>
      </w:r>
      <w:r>
        <w:rPr>
          <w:rStyle w:val="FootnoteAnchor"/>
          <w:rtl w:val="true"/>
        </w:rPr>
        <w:footnoteReference w:id="952"/>
      </w:r>
      <w:r>
        <w:rPr>
          <w:rFonts w:ascii="IRNazanin" w:hAnsi="IRNazanin" w:eastAsia="IRNazanin"/>
          <w:color w:val="111111"/>
          <w:sz w:val="28"/>
          <w:sz w:val="28"/>
          <w:szCs w:val="28"/>
          <w:rtl w:val="true"/>
          <w:lang w:bidi="fa-IR"/>
        </w:rPr>
        <w:t xml:space="preserve">یختلف الحکم الأوّل والثانی إلاّ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الثانی لیس بارتماس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خلافه ، وقوله علیه السلام حینئذ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یغسله اغتساله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علی إجماله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الشیخ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هذا حکم یخصه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 وجه مغایرته للسابق بعد التأمّل بقدر الإمکان ، علی أن فی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یغسله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احتمالات بالنسبة إلی الضمیر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والفاعل ، وبسبب </w:t>
      </w:r>
      <w:r>
        <w:rPr>
          <w:rFonts w:eastAsia="IRNazanin" w:cs="IRNazanin"/>
          <w:color w:val="111111"/>
          <w:sz w:val="28"/>
          <w:szCs w:val="28"/>
          <w:rtl w:val="true"/>
          <w:lang w:bidi="fa-IR"/>
        </w:rPr>
        <w:t xml:space="preserve">) </w:t>
      </w:r>
      <w:r>
        <w:rPr>
          <w:rStyle w:val="FootnoteAnchor"/>
          <w:rtl w:val="true"/>
        </w:rPr>
        <w:footnoteReference w:id="953"/>
      </w:r>
      <w:r>
        <w:rPr>
          <w:rFonts w:ascii="IRNazanin" w:hAnsi="IRNazanin" w:eastAsia="IRNazanin"/>
          <w:color w:val="111111"/>
          <w:sz w:val="28"/>
          <w:sz w:val="28"/>
          <w:szCs w:val="28"/>
          <w:rtl w:val="true"/>
          <w:lang w:bidi="fa-IR"/>
        </w:rPr>
        <w:t xml:space="preserve">ذلک فالقصور فی الاستدلال به للارتماس لا یکاد ینکره من أنعم نظره فی حقیقة الحال ، </w:t>
      </w:r>
    </w:p>
    <w:p>
      <w:pPr>
        <w:pStyle w:val="BookText"/>
        <w:rPr/>
      </w:pPr>
      <w:r>
        <w:rPr>
          <w:rFonts w:ascii="IRNazanin" w:hAnsi="IRNazanin" w:eastAsia="IRNazanin"/>
          <w:color w:val="111111"/>
          <w:sz w:val="28"/>
          <w:sz w:val="28"/>
          <w:szCs w:val="28"/>
          <w:rtl w:val="true"/>
          <w:lang w:bidi="fa-IR"/>
        </w:rPr>
        <w:t>ولم یسلک فی تحقیق هذه المطالب مسلک الإجمال ، وعلی الله سبحانه فی أُمورنا کلّها الاتّکال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سقوط فرض الوضوء عند الغسل من الجنابة</w:t>
      </w:r>
    </w:p>
    <w:p>
      <w:pPr>
        <w:pStyle w:val="BookText"/>
        <w:rPr/>
      </w:pPr>
      <w:r>
        <w:rPr>
          <w:rFonts w:ascii="IRNazanin" w:hAnsi="IRNazanin" w:eastAsia="IRNazanin"/>
          <w:color w:val="111111"/>
          <w:sz w:val="28"/>
          <w:sz w:val="28"/>
          <w:szCs w:val="28"/>
          <w:rtl w:val="true"/>
          <w:lang w:bidi="fa-IR"/>
        </w:rPr>
        <w:t xml:space="preserve">أخبرنی الشیخ رحمة الله عن أحمد بن محمد ، عن أبیه ، عن الصفار ، عن إبراهیم بن هاشم ، عن یعقوب بن شعیب ، عن حریز ، أو عمّن رواه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الکوفة یروون عن علی علیه السلام أنّه کان یأمر بالوضوء قبل الغسل من الجنابة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کذبوا علی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وجدوا ذلک فی کتاب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کُنْتُمْ جُنُباً فَاطَّهَّرُوا </w:t>
      </w:r>
      <w:r>
        <w:rPr>
          <w:rFonts w:eastAsia="IRNazanin" w:cs="IRNazanin"/>
          <w:color w:val="111111"/>
          <w:sz w:val="28"/>
          <w:szCs w:val="28"/>
          <w:rtl w:val="true"/>
          <w:lang w:bidi="fa-IR"/>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عنه ، عن أحمد بن محمد ، عن أبیه ، عن الحسین بن الحسن بن أبان ، عن الحسین بن سعید ، عن عبد الحمید بن عواض ، عن محمد ابن مسلم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الغسل یجزئ عن الوضوء ، وأیّ وضوء أطهر من الغسل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 عن أبی القاسم جعفر بن محمد ، عن محمد بن یعقوب ، عن محمد بن یحیی ، عن محمد بن أحمد ، عن یعقوب بن یزید ، عن محمد </w:t>
      </w:r>
      <w:r>
        <w:rPr>
          <w:rStyle w:val="FootnoteAnchor"/>
          <w:rtl w:val="true"/>
        </w:rPr>
        <w:footnoteReference w:id="955"/>
      </w:r>
      <w:r>
        <w:rPr>
          <w:rFonts w:ascii="IRNazanin" w:hAnsi="IRNazanin" w:eastAsia="IRNazanin"/>
          <w:color w:val="111111"/>
          <w:sz w:val="28"/>
          <w:sz w:val="28"/>
          <w:szCs w:val="28"/>
          <w:rtl w:val="true"/>
          <w:lang w:bidi="fa-IR"/>
        </w:rPr>
        <w:t xml:space="preserve">بن أبی عمیر ، عن رجل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غسل قبله وضوء إلاّ غسل الجنابة </w:t>
      </w:r>
      <w:r>
        <w:rPr>
          <w:rFonts w:eastAsia="IRNazanin" w:cs="IRNazanin"/>
          <w:color w:val="111111"/>
          <w:sz w:val="28"/>
          <w:szCs w:val="28"/>
          <w:rtl w:val="true"/>
          <w:lang w:bidi="fa-IR"/>
        </w:rPr>
        <w:t xml:space="preserve">». </w:t>
      </w:r>
      <w:bookmarkStart w:id="845" w:name="pg17122_169735"/>
    </w:p>
    <w:p>
      <w:pPr>
        <w:pStyle w:val="BookText"/>
        <w:rPr/>
      </w:pPr>
      <w:bookmarkEnd w:id="845"/>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الإرسال ، والظاهر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عمّن 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من یعقوب فی أنّ الراوی عن محمد بن مسلم حریز أو غیره ، ویحتمل غیر ذلک ، لکنه فی غایة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 ارتیاب علی ما قدّمناه ، وعبد الحمید ثقة ، وقد ضبط ابن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غواض بالغین والضاد المعجمتین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 إلاّ الإرسال ، وکونه من ابن أبی عمیر کرّرنا فیه الکلام </w:t>
      </w:r>
      <w:r>
        <w:rPr>
          <w:rStyle w:val="FootnoteAnchor"/>
          <w:rtl w:val="true"/>
        </w:rPr>
        <w:footnoteReference w:id="957"/>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فی نفی الوضوء مع غسل الجنابة مطلقا وإن کان أوله یفید نفی الوضوء قبله ، إلاّ أنّ قوله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کُنْتُمْ جُنُباً فَاطَّهَّرُوا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یقتضی أنّ مفاد الآیة الاکتفاء بالغسل عن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واحتمال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الخبر یدل علی نفی الوجوب قبل ، أو قبل وبعد للآیة لا علی نفی أصل المشروعیة ، ستسمع القول فی دفعه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تضمنه الخبر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وجدوا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 لا یخلو من شی‌ء ، والأمر سهل بعد ضعف الخبر</w:t>
      </w:r>
      <w:r>
        <w:rPr>
          <w:rFonts w:eastAsia="IRNazanin" w:cs="IRNazanin"/>
          <w:color w:val="111111"/>
          <w:sz w:val="28"/>
          <w:szCs w:val="28"/>
          <w:rtl w:val="true"/>
          <w:lang w:bidi="fa-IR"/>
        </w:rPr>
        <w:t>.</w:t>
      </w:r>
    </w:p>
    <w:p>
      <w:pPr>
        <w:pStyle w:val="Heading3"/>
        <w:numPr>
          <w:ilvl w:val="2"/>
          <w:numId w:val="1"/>
        </w:numPr>
        <w:rPr/>
      </w:pPr>
      <w:bookmarkStart w:id="846" w:name="__RefHeading___Toc39544_2142443653"/>
      <w:bookmarkStart w:id="847" w:name="_Toc330"/>
      <w:bookmarkEnd w:id="846"/>
      <w:r>
        <w:rPr>
          <w:rtl w:val="true"/>
        </w:rPr>
        <w:t>سقوط فرض الوضوء عند الغسل من الجنابة</w:t>
      </w:r>
      <w:bookmarkEnd w:id="84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48" w:name="__RefHeading___Toc39546_2142443653"/>
      <w:bookmarkStart w:id="849" w:name="_Toc331"/>
      <w:bookmarkEnd w:id="848"/>
      <w:r>
        <w:rPr>
          <w:rtl w:val="true"/>
        </w:rPr>
        <w:t>عبدالحمید بن عواض ثقة</w:t>
      </w:r>
      <w:bookmarkStart w:id="850" w:name="pg17122_169736"/>
      <w:bookmarkEnd w:id="849"/>
    </w:p>
    <w:p>
      <w:pPr>
        <w:pStyle w:val="BookText"/>
        <w:rPr/>
      </w:pPr>
      <w:bookmarkEnd w:id="850"/>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الدلالة علی نفی الوضوء مع الغسل ، والمتبادر من الغسل فیه غسل الجنابة ، لشیوع ثبوت الوضوء معه بین المخالفین ونفیه عند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والوالد قدس سره قرّب ذلک بأنّ التعریف فیه لیس للعموم ، إذ هو من المفرد المحلّی ، وإنّما یأتی العموم فی مثله نظراً إلی أنّ غیره من المعانی ینافی الحکمة ، إذ العهد إلی معلوم غیر ظاهر ، وغیر المعلوم لا یلیق بالحکمة ، فلم یبق إلاّ الاستغراق </w:t>
      </w:r>
      <w:r>
        <w:rPr>
          <w:rStyle w:val="FootnoteAnchor"/>
          <w:rtl w:val="true"/>
        </w:rPr>
        <w:footnoteReference w:id="960"/>
      </w:r>
      <w:r>
        <w:rPr>
          <w:rFonts w:ascii="IRNazanin" w:hAnsi="IRNazanin" w:eastAsia="IRNazanin"/>
          <w:color w:val="111111"/>
          <w:sz w:val="28"/>
          <w:sz w:val="28"/>
          <w:szCs w:val="28"/>
          <w:rtl w:val="true"/>
          <w:lang w:bidi="fa-IR"/>
        </w:rPr>
        <w:t>؛ أمّا فی ما نحن فیه فالمعلومیة حاصلة کما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وشیخنا قدس سره وجّه العموم بما ذکرناه ، وأیّده بالتعلیل الموجود فی الخبر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خصوصیة لغسل الجنابة بهذا الوصف </w:t>
      </w:r>
      <w:r>
        <w:rPr>
          <w:rStyle w:val="FootnoteAnchor"/>
          <w:rtl w:val="true"/>
        </w:rPr>
        <w:footnoteReference w:id="9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علیک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الخبر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ظاهر فی نفی الوضوء قبل غسل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 الحدیث السابق فی أوّل باب وجوب الترتیب عن أحمد بن محمد ، یؤیّد ما دل علی عدم الوضوء مع غسل الجنابة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وضوء فیه </w:t>
      </w:r>
      <w:r>
        <w:rPr>
          <w:rFonts w:eastAsia="IRNazanin" w:cs="IRNazanin"/>
          <w:color w:val="111111"/>
          <w:sz w:val="28"/>
          <w:szCs w:val="28"/>
          <w:rtl w:val="true"/>
          <w:lang w:bidi="fa-IR"/>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الشیخ فی التهذیب عن الشیخ ، عن أحمد بن محمد ، عن أبیه ، عن الحسین بن الحسن بن أبان ، عن الحسین بن سعید ، عن یعقوب ابن یقطین ، عن أبی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غسل الجنابة فیه وضوء أم لا فیما نزل به جبرئیل علیه السلام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الجنب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وساق الحدیث 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وضوء فیه </w:t>
      </w:r>
      <w:r>
        <w:rPr>
          <w:rFonts w:eastAsia="IRNazanin" w:cs="IRNazanin"/>
          <w:color w:val="111111"/>
          <w:sz w:val="28"/>
          <w:szCs w:val="28"/>
          <w:rtl w:val="true"/>
          <w:lang w:bidi="fa-IR"/>
        </w:rPr>
        <w:t xml:space="preserve">»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51" w:name="__RefHeading___Toc39548_2142443653"/>
      <w:bookmarkStart w:id="852" w:name="_Toc332"/>
      <w:bookmarkEnd w:id="851"/>
      <w:r>
        <w:rPr>
          <w:rtl w:val="true"/>
        </w:rPr>
        <w:t xml:space="preserve">التعریف فی قوله علیه السلام </w:t>
      </w:r>
      <w:r>
        <w:rPr>
          <w:rtl w:val="true"/>
        </w:rPr>
        <w:t xml:space="preserve">: « </w:t>
      </w:r>
      <w:r>
        <w:rPr>
          <w:rtl w:val="true"/>
        </w:rPr>
        <w:t xml:space="preserve">الغسل یجزئ عن الوضوء </w:t>
      </w:r>
      <w:r>
        <w:rPr>
          <w:rtl w:val="true"/>
        </w:rPr>
        <w:t xml:space="preserve">» </w:t>
      </w:r>
      <w:r>
        <w:rPr>
          <w:rtl w:val="true"/>
        </w:rPr>
        <w:t>لیس للعموم</w:t>
      </w:r>
      <w:bookmarkEnd w:id="852"/>
    </w:p>
    <w:p>
      <w:pPr>
        <w:pStyle w:val="BookText"/>
        <w:rPr/>
      </w:pPr>
      <w:r>
        <w:rPr>
          <w:rFonts w:ascii="IRNazanin" w:hAnsi="IRNazanin" w:eastAsia="IRNazanin"/>
          <w:color w:val="111111"/>
          <w:sz w:val="28"/>
          <w:sz w:val="28"/>
          <w:szCs w:val="28"/>
          <w:rtl w:val="true"/>
          <w:lang w:bidi="fa-IR"/>
        </w:rPr>
        <w:t xml:space="preserve">وروی أیضاً عن حکم بن حکیم المعدود فی الصحیح ما یؤیّد ذلک </w:t>
      </w:r>
      <w:r>
        <w:rPr>
          <w:rStyle w:val="FootnoteAnchor"/>
          <w:rtl w:val="true"/>
        </w:rPr>
        <w:footnoteReference w:id="964"/>
      </w:r>
      <w:r>
        <w:rPr>
          <w:rFonts w:ascii="IRNazanin" w:hAnsi="IRNazanin" w:eastAsia="IRNazanin"/>
          <w:color w:val="111111"/>
          <w:sz w:val="28"/>
          <w:sz w:val="28"/>
          <w:szCs w:val="28"/>
          <w:rtl w:val="true"/>
          <w:lang w:bidi="fa-IR"/>
        </w:rPr>
        <w:t>، وبالجملة فالأمر فی ذلک یکاد أن یلحق بالضروریات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أن یعلم أنّ العلاّمة فی المختلف نقل روایة عدّها فی الحسن ، عن حماد بن عثمان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کل غسل وضوء إلاّ الجنابة </w:t>
      </w:r>
      <w:r>
        <w:rPr>
          <w:rFonts w:eastAsia="IRNazanin" w:cs="IRNazanin"/>
          <w:color w:val="111111"/>
          <w:sz w:val="28"/>
          <w:szCs w:val="28"/>
          <w:rtl w:val="true"/>
          <w:lang w:bidi="fa-IR"/>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والذی وقفت علیه فی الأُصول الجامعة للحدیث ما رواه الشیخ هنا ، وفی التهذیب عن ابن أبی عمیر عن رجل إلی آخر الروایة السابقة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التهذیب روی عن محمد بن الحسن الصفار ، عن یعقوب بن یزید ، عن ابن أبی عمیر ، عن حماد بن عثمان ، أو غیره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کل غسل وضوء إلاّ الجنابة </w:t>
      </w:r>
      <w:r>
        <w:rPr>
          <w:rFonts w:eastAsia="IRNazanin" w:cs="IRNazanin"/>
          <w:color w:val="111111"/>
          <w:sz w:val="28"/>
          <w:szCs w:val="28"/>
          <w:rtl w:val="true"/>
          <w:lang w:bidi="fa-IR"/>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العلاّمة لم أقف علیها ، وشیخنا قدس سره حکم بأنّ الروایة واحدة ، وأنّه لا وجه لعدّ العلاّمة رحمه الله روایتین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وأنت خبیر بأنّ الاتحاد محل کلام لاختلاف المتن ، وما أشار إلیه من ذکر العلاّمة روایتین ، أراد به أنّه فی المختلف ذکر روایة ابن أبی عمیر المرسلة قبل الروایة الحسنة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اتفق للمحقق أنّه أجاب عن روایة حماد أو غیره فی المعتبر علی ما نقله شیخنا قدس سره بأنّها غیر صریحة فی وجوب الوضوء مع غیر غسل </w:t>
      </w:r>
      <w:bookmarkStart w:id="853" w:name="pg17122_169738"/>
    </w:p>
    <w:p>
      <w:pPr>
        <w:pStyle w:val="BookText"/>
        <w:rPr/>
      </w:pPr>
      <w:bookmarkEnd w:id="853"/>
      <w:r>
        <w:rPr>
          <w:rFonts w:ascii="Amiri" w:hAnsi="Amiri" w:eastAsia="Amiri" w:cs="Amiri"/>
          <w:color w:val="111111"/>
          <w:sz w:val="28"/>
          <w:sz w:val="28"/>
          <w:szCs w:val="28"/>
          <w:rtl w:val="true"/>
          <w:lang w:bidi="ar-SA"/>
        </w:rPr>
        <w:t xml:space="preserve">الجنابة </w:t>
      </w:r>
      <w:r>
        <w:rPr>
          <w:rStyle w:val="FootnoteAnchor"/>
          <w:rtl w:val="true"/>
        </w:rPr>
        <w:footnoteReference w:id="9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وصورة کلام المحقق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یقال روایة ابن أبی عمیر ، عن حماد أو غیره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غسل وضوء إلاّ غسل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الوجوب ، 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یلزم من کون الوضوء فی الغسل أن یکون واجباً ، بل من الجائز أن یکون غسل الجنابة لا یجوز فعل الوضوء فیه ، وغیره یجوز ، ولا یلزم من الجواز الوجوب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شیخنا قدس سره بعد نقل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علی ذلک العلاّمة فی المختلف ، وجدّی فی روض الجنان </w:t>
      </w:r>
      <w:r>
        <w:rPr>
          <w:rStyle w:val="FootnoteAnchor"/>
          <w:rtl w:val="true"/>
        </w:rPr>
        <w:footnoteReference w:id="9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اکتفی قدس سره بهذا الجواب ، بعد أن ذکر أنّ الروایة مرسلة ، وإن کان المرسِل لها ابن أبی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نظری القاصر أنّ المقام غیر محرّر لهما </w:t>
      </w:r>
      <w:r>
        <w:rPr>
          <w:rStyle w:val="FootnoteAnchor"/>
          <w:rtl w:val="true"/>
        </w:rPr>
        <w:footnoteReference w:id="973"/>
      </w:r>
      <w:r>
        <w:rPr>
          <w:rFonts w:ascii="IRNazanin" w:hAnsi="IRNazanin" w:eastAsia="IRNazanin"/>
          <w:color w:val="111111"/>
          <w:sz w:val="28"/>
          <w:sz w:val="28"/>
          <w:szCs w:val="28"/>
          <w:rtl w:val="true"/>
          <w:lang w:bidi="fa-IR"/>
        </w:rPr>
        <w:t>، لأنّ إنکار ظهور دلالة روایة ابن أبی عمیر عن حماد أو غیره علی الوجوب لا وجه له ، ومجرد الاحتمال لو أثّر فی الاستدلال لم یتمّ دلیل أصلاً ، بل المؤثِّر من الاحتمالات ما ینافی الظهور ، ولو نظرنا إلی المعارض الدال علی عدم الوجوب فی غیر غسل الجنابة کان الدخل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من المحقق أنّ اعتقاده اتحاد روایة ابن أبی عمیر عن رجل ، مع روایته عن حماد أو غیره ، لیکون الدّخل فی متن الروایة الدال علی أنّ کل غسل قبله وضوء ، ووجه الدخل حینئذ 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غسل قبله 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دلالة بعض الأدلة علی عدم وجوب التقدیم کما ظنه بعض ، یدل علی أنّ مفاد الحدیث غیر صریح فی وجوب الوضوء ، بل یجوز أن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54" w:name="__RefHeading___Toc39550_2142443653"/>
      <w:bookmarkStart w:id="855" w:name="_Toc333"/>
      <w:bookmarkEnd w:id="854"/>
      <w:r>
        <w:rPr>
          <w:rtl w:val="true"/>
        </w:rPr>
        <w:t>حکم الوضوء مع غیر غسل الجنابة</w:t>
      </w:r>
      <w:bookmarkEnd w:id="855"/>
    </w:p>
    <w:p>
      <w:pPr>
        <w:pStyle w:val="BookText"/>
        <w:rPr/>
      </w:pPr>
      <w:r>
        <w:rPr>
          <w:rFonts w:ascii="IRNazanin" w:hAnsi="IRNazanin" w:eastAsia="IRNazanin"/>
          <w:color w:val="111111"/>
          <w:sz w:val="28"/>
          <w:sz w:val="28"/>
          <w:szCs w:val="28"/>
          <w:rtl w:val="true"/>
          <w:lang w:bidi="fa-IR"/>
        </w:rPr>
        <w:t>یراد به ما قاله المحقق ، لکن لمّا جعل مورد کلامه علی متن روایة ابن أبی عمیر عن حماد توجّهت علیه المناقشة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والعلاّمة فی المختلف لمّا ذکر الروایتین فی بحث الجنابة للاستدلال بهما علی عدم الوضوء مع غسل الجنابة بجعل الاولی فی الصحیح ، عن ابن أبی عمیر ، عن رجل ؛ والأُخری فی الحسن ، عن حماد بن عثمان ، لم یذکر ما أجاب به المحقق ، وأعاد الروایة الأُولی للاحتجاج علی تقدیم الوضوء للقائل به ، وأجاب باحتمالها الاستحباب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الجواب فی ظاهر الحال لا یخلو من خلل ؛ لأنّ الاستحباب إن کان لمعارضة الدلیل الدال علی جواز التأخیر وهو ما ذکره من أصالة البراءة من وجوب التقدیم ؛ ولأن الوضوء یراد للصلاة فلا یجب قبلها ؛ ولأنّه إذا اغتسل لغیر الجنابة فقد فعل المأمور به فیخرج عن العهدة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فالدخل فیه ممکن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أصالة البراءة یعارضها ظاهر الخبر ، ولو لم یخرج عن أصالة البراءة بالظاهر لم یتم إثبات الأحکام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إرادة الوضوء لأجل الصلاة مطلقا غیر مسلّم ، إذ الإجماع منتف ، لوجود القائل هنا ، ولو سلّم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وجوب الصلاة یجب التقدیم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القائل بهذا التفصیل غیر معلوم ، وسیأتی عن شیخنا المحقق أیّده الله کلام فی تحقیق معنی هذا الوضوء</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فعل المأمور به مطلقاً غیر مسلّم الحصول کما لا یخفی</w:t>
      </w:r>
      <w:r>
        <w:rPr>
          <w:rFonts w:eastAsia="IRNazanin" w:cs="IRNazanin"/>
          <w:color w:val="111111"/>
          <w:sz w:val="28"/>
          <w:szCs w:val="28"/>
          <w:rtl w:val="true"/>
          <w:lang w:bidi="fa-IR"/>
        </w:rPr>
        <w:t xml:space="preserve">. </w:t>
      </w:r>
      <w:bookmarkStart w:id="856" w:name="pg17122_169740"/>
    </w:p>
    <w:p>
      <w:pPr>
        <w:pStyle w:val="BookText"/>
        <w:rPr/>
      </w:pPr>
      <w:bookmarkEnd w:id="856"/>
      <w:r>
        <w:rPr>
          <w:rFonts w:ascii="IRNazanin" w:hAnsi="IRNazanin" w:eastAsia="IRNazanin"/>
          <w:color w:val="111111"/>
          <w:sz w:val="28"/>
          <w:sz w:val="28"/>
          <w:szCs w:val="28"/>
          <w:rtl w:val="true"/>
          <w:lang w:bidi="fa-IR"/>
        </w:rPr>
        <w:t xml:space="preserve">وإذا عرفت هذا فقول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الحدیث یحتمل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 کما یعرف بأیسر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بحث غسل الأموات ذکر الحدیث فی الاستدلال لاستحباب الوضوء فی غسل المیت بهذه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الصحیح عن ابن أبی عمیر عن حماد بن عثمان أو غیره </w:t>
      </w:r>
      <w:r>
        <w:rPr>
          <w:rStyle w:val="FootnoteAnchor"/>
          <w:rtl w:val="true"/>
        </w:rPr>
        <w:footnoteReference w:id="9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النقل یدل علی أنّ ما ذکره فی بحث الجنابة ووصفه بالحسن وَهْم علی ما أظنّ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شیخنا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العلاّمة فی المختلف تبع المحقق فی الجواب ، أظنّ أنّی وجدته فیه ، لکنی الآن لم أجده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قبول مراسیل ابن أبی عمیر فقد تقدّم فیه قول </w:t>
      </w:r>
      <w:r>
        <w:rPr>
          <w:rStyle w:val="FootnoteAnchor"/>
          <w:rtl w:val="true"/>
        </w:rPr>
        <w:footnoteReference w:id="977"/>
      </w:r>
      <w:r>
        <w:rPr>
          <w:rFonts w:ascii="IRNazanin" w:hAnsi="IRNazanin" w:eastAsia="IRNazanin"/>
          <w:color w:val="111111"/>
          <w:sz w:val="28"/>
          <w:sz w:val="28"/>
          <w:szCs w:val="28"/>
          <w:rtl w:val="true"/>
          <w:lang w:bidi="fa-IR"/>
        </w:rPr>
        <w:t xml:space="preserve">، ونزید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أبی عمیر لو فرض أنّه لا یروی إلاّ عن عدل أو ثقة لا یصلح حجّةً علی غیره مع عدم العلم بالعدل لیعلم حاله من انتفاء الجارح أو وجوده ، ولو صرّح بأنّه عدل فالقول فیه کذلک کما قرّر فی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أنّ العلاّمة فی المنتهی قال فی بحث التطهیر بالنار 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مرسلة وإن کان مرسلها ابن أبی عمیر ، إلاّ أنّها معارضة بالأصل فلا تکون مقبولة </w:t>
      </w:r>
      <w:r>
        <w:rPr>
          <w:rStyle w:val="FootnoteAnchor"/>
          <w:rtl w:val="true"/>
        </w:rPr>
        <w:footnoteReference w:id="9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إذا لاحظت هذا الکلام لا یخفی علیک حقیقة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مراسیل ابن أبی عمیر إن کان قبولها لأنّه لا یروی إلاّ عن عدل ، فلا یکون مرسلة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فجوابه سهل ، لأنّ الإرسال بحسب الظاهر</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57" w:name="__RefHeading___Toc39552_2142443653"/>
      <w:bookmarkStart w:id="858" w:name="_Toc334"/>
      <w:bookmarkEnd w:id="857"/>
      <w:r>
        <w:rPr>
          <w:rtl w:val="true"/>
        </w:rPr>
        <w:t>بحث حول مراسیل ابن أبی عمیر</w:t>
      </w:r>
      <w:bookmarkEnd w:id="858"/>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فضالة ، عن سیف بن عمیرة ، عن أبی بکر الحضرمی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أصنع إذا أجنبت؟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اغسل کفّک وفرجک وتوضّأ وضوء الصلاة ثم اغتسل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هذا الخبر أن نحمله علی ضرب من الاستحباب ، ولا ینافی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محمد بن أحمد بن یحیی مرسلاً بأنّ الوضوء قبل الغسل وبعده 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هذا خبر مرسل لم یسنده إلی إمام ، ولو سلّم لکان معناه أنّه إذا اعتقد أنّه فرض قبل الغسل فإنّه یکون مبدعا ، وأمّا إذا</w:t>
      </w:r>
    </w:p>
    <w:p>
      <w:pPr>
        <w:pStyle w:val="BookText"/>
        <w:rPr/>
      </w:pPr>
      <w:r>
        <w:rPr>
          <w:rFonts w:ascii="IRNazanin" w:hAnsi="IRNazanin" w:eastAsia="IRNazanin"/>
          <w:color w:val="111111"/>
          <w:sz w:val="28"/>
          <w:sz w:val="28"/>
          <w:szCs w:val="28"/>
          <w:rtl w:val="true"/>
          <w:lang w:bidi="fa-IR"/>
        </w:rPr>
        <w:t xml:space="preserve">توضّأ ندباً واستحباباً فلیس بمبدع ، فأمّا ما عدا غسل الجنابة من الأغسال فلا بد فیه من الوضوء قبل الغسل ، ویدلُّ علی ذلک قول أبی عبد الله علیه السلام فی روایة ابن أبی عمیر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غسل قبله وضوء إلاّ غسل الجنابة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الأوّل فیه أبو بکر الحضرمی وقد تکرّر القول فیه </w:t>
      </w:r>
      <w:r>
        <w:rPr>
          <w:rStyle w:val="FootnoteAnchor"/>
          <w:rtl w:val="true"/>
        </w:rPr>
        <w:footnoteReference w:id="979"/>
      </w:r>
      <w:r>
        <w:rPr>
          <w:rFonts w:ascii="IRNazanin" w:hAnsi="IRNazanin" w:eastAsia="IRNazanin"/>
          <w:color w:val="111111"/>
          <w:sz w:val="28"/>
          <w:sz w:val="28"/>
          <w:szCs w:val="28"/>
          <w:rtl w:val="true"/>
          <w:lang w:bidi="fa-IR"/>
        </w:rPr>
        <w:t>؛ والثانی فیه الإرسال کما قاله الشیخ ؛ والثالث قد سبق الکلام علیه</w:t>
      </w:r>
      <w:r>
        <w:rPr>
          <w:rFonts w:eastAsia="IRNazanin" w:cs="IRNazanin"/>
          <w:color w:val="111111"/>
          <w:sz w:val="28"/>
          <w:szCs w:val="28"/>
          <w:rtl w:val="true"/>
          <w:lang w:bidi="fa-IR"/>
        </w:rPr>
        <w:t xml:space="preserve">. </w:t>
      </w:r>
      <w:bookmarkStart w:id="859" w:name="pg17122_169742"/>
    </w:p>
    <w:p>
      <w:pPr>
        <w:pStyle w:val="BookText"/>
        <w:rPr/>
      </w:pPr>
      <w:bookmarkEnd w:id="859"/>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قاله الشیخ فی الأوّل من الحمل علی الاستحباب فی غایة البعد ؛ وما قاله شیخنا المحقق أیّده الله فی فوائد الکتاب من أن الأولی الحمل علی التقیة ، حفظاً لظاهر الروایات الدالة علی سقوط الوضوء مع غسل الجنابة لا یخلو من وجه ، بل الظاهر رجحانه ، والأخبار لا تنافی الاستحباب ، لأنّ ظاهرها نفی وجوب الوضوء کما یعلم من ملاحظتها ، إلاّ أنّ ظاهر التعلیل فی بعضها نفی مشروعیة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بالغ شیخنا قدس سره فی فوائده علی الکتاب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الحمل ضعیف جدّاً ، بل کاد أن یکون معلوم البطلان ، لأنّ الأخبار الواردة بسقوط الوضوء مع غسل الجنابة مستفیضة ، بل ربما بلغت حد التواتر المعنوی ، مع مطابقتها للأصل وظاهر القرآن ، وهذه الروایة فی غایة الضعف ، فإن راویها وهو أبو بکر لم یثبت إیمانه فضلاً عن کونه ممّن یقبل خبره ، فیتعین اطراح روایته ، ولو کانت الروایة صحیحة لوجب حملها علی التقیة ، أمّا استحباب الوضوء معه فمقطوع بعدمه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قاله قدس سره من عدم ثبوت إیمان أبی بکر لا یخلو من غرابة کما یعرف من کتب الحدیث والرجال وقد سبق فیه الکلام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الأخبار مطابقة للأصل وظاهر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نوع 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أصالة عدم الاستحباب مع وجود ما یدل علیه علی تقدیر الصلاحیة لإثبات الاستحباب لا یخلو من إشکال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 احتمال التقیة لا یخرج عن الأصل</w:t>
      </w:r>
      <w:r>
        <w:rPr>
          <w:rFonts w:eastAsia="IRNazanin" w:cs="IRNazanin"/>
          <w:color w:val="111111"/>
          <w:sz w:val="28"/>
          <w:szCs w:val="28"/>
          <w:rtl w:val="true"/>
          <w:lang w:bidi="fa-IR"/>
        </w:rPr>
        <w:t>.</w:t>
      </w:r>
    </w:p>
    <w:p>
      <w:pPr>
        <w:pStyle w:val="Heading4"/>
        <w:numPr>
          <w:ilvl w:val="3"/>
          <w:numId w:val="1"/>
        </w:numPr>
        <w:rPr/>
      </w:pPr>
      <w:bookmarkStart w:id="860" w:name="__RefHeading___Toc39554_2142443653"/>
      <w:bookmarkStart w:id="861" w:name="_Toc335"/>
      <w:bookmarkEnd w:id="860"/>
      <w:r>
        <w:rPr>
          <w:rtl w:val="true"/>
        </w:rPr>
        <w:t>کلام صاحب المدارک حول أبی بکر الحضرمی</w:t>
      </w:r>
      <w:bookmarkEnd w:id="861"/>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62" w:name="__RefHeading___Toc39556_2142443653"/>
      <w:bookmarkStart w:id="863" w:name="_Toc336"/>
      <w:bookmarkEnd w:id="862"/>
      <w:r>
        <w:rPr>
          <w:rtl w:val="true"/>
        </w:rPr>
        <w:t>توجیه خبر أبی بکر الحضرمی الدال علی الوضوء مع غسل الجنابة</w:t>
      </w:r>
      <w:bookmarkStart w:id="864" w:name="pg17122_169743"/>
      <w:bookmarkEnd w:id="863"/>
    </w:p>
    <w:p>
      <w:pPr>
        <w:pStyle w:val="BookText"/>
        <w:rPr/>
      </w:pPr>
      <w:bookmarkEnd w:id="864"/>
      <w:r>
        <w:rPr>
          <w:rFonts w:ascii="IRNazanin" w:hAnsi="IRNazanin" w:eastAsia="IRNazanin"/>
          <w:color w:val="111111"/>
          <w:sz w:val="28"/>
          <w:sz w:val="28"/>
          <w:szCs w:val="28"/>
          <w:rtl w:val="true"/>
          <w:lang w:bidi="fa-IR"/>
        </w:rPr>
        <w:t xml:space="preserve">وأمّا ظاهر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فاحتمال عموم آیة الوضوء </w:t>
      </w:r>
      <w:r>
        <w:rPr>
          <w:rStyle w:val="FootnoteAnchor"/>
          <w:rtl w:val="true"/>
        </w:rPr>
        <w:footnoteReference w:id="981"/>
      </w:r>
      <w:r>
        <w:rPr>
          <w:rFonts w:ascii="IRNazanin" w:hAnsi="IRNazanin" w:eastAsia="IRNazanin"/>
          <w:color w:val="111111"/>
          <w:sz w:val="28"/>
          <w:sz w:val="28"/>
          <w:szCs w:val="28"/>
          <w:rtl w:val="true"/>
          <w:lang w:bidi="fa-IR"/>
        </w:rPr>
        <w:t>للجنب قائم ، والتقسیم لا ینافیه ، لتحققه مع الغسل المقتضی لجعله قسما ، وادعاء رجحان إرادة الغسل من دون الوضوء محل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والخبر السابق الدال علی أنّ الآیة تقتضی عدم الوضوء مع الغسل </w:t>
      </w:r>
      <w:r>
        <w:rPr>
          <w:rStyle w:val="FootnoteAnchor"/>
          <w:rtl w:val="true"/>
        </w:rPr>
        <w:footnoteReference w:id="982"/>
      </w:r>
      <w:r>
        <w:rPr>
          <w:rFonts w:ascii="IRNazanin" w:hAnsi="IRNazanin" w:eastAsia="IRNazanin"/>
          <w:color w:val="111111"/>
          <w:sz w:val="28"/>
          <w:sz w:val="28"/>
          <w:szCs w:val="28"/>
          <w:rtl w:val="true"/>
          <w:lang w:bidi="fa-IR"/>
        </w:rPr>
        <w:t>ضعیف ، إلاّ أنّه یمکن ترجیح الظهور بوجه من الاعتبار ، غیر أنّ مجال البحث واسع ، وبالجملة فالقطع بنفی احتمال الاستحباب محل کلام ، نعم لو أعطی المتأمّل الأخبار حق التأمّل لا یبعد نفی الاستحباب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ولشیخنا المحقق أیّده الله احتمال لا بأس به فی الروایة وهو أن یراد بالوضوء </w:t>
      </w:r>
      <w:r>
        <w:rPr>
          <w:rStyle w:val="FootnoteAnchor"/>
          <w:rtl w:val="true"/>
        </w:rPr>
        <w:footnoteReference w:id="9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الید من المرفق ، وهو وإن بَعُد من حیث ذکر غَسل الکفّین أوّلاً ، إلاّ أنّه قابل للتوجیه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التقیة لیست من جهة الراوی لیظن عدم إیمانه ، بل باعتبار نقل ذلک عن الإمام لیعلم المخالفون عدم المخالفة لمذهبهم ، أو لحضور من یتّقی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قاله الشیخ فی الخبر الثانی </w:t>
      </w:r>
      <w:r>
        <w:rPr>
          <w:rStyle w:val="FootnoteAnchor"/>
          <w:rtl w:val="true"/>
        </w:rPr>
        <w:footnoteReference w:id="984"/>
      </w:r>
      <w:r>
        <w:rPr>
          <w:rFonts w:ascii="IRNazanin" w:hAnsi="IRNazanin" w:eastAsia="IRNazanin"/>
          <w:color w:val="111111"/>
          <w:sz w:val="28"/>
          <w:sz w:val="28"/>
          <w:szCs w:val="28"/>
          <w:rtl w:val="true"/>
          <w:lang w:bidi="fa-IR"/>
        </w:rPr>
        <w:t xml:space="preserve">فبعید أیضاً لکنه ممکن ، ویحتمل أن یراد أنّ الوضوء قبله مشروع وبعده بدعة ، وهذا أنسب بمراد الشیخ ، ولا یستبعد فهم الشیخ ذلک کما یظهر من سیاق کلامه ، وفی بعض الأخبار الوضوء بعد الغسل بدعة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حکم غیر غسل الجنابة فقد تقدّم منّا فیه کلام ، ونزید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65" w:name="__RefHeading___Toc39558_2142443653"/>
      <w:bookmarkStart w:id="866" w:name="_Toc337"/>
      <w:bookmarkEnd w:id="865"/>
      <w:r>
        <w:rPr>
          <w:rtl w:val="true"/>
        </w:rPr>
        <w:t>هل الوضوء مع غسل الجنابة بدعة؟</w:t>
      </w:r>
      <w:bookmarkStart w:id="867" w:name="pg17122_169744"/>
      <w:bookmarkEnd w:id="866"/>
    </w:p>
    <w:p>
      <w:pPr>
        <w:pStyle w:val="BookText"/>
        <w:rPr/>
      </w:pPr>
      <w:bookmarkEnd w:id="867"/>
      <w:r>
        <w:rPr>
          <w:rFonts w:ascii="IRNazanin" w:hAnsi="IRNazanin" w:eastAsia="IRNazanin"/>
          <w:color w:val="111111"/>
          <w:sz w:val="28"/>
          <w:sz w:val="28"/>
          <w:szCs w:val="28"/>
          <w:rtl w:val="true"/>
          <w:lang w:bidi="fa-IR"/>
        </w:rPr>
        <w:t xml:space="preserve">ما ذکره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الوضوء قبله </w:t>
      </w:r>
      <w:r>
        <w:rPr>
          <w:rStyle w:val="FootnoteAnchor"/>
          <w:rtl w:val="true"/>
        </w:rPr>
        <w:footnoteReference w:id="9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سابقا کلام العلاّمة فی المختلف فیه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فی المختلف أیضا عن المبسوط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وغسل الحائض کغسل الجنابة ، ویزید علیه وجوب تقدیم الوضوء علی الغسل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عن أبی الصلاح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عدا غسل الجنابة الوضوء واجب فی ابتدائه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غسل لغیر جنابة فهو غیر مجزٍ فی الطهارة حتی یتطهّر معه الإنسان وضوء الصلاة قبل الغسل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احتجّ بعض الأصحاب علی وجوب الوضوء مع غیر غسل الجنابة مع الخبر الذی ذکره الشیخ بالآیة الشریفة ، فإنّ ظاهرها العموم إلاّ ما خرج بالإجماع کالجنابة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واعترض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الآیة لیست عامة ، فإنّ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للإهمال کما صرح به فی الأُصول </w:t>
      </w:r>
      <w:r>
        <w:rPr>
          <w:rStyle w:val="FootnoteAnchor"/>
          <w:rtl w:val="true"/>
        </w:rPr>
        <w:footnoteReference w:id="9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 ، فإنّ المقام لا ینکر إفادته العموم کما فی کثیر من المواضع ، وأمّا وجوب التقدیم فقد قدّمنا ما فیه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رواه سعد بن عبد الله ، عن الحسن بن علی بن إبراهیم بن</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68" w:name="__RefHeading___Toc39560_2142443653"/>
      <w:bookmarkStart w:id="869" w:name="_Toc338"/>
      <w:bookmarkEnd w:id="868"/>
      <w:r>
        <w:rPr>
          <w:rtl w:val="true"/>
        </w:rPr>
        <w:t>وجوب الوضوء مع غیر غسل الجنابة</w:t>
      </w:r>
      <w:bookmarkEnd w:id="869"/>
    </w:p>
    <w:p>
      <w:pPr>
        <w:pStyle w:val="BookText"/>
        <w:rPr/>
      </w:pPr>
      <w:r>
        <w:rPr>
          <w:rFonts w:ascii="IRNazanin" w:hAnsi="IRNazanin" w:eastAsia="IRNazanin"/>
          <w:color w:val="111111"/>
          <w:sz w:val="28"/>
          <w:sz w:val="28"/>
          <w:szCs w:val="28"/>
          <w:rtl w:val="true"/>
          <w:lang w:bidi="fa-IR"/>
        </w:rPr>
        <w:t xml:space="preserve">محمد ، عن جده إبراهیم بن محمد ، أن محمّد </w:t>
      </w:r>
      <w:r>
        <w:rPr>
          <w:rStyle w:val="FootnoteAnchor"/>
          <w:rtl w:val="true"/>
        </w:rPr>
        <w:footnoteReference w:id="993"/>
      </w:r>
      <w:r>
        <w:rPr>
          <w:rFonts w:ascii="IRNazanin" w:hAnsi="IRNazanin" w:eastAsia="IRNazanin"/>
          <w:color w:val="111111"/>
          <w:sz w:val="28"/>
          <w:sz w:val="28"/>
          <w:szCs w:val="28"/>
          <w:rtl w:val="true"/>
          <w:lang w:bidi="fa-IR"/>
        </w:rPr>
        <w:t xml:space="preserve">بن عبد الرحمن </w:t>
      </w:r>
      <w:r>
        <w:rPr>
          <w:rStyle w:val="FootnoteAnchor"/>
          <w:rtl w:val="true"/>
        </w:rPr>
        <w:footnoteReference w:id="994"/>
      </w:r>
      <w:r>
        <w:rPr>
          <w:rFonts w:ascii="IRNazanin" w:hAnsi="IRNazanin" w:eastAsia="IRNazanin"/>
          <w:color w:val="111111"/>
          <w:sz w:val="28"/>
          <w:sz w:val="28"/>
          <w:szCs w:val="28"/>
          <w:rtl w:val="true"/>
          <w:lang w:bidi="fa-IR"/>
        </w:rPr>
        <w:t xml:space="preserve">الهمدانی کتب إلی 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Style w:val="FootnoteAnchor"/>
          <w:rtl w:val="true"/>
        </w:rPr>
        <w:footnoteReference w:id="995"/>
      </w:r>
      <w:r>
        <w:rPr>
          <w:rStyle w:val="FootnoteAnchor"/>
          <w:rtl w:val="true"/>
        </w:rPr>
        <w:footnoteReference w:id="996"/>
      </w:r>
      <w:r>
        <w:rPr>
          <w:rFonts w:ascii="IRNazanin" w:hAnsi="IRNazanin" w:eastAsia="IRNazanin"/>
          <w:color w:val="111111"/>
          <w:sz w:val="28"/>
          <w:sz w:val="28"/>
          <w:szCs w:val="28"/>
          <w:rtl w:val="true"/>
          <w:lang w:bidi="fa-IR"/>
        </w:rPr>
        <w:t xml:space="preserve">یسأله عن الوضوء للصلاة فی غسل الجمعة ، فکتب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وضوء للصلاة فی غسل یوم الجمعة ولا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 عن أحمد بن الحسن بن علی بن فضال ، عن عمرو بن سعید ، عن مصدق بن صدقه ، عن عمار الساباطی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علیه السلام عن الرجل اغتسل من جنابة أو یوم جمعة أو یوم عید هل علیه الوضوء قبل ذلک أو بعده؟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لیس علیه قبل ولا بعد قد أجزأه الغسل ، والمرأة مثل ذلک إذا اغتسلت من حیض أو غیر ذلک ، ولیس علیها الوضوء لا قبل ولا بعد قد أجزأها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عبد الله ، عن موسی بن جعفر بن وهب ،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ابن الحسین </w:t>
      </w:r>
      <w:r>
        <w:rPr>
          <w:rFonts w:eastAsia="IRNazanin" w:cs="IRNazanin"/>
          <w:color w:val="111111"/>
          <w:sz w:val="28"/>
          <w:szCs w:val="28"/>
          <w:rtl w:val="true"/>
          <w:lang w:bidi="fa-IR"/>
        </w:rPr>
        <w:t xml:space="preserve">) </w:t>
      </w:r>
      <w:r>
        <w:rPr>
          <w:rStyle w:val="FootnoteAnchor"/>
          <w:rtl w:val="true"/>
        </w:rPr>
        <w:footnoteReference w:id="997"/>
      </w:r>
      <w:r>
        <w:rPr>
          <w:rFonts w:ascii="IRNazanin" w:hAnsi="IRNazanin" w:eastAsia="IRNazanin"/>
          <w:color w:val="111111"/>
          <w:sz w:val="28"/>
          <w:sz w:val="28"/>
          <w:szCs w:val="28"/>
          <w:rtl w:val="true"/>
          <w:lang w:bidi="fa-IR"/>
        </w:rPr>
        <w:t xml:space="preserve">اللؤلؤی ، عن الحسن بن علی بن فضال ، عن حماد ابن عثمان ، عن رجل ، عن أبی عبد الله علیه السلام فی الرجل یغتسل الجمعة أو غیر ذلک أیجزؤه عن الوضوء؟ فقال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وأیّ وضوء أطهر من الغسل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فالوجه فی هذه الأخبار أن نحملها علی أنها </w:t>
      </w:r>
      <w:r>
        <w:rPr>
          <w:rStyle w:val="FootnoteAnchor"/>
          <w:rtl w:val="true"/>
        </w:rPr>
        <w:footnoteReference w:id="998"/>
      </w:r>
      <w:r>
        <w:rPr>
          <w:rFonts w:ascii="IRNazanin" w:hAnsi="IRNazanin" w:eastAsia="IRNazanin"/>
          <w:color w:val="111111"/>
          <w:sz w:val="28"/>
          <w:sz w:val="28"/>
          <w:szCs w:val="28"/>
          <w:rtl w:val="true"/>
          <w:lang w:bidi="fa-IR"/>
        </w:rPr>
        <w:t xml:space="preserve">إذا اجتمعت هذه أو شی‌ء منها مع غسل الجنابة فإنه یسقط فرض الوضوء ، وإذا انفردت </w:t>
      </w:r>
      <w:bookmarkStart w:id="870" w:name="pg17122_169746"/>
    </w:p>
    <w:p>
      <w:pPr>
        <w:pStyle w:val="BookText"/>
        <w:rPr/>
      </w:pPr>
      <w:bookmarkEnd w:id="870"/>
      <w:r>
        <w:rPr>
          <w:rFonts w:ascii="IRNazanin" w:hAnsi="IRNazanin" w:eastAsia="IRNazanin"/>
          <w:color w:val="111111"/>
          <w:sz w:val="28"/>
          <w:sz w:val="28"/>
          <w:szCs w:val="28"/>
          <w:rtl w:val="true"/>
          <w:lang w:bidi="fa-IR"/>
        </w:rPr>
        <w:t xml:space="preserve">هذه الأغسال أو شی‌ء منها عن غسل الجنابة فإنّ الوضوء واجب قبلها حسب ما تقدم ، ویزید ذلک بیاناً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الصفار ، عن یعقوب بن یزید ، عن سلیمان بن الحسن ، عن علی بن یقطین ، عن أبی الحسن الأوّل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أردت أن تغتسل یوم الجمعة فتوضّأ ثم اغتسل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موسی بن جعفر بن وهب وهو مذکور فی الفهرست ، وکتاب الرجال فیمن لم یرو عن الأئمّة علیهم السلام مهملا ؛ والحسن بن الحسین اللؤلؤی وقد وثقه النجاشی </w:t>
      </w:r>
      <w:r>
        <w:rPr>
          <w:rStyle w:val="FootnoteAnchor"/>
          <w:rtl w:val="true"/>
        </w:rPr>
        <w:footnoteReference w:id="999"/>
      </w:r>
      <w:r>
        <w:rPr>
          <w:rFonts w:ascii="IRNazanin" w:hAnsi="IRNazanin" w:eastAsia="IRNazanin"/>
          <w:color w:val="111111"/>
          <w:sz w:val="28"/>
          <w:sz w:val="28"/>
          <w:szCs w:val="28"/>
          <w:rtl w:val="true"/>
          <w:lang w:bidi="fa-IR"/>
        </w:rPr>
        <w:t xml:space="preserve">، ونقل الشیخ تضعیفه عن ابن بابویه </w:t>
      </w:r>
      <w:r>
        <w:rPr>
          <w:rStyle w:val="FootnoteAnchor"/>
          <w:rtl w:val="true"/>
        </w:rPr>
        <w:footnoteReference w:id="1000"/>
      </w:r>
      <w:r>
        <w:rPr>
          <w:rFonts w:ascii="IRNazanin" w:hAnsi="IRNazanin" w:eastAsia="IRNazanin"/>
          <w:color w:val="111111"/>
          <w:sz w:val="28"/>
          <w:sz w:val="28"/>
          <w:szCs w:val="28"/>
          <w:rtl w:val="true"/>
          <w:lang w:bidi="fa-IR"/>
        </w:rPr>
        <w:t xml:space="preserve">، والظاهر أنّه من جهة استثنائه من الذین یروی عنهم محمد بن أحمد بن یحیی ، وفی الظن أنّه لا یضر بالحال بعد توثیق النجاشی وتحقیقه ، وقد تقدم أیضا القول فیه </w:t>
      </w:r>
      <w:r>
        <w:rPr>
          <w:rStyle w:val="FootnoteAnchor"/>
          <w:rtl w:val="true"/>
        </w:rPr>
        <w:footnoteReference w:id="1001"/>
      </w:r>
      <w:r>
        <w:rPr>
          <w:rFonts w:ascii="IRNazanin" w:hAnsi="IRNazanin" w:eastAsia="IRNazanin"/>
          <w:color w:val="111111"/>
          <w:sz w:val="28"/>
          <w:sz w:val="28"/>
          <w:szCs w:val="28"/>
          <w:rtl w:val="true"/>
          <w:lang w:bidi="fa-IR"/>
        </w:rPr>
        <w:t>، والإرسال فی الخبر ظاهر مع بقیة رجاله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سلیمان بن الحسن وهو مجهول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ذکره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لا یخرج عن ربقة التکلّف التامّ</w:t>
      </w:r>
      <w:r>
        <w:rPr>
          <w:rFonts w:eastAsia="IRNazanin" w:cs="IRNazanin"/>
          <w:color w:val="111111"/>
          <w:sz w:val="28"/>
          <w:szCs w:val="28"/>
          <w:rtl w:val="true"/>
          <w:lang w:bidi="fa-IR"/>
        </w:rPr>
        <w:t>.</w:t>
      </w:r>
    </w:p>
    <w:p>
      <w:pPr>
        <w:pStyle w:val="Heading4"/>
        <w:numPr>
          <w:ilvl w:val="3"/>
          <w:numId w:val="1"/>
        </w:numPr>
        <w:rPr/>
      </w:pPr>
      <w:bookmarkStart w:id="871" w:name="__RefHeading___Toc39562_2142443653"/>
      <w:bookmarkStart w:id="872" w:name="_Toc339"/>
      <w:bookmarkEnd w:id="871"/>
      <w:r>
        <w:rPr>
          <w:rtl w:val="true"/>
        </w:rPr>
        <w:t>موسی بن جعفر بن وهب مهمل</w:t>
      </w:r>
      <w:bookmarkEnd w:id="872"/>
    </w:p>
    <w:p>
      <w:pPr>
        <w:pStyle w:val="Heading4"/>
        <w:numPr>
          <w:ilvl w:val="3"/>
          <w:numId w:val="1"/>
        </w:numPr>
        <w:rPr/>
      </w:pPr>
      <w:bookmarkStart w:id="873" w:name="__RefHeading___Toc39564_2142443653"/>
      <w:bookmarkStart w:id="874" w:name="_Toc340"/>
      <w:bookmarkEnd w:id="873"/>
      <w:r>
        <w:rPr>
          <w:rtl w:val="true"/>
        </w:rPr>
        <w:t>بحث حول الحسن بن الحسین اللؤلؤی</w:t>
      </w:r>
      <w:bookmarkEnd w:id="874"/>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75" w:name="__RefHeading___Toc39566_2142443653"/>
      <w:bookmarkStart w:id="876" w:name="_Toc341"/>
      <w:bookmarkEnd w:id="875"/>
      <w:r>
        <w:rPr>
          <w:rtl w:val="true"/>
        </w:rPr>
        <w:t>سلیمان بن الحسن مجهول</w:t>
      </w:r>
      <w:bookmarkEnd w:id="876"/>
    </w:p>
    <w:p>
      <w:pPr>
        <w:pStyle w:val="BookText"/>
        <w:rPr/>
      </w:pPr>
      <w:r>
        <w:rPr>
          <w:rFonts w:ascii="IRNazanin" w:hAnsi="IRNazanin" w:eastAsia="IRNazanin"/>
          <w:color w:val="111111"/>
          <w:sz w:val="28"/>
          <w:sz w:val="28"/>
          <w:szCs w:val="28"/>
          <w:rtl w:val="true"/>
          <w:lang w:bidi="fa-IR"/>
        </w:rPr>
        <w:t xml:space="preserve">وفی المختلف أجاب عن الحدیث الأوّل بمنع صحة السند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سلّمناه ، لکنا نقول بموجبه ، فإنّ غسل الجمعة کاف فی الأمر بالغسل للجمعة ، ولیس فیه دلالة علی الاکتفاء به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واعترض علی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وضوء للصلاة فی غسل یوم الجمعة ولا فی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فأسقط وضوء الصلاة عن المصلّی ، وأجاب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بأنا لا نسلّم أنّ السقوط عن المصلّی ، بل لِمَ لا یجوز أن یکون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وضوء للصلاة فی غسل الجمعة إذا لم یکن وقت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الحدیث عام فتقییده بغیر وقت الصلاة یخرجه عن حقیقته ، وأجاب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بمنع العموم ، لدلیل آخر ، وهو ما یدل علی وجوب الوضوء لکل صلاة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وأنت خبیر بأنّه إذاً رجع الأمر للدلیل علی وجوب الوضوء لکل صلاة ، والمتقدم منه هو الآیة ، وروایة ابن أبی عمیر المرسلة المتقدمة </w:t>
      </w:r>
      <w:r>
        <w:rPr>
          <w:rStyle w:val="FootnoteAnchor"/>
          <w:rtl w:val="true"/>
        </w:rPr>
        <w:footnoteReference w:id="1003"/>
      </w:r>
      <w:r>
        <w:rPr>
          <w:rFonts w:ascii="IRNazanin" w:hAnsi="IRNazanin" w:eastAsia="IRNazanin"/>
          <w:color w:val="111111"/>
          <w:sz w:val="28"/>
          <w:sz w:val="28"/>
          <w:szCs w:val="28"/>
          <w:rtl w:val="true"/>
          <w:lang w:bidi="fa-IR"/>
        </w:rPr>
        <w:t xml:space="preserve">وروایة حماد بن عثمان المتقدمة </w:t>
      </w:r>
      <w:r>
        <w:rPr>
          <w:rStyle w:val="FootnoteAnchor"/>
          <w:rtl w:val="true"/>
        </w:rPr>
        <w:footnoteReference w:id="1004"/>
      </w:r>
      <w:r>
        <w:rPr>
          <w:rFonts w:ascii="IRNazanin" w:hAnsi="IRNazanin" w:eastAsia="IRNazanin"/>
          <w:color w:val="111111"/>
          <w:sz w:val="28"/>
          <w:sz w:val="28"/>
          <w:szCs w:val="28"/>
          <w:rtl w:val="true"/>
          <w:lang w:bidi="fa-IR"/>
        </w:rPr>
        <w:t>أیضاً عنه ، وأنّه قبل الغسل ممنوع من الدخول فی الصلاة فکذا بعده عملاً بالاستصحاب ، وشی‌ء من هذه الأدلة لا یسلم من جرح المناقشة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الآیة فبتقدیر عمومها علی ما قدمناه قابلة للتخصیص ، وقد فرض أنّه سلّم صحة السند فی الخبر ، ومعه لا مجال لإنکار القبول لتخصیص العموم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خبر ابن أبی عمیر فبتقدیر صحته یدل علی أنّ کل غسل قبله </w:t>
      </w:r>
      <w:bookmarkStart w:id="877" w:name="pg17122_169748"/>
    </w:p>
    <w:p>
      <w:pPr>
        <w:pStyle w:val="BookText"/>
        <w:rPr/>
      </w:pPr>
      <w:bookmarkEnd w:id="877"/>
      <w:r>
        <w:rPr>
          <w:rFonts w:ascii="IRNazanin" w:hAnsi="IRNazanin" w:eastAsia="IRNazanin"/>
          <w:color w:val="111111"/>
          <w:sz w:val="28"/>
          <w:sz w:val="28"/>
          <w:szCs w:val="28"/>
          <w:rtl w:val="true"/>
          <w:lang w:bidi="fa-IR"/>
        </w:rPr>
        <w:t>وضوء ، أمّا کونه للصلاة فغیر معلوم ، وحمله علی أنّ الوضوء للصلاة یتوقف علی الدلیل ، وکذلک خبر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الأخیر فی غایة السقوط حینئذ ، لأنّ ثبوت الحدیث یقتضی صحة الدخول فی الصلاة ،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الأولی فی الجواب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Style w:val="FootnoteAnchor"/>
          <w:rtl w:val="true"/>
        </w:rPr>
        <w:footnoteReference w:id="10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وضوء للصلاة فی غسل یوم الجمعة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غیر مرتبط به علی وجه الشرطیة فیه ، 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الوضوء المستفاد ثبوته فی الأغسال لیس للصلاة ، إلاّ أن فی هذا تأمّلاً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العلاّمة أیضاً عن الحدیث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معنی إجزاء الغسل إسقاط التعبّد به ، أمّا أنّه یجزئ عن الوضوء فی الصلاة فلا ، ثم اعترض علی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ولا بعده </w:t>
      </w:r>
      <w:r>
        <w:rPr>
          <w:rFonts w:eastAsia="IRNazanin" w:cs="IRNazanin"/>
          <w:color w:val="111111"/>
          <w:sz w:val="28"/>
          <w:szCs w:val="28"/>
          <w:rtl w:val="true"/>
          <w:lang w:bidi="fa-IR"/>
        </w:rPr>
        <w:t xml:space="preserve">) </w:t>
      </w:r>
      <w:r>
        <w:rPr>
          <w:rStyle w:val="FootnoteAnchor"/>
          <w:rtl w:val="true"/>
        </w:rPr>
        <w:footnoteReference w:id="1006"/>
      </w:r>
      <w:r>
        <w:rPr>
          <w:rFonts w:ascii="IRNazanin" w:hAnsi="IRNazanin" w:eastAsia="IRNazanin"/>
          <w:color w:val="111111"/>
          <w:sz w:val="28"/>
          <w:sz w:val="28"/>
          <w:szCs w:val="28"/>
          <w:rtl w:val="true"/>
          <w:lang w:bidi="fa-IR"/>
        </w:rPr>
        <w:t xml:space="preserve">أجزأه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سلب الوجوب عند الصلاة ، وبأنّ السؤال وقع عن غسل الجنابة والجمعة والعیدین ، والجواب وقع عن الجمیع بإسقاط الوضوء ، وکما أنّ إسقاط الوضوء فی الجنابة عن المرید للصلاة فکذا ما سواه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إجزاء الغسل فی التعبّد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الغسل فی الجنابة کاف فی رفعها ، ولا یلزم جواز الدخول فی الصلاة إلاّ بدلیل من خارج ، وقد بیناه فی غسل الجنابة ، فیبقی الباقی علی المنع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وأنت خبیر بما فی الجواب عن الثانی من حیث إنّ اشتمال الخبر</w:t>
      </w:r>
    </w:p>
    <w:p>
      <w:pPr>
        <w:pStyle w:val="Heading4"/>
        <w:numPr>
          <w:ilvl w:val="3"/>
          <w:numId w:val="1"/>
        </w:numPr>
        <w:rPr/>
      </w:pPr>
      <w:bookmarkStart w:id="878" w:name="__RefHeading___Toc39568_2142443653"/>
      <w:bookmarkStart w:id="879" w:name="_Toc342"/>
      <w:bookmarkEnd w:id="878"/>
      <w:r>
        <w:rPr>
          <w:rtl w:val="true"/>
        </w:rPr>
        <w:t>توجیه العلّامة لمکاتبة محمد بن عبد الرحمان الهمدانی والمناقشة فیه</w:t>
      </w:r>
      <w:bookmarkEnd w:id="879"/>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80" w:name="__RefHeading___Toc39570_2142443653"/>
      <w:bookmarkStart w:id="881" w:name="_Toc343"/>
      <w:bookmarkEnd w:id="880"/>
      <w:r>
        <w:rPr>
          <w:rtl w:val="true"/>
        </w:rPr>
        <w:t>توجیه العلّأمة لموثقة عمّار والمناقشة فیه</w:t>
      </w:r>
      <w:bookmarkStart w:id="882" w:name="pg17122_169749"/>
      <w:bookmarkEnd w:id="881"/>
    </w:p>
    <w:p>
      <w:pPr>
        <w:pStyle w:val="BookText"/>
        <w:rPr/>
      </w:pPr>
      <w:bookmarkEnd w:id="882"/>
      <w:r>
        <w:rPr>
          <w:rFonts w:ascii="IRNazanin" w:hAnsi="IRNazanin" w:eastAsia="IRNazanin"/>
          <w:color w:val="111111"/>
          <w:sz w:val="28"/>
          <w:sz w:val="28"/>
          <w:szCs w:val="28"/>
          <w:rtl w:val="true"/>
          <w:lang w:bidi="fa-IR"/>
        </w:rPr>
        <w:t>علی جزئیات توجب المشارکة فی الحکم ، فإخراج بعضها دون البعض مشکل ، إلاّ أنّ مثل هذا کثیر فی الأخبار ، وإن کان فیه نوع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العلاّمة عن الخبر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ما ذکر </w:t>
      </w:r>
      <w:r>
        <w:rPr>
          <w:rStyle w:val="FootnoteAnchor"/>
          <w:rtl w:val="true"/>
        </w:rPr>
        <w:footnoteReference w:id="1009"/>
      </w:r>
      <w:r>
        <w:rPr>
          <w:rFonts w:ascii="IRNazanin" w:hAnsi="IRNazanin" w:eastAsia="IRNazanin"/>
          <w:color w:val="111111"/>
          <w:sz w:val="28"/>
          <w:sz w:val="28"/>
          <w:szCs w:val="28"/>
          <w:rtl w:val="true"/>
          <w:lang w:bidi="fa-IR"/>
        </w:rPr>
        <w:t>، ولعل الجواب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فاعلم أنّ الأخبار الدالة علی سقوط الوضوء وإن کانت غیر سلیمة الإسناد ، إلاّ أنّ لها مؤیّدات من الأخبار غیر ما سبق من روایة محمد بن مسلم الثانیة فی أوّل الباب ، الدالة علی أنّ أیّ وضوء أطهر من الغسل ، فإنّ فیها احتمال العهد کما سبق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ومثلها روایة صحیحة عن حکم بن حکیم فی التهذیب معلّلة بأنّ أیّ وضوء أنقی من الغسل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الروایات الواردة فی بیان غسل الاستحاضة والحیض والنفاس ، مؤیّدة أیضاً کصحیح معاویة بن عمار حیث قال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جازت أیّامها ورأت الدم یثقب الکرسف اغتسلت للظهر والعصر ، فإن کان لا یثقب توضّأت ودخلت المسجد وصلّت کل صلاة بوضوء </w:t>
      </w:r>
      <w:r>
        <w:rPr>
          <w:rFonts w:eastAsia="IRNazanin" w:cs="IRNazanin"/>
          <w:color w:val="111111"/>
          <w:sz w:val="28"/>
          <w:szCs w:val="28"/>
          <w:rtl w:val="true"/>
          <w:lang w:bidi="fa-IR"/>
        </w:rPr>
        <w:t xml:space="preserve">» </w:t>
      </w:r>
      <w:r>
        <w:rPr>
          <w:rStyle w:val="FootnoteAnchor"/>
          <w:rtl w:val="true"/>
        </w:rPr>
        <w:footnoteReference w:id="1011"/>
      </w:r>
      <w:r>
        <w:rPr>
          <w:rFonts w:ascii="IRNazanin" w:hAnsi="IRNazanin" w:eastAsia="IRNazanin"/>
          <w:color w:val="111111"/>
          <w:sz w:val="28"/>
          <w:sz w:val="28"/>
          <w:szCs w:val="28"/>
          <w:rtl w:val="true"/>
          <w:lang w:bidi="fa-IR"/>
        </w:rPr>
        <w:t xml:space="preserve">وصحیح ابن نعیم الصحاف </w:t>
      </w:r>
      <w:r>
        <w:rPr>
          <w:rStyle w:val="FootnoteAnchor"/>
          <w:rtl w:val="true"/>
        </w:rPr>
        <w:footnoteReference w:id="1012"/>
      </w:r>
      <w:r>
        <w:rPr>
          <w:rFonts w:ascii="IRNazanin" w:hAnsi="IRNazanin" w:eastAsia="IRNazanin"/>
          <w:color w:val="111111"/>
          <w:sz w:val="28"/>
          <w:sz w:val="28"/>
          <w:szCs w:val="28"/>
          <w:rtl w:val="true"/>
          <w:lang w:bidi="fa-IR"/>
        </w:rPr>
        <w:t>، وسیأتی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صحیح عبد الرحمن بن الحجاج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فلتغتسل ولتصلّ </w:t>
      </w:r>
      <w:r>
        <w:rPr>
          <w:rFonts w:eastAsia="IRNazanin" w:cs="IRNazanin"/>
          <w:color w:val="111111"/>
          <w:sz w:val="28"/>
          <w:szCs w:val="28"/>
          <w:rtl w:val="true"/>
          <w:lang w:bidi="fa-IR"/>
        </w:rPr>
        <w:t xml:space="preserve">»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 عبد الله 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غسل الجنابة والحیض واحد </w:t>
      </w:r>
      <w:r>
        <w:rPr>
          <w:rFonts w:eastAsia="IRNazanin" w:cs="IRNazanin"/>
          <w:color w:val="111111"/>
          <w:sz w:val="28"/>
          <w:szCs w:val="28"/>
          <w:rtl w:val="true"/>
          <w:lang w:bidi="fa-IR"/>
        </w:rPr>
        <w:t xml:space="preserve">» </w:t>
      </w:r>
      <w:r>
        <w:rPr>
          <w:rStyle w:val="FootnoteAnchor"/>
          <w:rtl w:val="true"/>
        </w:rPr>
        <w:footnoteReference w:id="1014"/>
      </w:r>
      <w:r>
        <w:rPr>
          <w:rFonts w:ascii="IRNazanin" w:hAnsi="IRNazanin" w:eastAsia="IRNazanin"/>
          <w:color w:val="111111"/>
          <w:sz w:val="28"/>
          <w:sz w:val="28"/>
          <w:szCs w:val="28"/>
          <w:rtl w:val="true"/>
          <w:lang w:bidi="fa-IR"/>
        </w:rPr>
        <w:t>وغیر ذلک من الأخبار</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83" w:name="__RefHeading___Toc39572_2142443653"/>
      <w:bookmarkStart w:id="884" w:name="_Toc344"/>
      <w:bookmarkEnd w:id="883"/>
      <w:r>
        <w:rPr>
          <w:rtl w:val="true"/>
        </w:rPr>
        <w:t>الأخبار المؤیّدة لسقوط الوضوء مع الغسل</w:t>
      </w:r>
      <w:bookmarkStart w:id="885" w:name="pg17122_169750"/>
      <w:bookmarkEnd w:id="884"/>
    </w:p>
    <w:p>
      <w:pPr>
        <w:pStyle w:val="BookText"/>
        <w:rPr/>
      </w:pPr>
      <w:bookmarkEnd w:id="885"/>
      <w:r>
        <w:rPr>
          <w:rFonts w:ascii="IRNazanin" w:hAnsi="IRNazanin" w:eastAsia="IRNazanin"/>
          <w:color w:val="111111"/>
          <w:sz w:val="28"/>
          <w:sz w:val="28"/>
          <w:szCs w:val="28"/>
          <w:rtl w:val="true"/>
          <w:lang w:bidi="fa-IR"/>
        </w:rPr>
        <w:t>ومعارضة ما دل علی أنّ کل غسل قبله وضوء موقوفة علی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تمهّد هذا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 أنّ شیخنا المحقق أیّده الله قال فی فوائد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الروایة المتضمنة لأنّ کل غسل قبله وضوء إلاّ غسل الجنابة قاصرة بالإرسال ، وإن کان المُرسِل ابن أبی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واحتمل فی بعض الطرق کون الواسطة حماد بن عثمان الثقة ، ولا تدل أیضاً علی وجوب هذا الوضوء ، بل علی أنّ قبله وضوء فی الجملة ، فجاز أن یکون علی سبیل الندب زیادةً فی التطهیر ورفعاً لاستبعاد أهل الخلاف ، ولا یتأتّی مثله فی غسل الجنابة ، لأنّ الآیة ظاهرة فی عدم الوضوء معه ، بل ما تقدم من عدم الوضوء بعد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کلّه یقتضی أنّ الوضوء لیس واجباً ولا له دخل فی الاستباحة ، وإلاّ لم یتفاوت الحال بین فعله قبل وبعد ، وأمّا الوضوء المندوب غیر المبیح فیناسب اختصاص وقوعه بما قبل الغسل فی الحائض ونحوها ، بخلاف الوضوء المبیح ، وأیضاً فإنّ هذا الوضوء لو کان واجباً لکان ینبغی أن یبیّن أنّه لو ترک قبل الغسل نسیاناً یفعل بعده ، أو یعاد الغسل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1015"/>
      </w:r>
      <w:r>
        <w:rPr>
          <w:rFonts w:ascii="IRNazanin" w:hAnsi="IRNazanin" w:eastAsia="IRNazanin"/>
          <w:color w:val="111111"/>
          <w:sz w:val="28"/>
          <w:sz w:val="28"/>
          <w:szCs w:val="28"/>
          <w:rtl w:val="true"/>
          <w:lang w:bidi="fa-IR"/>
        </w:rPr>
        <w:t>لم یبیّن ذلک فی شی‌ء من هذه الروایات ، بل ظاهر إطلاق کون الوضوء بعد الغسل بدعة یقتضی عدمه حینئذ ، وإعادة الغسل بعد الوضوء مع دخوله فی ظاهر هذا الإطلاق لا أعرف به قائلاً ، مع اقتضاء ظاهر روایات صحیحة انتفاء الوضوء مع الغسل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أیّده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إذا تأمّلته لا یخفی علیک حقیقة الحال ، وفی ظنّی أنّ بعض الأصحاب قائل بأنّ الوضوء جزء الرافع </w:t>
      </w:r>
      <w:r>
        <w:rPr>
          <w:rStyle w:val="FootnoteAnchor"/>
          <w:rtl w:val="true"/>
        </w:rPr>
        <w:footnoteReference w:id="1016"/>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86" w:name="__RefHeading___Toc39574_2142443653"/>
      <w:bookmarkStart w:id="887" w:name="_Toc345"/>
      <w:bookmarkEnd w:id="886"/>
      <w:r>
        <w:rPr>
          <w:rtl w:val="true"/>
        </w:rPr>
        <w:t>کلام المحقق الاستر ابادی فی أنّ الوضوء قبل الغسل فی غیر الجنابة مندوب</w:t>
      </w:r>
      <w:bookmarkStart w:id="888" w:name="pg17122_169751"/>
      <w:bookmarkEnd w:id="887"/>
    </w:p>
    <w:p>
      <w:pPr>
        <w:pStyle w:val="BookText"/>
        <w:rPr/>
      </w:pPr>
      <w:bookmarkEnd w:id="888"/>
      <w:r>
        <w:rPr>
          <w:rFonts w:ascii="IRNazanin" w:hAnsi="IRNazanin" w:eastAsia="IRNazanin"/>
          <w:color w:val="111111"/>
          <w:sz w:val="28"/>
          <w:sz w:val="28"/>
          <w:szCs w:val="28"/>
          <w:rtl w:val="true"/>
          <w:lang w:bidi="fa-IR"/>
        </w:rPr>
        <w:t xml:space="preserve">وما ذکره الشیخ أخیراً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ویزیده بیاناً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وجهه ، بل الظاهر أنّه یزیده إجمالاً ، فإنّ قوله بأنّ الوضوء واجب قبلها ، إذا لم یکن فیها غسل الجنابة ، ثم ذکره الروایة فی غسل الجمعة ، یقتضی وجوب الوضوء قبله ، والإشکال فیه ظاهر ، والله تعالی أعلم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الجنب ینتهی إلی البئر</w:t>
      </w:r>
    </w:p>
    <w:p>
      <w:pPr>
        <w:pStyle w:val="BookText"/>
        <w:rPr/>
      </w:pPr>
      <w:r>
        <w:rPr>
          <w:rFonts w:ascii="IRNazanin" w:hAnsi="IRNazanin" w:eastAsia="IRNazanin"/>
          <w:color w:val="111111"/>
          <w:sz w:val="28"/>
          <w:sz w:val="28"/>
          <w:szCs w:val="28"/>
          <w:rtl w:val="true"/>
          <w:lang w:bidi="fa-IR"/>
        </w:rPr>
        <w:t>أو الغدیر ولیس معه ما یغرف به الماء</w:t>
      </w:r>
    </w:p>
    <w:p>
      <w:pPr>
        <w:pStyle w:val="BookText"/>
        <w:rPr/>
      </w:pPr>
      <w:r>
        <w:rPr>
          <w:rFonts w:ascii="IRNazanin" w:hAnsi="IRNazanin" w:eastAsia="IRNazanin"/>
          <w:color w:val="111111"/>
          <w:sz w:val="28"/>
          <w:sz w:val="28"/>
          <w:szCs w:val="28"/>
          <w:rtl w:val="true"/>
          <w:lang w:bidi="fa-IR"/>
        </w:rPr>
        <w:t xml:space="preserve">أخبرنی الشیخ رحمه الله عن أبی القاسم جعفر بن محمد ، عن محمد ابن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إسماعیل ، عن الفضل بن شاذان ، عن صفوان بن یحیی ، عن منصور بن حازم ، عن ابن أبی یعفور وعنبسة بن مصعب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أتیت البئر وأنت جنب ولم تجد دلواً ولا شیئاً تغرف به فتیمم بالصعید ، فإنّ ربّ الماء ورب الصعید واحد ولا تقع فی البئر ولا تفسد علی القوم ماءهم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قد تکرر القول فیه بما یغنی عن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 به القائلون بنجاسة البئر بالملاقاة فی جملة روایات ، ووجّهوا الاستدلال بأنّ الأمر بالتیمم واقع فی الروایة ، والتیمم مشروط بفقد الماء الطاهر ، فلا یکون الماء طاهراً بتقدیر وقوع الجنب فی البئر واغتساله ، وبأن</w:t>
      </w:r>
    </w:p>
    <w:p>
      <w:pPr>
        <w:pStyle w:val="Heading3"/>
        <w:numPr>
          <w:ilvl w:val="2"/>
          <w:numId w:val="1"/>
        </w:numPr>
        <w:rPr/>
      </w:pPr>
      <w:bookmarkStart w:id="889" w:name="__RefHeading___Toc39576_2142443653"/>
      <w:bookmarkStart w:id="890" w:name="_Toc346"/>
      <w:bookmarkEnd w:id="889"/>
      <w:r>
        <w:rPr>
          <w:rtl w:val="true"/>
        </w:rPr>
        <w:t>الجنب ینتهی إلی البئرأو الغدیر ولیس معه ما یغرف به الماء</w:t>
      </w:r>
      <w:bookmarkEnd w:id="890"/>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91" w:name="__RefHeading___Toc39578_2142443653"/>
      <w:bookmarkStart w:id="892" w:name="_Toc347"/>
      <w:bookmarkEnd w:id="891"/>
      <w:r>
        <w:rPr>
          <w:rtl w:val="true"/>
        </w:rPr>
        <w:t>الاستدلال بحدیث ابن أبی یعفور علی نجاسة البئر بالملاقاة والمناقشة فیه</w:t>
      </w:r>
      <w:bookmarkEnd w:id="892"/>
    </w:p>
    <w:p>
      <w:pPr>
        <w:pStyle w:val="BookText"/>
        <w:rPr/>
      </w:pPr>
      <w:r>
        <w:rPr>
          <w:rFonts w:ascii="IRNazanin" w:hAnsi="IRNazanin" w:eastAsia="IRNazanin"/>
          <w:color w:val="111111"/>
          <w:sz w:val="28"/>
          <w:sz w:val="28"/>
          <w:szCs w:val="28"/>
          <w:rtl w:val="true"/>
          <w:lang w:bidi="fa-IR"/>
        </w:rPr>
        <w:t xml:space="preserve">النهی عن الإفساد والوقوع المفهوم منه النجاسة کما اعترف به الخصم فی أخبار الطهارة حیث ورد فیها الإفساد وحمل علی النجاسة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وأُجیب عن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الخبر لا دلالة فیه علی النجاسة بوجه ، لأنّ الأمر بالتیمم لا ینحصر وجهه فی نجاسة الماء ، إذ من الجائز أن یکون لتغییر الماء وفساده علی الشارب بنزول الجنب فیه ، وعلیه یحمل النهی الواقع فیه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الإفساد واقع فی جهة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أجاب عنه الوالد قدس سره بالفرق بین الأمرین ، فإنّ الإفساد الواقع فی خبر الطهارة نکرة فی سیاق النفی فیعم ، بخلاف الإفساد الواقع هنا ، فإنّه لا عموم فیه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نظری القاصر أنّ الاستدلال والجواب لا یخلو من تأمّل وقد أوضحت الحال فیه فی حاشیة التهذیب ، إلاّ أنّی أذکر هنا مجمل الأمر ،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مفاد الحدیث النهی عن 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الوقوع والإفساد ، وکون الإفساد بسبب الوقوع غیر معلوم ، والاستدلال مبنی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فبأنّ النهی عن الإفساد نهی عن إیجاد الماهیة فی أیّ فرد من الأفراد فهی مستلزمة العموم ، والوالد قدس سره معترف فی النهی بما ذکرناه </w:t>
      </w:r>
      <w:r>
        <w:rPr>
          <w:rStyle w:val="FootnoteAnchor"/>
          <w:rtl w:val="true"/>
        </w:rPr>
        <w:footnoteReference w:id="1020"/>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الظاهر من الروایة أنّ الماء ملک لقوم ، ولا ریب أنّ التصرف فی مال الغیر مشروط بما لا یضر بحال الماء بالنسبة إلی طبائعهم ، </w:t>
      </w:r>
    </w:p>
    <w:p>
      <w:pPr>
        <w:pStyle w:val="BookText"/>
        <w:rPr/>
      </w:pPr>
      <w:r>
        <w:rPr>
          <w:rFonts w:ascii="IRNazanin" w:hAnsi="IRNazanin" w:eastAsia="IRNazanin"/>
          <w:color w:val="111111"/>
          <w:sz w:val="28"/>
          <w:sz w:val="28"/>
          <w:szCs w:val="28"/>
          <w:rtl w:val="true"/>
          <w:lang w:bidi="fa-IR"/>
        </w:rPr>
        <w:t xml:space="preserve">أو البئر مباح ، ویراد بالقوم جمیع المسلمین ، وقد یشکل الحال بأنّ من لا یعلم لا حرج علیه ولا نفرة له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السبب لا یجوز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فیه ، وعلی کلّ حال فلا یمکن الرجوع إلی ضابط فی الإفساد جزماً یرجع إلیه ، فعلی تقدیر عدم العموم فی الإفساد یراد ما یتحقق به ، ولا ریب أنّ إرادة غیر النجاسة لا وجه لاختصاصه ، بل الظاهر إمّا النجاسة أو هی وما ضاهاها أو الحصر فی غیرها محل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 الحدیث یدل بظاهره علی ما قالوه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غسل الجنب فی البئر یفسده ، والإفساد إمّا لسلب الطهوریّة أو سلب الطهارة ، وبالأول قال جماعة </w:t>
      </w:r>
      <w:r>
        <w:rPr>
          <w:rStyle w:val="FootnoteAnchor"/>
          <w:rtl w:val="true"/>
        </w:rPr>
        <w:footnoteReference w:id="1022"/>
      </w:r>
      <w:r>
        <w:rPr>
          <w:rFonts w:ascii="IRNazanin" w:hAnsi="IRNazanin" w:eastAsia="IRNazanin"/>
          <w:color w:val="111111"/>
          <w:sz w:val="28"/>
          <w:sz w:val="28"/>
          <w:szCs w:val="28"/>
          <w:rtl w:val="true"/>
          <w:lang w:bidi="fa-IR"/>
        </w:rPr>
        <w:t xml:space="preserve">وصرّح جدی قدس سره بالثانی فی شرح الإرشاد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والعلّة فیه أی فی النزح نجاسة البئر بذلک وإن کان بدنه خالیاً من نجاسة ، ولا بعد فیه بعد ورود النص </w:t>
      </w:r>
      <w:r>
        <w:rPr>
          <w:rStyle w:val="FootnoteAnchor"/>
          <w:rtl w:val="true"/>
        </w:rPr>
        <w:footnoteReference w:id="10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غریب منه قدس سره فإنّ النص لا صراحة فیه ، ومع الاحتمال کیف یتم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ذکره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مقتضی الخبر النهی عن الإفساد ، فإذا کان الغسل مفسداً کان منهیاً عنه ، ومع النهی لا إفساد لفساد الغسل ، فلا یتم الاستدلال بالروایة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أُجیب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النهی لیس عن العبادة ، بل عن الوقوع فی الماء وإفساده ، وهو إنّما یتحقق بعد الحکم بطهر الجنب لا بمجرّد دخوله فی البئر ، فلا یضر هذا النهی لتأخّره وعدم کونه عن نفس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الوسیلة إلی المحرّم محرّمة وإن کانت قبل زمانه </w:t>
      </w:r>
      <w:r>
        <w:rPr>
          <w:rStyle w:val="FootnoteAnchor"/>
          <w:rtl w:val="true"/>
        </w:rPr>
        <w:footnoteReference w:id="10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بحث ذکرناه فی موضعه</w:t>
      </w:r>
      <w:r>
        <w:rPr>
          <w:rFonts w:eastAsia="IRNazanin" w:cs="IRNazanin"/>
          <w:color w:val="111111"/>
          <w:sz w:val="28"/>
          <w:szCs w:val="28"/>
          <w:rtl w:val="true"/>
          <w:lang w:bidi="fa-IR"/>
        </w:rPr>
        <w:t xml:space="preserve">. </w:t>
      </w:r>
      <w:bookmarkStart w:id="893" w:name="pg17122_169754"/>
    </w:p>
    <w:p>
      <w:pPr>
        <w:pStyle w:val="BookText"/>
        <w:rPr/>
      </w:pPr>
      <w:bookmarkEnd w:id="893"/>
      <w:r>
        <w:rPr>
          <w:rFonts w:ascii="IRNazanin" w:hAnsi="IRNazanin" w:eastAsia="IRNazanin"/>
          <w:color w:val="111111"/>
          <w:sz w:val="28"/>
          <w:sz w:val="28"/>
          <w:szCs w:val="28"/>
          <w:rtl w:val="true"/>
          <w:lang w:bidi="fa-IR"/>
        </w:rPr>
        <w:t xml:space="preserve">والذی یمکن أن یقال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الغسل لا ریب أنّ نفسه هو المفسد ، والظاهر من النهی إنّما هو عن الاغتسال وإجراء الماء علی العضو والحرکة والنیة ، فیکون النهی متوجّهاً إلی الغسل وجزئه علی تقدیر دلالة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وینقل عن ابن إدریس أنّه خصّ الحکم بالارتماس مدّعیاً علیه الإجماع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بعض المتأخّرین أنّ الجنب إذا اغتسل مرتمساً طهر بدنه من الحدث ونجس بالخبث ، وإن اغتسل مرتّبا أجزأه غسل ما غسله قبل دخول الماء إلی البئر </w:t>
      </w:r>
      <w:r>
        <w:rPr>
          <w:rStyle w:val="FootnoteAnchor"/>
          <w:rtl w:val="true"/>
        </w:rPr>
        <w:footnoteReference w:id="10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یقتضی أن یصیر الماء مستعملاً بأول جزء من الغسل ، وقد بیّنا فی حاشیة الفقیه ما یدل علی أنّ المستعمل لا یتحقق بذلک ، وقدّمنا أیضا فی هذا الشرح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جدّی قدس سره فی شرح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مذهب العلاّمة فی المختلف وشیخه المحقق أنّ الحکم بالنزح لکونه مستعملاً فیکون لسلب الطهوریة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ویشکل بإطلاق النصوص وبحکم سلاّر وابن إدریس وجماعة من المتأخّرین بوجوب النزح مع طهوریة المستعمل عندهم ، وباستلزامه القول بعدم وجوب النزح ، لأنّه فرّعه علی القول بسقوط طهوریة المستعمل ، وهو لا یقول به ، فیلزم عدم القول بالنزح ، والذی اختاره فی المنتهی هو التعبد </w:t>
      </w:r>
      <w:r>
        <w:rPr>
          <w:rStyle w:val="FootnoteAnchor"/>
          <w:rtl w:val="true"/>
        </w:rPr>
        <w:footnoteReference w:id="102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فی المختلف هذه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هنا بحث وهو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94" w:name="__RefHeading___Toc39580_2142443653"/>
      <w:bookmarkStart w:id="895" w:name="_Toc348"/>
      <w:bookmarkEnd w:id="894"/>
      <w:r>
        <w:rPr>
          <w:rtl w:val="true"/>
        </w:rPr>
        <w:t>ما هو المقتضی لنزح السبع باغتسال الجنب؟</w:t>
      </w:r>
      <w:bookmarkEnd w:id="895"/>
    </w:p>
    <w:p>
      <w:pPr>
        <w:pStyle w:val="BookText"/>
        <w:rPr/>
      </w:pPr>
      <w:r>
        <w:rPr>
          <w:rFonts w:ascii="IRNazanin" w:hAnsi="IRNazanin" w:eastAsia="IRNazanin"/>
          <w:color w:val="111111"/>
          <w:sz w:val="28"/>
          <w:sz w:val="28"/>
          <w:szCs w:val="28"/>
          <w:rtl w:val="true"/>
          <w:lang w:bidi="fa-IR"/>
        </w:rPr>
        <w:t>کان البدن خالیا من نجاسة عینیّة فأیّ سبب أوجب نزح السبع وبأیّ اعتبار یفسد ماء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علماؤنا فی الماء المستعمل فی الطهارة الکبری هل یرتفع عنه حکم الطهوریة لغیره أم لا؟ فبعض علمائنا أفتی بالأول ، وبعضهم أفتی بالثانی ، وسیأتی البحث فیه إنشاء الله ، فالمقتضی للنزح کونه مستعملاً فی الطهارة الکبری وهذا إنّما یتمشی عند الشیخین أمّا نحن فلا ، والعجب أنّ ابن إدریس ذهب إلی ما اخترناه من بقاء حکم الطهوریة فی المستعمل وأوجب النزح هنا ، إذا عرفت هذا فالأقوی عندی بناءً علی قول الشیخین کون الماء طاهراً وإن ارتفع عنه حکم الطهوریة </w:t>
      </w:r>
      <w:r>
        <w:rPr>
          <w:rStyle w:val="FootnoteAnchor"/>
          <w:rtl w:val="true"/>
        </w:rPr>
        <w:footnoteReference w:id="10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الکلام یعطی خلاف ما قاله جدّی قدس سره وبالجملة فالأقوال فی المسألة مضطربة کما یعلم من مراجعة کتب الأصحاب ، والله تعالی أعلم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ما رواه علی بن إبراهیم ، عن أبیه ، عن عبد الله بن المغیرة ، عن ابن مسکان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میسر </w:t>
      </w:r>
      <w:r>
        <w:rPr>
          <w:rStyle w:val="FootnoteAnchor"/>
          <w:rtl w:val="true"/>
        </w:rPr>
        <w:footnoteReference w:id="1030"/>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الجنب ینتهی إلی الماء القلیل فی الطریق ویرید أن یغتسل منه ولیس معه إناء یغرف به ویداه قذرتان قال </w:t>
      </w:r>
      <w:r>
        <w:rPr>
          <w:rFonts w:eastAsia="IRNazanin" w:cs="IRNazanin"/>
          <w:color w:val="111111"/>
          <w:sz w:val="28"/>
          <w:szCs w:val="28"/>
          <w:rtl w:val="true"/>
          <w:lang w:bidi="fa-IR"/>
        </w:rPr>
        <w:t xml:space="preserve">: </w:t>
      </w:r>
      <w:bookmarkStart w:id="896" w:name="pg17122_169756"/>
    </w:p>
    <w:p>
      <w:pPr>
        <w:pStyle w:val="BookText"/>
        <w:rPr/>
      </w:pPr>
      <w:bookmarkEnd w:id="89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یضع یده ویتوضّأ ویغتسل ، هذا ممّا 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 عَلَیْکُمْ فِی الدِّینِ مِنْ حَرَجٍ </w:t>
      </w:r>
      <w:r>
        <w:rPr>
          <w:rFonts w:eastAsia="Amiri" w:cs="Amiri" w:ascii="Amiri" w:hAnsi="Amiri"/>
          <w:color w:val="111111"/>
          <w:sz w:val="28"/>
          <w:szCs w:val="28"/>
          <w:rtl w:val="true"/>
          <w:lang w:bidi="ar-SA"/>
        </w:rPr>
        <w:t xml:space="preserve">)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فالوجه فی هذا الخبر هو أن یأخذ الماء من المستنقع بیده ولا ینزله بنفسه ویغتسل یصب الماء علی البدن ، ویکون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ویداه قذرتان ، إشارة إلی ما علیها </w:t>
      </w:r>
      <w:r>
        <w:rPr>
          <w:rStyle w:val="FootnoteAnchor"/>
          <w:rtl w:val="true"/>
        </w:rPr>
        <w:footnoteReference w:id="1032"/>
      </w:r>
      <w:r>
        <w:rPr>
          <w:rFonts w:ascii="Amiri" w:hAnsi="Amiri" w:eastAsia="Amiri" w:cs="Amiri"/>
          <w:color w:val="111111"/>
          <w:sz w:val="28"/>
          <w:sz w:val="28"/>
          <w:szCs w:val="28"/>
          <w:rtl w:val="true"/>
          <w:lang w:bidi="ar-SA"/>
        </w:rPr>
        <w:t xml:space="preserve">من الوسخ دون النجاسة لأن النجاسة تفسد الماء </w:t>
      </w:r>
      <w:r>
        <w:rPr>
          <w:rStyle w:val="FootnoteAnchor"/>
          <w:rtl w:val="true"/>
        </w:rPr>
        <w:footnoteReference w:id="1033"/>
      </w:r>
      <w:r>
        <w:rPr>
          <w:rFonts w:ascii="IRNazanin" w:hAnsi="IRNazanin" w:eastAsia="IRNazanin"/>
          <w:color w:val="111111"/>
          <w:sz w:val="28"/>
          <w:sz w:val="28"/>
          <w:szCs w:val="28"/>
          <w:rtl w:val="true"/>
          <w:lang w:bidi="fa-IR"/>
        </w:rPr>
        <w:t>إذا کان قلیلاً علی ما قدّمنا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حسن ، وابن مسکان هو عبد الله کما یعرف من ممارسة الرجال ، ثم إنّ عبد الله بن مسکان نقل العلاّمة فی الخلاصة عن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فیه روی أنّه لم یسمع من الصادق علیه السلام إلاّ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أدرک المشعر فقد أدرک الحج </w:t>
      </w:r>
      <w:r>
        <w:rPr>
          <w:rFonts w:eastAsia="IRNazanin" w:cs="IRNazanin"/>
          <w:color w:val="111111"/>
          <w:sz w:val="28"/>
          <w:szCs w:val="28"/>
          <w:rtl w:val="true"/>
          <w:lang w:bidi="fa-IR"/>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لم نجده فی النجاشی ، لکنه فی الکشی بهذه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نصیر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عیسی ، عن یونس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یسمع حریز بن عبد الله عن أبی عبد الله إلاّ حدیثاً أو حدیثین ، وکذلک عبد الله بن مسکان إلاّ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أدرک المشعر فقد أدرک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والذی فی کتب الحدیث من روایات عبد الله بن مسکان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97" w:name="__RefHeading___Toc39582_2142443653"/>
      <w:bookmarkStart w:id="898" w:name="_Toc349"/>
      <w:bookmarkEnd w:id="897"/>
      <w:r>
        <w:rPr>
          <w:rtl w:val="true"/>
        </w:rPr>
        <w:t xml:space="preserve">بحث فی أنّ عبدالله بن مسکان لم یسمع من الصادق علیه السلام إلّا حدیث </w:t>
      </w:r>
      <w:r>
        <w:rPr>
          <w:rtl w:val="true"/>
        </w:rPr>
        <w:t xml:space="preserve">: « </w:t>
      </w:r>
      <w:r>
        <w:rPr>
          <w:rtl w:val="true"/>
        </w:rPr>
        <w:t xml:space="preserve">من أدرک المشعر </w:t>
      </w:r>
      <w:r>
        <w:rPr>
          <w:rtl w:val="true"/>
        </w:rPr>
        <w:t>»</w:t>
      </w:r>
      <w:bookmarkStart w:id="899" w:name="pg17122_169757"/>
      <w:bookmarkEnd w:id="898"/>
    </w:p>
    <w:p>
      <w:pPr>
        <w:pStyle w:val="BookText"/>
        <w:rPr/>
      </w:pPr>
      <w:bookmarkEnd w:id="899"/>
      <w:r>
        <w:rPr>
          <w:rFonts w:ascii="IRNazanin" w:hAnsi="IRNazanin" w:eastAsia="IRNazanin"/>
          <w:color w:val="111111"/>
          <w:sz w:val="28"/>
          <w:sz w:val="28"/>
          <w:szCs w:val="28"/>
          <w:rtl w:val="true"/>
          <w:lang w:bidi="fa-IR"/>
        </w:rPr>
        <w:t xml:space="preserve">أبو عبد الله ، وعن أبی عبد الله ، کثیر ، ففی الکافی فی باب المکارم </w:t>
      </w:r>
      <w:r>
        <w:rPr>
          <w:rStyle w:val="FootnoteAnchor"/>
          <w:rtl w:val="true"/>
        </w:rPr>
        <w:footnoteReference w:id="1036"/>
      </w:r>
      <w:r>
        <w:rPr>
          <w:rFonts w:ascii="IRNazanin" w:hAnsi="IRNazanin" w:eastAsia="IRNazanin"/>
          <w:color w:val="111111"/>
          <w:sz w:val="28"/>
          <w:sz w:val="28"/>
          <w:szCs w:val="28"/>
          <w:rtl w:val="true"/>
          <w:lang w:bidi="fa-IR"/>
        </w:rPr>
        <w:t xml:space="preserve">، وباب النهی عن الإشراف علی قبر النبی صلی الله علیه و آله </w:t>
      </w:r>
      <w:r>
        <w:rPr>
          <w:rStyle w:val="FootnoteAnchor"/>
          <w:rtl w:val="true"/>
        </w:rPr>
        <w:footnoteReference w:id="1037"/>
      </w:r>
      <w:r>
        <w:rPr>
          <w:rFonts w:ascii="IRNazanin" w:hAnsi="IRNazanin" w:eastAsia="IRNazanin"/>
          <w:color w:val="111111"/>
          <w:sz w:val="28"/>
          <w:sz w:val="28"/>
          <w:szCs w:val="28"/>
          <w:rtl w:val="true"/>
          <w:lang w:bidi="fa-IR"/>
        </w:rPr>
        <w:t xml:space="preserve">، وباب الاغتسال </w:t>
      </w:r>
      <w:r>
        <w:rPr>
          <w:rStyle w:val="FootnoteAnchor"/>
          <w:rtl w:val="true"/>
        </w:rPr>
        <w:footnoteReference w:id="1038"/>
      </w:r>
      <w:r>
        <w:rPr>
          <w:rFonts w:ascii="IRNazanin" w:hAnsi="IRNazanin" w:eastAsia="IRNazanin"/>
          <w:color w:val="111111"/>
          <w:sz w:val="28"/>
          <w:sz w:val="28"/>
          <w:szCs w:val="28"/>
          <w:rtl w:val="true"/>
          <w:lang w:bidi="fa-IR"/>
        </w:rPr>
        <w:t xml:space="preserve">، وفی باب طلب الرئاسة </w:t>
      </w:r>
      <w:r>
        <w:rPr>
          <w:rStyle w:val="FootnoteAnchor"/>
          <w:rtl w:val="true"/>
        </w:rPr>
        <w:footnoteReference w:id="1039"/>
      </w:r>
      <w:r>
        <w:rPr>
          <w:rFonts w:ascii="IRNazanin" w:hAnsi="IRNazanin" w:eastAsia="IRNazanin"/>
          <w:color w:val="111111"/>
          <w:sz w:val="28"/>
          <w:sz w:val="28"/>
          <w:szCs w:val="28"/>
          <w:rtl w:val="true"/>
          <w:lang w:bidi="fa-IR"/>
        </w:rPr>
        <w:t xml:space="preserve">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عبد الله علیه السلام یقول ، وبلفظ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التهذیب فی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 آله کان أشدّ الناس توقّیاً عن البول </w:t>
      </w:r>
      <w:r>
        <w:rPr>
          <w:rFonts w:eastAsia="IRNazanin" w:cs="IRNazanin"/>
          <w:color w:val="111111"/>
          <w:sz w:val="28"/>
          <w:szCs w:val="28"/>
          <w:rtl w:val="true"/>
          <w:lang w:bidi="fa-IR"/>
        </w:rPr>
        <w:t xml:space="preserve">»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هذا الکتاب فی باب ولوغ الکلب </w:t>
      </w:r>
      <w:r>
        <w:rPr>
          <w:rStyle w:val="FootnoteAnchor"/>
          <w:rtl w:val="true"/>
        </w:rPr>
        <w:footnoteReference w:id="1041"/>
      </w:r>
      <w:r>
        <w:rPr>
          <w:rFonts w:ascii="IRNazanin" w:hAnsi="IRNazanin" w:eastAsia="IRNazanin"/>
          <w:color w:val="111111"/>
          <w:sz w:val="28"/>
          <w:sz w:val="28"/>
          <w:szCs w:val="28"/>
          <w:rtl w:val="true"/>
          <w:lang w:bidi="fa-IR"/>
        </w:rPr>
        <w:t xml:space="preserve">، وفی باب الخروج إلی الصفا من التهذیب ، عن ابن مسکان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مع ما فیها من الإشکال بالنسبة إلی روایة محمد بن عیسی عن یونس یردّها وجود ما ذکرناه ، والإرسال فی مثله فی غایة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ظاهره عدم نجاسة الماء القلیل بالملاقاة ، ویؤیّده ذکر الآیة الشریفة ، ولو حمل علی القلّة الإضافیة فیکون کرّاً لا یناسب ذکر الآیة ، وأظن أنّه لا بد من هذا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حمل الشیخ فلا یخلو من غرابة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00" w:name="__RefHeading___Toc39584_2142443653"/>
      <w:bookmarkStart w:id="901" w:name="_Toc350"/>
      <w:bookmarkEnd w:id="900"/>
      <w:r>
        <w:rPr>
          <w:rtl w:val="true"/>
        </w:rPr>
        <w:t>ظاهر حدیث محمد بن عیسی عدم نجاسة القلیل بالملاقاة</w:t>
      </w:r>
      <w:bookmarkStart w:id="902" w:name="pg17122_169758"/>
      <w:bookmarkEnd w:id="901"/>
    </w:p>
    <w:p>
      <w:pPr>
        <w:pStyle w:val="BookText"/>
        <w:rPr/>
      </w:pPr>
      <w:bookmarkEnd w:id="902"/>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حمل القذر علی الوسخ لا یناسب ذکر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الاغتسال خارج الماء مع عدم موافقته للآیة إمّا أن یکون لأنّ الماء یصیر مستعملاً بنزوله إلیه ، أو لکون البدن لا یخلو من نجاسة ، وکلا الأمرین مشکل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مجرد النزول لا یصیّره مستعملاً إلاّ أن یحمل علی النهی عن الغسل ، ولا یظنّ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ویغتسل ، متعلق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کلام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إطلاق استعمال الماء مع عدم ما یدل علی أنّه لا ینبغی وصول الغسالة إلیه غیر لائق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السائل فهم ذلک ، وعلی تقدیر النهی عن الاغتسال فصیرورة الماء مستعملاً بمجرّد الغسل مشکل ، فالإطلاق من الشیخ هو الموجب للغرابة ، وإن کان تأویله لا یخلو من وجه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أبواب الحیض والاستحاضة والنفاس</w:t>
      </w:r>
    </w:p>
    <w:p>
      <w:pPr>
        <w:pStyle w:val="BookText"/>
        <w:rPr/>
      </w:pPr>
      <w:r>
        <w:rPr>
          <w:rFonts w:ascii="IRNazanin" w:hAnsi="IRNazanin" w:eastAsia="IRNazanin"/>
          <w:color w:val="111111"/>
          <w:sz w:val="28"/>
          <w:sz w:val="28"/>
          <w:szCs w:val="28"/>
          <w:rtl w:val="true"/>
          <w:lang w:bidi="fa-IR"/>
        </w:rPr>
        <w:t>باب ما للرجل من المرأة إذا کانت حائضا</w:t>
      </w:r>
    </w:p>
    <w:p>
      <w:pPr>
        <w:pStyle w:val="BookText"/>
        <w:rPr/>
      </w:pPr>
      <w:r>
        <w:rPr>
          <w:rFonts w:ascii="IRNazanin" w:hAnsi="IRNazanin" w:eastAsia="IRNazanin"/>
          <w:color w:val="111111"/>
          <w:sz w:val="28"/>
          <w:sz w:val="28"/>
          <w:szCs w:val="28"/>
          <w:rtl w:val="true"/>
          <w:lang w:bidi="fa-IR"/>
        </w:rPr>
        <w:t xml:space="preserve">أخبرنی أحمد بن عبدون ، عن علی بن محمد بن الزبیر ، عن علی بن الحسن بن فضال ، عن محمد وأحمد ابنی الحسن ، عن أبیهما ، عن عبد الله بن بکیر ، عن بعض أصحابنا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حاضت المرأة فلیأتها زوجها حیث شاء ما اتقی موضع الدم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الاسناد عن علی بن الحسن ، عن محمد بن علی ، عن</w:t>
      </w:r>
    </w:p>
    <w:p>
      <w:pPr>
        <w:pStyle w:val="Heading4"/>
        <w:numPr>
          <w:ilvl w:val="3"/>
          <w:numId w:val="1"/>
        </w:numPr>
        <w:rPr/>
      </w:pPr>
      <w:bookmarkStart w:id="903" w:name="__RefHeading___Toc39586_2142443653"/>
      <w:bookmarkStart w:id="904" w:name="_Toc351"/>
      <w:bookmarkEnd w:id="903"/>
      <w:r>
        <w:rPr>
          <w:rtl w:val="true"/>
        </w:rPr>
        <w:t>المناقشة فی توجیه الشیخ لحدیث محمد بن عیسی</w:t>
      </w:r>
      <w:bookmarkEnd w:id="904"/>
    </w:p>
    <w:p>
      <w:pPr>
        <w:pStyle w:val="Heading2"/>
        <w:numPr>
          <w:ilvl w:val="1"/>
          <w:numId w:val="1"/>
        </w:numPr>
        <w:rPr/>
      </w:pPr>
      <w:bookmarkStart w:id="905" w:name="__RefHeading___Toc39588_2142443653"/>
      <w:bookmarkStart w:id="906" w:name="_Toc352"/>
      <w:bookmarkEnd w:id="905"/>
      <w:r>
        <w:rPr>
          <w:rtl w:val="true"/>
        </w:rPr>
        <w:t>أبواب الحیض والاستحاضة والنفاس</w:t>
      </w:r>
      <w:bookmarkEnd w:id="906"/>
    </w:p>
    <w:p>
      <w:pPr>
        <w:pStyle w:val="Heading3"/>
        <w:numPr>
          <w:ilvl w:val="2"/>
          <w:numId w:val="1"/>
        </w:numPr>
        <w:rPr/>
      </w:pPr>
      <w:bookmarkStart w:id="907" w:name="__RefHeading___Toc39590_2142443653"/>
      <w:bookmarkStart w:id="908" w:name="_Toc353"/>
      <w:bookmarkEnd w:id="907"/>
      <w:r>
        <w:rPr>
          <w:rtl w:val="true"/>
        </w:rPr>
        <w:t>ما للرجل من المرأة إذا کانت حائضا</w:t>
      </w:r>
      <w:bookmarkEnd w:id="908"/>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09" w:name="__RefHeading___Toc39592_2142443653"/>
      <w:bookmarkStart w:id="910" w:name="_Toc354"/>
      <w:bookmarkEnd w:id="909"/>
      <w:r>
        <w:rPr>
          <w:rtl w:val="true"/>
        </w:rPr>
        <w:t>اشارة</w:t>
      </w:r>
      <w:bookmarkEnd w:id="910"/>
    </w:p>
    <w:p>
      <w:pPr>
        <w:pStyle w:val="BookText"/>
        <w:rPr/>
      </w:pPr>
      <w:r>
        <w:rPr>
          <w:rFonts w:ascii="IRNazanin" w:hAnsi="IRNazanin" w:eastAsia="IRNazanin"/>
          <w:color w:val="111111"/>
          <w:sz w:val="28"/>
          <w:sz w:val="28"/>
          <w:szCs w:val="28"/>
          <w:rtl w:val="true"/>
          <w:lang w:bidi="fa-IR"/>
        </w:rPr>
        <w:t xml:space="preserve">محمد بن إسماعیل ، عن منصور </w:t>
      </w:r>
      <w:r>
        <w:rPr>
          <w:rStyle w:val="FootnoteAnchor"/>
          <w:rtl w:val="true"/>
        </w:rPr>
        <w:footnoteReference w:id="1043"/>
      </w:r>
      <w:r>
        <w:rPr>
          <w:rFonts w:ascii="IRNazanin" w:hAnsi="IRNazanin" w:eastAsia="IRNazanin"/>
          <w:color w:val="111111"/>
          <w:sz w:val="28"/>
          <w:sz w:val="28"/>
          <w:szCs w:val="28"/>
          <w:rtl w:val="true"/>
          <w:lang w:bidi="fa-IR"/>
        </w:rPr>
        <w:t xml:space="preserve">بزرج ، عن إسحاق بن عمار ، عن عبد الکریم بن عمرو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عمّا لصاحب المرأة الحائض منها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شی‌ء ما عدا القبل بعینه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الاسناد عن علی بن الحسن ، عن محمد بن عبد الله بن زرارة ، عن محمّد بن أبی عمیر ، عن هشام بن سالم ، عن أبی عبد الله علیه السلام فی الرجل یأتی المرأة فیما دون الفرج وهی حائض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إذا اجتنب ذلک الموضع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الشیخ رحمه الله عن أحمد بن محمد </w:t>
      </w:r>
      <w:r>
        <w:rPr>
          <w:rStyle w:val="FootnoteAnchor"/>
          <w:rtl w:val="true"/>
        </w:rPr>
        <w:footnoteReference w:id="1044"/>
      </w:r>
      <w:r>
        <w:rPr>
          <w:rFonts w:ascii="IRNazanin" w:hAnsi="IRNazanin" w:eastAsia="IRNazanin"/>
          <w:color w:val="111111"/>
          <w:sz w:val="28"/>
          <w:sz w:val="28"/>
          <w:szCs w:val="28"/>
          <w:rtl w:val="true"/>
          <w:lang w:bidi="fa-IR"/>
        </w:rPr>
        <w:t xml:space="preserve">، عن أبیه ، عن الصفار ، عن أحمد بن محمد ، عن البرقی ، عن إسماعیل ، عن عمر ابن حنظلة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ما للرجل من الحائض؟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بین الفخذین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الاسناد عن أحمد بن محمد ، عن البرقی ، عن عمر بن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 الله علیه السلام ما للرجل من الحائض؟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بین ألییها ولا یوقب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تکرّر القول فی رجاله وهو مرسل</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محمد بن علی مشترک فی تکرّر القول ، وأمّا محمد بن علی فلا یبعد أن یکون ابن محبوب ، ومحمد بن إسماعیل کأنه ابن بزیع</w:t>
      </w:r>
      <w:r>
        <w:rPr>
          <w:rFonts w:eastAsia="IRNazanin" w:cs="IRNazanin"/>
          <w:color w:val="111111"/>
          <w:sz w:val="28"/>
          <w:szCs w:val="28"/>
          <w:rtl w:val="true"/>
          <w:lang w:bidi="fa-IR"/>
        </w:rPr>
        <w:t xml:space="preserve">. </w:t>
      </w:r>
      <w:bookmarkStart w:id="911" w:name="pg17122_169760"/>
    </w:p>
    <w:p>
      <w:pPr>
        <w:pStyle w:val="BookText"/>
        <w:rPr/>
      </w:pPr>
      <w:bookmarkEnd w:id="911"/>
      <w:r>
        <w:rPr>
          <w:rFonts w:ascii="IRNazanin" w:hAnsi="IRNazanin" w:eastAsia="IRNazanin"/>
          <w:color w:val="111111"/>
          <w:sz w:val="28"/>
          <w:sz w:val="28"/>
          <w:szCs w:val="28"/>
          <w:rtl w:val="true"/>
          <w:lang w:bidi="fa-IR"/>
        </w:rPr>
        <w:t xml:space="preserve">وأمّا منصور بزرج فالنجاشی وثقه </w:t>
      </w:r>
      <w:r>
        <w:rPr>
          <w:rStyle w:val="FootnoteAnchor"/>
          <w:rtl w:val="true"/>
        </w:rPr>
        <w:footnoteReference w:id="1045"/>
      </w:r>
      <w:r>
        <w:rPr>
          <w:rFonts w:ascii="IRNazanin" w:hAnsi="IRNazanin" w:eastAsia="IRNazanin"/>
          <w:color w:val="111111"/>
          <w:sz w:val="28"/>
          <w:sz w:val="28"/>
          <w:szCs w:val="28"/>
          <w:rtl w:val="true"/>
          <w:lang w:bidi="fa-IR"/>
        </w:rPr>
        <w:t>غیر قائل إنّه واقفی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فی رجال الکاظم علیه السلام من کتابه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واقفی </w:t>
      </w:r>
      <w:r>
        <w:rPr>
          <w:rStyle w:val="FootnoteAnchor"/>
          <w:rtl w:val="true"/>
        </w:rPr>
        <w:footnoteReference w:id="10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توقف العلاّمة فی شأنه لذلک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وبعض حکم بعدم المنافاة بین التوثیق والوقف </w:t>
      </w:r>
      <w:r>
        <w:rPr>
          <w:rStyle w:val="FootnoteAnchor"/>
          <w:rtl w:val="true"/>
        </w:rPr>
        <w:footnoteReference w:id="1048"/>
      </w:r>
      <w:r>
        <w:rPr>
          <w:rFonts w:ascii="IRNazanin" w:hAnsi="IRNazanin" w:eastAsia="IRNazanin"/>
          <w:color w:val="111111"/>
          <w:sz w:val="28"/>
          <w:sz w:val="28"/>
          <w:szCs w:val="28"/>
          <w:rtl w:val="true"/>
          <w:lang w:bidi="fa-IR"/>
        </w:rPr>
        <w:t xml:space="preserve">، وقد کرّرنا ترجیح قول النجاشی ، فتدبر ، وإسحاق بن عمار تقدم فیه القول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وعبد الکریم بن عمرو وثقه النجاشی ، وقال إنّه کان واقفیا </w:t>
      </w:r>
      <w:r>
        <w:rPr>
          <w:rStyle w:val="FootnoteAnchor"/>
          <w:rtl w:val="true"/>
        </w:rPr>
        <w:footnoteReference w:id="1050"/>
      </w:r>
      <w:r>
        <w:rPr>
          <w:rFonts w:ascii="IRNazanin" w:hAnsi="IRNazanin" w:eastAsia="IRNazanin"/>
          <w:color w:val="111111"/>
          <w:sz w:val="28"/>
          <w:sz w:val="28"/>
          <w:szCs w:val="28"/>
          <w:rtl w:val="true"/>
          <w:lang w:bidi="fa-IR"/>
        </w:rPr>
        <w:t xml:space="preserve">، والکشی روی عن حمدویه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أشیاخی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کراماً هو عبد الکریم بن عمرو واقفی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رجاله غنی عن القول بعد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البرقی وقد تقدم فیه القول </w:t>
      </w:r>
      <w:r>
        <w:rPr>
          <w:rStyle w:val="FootnoteAnchor"/>
          <w:rtl w:val="true"/>
        </w:rPr>
        <w:footnoteReference w:id="1052"/>
      </w:r>
      <w:r>
        <w:rPr>
          <w:rFonts w:ascii="IRNazanin" w:hAnsi="IRNazanin" w:eastAsia="IRNazanin"/>
          <w:color w:val="111111"/>
          <w:sz w:val="28"/>
          <w:sz w:val="28"/>
          <w:szCs w:val="28"/>
          <w:rtl w:val="true"/>
          <w:lang w:bidi="fa-IR"/>
        </w:rPr>
        <w:t xml:space="preserve">، وإسماعیل غیر معلوم الحال للاشتراک </w:t>
      </w:r>
      <w:r>
        <w:rPr>
          <w:rStyle w:val="FootnoteAnchor"/>
          <w:rtl w:val="true"/>
        </w:rPr>
        <w:footnoteReference w:id="1053"/>
      </w:r>
      <w:r>
        <w:rPr>
          <w:rFonts w:ascii="Amiri" w:hAnsi="Amiri" w:eastAsia="Amiri" w:cs="Amiri"/>
          <w:color w:val="111111"/>
          <w:sz w:val="28"/>
          <w:sz w:val="28"/>
          <w:szCs w:val="28"/>
          <w:rtl w:val="true"/>
          <w:lang w:bidi="ar-SA"/>
        </w:rPr>
        <w:t xml:space="preserve">، وعمر بن حنظلة تقدم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 ارتیاب إلاّ بالبرقی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الدلالة فی الأوّل علی جواز مباشرة ما عدا موضع الدم ،</w:t>
      </w:r>
    </w:p>
    <w:p>
      <w:pPr>
        <w:pStyle w:val="Heading4"/>
        <w:numPr>
          <w:ilvl w:val="3"/>
          <w:numId w:val="1"/>
        </w:numPr>
        <w:rPr/>
      </w:pPr>
      <w:bookmarkStart w:id="912" w:name="__RefHeading___Toc39594_2142443653"/>
      <w:bookmarkStart w:id="913" w:name="_Toc355"/>
      <w:bookmarkEnd w:id="912"/>
      <w:r>
        <w:rPr>
          <w:rtl w:val="true"/>
        </w:rPr>
        <w:t>محمد بن علی الراوی عن محمد بن اسماعیل لا یبعد کونه ابن محبوب</w:t>
      </w:r>
      <w:bookmarkEnd w:id="913"/>
    </w:p>
    <w:p>
      <w:pPr>
        <w:pStyle w:val="Heading4"/>
        <w:numPr>
          <w:ilvl w:val="3"/>
          <w:numId w:val="1"/>
        </w:numPr>
        <w:rPr/>
      </w:pPr>
      <w:bookmarkStart w:id="914" w:name="__RefHeading___Toc39596_2142443653"/>
      <w:bookmarkStart w:id="915" w:name="_Toc356"/>
      <w:bookmarkEnd w:id="914"/>
      <w:r>
        <w:rPr>
          <w:rtl w:val="true"/>
        </w:rPr>
        <w:t>محمد بن اسماعیل کأنّه ابن بزیع</w:t>
      </w:r>
      <w:bookmarkEnd w:id="915"/>
    </w:p>
    <w:p>
      <w:pPr>
        <w:pStyle w:val="Heading4"/>
        <w:numPr>
          <w:ilvl w:val="3"/>
          <w:numId w:val="1"/>
        </w:numPr>
        <w:rPr/>
      </w:pPr>
      <w:bookmarkStart w:id="916" w:name="__RefHeading___Toc39598_2142443653"/>
      <w:bookmarkStart w:id="917" w:name="_Toc357"/>
      <w:bookmarkEnd w:id="916"/>
      <w:r>
        <w:rPr>
          <w:rtl w:val="true"/>
        </w:rPr>
        <w:t>بحث حول منصور بزرج</w:t>
      </w:r>
      <w:bookmarkEnd w:id="917"/>
    </w:p>
    <w:p>
      <w:pPr>
        <w:pStyle w:val="Heading4"/>
        <w:numPr>
          <w:ilvl w:val="3"/>
          <w:numId w:val="1"/>
        </w:numPr>
        <w:rPr/>
      </w:pPr>
      <w:bookmarkStart w:id="918" w:name="__RefHeading___Toc39600_2142443653"/>
      <w:bookmarkStart w:id="919" w:name="_Toc358"/>
      <w:bookmarkEnd w:id="918"/>
      <w:r>
        <w:rPr>
          <w:rtl w:val="true"/>
        </w:rPr>
        <w:t>بحث حول عبدالکریم بن عمرو</w:t>
      </w:r>
      <w:bookmarkEnd w:id="919"/>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20" w:name="__RefHeading___Toc39602_2142443653"/>
      <w:bookmarkStart w:id="921" w:name="_Toc359"/>
      <w:bookmarkEnd w:id="920"/>
      <w:r>
        <w:rPr>
          <w:rtl w:val="true"/>
        </w:rPr>
        <w:t>إسماعیل الذی یروی عن عمر بن حنظلة غیر معلوم الحال</w:t>
      </w:r>
      <w:bookmarkStart w:id="922" w:name="pg17122_169761"/>
      <w:bookmarkEnd w:id="921"/>
    </w:p>
    <w:p>
      <w:pPr>
        <w:pStyle w:val="BookText"/>
        <w:rPr/>
      </w:pPr>
      <w:bookmarkEnd w:id="922"/>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 إلاّ أنّه عام بالنسبة إلی القبل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فی الموضع ، فیحتمل إرادة موضع الدم أو القبل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فی أنّ له ما بین الفخذین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الدلالة علی عدم جواز الإیقاب ، فیمکن أن یخصّ به عموم غیره أو یقید إطلاقه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والعلاّمة فی المختلف استدل بالأول والثانی والثالث علی عدم تحریم ما عدا القبل ، وأضاف إلی ذلک أولاً الاستدلال 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حَرْثَکُمْ أَنّی شِئْتُمْ </w:t>
      </w:r>
      <w:r>
        <w:rPr>
          <w:rFonts w:eastAsia="Amiri" w:cs="Amiri" w:ascii="Amiri" w:hAnsi="Amiri"/>
          <w:color w:val="111111"/>
          <w:sz w:val="28"/>
          <w:szCs w:val="28"/>
          <w:rtl w:val="true"/>
          <w:lang w:bidi="ar-SA"/>
        </w:rPr>
        <w:t xml:space="preserve">) </w:t>
      </w:r>
      <w:r>
        <w:rPr>
          <w:rStyle w:val="FootnoteAnchor"/>
          <w:rtl w:val="true"/>
        </w:rPr>
        <w:footnoteReference w:id="1055"/>
      </w:r>
      <w:r>
        <w:rPr>
          <w:rFonts w:ascii="Amiri" w:hAnsi="Amiri" w:eastAsia="Amiri" w:cs="Amiri"/>
          <w:color w:val="111111"/>
          <w:sz w:val="28"/>
          <w:sz w:val="28"/>
          <w:szCs w:val="28"/>
          <w:rtl w:val="true"/>
          <w:lang w:bidi="ar-SA"/>
        </w:rPr>
        <w:t xml:space="preserve">السالم عن معارضة النهی المختص بالقبل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فَاعْتَزِلُوا النِّساءَ فِی الْمَحِیضِ </w:t>
      </w:r>
      <w:r>
        <w:rPr>
          <w:rFonts w:eastAsia="Amiri" w:cs="Amiri" w:ascii="Amiri" w:hAnsi="Amiri"/>
          <w:color w:val="111111"/>
          <w:sz w:val="28"/>
          <w:szCs w:val="28"/>
          <w:rtl w:val="true"/>
          <w:lang w:bidi="ar-SA"/>
        </w:rPr>
        <w:t xml:space="preserve">) </w:t>
      </w:r>
      <w:r>
        <w:rPr>
          <w:rStyle w:val="FootnoteAnchor"/>
          <w:rtl w:val="true"/>
        </w:rPr>
        <w:footnoteReference w:id="1056"/>
      </w:r>
      <w:r>
        <w:rPr>
          <w:rFonts w:ascii="IRNazanin" w:hAnsi="IRNazanin" w:eastAsia="IRNazanin"/>
          <w:color w:val="111111"/>
          <w:sz w:val="28"/>
          <w:sz w:val="28"/>
          <w:szCs w:val="28"/>
          <w:rtl w:val="true"/>
          <w:lang w:bidi="fa-IR"/>
        </w:rPr>
        <w:t xml:space="preserve">أی فی موضع الحیض </w:t>
      </w:r>
      <w:r>
        <w:rPr>
          <w:rStyle w:val="FootnoteAnchor"/>
          <w:rtl w:val="true"/>
        </w:rPr>
        <w:footnoteReference w:id="10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ولنا معه کلام فی الآیة ذکرته فی حاشیته ، والحاصل أنّ الآیة قابلة للبحث فی مواضع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الحرث إنّما یؤتی للزرع ، والنسبة فی الآیة ظاهر الوجه ، فلا یتم التناول للدبر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کلمة أنّی قد وردت بمعنی أنّما المفیدة للعموم فی المکان ، ووردت بمعنی کیف کقوله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یَکُونُ لِی غُلامٌ </w:t>
      </w:r>
      <w:r>
        <w:rPr>
          <w:rFonts w:eastAsia="Amiri" w:cs="Amiri" w:ascii="Amiri" w:hAnsi="Amiri"/>
          <w:color w:val="111111"/>
          <w:sz w:val="28"/>
          <w:szCs w:val="28"/>
          <w:rtl w:val="true"/>
          <w:lang w:bidi="ar-SA"/>
        </w:rPr>
        <w:t xml:space="preserve">) </w:t>
      </w:r>
      <w:r>
        <w:rPr>
          <w:rStyle w:val="FootnoteAnchor"/>
          <w:rtl w:val="true"/>
        </w:rPr>
        <w:footnoteReference w:id="1058"/>
      </w:r>
      <w:r>
        <w:rPr>
          <w:rFonts w:ascii="IRNazanin" w:hAnsi="IRNazanin" w:eastAsia="IRNazanin"/>
          <w:color w:val="111111"/>
          <w:sz w:val="28"/>
          <w:sz w:val="28"/>
          <w:szCs w:val="28"/>
          <w:rtl w:val="true"/>
          <w:lang w:bidi="fa-IR"/>
        </w:rPr>
        <w:t>فهی مشترکة ، فلا تدل علی المطلوب لأنّ عموم الکیفیة لا تدل علی تعدّد الأمکنة بل علی تعدّد الهیئات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وَقَدِّمُوا لِأَنْفُسِکُمْ </w:t>
      </w:r>
      <w:r>
        <w:rPr>
          <w:rFonts w:eastAsia="Amiri" w:cs="Amiri" w:ascii="Amiri" w:hAnsi="Amiri"/>
          <w:color w:val="111111"/>
          <w:sz w:val="28"/>
          <w:szCs w:val="28"/>
          <w:rtl w:val="true"/>
          <w:lang w:bidi="ar-SA"/>
        </w:rPr>
        <w:t xml:space="preserve">) </w:t>
      </w:r>
      <w:r>
        <w:rPr>
          <w:rStyle w:val="FootnoteAnchor"/>
          <w:rtl w:val="true"/>
        </w:rPr>
        <w:footnoteReference w:id="1059"/>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 طلب الولد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23" w:name="__RefHeading___Toc39604_2142443653"/>
      <w:bookmarkStart w:id="924" w:name="_Toc360"/>
      <w:bookmarkEnd w:id="923"/>
      <w:r>
        <w:rPr>
          <w:rtl w:val="true"/>
        </w:rPr>
        <w:t>قول العلّامة بعدم تحریم ما عدا القبل والمناقشة فیه</w:t>
      </w:r>
      <w:bookmarkStart w:id="925" w:name="pg17122_169762"/>
      <w:bookmarkEnd w:id="924"/>
    </w:p>
    <w:p>
      <w:pPr>
        <w:pStyle w:val="BookText"/>
        <w:rPr/>
      </w:pPr>
      <w:bookmarkEnd w:id="925"/>
      <w:r>
        <w:rPr>
          <w:rFonts w:ascii="IRNazanin" w:hAnsi="IRNazanin" w:eastAsia="IRNazanin"/>
          <w:color w:val="111111"/>
          <w:sz w:val="28"/>
          <w:sz w:val="28"/>
          <w:szCs w:val="28"/>
          <w:rtl w:val="true"/>
          <w:lang w:bidi="fa-IR"/>
        </w:rPr>
        <w:t xml:space="preserve">ورابعها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العلاّمة من تفسیر المحیض بالموضع </w:t>
      </w:r>
      <w:r>
        <w:rPr>
          <w:rStyle w:val="FootnoteAnchor"/>
          <w:rtl w:val="true"/>
        </w:rPr>
        <w:footnoteReference w:id="1061"/>
      </w:r>
      <w:r>
        <w:rPr>
          <w:rFonts w:ascii="IRNazanin" w:hAnsi="IRNazanin" w:eastAsia="IRNazanin"/>
          <w:color w:val="111111"/>
          <w:sz w:val="28"/>
          <w:sz w:val="28"/>
          <w:szCs w:val="28"/>
          <w:rtl w:val="true"/>
          <w:lang w:bidi="fa-IR"/>
        </w:rPr>
        <w:t xml:space="preserve">قد ورد تفسیره بوقت الحیض ، والعلاّمة نفسه ذکر ذلک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عدم التعرض لخبر الإیقاب لا وجه له من العلاّمة وغیره من المتأخّرین حتی شیخنا قدس سره لما قدّمناه من إمکان التقیید ، مع أنّ شیخنا حکم بصحة روایة النهی عن الإیقاب </w:t>
      </w:r>
      <w:r>
        <w:rPr>
          <w:rStyle w:val="FootnoteAnchor"/>
          <w:rtl w:val="true"/>
        </w:rPr>
        <w:footnoteReference w:id="1063"/>
      </w:r>
      <w:r>
        <w:rPr>
          <w:rFonts w:ascii="IRNazanin" w:hAnsi="IRNazanin" w:eastAsia="IRNazanin"/>
          <w:color w:val="111111"/>
          <w:sz w:val="28"/>
          <w:sz w:val="28"/>
          <w:szCs w:val="28"/>
          <w:rtl w:val="true"/>
          <w:lang w:bidi="fa-IR"/>
        </w:rPr>
        <w:t xml:space="preserve">إلاّ أنّ القول بخصوص الإیقاب تحریماً لم أعلم بقائله الآن ، بل المنقول عن السید المرتضی القول بتحریم الوطء فی الدبر وأنّه لا یحل الاستمتاع إلاّ بما فوق المئزر </w:t>
      </w:r>
      <w:r>
        <w:rPr>
          <w:rStyle w:val="FootnoteAnchor"/>
          <w:rtl w:val="true"/>
        </w:rPr>
        <w:footnoteReference w:id="1064"/>
      </w:r>
      <w:r>
        <w:rPr>
          <w:rFonts w:ascii="IRNazanin" w:hAnsi="IRNazanin" w:eastAsia="IRNazanin"/>
          <w:color w:val="111111"/>
          <w:sz w:val="28"/>
          <w:sz w:val="28"/>
          <w:szCs w:val="28"/>
          <w:rtl w:val="true"/>
          <w:lang w:bidi="fa-IR"/>
        </w:rPr>
        <w:t xml:space="preserve">واحتجّ له العلاّمة ولم یذکر روایة الإیقاب </w:t>
      </w:r>
      <w:r>
        <w:rPr>
          <w:rStyle w:val="FootnoteAnchor"/>
          <w:rtl w:val="true"/>
        </w:rPr>
        <w:footnoteReference w:id="10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إن شاء الله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الوقوب الدخول فی کل شی‌ء </w:t>
      </w:r>
      <w:r>
        <w:rPr>
          <w:rStyle w:val="FootnoteAnchor"/>
          <w:rtl w:val="true"/>
        </w:rPr>
        <w:footnoteReference w:id="10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أوقب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أدخله فی الوقبة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الوقبة الکوه‌کمری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رواه علی بن الحسن ، عن محمد بن عبد الله بن زرارة ، عن محمد بن أبی عمیر ، عن حماد بن عثمان ، عن عبید الله الحلبی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26" w:name="__RefHeading___Toc39606_2142443653"/>
      <w:bookmarkStart w:id="927" w:name="_Toc361"/>
      <w:bookmarkEnd w:id="926"/>
      <w:r>
        <w:rPr>
          <w:rtl w:val="true"/>
        </w:rPr>
        <w:t>معنی الوقوب</w:t>
      </w:r>
      <w:bookmarkEnd w:id="927"/>
    </w:p>
    <w:p>
      <w:pPr>
        <w:pStyle w:val="BookText"/>
        <w:rPr/>
      </w:pPr>
      <w:r>
        <w:rPr>
          <w:rFonts w:ascii="IRNazanin" w:hAnsi="IRNazanin" w:eastAsia="IRNazanin"/>
          <w:color w:val="111111"/>
          <w:sz w:val="28"/>
          <w:sz w:val="28"/>
          <w:szCs w:val="28"/>
          <w:rtl w:val="true"/>
          <w:lang w:bidi="fa-IR"/>
        </w:rPr>
        <w:t xml:space="preserve">عن أبی عبد الله علیه السلام فی الحائض ما یحل لزوجها منها؟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تتزر بإزار إلی الرکبتین وتخرج سرّتها ثم له ما فوق الإزار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علی بن أسباط ، عن عمه یعقوب بن سالم الأحمر ، عن أبی بصیر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الحائض ما یحل لزوجها منها؟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تتزر بإزار إلی الرکبتین وتخرج ساقیها وله ما فوق الإزار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العباس بن عامر ، عن حجاج الخشاب ، قال سألت أبا عبد الله علیه السلام عن الحائض والنفساء ما یحل لزوجها منها؟ قال </w:t>
      </w:r>
      <w:r>
        <w:rPr>
          <w:rStyle w:val="FootnoteAnchor"/>
          <w:rtl w:val="true"/>
        </w:rPr>
        <w:footnoteReference w:id="106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تلبس درعا ثم تضطجع 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هذه الاخبار أحد شیئین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نحملها علی ضرب من الاستحباب ، والأولة علی الجواز ورفع الحظر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نحملها علی ضرب من التقیة لأنّها موافقة لمذاهب کثیر من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علی بن الحسن ، عن العباس بن عامر ، وجعفر بن محمد بن حکیم ، عن أبان بن عثمان ، عن عبد الرحمن بن أبی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ما یحلّ له من الطامث؟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شی‌ء حتی تطهر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فالوجه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محمولاً علی أنّه لا شی‌ء له من الوطء </w:t>
      </w:r>
      <w:r>
        <w:rPr>
          <w:rStyle w:val="FootnoteAnchor"/>
          <w:rtl w:val="true"/>
        </w:rPr>
        <w:footnoteReference w:id="1070"/>
      </w:r>
      <w:r>
        <w:rPr>
          <w:rFonts w:ascii="IRNazanin" w:hAnsi="IRNazanin" w:eastAsia="IRNazanin"/>
          <w:color w:val="111111"/>
          <w:sz w:val="28"/>
          <w:sz w:val="28"/>
          <w:szCs w:val="28"/>
          <w:rtl w:val="true"/>
          <w:lang w:bidi="fa-IR"/>
        </w:rPr>
        <w:t xml:space="preserve">وإن کان له ما دون ذلک ، والوجهان الأولان اللذان ذکرناهما فی الأخبار المتقدمة ممکنان </w:t>
      </w:r>
      <w:r>
        <w:rPr>
          <w:rStyle w:val="FootnoteAnchor"/>
          <w:rtl w:val="true"/>
        </w:rPr>
        <w:footnoteReference w:id="1071"/>
      </w:r>
      <w:r>
        <w:rPr>
          <w:rFonts w:ascii="IRNazanin" w:hAnsi="IRNazanin" w:eastAsia="IRNazanin"/>
          <w:color w:val="111111"/>
          <w:sz w:val="28"/>
          <w:sz w:val="28"/>
          <w:szCs w:val="28"/>
          <w:rtl w:val="true"/>
          <w:lang w:bidi="fa-IR"/>
        </w:rPr>
        <w:t>أیضاً فی هذا الخبر</w:t>
      </w:r>
      <w:r>
        <w:rPr>
          <w:rFonts w:eastAsia="IRNazanin" w:cs="IRNazanin"/>
          <w:color w:val="111111"/>
          <w:sz w:val="28"/>
          <w:szCs w:val="28"/>
          <w:rtl w:val="true"/>
          <w:lang w:bidi="fa-IR"/>
        </w:rPr>
        <w:t xml:space="preserve">. </w:t>
      </w:r>
      <w:bookmarkStart w:id="928" w:name="pg17122_169764"/>
    </w:p>
    <w:p>
      <w:pPr>
        <w:pStyle w:val="BookText"/>
        <w:rPr/>
      </w:pPr>
      <w:bookmarkEnd w:id="928"/>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الجمیع قد کرّرنا القول فیه فی الکتاب بما یغنی عن الإعادة ، غیر أنّه ینبغی أن یعلم أنّ یعقوب بن سالم اتفق أن الشیخ ذکره بهذه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بن سالم أخو أسباط السراج ، فی رجال الصادق علیه السلام من کتابه </w:t>
      </w:r>
      <w:r>
        <w:rPr>
          <w:rStyle w:val="FootnoteAnchor"/>
          <w:rtl w:val="true"/>
        </w:rPr>
        <w:footnoteReference w:id="1072"/>
      </w:r>
      <w:r>
        <w:rPr>
          <w:rFonts w:ascii="IRNazanin" w:hAnsi="IRNazanin" w:eastAsia="IRNazanin"/>
          <w:color w:val="111111"/>
          <w:sz w:val="28"/>
          <w:sz w:val="28"/>
          <w:szCs w:val="28"/>
          <w:rtl w:val="true"/>
          <w:lang w:bidi="fa-IR"/>
        </w:rPr>
        <w:t xml:space="preserve">، وفی رجال الکاظم والصادق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بن سالم الأحمر الکوفی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فی النجاشی یعقوب بن </w:t>
      </w:r>
      <w:r>
        <w:rPr>
          <w:rStyle w:val="FootnoteAnchor"/>
          <w:rtl w:val="true"/>
        </w:rPr>
        <w:footnoteReference w:id="1074"/>
      </w:r>
      <w:r>
        <w:rPr>
          <w:rFonts w:ascii="IRNazanin" w:hAnsi="IRNazanin" w:eastAsia="IRNazanin"/>
          <w:color w:val="111111"/>
          <w:sz w:val="28"/>
          <w:sz w:val="28"/>
          <w:szCs w:val="28"/>
          <w:rtl w:val="true"/>
          <w:lang w:bidi="fa-IR"/>
        </w:rPr>
        <w:t xml:space="preserve">السراج وأنّه ثقة مع ذکره یعقوب بن سالم الأحمر وأنّه أخو أسباط ووثّقه </w:t>
      </w:r>
      <w:r>
        <w:rPr>
          <w:rStyle w:val="FootnoteAnchor"/>
          <w:rtl w:val="true"/>
        </w:rPr>
        <w:footnoteReference w:id="1075"/>
      </w:r>
      <w:r>
        <w:rPr>
          <w:rFonts w:ascii="IRNazanin" w:hAnsi="IRNazanin" w:eastAsia="IRNazanin"/>
          <w:color w:val="111111"/>
          <w:sz w:val="28"/>
          <w:sz w:val="28"/>
          <w:szCs w:val="28"/>
          <w:rtl w:val="true"/>
          <w:lang w:bidi="fa-IR"/>
        </w:rPr>
        <w:t>، وظاهر الحال المغایرة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وکلام الشیخ یوهم أنّ یعقوب بن سالم هو السرّاج ، لکن الظنّ أنّ ذکر السراج سبق قلم من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أنّ جدّی قدس سره کتب فی فوائد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یعقوب بن سالم أخو أسباط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جعله أخا أسباط ، یقتضی کون أسباط أشهر منه ، مع أنّه لم یذکره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القسمین ولا غیره ، مع أنّه کثیر الروایة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والحال أنّ النجاشی ذکره </w:t>
      </w:r>
      <w:r>
        <w:rPr>
          <w:rStyle w:val="FootnoteAnchor"/>
          <w:rtl w:val="true"/>
        </w:rPr>
        <w:footnoteReference w:id="1077"/>
      </w:r>
      <w:r>
        <w:rPr>
          <w:rFonts w:ascii="IRNazanin" w:hAnsi="IRNazanin" w:eastAsia="IRNazanin"/>
          <w:color w:val="111111"/>
          <w:sz w:val="28"/>
          <w:sz w:val="28"/>
          <w:szCs w:val="28"/>
          <w:rtl w:val="true"/>
          <w:lang w:bidi="fa-IR"/>
        </w:rPr>
        <w:t xml:space="preserve">، والشیخ فی الفهرست </w:t>
      </w:r>
      <w:r>
        <w:rPr>
          <w:rStyle w:val="FootnoteAnchor"/>
          <w:rtl w:val="true"/>
        </w:rPr>
        <w:footnoteReference w:id="1078"/>
      </w:r>
      <w:r>
        <w:rPr>
          <w:rFonts w:ascii="IRNazanin" w:hAnsi="IRNazanin" w:eastAsia="IRNazanin"/>
          <w:color w:val="111111"/>
          <w:sz w:val="28"/>
          <w:sz w:val="28"/>
          <w:szCs w:val="28"/>
          <w:rtl w:val="true"/>
          <w:lang w:bidi="fa-IR"/>
        </w:rPr>
        <w:t>وکتاب</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29" w:name="__RefHeading___Toc39608_2142443653"/>
      <w:bookmarkStart w:id="930" w:name="_Toc362"/>
      <w:bookmarkEnd w:id="929"/>
      <w:r>
        <w:rPr>
          <w:rtl w:val="true"/>
        </w:rPr>
        <w:t>بحث حول یعقوب بن سالم</w:t>
      </w:r>
      <w:bookmarkStart w:id="931" w:name="pg17122_169765"/>
      <w:bookmarkEnd w:id="930"/>
    </w:p>
    <w:p>
      <w:pPr>
        <w:pStyle w:val="BookText"/>
        <w:rPr/>
      </w:pPr>
      <w:bookmarkEnd w:id="931"/>
      <w:r>
        <w:rPr>
          <w:rFonts w:ascii="IRNazanin" w:hAnsi="IRNazanin" w:eastAsia="IRNazanin"/>
          <w:color w:val="111111"/>
          <w:sz w:val="28"/>
          <w:sz w:val="28"/>
          <w:szCs w:val="28"/>
          <w:rtl w:val="true"/>
          <w:lang w:bidi="fa-IR"/>
        </w:rPr>
        <w:t xml:space="preserve">الرجال </w:t>
      </w:r>
      <w:r>
        <w:rPr>
          <w:rStyle w:val="FootnoteAnchor"/>
          <w:rtl w:val="true"/>
        </w:rPr>
        <w:footnoteReference w:id="1079"/>
      </w:r>
      <w:r>
        <w:rPr>
          <w:rFonts w:ascii="IRNazanin" w:hAnsi="IRNazanin" w:eastAsia="IRNazanin"/>
          <w:color w:val="111111"/>
          <w:sz w:val="28"/>
          <w:sz w:val="28"/>
          <w:szCs w:val="28"/>
          <w:rtl w:val="true"/>
          <w:lang w:bidi="fa-IR"/>
        </w:rPr>
        <w:t>إلاّ أنّهما لم یتعرضا له بمدح ولا قدح ، والعذر لجدّی قدس سره من جهة النجاشی واضح ، إذ لم یکن عنده ، أمّا غیره فلا عذر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قاله الشیخ لا یخلو من وجه ، إلاّ أن حدیث الخشاب یقتضی اختلاف مراتب الاستحباب کما لا یخفی ، وما قدّمناه من جهة الإیقاب قد عرفت الحال فیه ، فقول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الأولة علی الجواز ورفع الحظر ، علی الإطلاق مشکل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المختلف استدل للمرتضی رضی الله عنه بالروایة الأُولی والثانیة ، وزاد الاستدلال بالآیة أعنی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تَقْرَبُوهُنَّ حَتّی یَطْهُرْنَ </w:t>
      </w:r>
      <w:r>
        <w:rPr>
          <w:rFonts w:eastAsia="Amiri" w:cs="Amiri" w:ascii="Amiri" w:hAnsi="Amiri"/>
          <w:color w:val="111111"/>
          <w:sz w:val="28"/>
          <w:szCs w:val="28"/>
          <w:rtl w:val="true"/>
          <w:lang w:bidi="ar-SA"/>
        </w:rPr>
        <w:t xml:space="preserve">) </w:t>
      </w:r>
      <w:r>
        <w:rPr>
          <w:rStyle w:val="FootnoteAnchor"/>
          <w:rtl w:val="true"/>
        </w:rPr>
        <w:footnoteReference w:id="1080"/>
      </w:r>
      <w:r>
        <w:rPr>
          <w:rFonts w:ascii="Amiri" w:hAnsi="Amiri" w:eastAsia="Amiri" w:cs="Amiri"/>
          <w:color w:val="111111"/>
          <w:sz w:val="28"/>
          <w:sz w:val="28"/>
          <w:szCs w:val="28"/>
          <w:rtl w:val="true"/>
          <w:lang w:bidi="ar-SA"/>
        </w:rPr>
        <w:t xml:space="preserve">وبقوله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فَاعْتَزِلُوا النِّساءَ فِی الْمَحِیضِ </w:t>
      </w:r>
      <w:r>
        <w:rPr>
          <w:rFonts w:eastAsia="Amiri" w:cs="Amiri" w:ascii="Amiri" w:hAnsi="Amiri"/>
          <w:color w:val="111111"/>
          <w:sz w:val="28"/>
          <w:szCs w:val="28"/>
          <w:rtl w:val="true"/>
          <w:lang w:bidi="ar-SA"/>
        </w:rPr>
        <w:t xml:space="preserve">) </w:t>
      </w:r>
      <w:r>
        <w:rPr>
          <w:rStyle w:val="FootnoteAnchor"/>
          <w:rtl w:val="true"/>
        </w:rPr>
        <w:footnoteReference w:id="1081"/>
      </w:r>
      <w:r>
        <w:rPr>
          <w:rFonts w:ascii="IRNazanin" w:hAnsi="IRNazanin" w:eastAsia="IRNazanin"/>
          <w:color w:val="111111"/>
          <w:sz w:val="28"/>
          <w:sz w:val="28"/>
          <w:szCs w:val="28"/>
          <w:rtl w:val="true"/>
          <w:lang w:bidi="fa-IR"/>
        </w:rPr>
        <w:t>أی فی زمن المحیض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العلاّمة عن الآیة الأُولی بأنّ حقیقة القرب لیست مرادة بالإجماع ، فیحمل علی المجاز المتعارف وهو الجماع فی القبل ، لأنّ غیره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الآیة الثانیة بأنّه یحتمل إرادة موضع الحیض بل هو المراد قطعا ، فإنّ اعتزال النساء مطلقاً لیس مراداً ، بل اعتزال الوطء فی القبل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الحدیث بالحمل علی الکراهة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وأنت خبیر بأنّ ما ذکره فی الآیة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إرادة حقیقة القرب لیست مرادة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 أمّا الحمل علی المجاز المتعارف وهو الوطء فی القبل ، لا یخلو من وجه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32" w:name="__RefHeading___Toc39610_2142443653"/>
      <w:bookmarkStart w:id="933" w:name="_Toc363"/>
      <w:bookmarkEnd w:id="932"/>
      <w:r>
        <w:rPr>
          <w:rtl w:val="true"/>
        </w:rPr>
        <w:t>توجیه الروایات الدالّة علی حلیّة ما فوق الإزار</w:t>
      </w:r>
      <w:bookmarkEnd w:id="933"/>
    </w:p>
    <w:p>
      <w:pPr>
        <w:pStyle w:val="BookText"/>
        <w:rPr/>
      </w:pPr>
      <w:r>
        <w:rPr>
          <w:rFonts w:ascii="IRNazanin" w:hAnsi="IRNazanin" w:eastAsia="IRNazanin"/>
          <w:color w:val="111111"/>
          <w:sz w:val="28"/>
          <w:sz w:val="28"/>
          <w:szCs w:val="28"/>
          <w:rtl w:val="true"/>
          <w:lang w:bidi="fa-IR"/>
        </w:rPr>
        <w:t xml:space="preserve">أمّا قوله فی الآیة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موضع الحیض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الظاهر مجرد دعوی ، فلا بد من بیان دلیلها ، وکون الاعتزال لیس مراداً ، لا یدل علی الاختصاص بالقبل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الأولی أن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وَیَسْئَلُونَکَ عَنِ الْمَحِیضِ قُلْ هُوَ أَذیً فَاعْتَزِلُوا النِّساءَ </w:t>
      </w:r>
      <w:r>
        <w:rPr>
          <w:rFonts w:eastAsia="Amiri" w:cs="Amiri" w:ascii="Amiri" w:hAnsi="Amiri"/>
          <w:color w:val="111111"/>
          <w:sz w:val="28"/>
          <w:szCs w:val="28"/>
          <w:rtl w:val="true"/>
          <w:lang w:bidi="ar-SA"/>
        </w:rPr>
        <w:t xml:space="preserve">... ) </w:t>
      </w:r>
      <w:r>
        <w:rPr>
          <w:rStyle w:val="FootnoteAnchor"/>
          <w:rtl w:val="true"/>
        </w:rPr>
        <w:footnoteReference w:id="1083"/>
      </w:r>
      <w:r>
        <w:rPr>
          <w:rFonts w:ascii="IRNazanin" w:hAnsi="IRNazanin" w:eastAsia="IRNazanin"/>
          <w:color w:val="111111"/>
          <w:sz w:val="28"/>
          <w:sz w:val="28"/>
          <w:szCs w:val="28"/>
          <w:rtl w:val="true"/>
          <w:lang w:bidi="fa-IR"/>
        </w:rPr>
        <w:t xml:space="preserve">إرادة محل الحیض لا زمان الحیض ، وبهذا یندفع بعض ما قدّمناه فی الآیة ، وذکر بعض المتأخّرین أیضاً أنّ قیاس اللفظ یقتضیه ، ولسلامته من الإضمار والتخصیص اللازمین بحمله علی المصدر </w:t>
      </w:r>
      <w:r>
        <w:rPr>
          <w:rStyle w:val="FootnoteAnchor"/>
          <w:rtl w:val="true"/>
        </w:rPr>
        <w:footnoteReference w:id="10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بحث إلاّ أنّ مقام التأیید واسع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روایة الحلبی مرویة فی الفقیه بطریقه الصحیح </w:t>
      </w:r>
      <w:r>
        <w:rPr>
          <w:rStyle w:val="FootnoteAnchor"/>
          <w:rtl w:val="true"/>
        </w:rPr>
        <w:footnoteReference w:id="1085"/>
      </w:r>
      <w:r>
        <w:rPr>
          <w:rFonts w:ascii="IRNazanin" w:hAnsi="IRNazanin" w:eastAsia="IRNazanin"/>
          <w:color w:val="111111"/>
          <w:sz w:val="28"/>
          <w:sz w:val="28"/>
          <w:szCs w:val="28"/>
          <w:rtl w:val="true"/>
          <w:lang w:bidi="fa-IR"/>
        </w:rPr>
        <w:t xml:space="preserve">، وقد أجاب بعضهم عنها بأنّ دلالتها من باب مفهوم الخطاب وهو ضعیف </w:t>
      </w:r>
      <w:r>
        <w:rPr>
          <w:rStyle w:val="FootnoteAnchor"/>
          <w:rtl w:val="true"/>
        </w:rPr>
        <w:footnoteReference w:id="10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واعترض علیه بأنّ الظاهر کون دلالتها من باب مفهوم الحصر </w:t>
      </w:r>
      <w:r>
        <w:rPr>
          <w:rStyle w:val="FootnoteAnchor"/>
          <w:rtl w:val="true"/>
        </w:rPr>
        <w:footnoteReference w:id="10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یخلو من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الشیخ فی تأویل الخبر الأخیر لا یخفی أنّه لا یطابق الخبر ، لأنّ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یحل له؟ لا یقبل التأویل</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الحمل علی الکراهة أو التقیة له وجه ، وقد نقل أهل الخلاف فی أحادیثهم أنّ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یأمرنی فأتّزر فیباشرنی وأنا حائض </w:t>
      </w:r>
      <w:r>
        <w:rPr>
          <w:rStyle w:val="FootnoteAnchor"/>
          <w:rtl w:val="true"/>
        </w:rPr>
        <w:footnoteReference w:id="1088"/>
      </w:r>
      <w:r>
        <w:rPr>
          <w:rFonts w:ascii="IRNazanin" w:hAnsi="IRNazanin" w:eastAsia="IRNazanin"/>
          <w:color w:val="111111"/>
          <w:sz w:val="28"/>
          <w:sz w:val="28"/>
          <w:szCs w:val="28"/>
          <w:rtl w:val="true"/>
          <w:lang w:bidi="fa-IR"/>
        </w:rPr>
        <w:t xml:space="preserve">، وذکر ابن الأثیر فی شرح الحدیث أنّه دال علی جواز المباشرة فوق الإزار ، </w:t>
      </w:r>
      <w:bookmarkStart w:id="934" w:name="pg17122_169767"/>
    </w:p>
    <w:p>
      <w:pPr>
        <w:pStyle w:val="BookText"/>
        <w:rPr/>
      </w:pPr>
      <w:bookmarkEnd w:id="934"/>
      <w:r>
        <w:rPr>
          <w:rFonts w:ascii="IRNazanin" w:hAnsi="IRNazanin" w:eastAsia="IRNazanin"/>
          <w:color w:val="111111"/>
          <w:sz w:val="28"/>
          <w:sz w:val="28"/>
          <w:szCs w:val="28"/>
          <w:rtl w:val="true"/>
          <w:lang w:bidi="fa-IR"/>
        </w:rPr>
        <w:t>وأمّا تحت الإزار فقد اختلف الفقهاء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حدیث أبی بصیر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تخرج ساقیها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سهواً ، وإنّما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وتخرج سرّتها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خبر الحلبی ، ویحتمل الصحة بأن یراد بإخراج الساق عدم وصول المئزر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وله ما فوق الإزار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یدل علی الاختصاص ویکون ما تحته من الساق لیس کذلک ، ویحتمل غیر ذلک ، والأمر سهل مع ضعف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أقل الحیض وأکثره</w:t>
      </w:r>
    </w:p>
    <w:p>
      <w:pPr>
        <w:pStyle w:val="BookText"/>
        <w:rPr/>
      </w:pPr>
      <w:r>
        <w:rPr>
          <w:rFonts w:ascii="IRNazanin" w:hAnsi="IRNazanin" w:eastAsia="IRNazanin"/>
          <w:color w:val="111111"/>
          <w:sz w:val="28"/>
          <w:sz w:val="28"/>
          <w:szCs w:val="28"/>
          <w:rtl w:val="true"/>
          <w:lang w:bidi="fa-IR"/>
        </w:rPr>
        <w:t xml:space="preserve">أخبرنی الشیخ رحمه الله عن أبی القاسم جعفر بن محمد ، عن محمد بن یعقوب ، عن عدة من أصحابنا ، عن أحمد بن محمد بن عیسی ، عن علی بن أحمد بن أشیم ، عن أحمد بن محمد بن أبی نصر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أدنی ما یکون من الحیض ، فقال </w:t>
      </w:r>
      <w:r>
        <w:rPr>
          <w:rStyle w:val="FootnoteAnchor"/>
          <w:rtl w:val="true"/>
        </w:rPr>
        <w:footnoteReference w:id="10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أدناه </w:t>
      </w:r>
      <w:r>
        <w:rPr>
          <w:rStyle w:val="FootnoteAnchor"/>
          <w:rtl w:val="true"/>
        </w:rPr>
        <w:footnoteReference w:id="1090"/>
      </w:r>
      <w:r>
        <w:rPr>
          <w:rFonts w:ascii="IRNazanin" w:hAnsi="IRNazanin" w:eastAsia="IRNazanin"/>
          <w:color w:val="111111"/>
          <w:sz w:val="28"/>
          <w:sz w:val="28"/>
          <w:szCs w:val="28"/>
          <w:rtl w:val="true"/>
          <w:lang w:bidi="fa-IR"/>
        </w:rPr>
        <w:t xml:space="preserve">ثلاثة أیّام وأکثره عشرة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الاسناد عن محمد بن یعقوب ، عن محمد بن إسماعیل ، عن الفضل بن شاذان ، عن صفوان بن یحیی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الرضا علیه السلام عن أدنی ما یکون من الحیض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أدناه ثلاثة أیّام</w:t>
      </w:r>
      <w:r>
        <w:rPr>
          <w:rStyle w:val="FootnoteAnchor"/>
          <w:rtl w:val="true"/>
        </w:rPr>
        <w:footnoteReference w:id="1091"/>
      </w:r>
      <w:r>
        <w:rPr>
          <w:rFonts w:ascii="Amiri" w:hAnsi="Amiri" w:eastAsia="Amiri" w:cs="Amiri"/>
          <w:color w:val="111111"/>
          <w:sz w:val="28"/>
          <w:sz w:val="28"/>
          <w:szCs w:val="28"/>
          <w:rtl w:val="true"/>
          <w:lang w:bidi="ar-SA"/>
        </w:rPr>
        <w:t xml:space="preserve">وأبعده عشرة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وأخبرنی الشیخ رحمه الله عن أحمد بن محمد ، عن أبیه ، عن</w:t>
      </w:r>
    </w:p>
    <w:p>
      <w:pPr>
        <w:pStyle w:val="Heading3"/>
        <w:numPr>
          <w:ilvl w:val="2"/>
          <w:numId w:val="1"/>
        </w:numPr>
        <w:rPr/>
      </w:pPr>
      <w:bookmarkStart w:id="935" w:name="__RefHeading___Toc39612_2142443653"/>
      <w:bookmarkStart w:id="936" w:name="_Toc364"/>
      <w:bookmarkEnd w:id="935"/>
      <w:r>
        <w:rPr>
          <w:rtl w:val="true"/>
        </w:rPr>
        <w:t>أقل الحیض وأکثره</w:t>
      </w:r>
      <w:bookmarkEnd w:id="936"/>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37" w:name="__RefHeading___Toc39614_2142443653"/>
      <w:bookmarkStart w:id="938" w:name="_Toc365"/>
      <w:bookmarkEnd w:id="937"/>
      <w:r>
        <w:rPr>
          <w:rtl w:val="true"/>
        </w:rPr>
        <w:t>اشارة</w:t>
      </w:r>
      <w:bookmarkStart w:id="939" w:name="pg17122_169768"/>
      <w:bookmarkEnd w:id="938"/>
    </w:p>
    <w:p>
      <w:pPr>
        <w:pStyle w:val="BookText"/>
        <w:rPr/>
      </w:pPr>
      <w:bookmarkEnd w:id="939"/>
      <w:r>
        <w:rPr>
          <w:rFonts w:ascii="IRNazanin" w:hAnsi="IRNazanin" w:eastAsia="IRNazanin"/>
          <w:color w:val="111111"/>
          <w:sz w:val="28"/>
          <w:sz w:val="28"/>
          <w:szCs w:val="28"/>
          <w:rtl w:val="true"/>
          <w:lang w:bidi="fa-IR"/>
        </w:rPr>
        <w:t xml:space="preserve">الصفار ، عن أحمد بن محمد ، عن الحسین بن سعید ، عن النضر ، عن یعقوب بن یقطین ، عن أبی الحسن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أدنی الحیض ثلاثة وأقصاه عشرة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أحمد بن عبدون ، عن علی بن محمد بن الزبیر ، عن علی بن الحسن بن فضال ، عن یعقوب بن یزید ، عن ابن أبی عمیر ، عن جمیل ، عن محمد بن مسلم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أقل ما یکون الحیض ثلاثة أیّام ، وإذا رأت الدم قبل العشرة أیّام فهی من الحیضة الأُولی ، وإذا رأته بعد عشرة أیّام فهو من حیضة أُخری مستقبلة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الاسناد عن علی بن الحسن ، عن الحسن بن علی بن زیاد الخزّاز ، عن أبی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المستحاضة کیف تصنع إذا رأت الدم وإذا رأت الصفرة وکم تدع الصلاة؟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أقلّ الحیض ثلاثة وأکثره عشرة وتجمع بین الصلاتین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لیس فیه من یحتاج إلی البیان بعد ما قدّمناه سوی علی بن أحمد بن أشیم ، وقد ذکره الشیخ فی رجال الرضا علیه السلام</w:t>
      </w:r>
    </w:p>
    <w:p>
      <w:pPr>
        <w:pStyle w:val="BookText"/>
        <w:rPr/>
      </w:pPr>
      <w:r>
        <w:rPr>
          <w:rFonts w:ascii="IRNazanin" w:hAnsi="IRNazanin" w:eastAsia="IRNazanin"/>
          <w:color w:val="111111"/>
          <w:sz w:val="28"/>
          <w:sz w:val="28"/>
          <w:szCs w:val="28"/>
          <w:rtl w:val="true"/>
          <w:lang w:bidi="fa-IR"/>
        </w:rPr>
        <w:t xml:space="preserve">من کتابه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مجهول </w:t>
      </w:r>
      <w:r>
        <w:rPr>
          <w:rStyle w:val="FootnoteAnchor"/>
          <w:rtl w:val="true"/>
        </w:rPr>
        <w:footnoteReference w:id="10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ذکره کذلک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أشیم بفتح الهمزة وسکون الشین المعجمة وفتح الیاء المنقطة تحتها نقطتین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والنضر فی الحدیث الثالث هو ابن سوید ، لروایة الحسین بن سعید عنه ، کما لا یخفی علی الممارس</w:t>
      </w:r>
      <w:r>
        <w:rPr>
          <w:rFonts w:eastAsia="IRNazanin" w:cs="IRNazanin"/>
          <w:color w:val="111111"/>
          <w:sz w:val="28"/>
          <w:szCs w:val="28"/>
          <w:rtl w:val="true"/>
          <w:lang w:bidi="fa-IR"/>
        </w:rPr>
        <w:t>.</w:t>
      </w:r>
    </w:p>
    <w:p>
      <w:pPr>
        <w:pStyle w:val="Heading4"/>
        <w:numPr>
          <w:ilvl w:val="3"/>
          <w:numId w:val="1"/>
        </w:numPr>
        <w:rPr/>
      </w:pPr>
      <w:bookmarkStart w:id="940" w:name="__RefHeading___Toc39616_2142443653"/>
      <w:bookmarkStart w:id="941" w:name="_Toc366"/>
      <w:bookmarkEnd w:id="940"/>
      <w:r>
        <w:rPr>
          <w:rtl w:val="true"/>
        </w:rPr>
        <w:t>بحث حول علی بن أحمد بن أشیم</w:t>
      </w:r>
      <w:bookmarkEnd w:id="941"/>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42" w:name="__RefHeading___Toc39618_2142443653"/>
      <w:bookmarkStart w:id="943" w:name="_Toc367"/>
      <w:bookmarkEnd w:id="942"/>
      <w:r>
        <w:rPr>
          <w:rtl w:val="true"/>
        </w:rPr>
        <w:t>النضر الراوی عنه الحسین بن سعید هو ابن سوید</w:t>
      </w:r>
      <w:bookmarkStart w:id="944" w:name="pg17122_169769"/>
      <w:bookmarkEnd w:id="943"/>
    </w:p>
    <w:p>
      <w:pPr>
        <w:pStyle w:val="BookText"/>
        <w:rPr/>
      </w:pPr>
      <w:bookmarkEnd w:id="944"/>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الجمیع واضح الدلالة علی أنّ أقل الحیض ثلاثة وأکثره عشرة ، سوی خبر محمد بن مسلم فإنّ فی دلالته علی الأکثر نوع إجمال ، و </w:t>
      </w:r>
      <w:r>
        <w:rPr>
          <w:rStyle w:val="FootnoteAnchor"/>
          <w:rtl w:val="true"/>
        </w:rPr>
        <w:footnoteReference w:id="1094"/>
      </w:r>
      <w:r>
        <w:rPr>
          <w:rFonts w:ascii="IRNazanin" w:hAnsi="IRNazanin" w:eastAsia="IRNazanin"/>
          <w:color w:val="111111"/>
          <w:sz w:val="28"/>
          <w:sz w:val="28"/>
          <w:szCs w:val="28"/>
          <w:rtl w:val="true"/>
          <w:lang w:bidi="fa-IR"/>
        </w:rPr>
        <w:t xml:space="preserve">استفادة الأکثر غیر مستبعدة ، إلاّ أنّ الضرورة لیست داعیة إلی ذلک ، أمّا استدلال العلاّمة رحمه الله فی المنتهی بالحدیث علی أنّ أقل الطهر عشرة </w:t>
      </w:r>
      <w:r>
        <w:rPr>
          <w:rStyle w:val="FootnoteAnchor"/>
          <w:rtl w:val="true"/>
        </w:rPr>
        <w:footnoteReference w:id="10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یخلو من وجه ، لأنّ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رأته بعد عشرة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یفید بظاهره أنّ العشرة غیر الأُولی بقرینة تنکیر العشرة ، غایة الأمر أنّ مبدأ العشرة غیر معلوم ، وهذا لا یضر بالحال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علی تقدیر متن الروایة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الشیخ فی التهذیب رواها فی الحسن ومتنها </w:t>
      </w:r>
      <w:r>
        <w:rPr>
          <w:rFonts w:eastAsia="IRNazanin" w:cs="IRNazanin"/>
          <w:color w:val="111111"/>
          <w:sz w:val="28"/>
          <w:szCs w:val="28"/>
          <w:rtl w:val="true"/>
          <w:lang w:bidi="fa-IR"/>
        </w:rPr>
        <w:t xml:space="preserve">) </w:t>
      </w:r>
      <w:r>
        <w:rPr>
          <w:rStyle w:val="FootnoteAnchor"/>
          <w:rtl w:val="true"/>
        </w:rPr>
        <w:footnoteReference w:id="1096"/>
      </w:r>
      <w:r>
        <w:rPr>
          <w:rFonts w:ascii="IRNazanin" w:hAnsi="IRNazanin" w:eastAsia="IRNazanin"/>
          <w:color w:val="111111"/>
          <w:sz w:val="28"/>
          <w:sz w:val="28"/>
          <w:szCs w:val="28"/>
          <w:rtl w:val="true"/>
          <w:lang w:bidi="fa-IR"/>
        </w:rPr>
        <w:t xml:space="preserve">هکذا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رأت المرأة الدم قبل عشرة أیّام فهو من الحیضة الأُولی وإن کان بعد العشرة فهو من الحیضة المستقبلة </w:t>
      </w:r>
      <w:r>
        <w:rPr>
          <w:rFonts w:eastAsia="IRNazanin" w:cs="IRNazanin"/>
          <w:color w:val="111111"/>
          <w:sz w:val="28"/>
          <w:szCs w:val="28"/>
          <w:rtl w:val="true"/>
          <w:lang w:bidi="fa-IR"/>
        </w:rPr>
        <w:t xml:space="preserve">»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والتعریف فی العشرة الثانیة یشکل معه الحال فی الاستدلال علی أنّ أقل الطهر عشرة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عشرة الأُولی هی عشرة الطهر ، والمعنی أنّ الدم قبل عشرة أیّام من الحیضة الأُولی ، وبعد العشرة من الحیضة الثانیة ، فتکون العشرة الثانیة هی والجمیع هی الطهر ، فلا یدل علی أکثر الحیض حینئذ ، ولا یتم استدلال العلاّمة بها علی أنّ ما تراه من الثلاثة إلی العشرة ثم ینقطع حیض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5" w:name="__RefHeading___Toc39620_2142443653"/>
      <w:bookmarkStart w:id="946" w:name="_Toc368"/>
      <w:bookmarkEnd w:id="945"/>
      <w:r>
        <w:rPr>
          <w:rtl w:val="true"/>
        </w:rPr>
        <w:t>أقل الحیض ثلاثة وأکثره عشرة</w:t>
      </w:r>
      <w:bookmarkEnd w:id="946"/>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47" w:name="__RefHeading___Toc39622_2142443653"/>
      <w:bookmarkStart w:id="948" w:name="_Toc369"/>
      <w:bookmarkEnd w:id="947"/>
      <w:r>
        <w:rPr>
          <w:rtl w:val="true"/>
        </w:rPr>
        <w:t>استدلال العلّامة بحدیث محمد بن مسلم علی أنّ أقلّ الطهر عشرة</w:t>
      </w:r>
      <w:bookmarkEnd w:id="948"/>
    </w:p>
    <w:p>
      <w:pPr>
        <w:pStyle w:val="BookText"/>
        <w:rPr/>
      </w:pPr>
      <w:r>
        <w:rPr>
          <w:rFonts w:ascii="IRNazanin" w:hAnsi="IRNazanin" w:eastAsia="IRNazanin"/>
          <w:color w:val="111111"/>
          <w:sz w:val="28"/>
          <w:sz w:val="28"/>
          <w:szCs w:val="28"/>
          <w:rtl w:val="true"/>
          <w:lang w:bidi="fa-IR"/>
        </w:rPr>
        <w:t xml:space="preserve">نعم علی بعض الاحتمالات قد یتم کلامه کما ذکرناه فی حاشیة التهذیب ولا یخلو من تأمّل علی ما أظنه الآن ، واعتراض بعض محقّقی المتأخّرین سلّمه الله علی العلاّمة بتقدیر ذکر الحدیث علی ما فی التهذیب </w:t>
      </w:r>
      <w:r>
        <w:rPr>
          <w:rStyle w:val="FootnoteAnchor"/>
          <w:rtl w:val="true"/>
        </w:rPr>
        <w:footnoteReference w:id="10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 الأصحاب قد اختلفوا فی أن الثلاثة هل یشترط توالیها أم یکفی کونها فی جملة العشرة ، فالمنقول عن الشیخ قولان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التوالی </w:t>
      </w:r>
      <w:r>
        <w:rPr>
          <w:rStyle w:val="FootnoteAnchor"/>
          <w:rtl w:val="true"/>
        </w:rPr>
        <w:footnoteReference w:id="1100"/>
      </w:r>
      <w:r>
        <w:rPr>
          <w:rFonts w:ascii="IRNazanin" w:hAnsi="IRNazanin" w:eastAsia="IRNazanin"/>
          <w:color w:val="111111"/>
          <w:sz w:val="28"/>
          <w:sz w:val="28"/>
          <w:szCs w:val="28"/>
          <w:rtl w:val="true"/>
          <w:lang w:bidi="fa-IR"/>
        </w:rPr>
        <w:t xml:space="preserve">، وإلیه ذهب جماعة </w:t>
      </w:r>
      <w:r>
        <w:rPr>
          <w:rStyle w:val="FootnoteAnchor"/>
          <w:rtl w:val="true"/>
        </w:rPr>
        <w:footnoteReference w:id="1101"/>
      </w:r>
      <w:r>
        <w:rPr>
          <w:rFonts w:ascii="IRNazanin" w:hAnsi="IRNazanin" w:eastAsia="IRNazanin"/>
          <w:color w:val="111111"/>
          <w:sz w:val="28"/>
          <w:sz w:val="28"/>
          <w:szCs w:val="28"/>
          <w:rtl w:val="true"/>
          <w:lang w:bidi="fa-IR"/>
        </w:rPr>
        <w:t xml:space="preserve">، 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الاشتراط ، وهو منقول عن النهایة وابن البراج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والعلاّمة فی المختلف اختار التوالی ، واحتج علیه بأنّ الصلاة ثابتة فی الذمّة بیقین ، فلا یسقط التکلیف بها إلاّ مع تیقّن السبب ، ولا یقین بثبوته هنا ، ولأنّ تقدیر الحیض أمر شرعی غیر معقول فیقف علی مورد الشرع ، ولم یثبت فی المتفرق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مشی شیخنا قدس سره فی الاستدلال علی منهج العلاّمة فی الاستدلال بهذا النحو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یقین مع انتفاء التوالی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نظری القاصر أنّه یتوجه علی الاستدلال أن ثبوت العبادة بیقین إن کان مع وجود صفة الدم المذکور فی الأخبار المعتبرة أن المرأة تترک الصلاة مع وجودها ، فظاهر الدفع</w:t>
      </w:r>
      <w:r>
        <w:rPr>
          <w:rFonts w:eastAsia="IRNazanin" w:cs="IRNazanin"/>
          <w:color w:val="111111"/>
          <w:sz w:val="28"/>
          <w:szCs w:val="28"/>
          <w:rtl w:val="true"/>
          <w:lang w:bidi="fa-IR"/>
        </w:rPr>
        <w:t xml:space="preserve">. </w:t>
      </w:r>
      <w:bookmarkStart w:id="949" w:name="pg17122_169771"/>
    </w:p>
    <w:p>
      <w:pPr>
        <w:pStyle w:val="BookText"/>
        <w:rPr/>
      </w:pPr>
      <w:bookmarkEnd w:id="949"/>
      <w:r>
        <w:rPr>
          <w:rFonts w:ascii="IRNazanin" w:hAnsi="IRNazanin" w:eastAsia="IRNazanin"/>
          <w:color w:val="111111"/>
          <w:sz w:val="28"/>
          <w:sz w:val="28"/>
          <w:szCs w:val="28"/>
          <w:rtl w:val="true"/>
          <w:lang w:bidi="fa-IR"/>
        </w:rPr>
        <w:t xml:space="preserve">وقد صرّح به العلاّمة وشیخنا </w:t>
      </w:r>
      <w:r>
        <w:rPr>
          <w:rStyle w:val="FootnoteAnchor"/>
        </w:rPr>
        <w:footnoteReference w:id="1105"/>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المبتدئة ، حیث ذهبا إلی أنّها تتحیّض برؤیته من دون انتظار ثلاثة أیّام ، لعموم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کان للدم حرارة ودفع وسواد فلتدع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شیخنا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ویشهد له صحیحة منصور بن حازم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ساعة رأت الدم فهی تفطر الصائمة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کما تری تدل علی أنّ ثبوت العبادة بیقین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أراد مع عدم صفة الدم فلا ریب فی انتفاء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زاد شیخنا قدس سره فی الاستدلال أنّ المتبادر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أدنی الحیض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التوالی </w:t>
      </w:r>
      <w:r>
        <w:rPr>
          <w:rStyle w:val="FootnoteAnchor"/>
          <w:rtl w:val="true"/>
        </w:rPr>
        <w:footnoteReference w:id="1106"/>
      </w:r>
      <w:r>
        <w:rPr>
          <w:rFonts w:ascii="IRNazanin" w:hAnsi="IRNazanin" w:eastAsia="IRNazanin"/>
          <w:color w:val="111111"/>
          <w:sz w:val="28"/>
          <w:sz w:val="28"/>
          <w:szCs w:val="28"/>
          <w:rtl w:val="true"/>
          <w:lang w:bidi="fa-IR"/>
        </w:rPr>
        <w:t xml:space="preserve">، وهذا لا یخلو من وجه وإن أمکن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قالوا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وأکثره عشرة ، ولا یعتبر التوالی قطعاً ، والفرق بین الثلاثة والعشرة غیر واضح ، إلاّ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العشرة خرجت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استدلال العلاّمة بأنّ تقدیر الحیض ، إلی آخره ، فالذی یتوجه علیه غیر محتاج إلی البیان ، إذ المتوالی أیّ بیان له من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وینقل عن الشیخ أنّه احتج لعدم اعتبار التوالی بالروایة المذکورة هنا عن محمد بن مسلم علی ما فی التهذیب من المتن </w:t>
      </w:r>
      <w:r>
        <w:rPr>
          <w:rStyle w:val="FootnoteAnchor"/>
          <w:rtl w:val="true"/>
        </w:rPr>
        <w:footnoteReference w:id="1107"/>
      </w:r>
      <w:r>
        <w:rPr>
          <w:rFonts w:ascii="IRNazanin" w:hAnsi="IRNazanin" w:eastAsia="IRNazanin"/>
          <w:color w:val="111111"/>
          <w:sz w:val="28"/>
          <w:sz w:val="28"/>
          <w:szCs w:val="28"/>
          <w:rtl w:val="true"/>
          <w:lang w:bidi="fa-IR"/>
        </w:rPr>
        <w:t xml:space="preserve">، وهو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رأت المرأة الدم قبل عشرة أیّام فهو من الحیضة الأُولی ، وإن کان بعد العشرة فهو من الحیضة المستقبلة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وأُجیب عن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مقتضاها أنّ ما تراه فی العشرة فهو من الحیضة الأُولی ، ولا نزاع فیه ، لکن لا بد من تحقق الحیض أولا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50" w:name="__RefHeading___Toc39624_2142443653"/>
      <w:bookmarkStart w:id="951" w:name="_Toc370"/>
      <w:bookmarkEnd w:id="950"/>
      <w:r>
        <w:rPr>
          <w:rtl w:val="true"/>
        </w:rPr>
        <w:t>هل یشترط التوالی فی الثلاثة؟</w:t>
      </w:r>
      <w:bookmarkEnd w:id="9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یقال إنّ فی الجواب تأمّلاً </w:t>
      </w:r>
      <w:r>
        <w:rPr>
          <w:rFonts w:eastAsia="Amiri" w:cs="Amiri" w:ascii="Amiri" w:hAnsi="Amiri"/>
          <w:color w:val="111111"/>
          <w:sz w:val="28"/>
          <w:szCs w:val="28"/>
          <w:rtl w:val="true"/>
          <w:lang w:bidi="ar-SA"/>
        </w:rPr>
        <w:t xml:space="preserve">) </w:t>
      </w:r>
      <w:r>
        <w:rPr>
          <w:rStyle w:val="FootnoteAnchor"/>
          <w:rtl w:val="true"/>
        </w:rPr>
        <w:footnoteReference w:id="1109"/>
      </w:r>
      <w:r>
        <w:rPr>
          <w:rFonts w:ascii="IRNazanin" w:hAnsi="IRNazanin" w:eastAsia="IRNazanin"/>
          <w:color w:val="111111"/>
          <w:sz w:val="28"/>
          <w:sz w:val="28"/>
          <w:szCs w:val="28"/>
          <w:rtl w:val="true"/>
          <w:lang w:bidi="fa-IR"/>
        </w:rPr>
        <w:t>لأنّ الروایة إذا سلّم دلالتها علی أن ما تراه فی جملة العشرة فهو حیض بناء علی أنّ معنی الروایة هذا ، فکلام الشیخ له وجه ، لأنّ من أفراده أن تری ثلاثة فی جملة عشرة ، ولو حملت الروایة علی أنّ الثلاثة تحققت بالتوالی ثم ما تراه بعد ذلک إلی العشرة فهو من الحیضة الأُولی ، لم یتم مراد الشیخ ، إلاّ أنّ ترجیح هذا المعنی من أین؟ والشیخ یکفیه الإطلاق فی الاستدلال ، إلاّ علی الاحتمال الذی قدّمناه ، فإنّ الاستدلال بها یحتمل ، کما 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والأولی فی الجواب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 الروایة حصول الثلاثة المتوالیة لا مجرد وجود الدم بصفة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یناقش فی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التوالی کیف یعلم من الروایة؟</w:t>
      </w:r>
    </w:p>
    <w:p>
      <w:pPr>
        <w:pStyle w:val="BookText"/>
        <w:rPr/>
      </w:pPr>
      <w:r>
        <w:rPr>
          <w:rFonts w:ascii="IRNazanin" w:hAnsi="IRNazanin" w:eastAsia="IRNazanin"/>
          <w:color w:val="111111"/>
          <w:sz w:val="28"/>
          <w:sz w:val="28"/>
          <w:szCs w:val="28"/>
          <w:rtl w:val="true"/>
          <w:lang w:bidi="fa-IR"/>
        </w:rPr>
        <w:t xml:space="preserve">ویجاب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یشعر به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القائل بعدم التوالی یجوّز کون الثلاثة فی جملة خمسة ، وحینئذ یتحقق الحیضة الأُولی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والعلاّمة نقل الاستدلال للشیخ بروایة مرسلة رواها یونس عن بعض رجاله </w:t>
      </w:r>
      <w:r>
        <w:rPr>
          <w:rStyle w:val="FootnoteAnchor"/>
          <w:rtl w:val="true"/>
        </w:rPr>
        <w:footnoteReference w:id="1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أری فی ذکرها مع الإرسال فائدة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ینبغی أن یعلم أن جدّی قدس سره قال فی شرح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القول یعنی عدم اعتبار التوالی لو رأت الأوّل والخامس والعاشر ، فالثلاثة حیض لا غیر ، فإذا رأت الدم یوماً وانقطع فإن کان یغمس القطنة وجب الغسل ، لأنّه إن کان حیضاً فقد وجب الغسل للحکم بأنّ أیّام النقاء طهر ، وإن لم یکن حیضاً فهو استحاضة ، والغامس منها یوجب الغسل ، </w:t>
      </w:r>
    </w:p>
    <w:p>
      <w:pPr>
        <w:pStyle w:val="BookText"/>
        <w:rPr/>
      </w:pPr>
      <w:r>
        <w:rPr>
          <w:rFonts w:ascii="IRNazanin" w:hAnsi="IRNazanin" w:eastAsia="IRNazanin"/>
          <w:color w:val="111111"/>
          <w:sz w:val="28"/>
          <w:sz w:val="28"/>
          <w:szCs w:val="28"/>
          <w:rtl w:val="true"/>
          <w:lang w:bidi="fa-IR"/>
        </w:rPr>
        <w:t xml:space="preserve">وإن لم یغمسها وجب الوضوء خاصة لاحتمال کونه استحاضة ، فإن رأته مرّة ثانیة یوما مثلاً </w:t>
      </w:r>
      <w:r>
        <w:rPr>
          <w:rStyle w:val="FootnoteAnchor"/>
          <w:rtl w:val="true"/>
        </w:rPr>
        <w:footnoteReference w:id="1111"/>
      </w:r>
      <w:r>
        <w:rPr>
          <w:rFonts w:ascii="IRNazanin" w:hAnsi="IRNazanin" w:eastAsia="IRNazanin"/>
          <w:color w:val="111111"/>
          <w:sz w:val="28"/>
          <w:sz w:val="28"/>
          <w:szCs w:val="28"/>
          <w:rtl w:val="true"/>
          <w:lang w:bidi="fa-IR"/>
        </w:rPr>
        <w:t xml:space="preserve">وانقطع فکذلک ، فإذا رأته ثالثة فی العشرة ثبت أن الأوّل حیض ، وتبیّن بطلان ما فعلت بالوضوء ، إذ قد ثبت أنّ الدم حیض یوجب انقطاعه الغسل </w:t>
      </w:r>
      <w:r>
        <w:rPr>
          <w:rStyle w:val="FootnoteAnchor"/>
          <w:rtl w:val="true"/>
        </w:rPr>
        <w:footnoteReference w:id="1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نظری القاصر أنّ هذا الکلام من جدّی قدس سره إلزام للشیخ ومن یقول بمقالته ، من حیث إنّ القائلین بعدم التوالی یلزمهم أن لا یتحقق الفرق بین أقل الحیض وأکثره فی صورة رؤیة الدم أول یوم والخامس والعاشر إذا کان الجمیع حیضا ، ولو کان الثلاثة فقط هی الحیض لزم الإشکال الذی ذکره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 </w:t>
      </w:r>
      <w:r>
        <w:rPr>
          <w:rFonts w:eastAsia="IRNazanin" w:cs="IRNazanin"/>
          <w:color w:val="111111"/>
          <w:sz w:val="28"/>
          <w:szCs w:val="28"/>
          <w:rtl w:val="true"/>
          <w:lang w:bidi="fa-IR"/>
        </w:rPr>
        <w:t xml:space="preserve">) </w:t>
      </w:r>
      <w:r>
        <w:rPr>
          <w:rStyle w:val="FootnoteAnchor"/>
          <w:rtl w:val="true"/>
        </w:rPr>
        <w:footnoteReference w:id="1113"/>
      </w:r>
      <w:r>
        <w:rPr>
          <w:rFonts w:ascii="IRNazanin" w:hAnsi="IRNazanin" w:eastAsia="IRNazanin"/>
          <w:color w:val="111111"/>
          <w:sz w:val="28"/>
          <w:sz w:val="28"/>
          <w:szCs w:val="28"/>
          <w:rtl w:val="true"/>
          <w:lang w:bidi="fa-IR"/>
        </w:rPr>
        <w:t>القائل به معترف بما ذکره ، فإنّ الإجماع مدّعی علی أنّ الطهر لا یکون أقل من عشرة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وصرّح جماعة من الأصحاب منهم المحقق فی المعتبر </w:t>
      </w:r>
      <w:r>
        <w:rPr>
          <w:rStyle w:val="FootnoteAnchor"/>
          <w:rtl w:val="true"/>
        </w:rPr>
        <w:footnoteReference w:id="1114"/>
      </w:r>
      <w:r>
        <w:rPr>
          <w:rFonts w:ascii="IRNazanin" w:hAnsi="IRNazanin" w:eastAsia="IRNazanin"/>
          <w:color w:val="111111"/>
          <w:sz w:val="28"/>
          <w:sz w:val="28"/>
          <w:szCs w:val="28"/>
          <w:rtl w:val="true"/>
          <w:lang w:bidi="fa-IR"/>
        </w:rPr>
        <w:t xml:space="preserve">والعلاّمة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المرأة لو رأت ثلاثة ثم رأت العاشر کان الجمیع حیضا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هنا یعلم أنّ ما اعترض به بعض المتأخّرین ، وتبعه شیخنا قدس سره علی جدّی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مقتضی کلامه أنّ أیّام النقاء المتخلّلة بین أیّام رؤیة الدم یکون طهراً ، وهو خلاف الإجماع </w:t>
      </w:r>
      <w:r>
        <w:rPr>
          <w:rStyle w:val="FootnoteAnchor"/>
          <w:rtl w:val="true"/>
        </w:rPr>
        <w:footnoteReference w:id="1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 بعد ما قلناه ، غایة الأمر أنّ قول جدّی قدس سره یوهم ذلک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قد یتخیل من عدم تحقق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فیدفعه أنّ الشیخ ومن معه </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لا یقولون بتعیّن عدم التوالی ، بل إنّ التوالی لیس بشرط ، فالأقل عندهم یتحقق مع التوالی وعدمه ، والإلزام من جدّی قدس سره لهم أن یخرجوا عنه بأنه لا یحکم بالحیض إلاّ بتمام العشرة ، وفیها لا یحکم بالحیض بل یحکم بأفعال المستحاضة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قد یتوجه علی جدّی قدس سره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یغمسها وجب الوضوء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 لأنّ الحیض لا یعتبر فیه الکثرة فاحتماله موجود ، وإذا وجب الغسل مع الکثرة وجب مع القلة ، والفرق غیر ظاهر الوجه ، وبالجملة فالکلام محل إبهام إلاّ أنّ مقصوده ما سمعته علی ما أظن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 للأصحاب خلافاً علی القول بالتوالی ، والأکثر علی الاکتفاء برؤیة الدم فی کل یوم من الأیّام الثلاثة وقتاً ما عملاً بالعموم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اتصاله فی مجموع الأیّام الثلاثة </w:t>
      </w:r>
      <w:r>
        <w:rPr>
          <w:rStyle w:val="FootnoteAnchor"/>
          <w:rtl w:val="true"/>
        </w:rPr>
        <w:footnoteReference w:id="1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بعض إلی اعتبار حصوله فی أول الیوم الأوّل وآخر الآخر وفی أیّ جزء کان من الوسط </w:t>
      </w:r>
      <w:r>
        <w:rPr>
          <w:rStyle w:val="FootnoteAnchor"/>
          <w:rtl w:val="true"/>
        </w:rPr>
        <w:footnoteReference w:id="1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علی أدلّة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فی المقام شی‌ء ، وهو أنّ ما أوردناه علی العلاّمة وشیخنا قدس سره من جهة استدلالهم المذکور </w:t>
      </w:r>
      <w:r>
        <w:rPr>
          <w:rStyle w:val="FootnoteAnchor"/>
          <w:rtl w:val="true"/>
        </w:rPr>
        <w:footnoteReference w:id="1121"/>
      </w:r>
      <w:r>
        <w:rPr>
          <w:rFonts w:ascii="IRNazanin" w:hAnsi="IRNazanin" w:eastAsia="IRNazanin"/>
          <w:color w:val="111111"/>
          <w:sz w:val="28"/>
          <w:sz w:val="28"/>
          <w:szCs w:val="28"/>
          <w:rtl w:val="true"/>
          <w:lang w:bidi="fa-IR"/>
        </w:rPr>
        <w:t>بأنّ ما دل علی اعتبار أوصاف الدم وکون وجدانها موجباً لترک العبادة إلزامی لهم بما ذکروه من الأخبار فی المبتدئة</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وقفت علیه من الأخبار فی ذلک لم یحضرنی الآن صحته ، </w:t>
      </w:r>
      <w:bookmarkStart w:id="952" w:name="pg17122_169775"/>
    </w:p>
    <w:p>
      <w:pPr>
        <w:pStyle w:val="BookText"/>
        <w:rPr/>
      </w:pPr>
      <w:bookmarkEnd w:id="952"/>
      <w:r>
        <w:rPr>
          <w:rFonts w:ascii="IRNazanin" w:hAnsi="IRNazanin" w:eastAsia="IRNazanin"/>
          <w:color w:val="111111"/>
          <w:sz w:val="28"/>
          <w:sz w:val="28"/>
          <w:szCs w:val="28"/>
          <w:rtl w:val="true"/>
          <w:lang w:bidi="fa-IR"/>
        </w:rPr>
        <w:t xml:space="preserve">وصحیح منصور بن حازم المذکور من شیخنا قدس سره </w:t>
      </w:r>
      <w:r>
        <w:rPr>
          <w:rFonts w:eastAsia="IRNazanin" w:cs="IRNazanin"/>
          <w:color w:val="111111"/>
          <w:sz w:val="28"/>
          <w:szCs w:val="28"/>
          <w:rtl w:val="true"/>
          <w:lang w:bidi="fa-IR"/>
        </w:rPr>
        <w:t xml:space="preserve">- </w:t>
      </w:r>
      <w:r>
        <w:rPr>
          <w:rStyle w:val="FootnoteAnchor"/>
          <w:rtl w:val="true"/>
        </w:rPr>
        <w:footnoteReference w:id="1122"/>
      </w:r>
      <w:r>
        <w:rPr>
          <w:rFonts w:ascii="IRNazanin" w:hAnsi="IRNazanin" w:eastAsia="IRNazanin"/>
          <w:color w:val="111111"/>
          <w:sz w:val="28"/>
          <w:sz w:val="28"/>
          <w:szCs w:val="28"/>
          <w:rtl w:val="true"/>
          <w:lang w:bidi="fa-IR"/>
        </w:rPr>
        <w:t>لم أقف الآن علیه ، والله تعالی أعلم بحقیقة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الأثیر فی أحکام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حاضت المرأة وتحیّضت تحیض حیضا ومحاضا </w:t>
      </w:r>
      <w:r>
        <w:rPr>
          <w:rStyle w:val="FootnoteAnchor"/>
          <w:rtl w:val="true"/>
        </w:rPr>
        <w:footnoteReference w:id="1123"/>
      </w:r>
      <w:r>
        <w:rPr>
          <w:rFonts w:ascii="IRNazanin" w:hAnsi="IRNazanin" w:eastAsia="IRNazanin"/>
          <w:color w:val="111111"/>
          <w:sz w:val="28"/>
          <w:sz w:val="28"/>
          <w:szCs w:val="28"/>
          <w:rtl w:val="true"/>
          <w:lang w:bidi="fa-IR"/>
        </w:rPr>
        <w:t xml:space="preserve">ومحیضا ، إذا سال الدم منها فی نوبة معلومة ، وإذا استمر من غیر نوبة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استحیضت فهی مستحاضة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یعلم أنّ قوله فی حدیث محمد بن مسلم الأخیر سألته عن المستحاضة کیف تصنع إذا رأت الدم وإذا رأت الصفرة وکم تدع الصلاة؟ یمکن أن یراد به المستحاضة بالمعنی الذی ذکره ابن الأثیر ، وإن أمکن التوجیه علی تقدیر إرادة المستحاضة وهی من یسیل دمها متجاوزاً أیّام الحیض بنوع من التقریب ، لکنه بعید عن المساق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المستحاضة من یسیل دمها لا من الحیض </w:t>
      </w:r>
      <w:r>
        <w:rPr>
          <w:rStyle w:val="FootnoteAnchor"/>
          <w:rtl w:val="true"/>
        </w:rPr>
        <w:footnoteReference w:id="1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المعنی غیر مراد من الحدیث فی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علی بن محبوب ، عن أحمد بن محمد ، عن أحمد بن محمد بن أبی نصر ، عن عبد الله بن سنان ، عن أبی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أکثر ما یکون الحیض ثمان وأدنی ما یکون ثلاثة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53" w:name="__RefHeading___Toc39626_2142443653"/>
      <w:bookmarkStart w:id="954" w:name="_Toc371"/>
      <w:bookmarkEnd w:id="953"/>
      <w:r>
        <w:rPr>
          <w:rtl w:val="true"/>
        </w:rPr>
        <w:t>معنی الحیض والاستحاضة</w:t>
      </w:r>
      <w:bookmarkStart w:id="955" w:name="pg17122_169776"/>
      <w:bookmarkEnd w:id="954"/>
    </w:p>
    <w:p>
      <w:pPr>
        <w:pStyle w:val="BookText"/>
        <w:rPr/>
      </w:pPr>
      <w:bookmarkEnd w:id="955"/>
      <w:r>
        <w:rPr>
          <w:rFonts w:ascii="IRNazanin" w:hAnsi="IRNazanin" w:eastAsia="IRNazanin"/>
          <w:color w:val="111111"/>
          <w:sz w:val="28"/>
          <w:sz w:val="28"/>
          <w:szCs w:val="28"/>
          <w:rtl w:val="true"/>
          <w:lang w:bidi="fa-IR"/>
        </w:rPr>
        <w:t xml:space="preserve">فهذا الخبر لا ینافی ما قدمناه من الأخبار ، لإجماع الطائفة علی خلافه ، وأنّ أحداً من أصحابنا لم یعتبر فی أقصی مدّة أیّام الحیض أقل من عشرة أیّام ، ولو سلّم لجاز أن نحمله علی امرأة کانت عادتها ثمانیة أیّام ثم استحیضت فإن أکثر ما یجب علیها أن تترک الصلاة أیّام عادتها وهی ثمانیة أیّام علی ما بیّناه فی کتاب تهذیب الأحکام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واضح لا ارتیاب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ذکره الشیخ فیه فی غایة التکلّف بسبب البعد عن ظاهر الحدیث ، وأظنّ أنّ الأقرب إلی مدلوله إرادة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عادات النساء الثمانیة ، فقوله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أکثر ما یکون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 یراد به أنّ غالب العادات ثمانیة أیّام ، وهو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أکثر ما یجب علیها أن تترک الصلاة أیّام عادتها ، إلی آخره ، لا یخلو من إجمال ، فإنّ المشهور کون الانقطاع علی العاشر یوجب کون الجمیع حیضاً وإن کان فی استفادة هذا الحکم من الأخبار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توجیه کلام الشیخ بأنّ مراده أنّ وجوب الترک لا یتحقق إلاّ فی الثمانیة لکن إذا انقطع علی العاشر تبیّن بطلان ما فعلت من</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56" w:name="__RefHeading___Toc39628_2142443653"/>
      <w:bookmarkStart w:id="957" w:name="_Toc372"/>
      <w:bookmarkEnd w:id="956"/>
      <w:r>
        <w:rPr>
          <w:rtl w:val="true"/>
        </w:rPr>
        <w:t>توجیه روایة عبدالله بن سنان الدالّة علی أنّ أکثر الحیض ثمانیة</w:t>
      </w:r>
      <w:bookmarkStart w:id="958" w:name="pg17122_169777"/>
      <w:bookmarkEnd w:id="957"/>
    </w:p>
    <w:p>
      <w:pPr>
        <w:pStyle w:val="BookText"/>
        <w:rPr/>
      </w:pPr>
      <w:bookmarkEnd w:id="958"/>
      <w:r>
        <w:rPr>
          <w:rFonts w:ascii="IRNazanin" w:hAnsi="IRNazanin" w:eastAsia="IRNazanin"/>
          <w:color w:val="111111"/>
          <w:sz w:val="28"/>
          <w:sz w:val="28"/>
          <w:szCs w:val="28"/>
          <w:rtl w:val="true"/>
          <w:lang w:bidi="fa-IR"/>
        </w:rPr>
        <w:t xml:space="preserve">العبادة ، وأمّا أیّام الاستظهار فلا یشکل الحال فیها ، فإنّ جواز ترک العبادة أیام الاستظهار لا ینافی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علیها أن تترک أیّام عادتها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أقلّ الطهر</w:t>
      </w:r>
    </w:p>
    <w:p>
      <w:pPr>
        <w:pStyle w:val="BookText"/>
        <w:rPr/>
      </w:pPr>
      <w:r>
        <w:rPr>
          <w:rFonts w:ascii="IRNazanin" w:hAnsi="IRNazanin" w:eastAsia="IRNazanin"/>
          <w:color w:val="111111"/>
          <w:sz w:val="28"/>
          <w:sz w:val="28"/>
          <w:szCs w:val="28"/>
          <w:rtl w:val="true"/>
          <w:lang w:bidi="fa-IR"/>
        </w:rPr>
        <w:t xml:space="preserve">أخبرنی الشیخ رحمه الله عن أحمد بن محمد ، عن أبیه ، عن الصفار ، عن أحمد بن محمد ، عن صفوان ، عن العلاء ، عن محمد بن مسلم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یکون القرء أقلّ من عشرة أیّام </w:t>
      </w:r>
      <w:r>
        <w:rPr>
          <w:rStyle w:val="FootnoteAnchor"/>
          <w:rtl w:val="true"/>
        </w:rPr>
        <w:footnoteReference w:id="1126"/>
      </w:r>
      <w:r>
        <w:rPr>
          <w:rFonts w:ascii="IRNazanin" w:hAnsi="IRNazanin" w:eastAsia="IRNazanin"/>
          <w:color w:val="111111"/>
          <w:sz w:val="28"/>
          <w:sz w:val="28"/>
          <w:szCs w:val="28"/>
          <w:rtl w:val="true"/>
          <w:lang w:bidi="fa-IR"/>
        </w:rPr>
        <w:t xml:space="preserve">، فما زاد أقل ما یکون عشرة من حین تطهر إلی أن تری الدم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لا ارتیاب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یخلو من إجمال بالنظر إلی ترکیب لفظه ، ویخطر فی البال 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مستأنف فی الجملة ، والمعنی أنّ ما زاد عن الأقل من عشرة أقل ما یکون عشرة ، لأنّ مراتب الزیادة عن الأقل من عشرة کثیرة فبیّن علیه السلام أنّ أقلها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کلام بعض محقّقی المعاصرین سلّمه الله ما هذه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المتبادر منه إرادة أنّه لا یکون أقل من عشرة فصاعداً ،</w:t>
      </w:r>
    </w:p>
    <w:p>
      <w:pPr>
        <w:pStyle w:val="Heading3"/>
        <w:numPr>
          <w:ilvl w:val="2"/>
          <w:numId w:val="1"/>
        </w:numPr>
        <w:rPr/>
      </w:pPr>
      <w:bookmarkStart w:id="959" w:name="__RefHeading___Toc39630_2142443653"/>
      <w:bookmarkStart w:id="960" w:name="_Toc373"/>
      <w:bookmarkEnd w:id="959"/>
      <w:r>
        <w:rPr>
          <w:rtl w:val="true"/>
        </w:rPr>
        <w:t>أقلّ الطهر</w:t>
      </w:r>
      <w:bookmarkEnd w:id="960"/>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61" w:name="__RefHeading___Toc39632_2142443653"/>
      <w:bookmarkStart w:id="962" w:name="_Toc374"/>
      <w:bookmarkEnd w:id="961"/>
      <w:r>
        <w:rPr>
          <w:rtl w:val="true"/>
        </w:rPr>
        <w:t xml:space="preserve">معنی قوله علیه السلام </w:t>
      </w:r>
      <w:r>
        <w:rPr>
          <w:rtl w:val="true"/>
        </w:rPr>
        <w:t xml:space="preserve">: « </w:t>
      </w:r>
      <w:r>
        <w:rPr>
          <w:rtl w:val="true"/>
        </w:rPr>
        <w:t xml:space="preserve">فمازاد </w:t>
      </w:r>
      <w:r>
        <w:rPr>
          <w:rtl w:val="true"/>
        </w:rPr>
        <w:t xml:space="preserve">» </w:t>
      </w:r>
      <w:r>
        <w:rPr>
          <w:rtl w:val="true"/>
        </w:rPr>
        <w:t>فی حدیث محمد بن مسلم</w:t>
      </w:r>
      <w:bookmarkStart w:id="963" w:name="pg17122_169778"/>
      <w:bookmarkEnd w:id="962"/>
    </w:p>
    <w:p>
      <w:pPr>
        <w:pStyle w:val="BookText"/>
        <w:rPr/>
      </w:pPr>
      <w:bookmarkEnd w:id="963"/>
      <w:r>
        <w:rPr>
          <w:rFonts w:ascii="IRNazanin" w:hAnsi="IRNazanin" w:eastAsia="IRNazanin"/>
          <w:color w:val="111111"/>
          <w:sz w:val="28"/>
          <w:sz w:val="28"/>
          <w:szCs w:val="28"/>
          <w:rtl w:val="true"/>
          <w:lang w:bidi="fa-IR"/>
        </w:rPr>
        <w:t xml:space="preserve">ولا یخلو من إشکال بحسب المعنی ، فلعلّ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فالقرء ما زاد ، علی أن یکون الفاء فصیحة ، أی إذا کان کذلک فالقرء ما زاد علی أقل من عشرة ، 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أقل ما یکون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لعله إنّما ذکره علیه السلام للتوضیح ودفع ما عساه یتوهم من أنّ المراد بالقرء المعنی الآخر ، ولفظ یکون تامة ، وعشرة بالرفع خبر </w:t>
      </w:r>
      <w:r>
        <w:rPr>
          <w:rStyle w:val="FootnoteAnchor"/>
          <w:rtl w:val="true"/>
        </w:rPr>
        <w:footnoteReference w:id="1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علیک حقیقة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دَعی الصلاة أیّام أقرائک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تکرّرت هذه اللفظة فی الحدیث مفردة ومجموعة ، والمفردة بفتح القاف ، وتجمع علی أقراء وقروء ، وهو من الأضداد یقع علی الطهر ، وإلیه ذهب الشافعی وأهل الحجاز ، وعلی الحیض ، وإلیه ذهب أبو حنیفة وأهل العراق ، والأصل فی القرء الوقت المعلوم ، فلذلک وقع علی الضدّین لأنّ لکل منهما وقتاً ، وأقرأت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حاضت وإذا طهرت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ابن أبی عمیر ، عن یونس ابن یعقوب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المرأة تری الدم ثلاثة أیّام أو أربعة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تدع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تری الطهر ثلاثة أیّام أو أربعة أیّام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تری الدم ثلاثة أیّام أو أربعة</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64" w:name="__RefHeading___Toc39634_2142443653"/>
      <w:bookmarkStart w:id="965" w:name="_Toc375"/>
      <w:bookmarkEnd w:id="964"/>
      <w:r>
        <w:rPr>
          <w:rtl w:val="true"/>
        </w:rPr>
        <w:t>معنی القرء</w:t>
      </w:r>
      <w:bookmarkEnd w:id="9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أیّام </w:t>
      </w:r>
      <w:r>
        <w:rPr>
          <w:rFonts w:eastAsia="Amiri" w:cs="Amiri" w:ascii="Amiri" w:hAnsi="Amiri"/>
          <w:color w:val="111111"/>
          <w:sz w:val="28"/>
          <w:szCs w:val="28"/>
          <w:rtl w:val="true"/>
          <w:lang w:bidi="ar-SA"/>
        </w:rPr>
        <w:t xml:space="preserve">] </w:t>
      </w:r>
      <w:r>
        <w:rPr>
          <w:rStyle w:val="FootnoteAnchor"/>
          <w:rtl w:val="true"/>
        </w:rPr>
        <w:footnoteReference w:id="112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تدع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تری الطهر ثلاثة أیّام أو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w:t>
      </w:r>
      <w:r>
        <w:rPr>
          <w:rFonts w:eastAsia="IRNazanin" w:cs="IRNazanin"/>
          <w:color w:val="111111"/>
          <w:sz w:val="28"/>
          <w:szCs w:val="28"/>
          <w:rtl w:val="true"/>
          <w:lang w:bidi="fa-IR"/>
        </w:rPr>
        <w:t xml:space="preserve">] </w:t>
      </w:r>
      <w:r>
        <w:rPr>
          <w:rStyle w:val="FootnoteAnchor"/>
          <w:rtl w:val="true"/>
        </w:rPr>
        <w:footnoteReference w:id="113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تری الدم ثلاثة أیّام أو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w:t>
      </w:r>
      <w:r>
        <w:rPr>
          <w:rFonts w:eastAsia="IRNazanin" w:cs="IRNazanin"/>
          <w:color w:val="111111"/>
          <w:sz w:val="28"/>
          <w:szCs w:val="28"/>
          <w:rtl w:val="true"/>
          <w:lang w:bidi="fa-IR"/>
        </w:rPr>
        <w:t xml:space="preserve">] </w:t>
      </w:r>
      <w:r>
        <w:rPr>
          <w:rStyle w:val="FootnoteAnchor"/>
          <w:rtl w:val="true"/>
        </w:rPr>
        <w:footnoteReference w:id="113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تدع الصلاة ، تصنع ما بینها وبین شهر فإن انقطع عنها ، وإلاّ فهی بمنزلة المستحاضة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سعد بن عبد الله ، عن السندی بن محمد البزاز ، عن یونس بن یعقوب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المرأة تری الدم خمسة أیّام والطهر خمسة أیّام وتری الدم أربعة أیّام والطهر ستة أیام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رأت الدم لم تصلِّ وإن رأت الطهر صلّت ما بینهما وبین ثلاثین یوماً ، فإذا تمّت ثلاثون یوماً فرأت الدم دماً صبیباً </w:t>
      </w:r>
      <w:r>
        <w:rPr>
          <w:rStyle w:val="FootnoteAnchor"/>
          <w:rtl w:val="true"/>
        </w:rPr>
        <w:footnoteReference w:id="1132"/>
      </w:r>
      <w:r>
        <w:rPr>
          <w:rFonts w:ascii="IRNazanin" w:hAnsi="IRNazanin" w:eastAsia="IRNazanin"/>
          <w:color w:val="111111"/>
          <w:sz w:val="28"/>
          <w:sz w:val="28"/>
          <w:szCs w:val="28"/>
          <w:rtl w:val="true"/>
          <w:lang w:bidi="fa-IR"/>
        </w:rPr>
        <w:t xml:space="preserve">اغتسلت واستثفرت </w:t>
      </w:r>
      <w:r>
        <w:rPr>
          <w:rStyle w:val="FootnoteAnchor"/>
          <w:rtl w:val="true"/>
        </w:rPr>
        <w:footnoteReference w:id="1133"/>
      </w:r>
      <w:r>
        <w:rPr>
          <w:rFonts w:ascii="IRNazanin" w:hAnsi="IRNazanin" w:eastAsia="IRNazanin"/>
          <w:color w:val="111111"/>
          <w:sz w:val="28"/>
          <w:sz w:val="28"/>
          <w:szCs w:val="28"/>
          <w:rtl w:val="true"/>
          <w:lang w:bidi="fa-IR"/>
        </w:rPr>
        <w:t xml:space="preserve">واحتشت بالکرسف فی وقت کل صلاة ، فإذا رأت صفرة توضّأت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فالوجه فی هذین الخبرین أن نحملهما علی امرأة اختلطت عادتها فی الحیض وتغیّرت عن أوقاتها وکذلک أیّام أقرائها واشتبه علیها صفة الدم فلا </w:t>
      </w:r>
      <w:r>
        <w:rPr>
          <w:rStyle w:val="FootnoteAnchor"/>
          <w:rtl w:val="true"/>
        </w:rPr>
        <w:footnoteReference w:id="1134"/>
      </w:r>
      <w:r>
        <w:rPr>
          <w:rFonts w:ascii="IRNazanin" w:hAnsi="IRNazanin" w:eastAsia="IRNazanin"/>
          <w:color w:val="111111"/>
          <w:sz w:val="28"/>
          <w:sz w:val="28"/>
          <w:szCs w:val="28"/>
          <w:rtl w:val="true"/>
          <w:lang w:bidi="fa-IR"/>
        </w:rPr>
        <w:t xml:space="preserve">یتمیز لها دم الحیض من غیره ، فإنّه إذا کان کذلک ففرضها إذا رأت الدم أن تترک الصلاة ، وإذا رأت الطهر صلّت إلی أن تعرف عادتها ، ویحتمل أن یکون هذا حکم امرأة مستحاضة اختلطت علیها أیّام الحیض ، وتغیّرت عادتها ، واستمر بها الدم وتشتبه </w:t>
      </w:r>
      <w:r>
        <w:rPr>
          <w:rStyle w:val="FootnoteAnchor"/>
          <w:rtl w:val="true"/>
        </w:rPr>
        <w:footnoteReference w:id="1135"/>
      </w:r>
      <w:r>
        <w:rPr>
          <w:rFonts w:ascii="Amiri" w:hAnsi="Amiri" w:eastAsia="Amiri" w:cs="Amiri"/>
          <w:color w:val="111111"/>
          <w:sz w:val="28"/>
          <w:sz w:val="28"/>
          <w:szCs w:val="28"/>
          <w:rtl w:val="true"/>
          <w:lang w:bidi="ar-SA"/>
        </w:rPr>
        <w:t xml:space="preserve">صفة الدم </w:t>
      </w:r>
      <w:bookmarkStart w:id="966" w:name="pg17122_169780"/>
    </w:p>
    <w:p>
      <w:pPr>
        <w:pStyle w:val="BookText"/>
        <w:rPr/>
      </w:pPr>
      <w:bookmarkEnd w:id="966"/>
      <w:r>
        <w:rPr>
          <w:rFonts w:ascii="IRNazanin" w:hAnsi="IRNazanin" w:eastAsia="IRNazanin"/>
          <w:color w:val="111111"/>
          <w:sz w:val="28"/>
          <w:sz w:val="28"/>
          <w:szCs w:val="28"/>
          <w:rtl w:val="true"/>
          <w:lang w:bidi="fa-IR"/>
        </w:rPr>
        <w:t xml:space="preserve">فتری ما یشبه دم الحیض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أو </w:t>
      </w:r>
      <w:r>
        <w:rPr>
          <w:rFonts w:eastAsia="IRNazanin" w:cs="IRNazanin"/>
          <w:color w:val="111111"/>
          <w:sz w:val="28"/>
          <w:szCs w:val="28"/>
          <w:rtl w:val="true"/>
          <w:lang w:bidi="fa-IR"/>
        </w:rPr>
        <w:t xml:space="preserve">] </w:t>
      </w:r>
      <w:r>
        <w:rPr>
          <w:rStyle w:val="FootnoteAnchor"/>
          <w:rtl w:val="true"/>
        </w:rPr>
        <w:footnoteReference w:id="1136"/>
      </w:r>
      <w:r>
        <w:rPr>
          <w:rFonts w:ascii="IRNazanin" w:hAnsi="IRNazanin" w:eastAsia="IRNazanin"/>
          <w:color w:val="111111"/>
          <w:sz w:val="28"/>
          <w:sz w:val="28"/>
          <w:szCs w:val="28"/>
          <w:rtl w:val="true"/>
          <w:lang w:bidi="fa-IR"/>
        </w:rPr>
        <w:t xml:space="preserve">أربعة أیّام ، وتری ما یشبه دم الاستحاضة مثل ذلک ، ولم یتحصل لها العلم بواحد منهما ، فإنّ فرضها أن تترک الصلاة کل ما رأت ما یشبه دم الحیض ، وتصلّی کل ما رأت ما یشبه دم الاستحاضة إلی شهر ، وتعمل بعد ذلک ما تعمله المستحاضة ، ویکون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رأت الطهر ثلاثة أیام أو أربعة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عمّا یشبه دم الاستحاضة لأن الاستحاضة بحکم الطهر ، ولأجل ذلک قال فی الخبر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تعمل ما تعمله </w:t>
      </w:r>
      <w:r>
        <w:rPr>
          <w:rStyle w:val="FootnoteAnchor"/>
          <w:rtl w:val="true"/>
        </w:rPr>
        <w:footnoteReference w:id="1137"/>
      </w:r>
      <w:r>
        <w:rPr>
          <w:rFonts w:ascii="IRNazanin" w:hAnsi="IRNazanin" w:eastAsia="IRNazanin"/>
          <w:color w:val="111111"/>
          <w:sz w:val="28"/>
          <w:sz w:val="28"/>
          <w:szCs w:val="28"/>
          <w:rtl w:val="true"/>
          <w:lang w:bidi="fa-IR"/>
        </w:rPr>
        <w:t xml:space="preserve">المستحاضة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لا یکون إلاّ مع استمرار الدم ، وقد دل علی ذلک الخبر الذی أوردناه فی کتابنا الکبیر عن غیر واحد سألوا أبا عبد الله علیه السلام عن الحیض والسنّة فیه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بیونس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یعقوب </w:t>
      </w:r>
      <w:r>
        <w:rPr>
          <w:rFonts w:eastAsia="IRNazanin" w:cs="IRNazanin"/>
          <w:color w:val="111111"/>
          <w:sz w:val="28"/>
          <w:szCs w:val="28"/>
          <w:rtl w:val="true"/>
          <w:lang w:bidi="fa-IR"/>
        </w:rPr>
        <w:t xml:space="preserve">) </w:t>
      </w:r>
      <w:r>
        <w:rPr>
          <w:rStyle w:val="FootnoteAnchor"/>
          <w:rtl w:val="true"/>
        </w:rPr>
        <w:footnoteReference w:id="1139"/>
      </w:r>
      <w:r>
        <w:rPr>
          <w:rFonts w:ascii="IRNazanin" w:hAnsi="IRNazanin" w:eastAsia="IRNazanin"/>
          <w:color w:val="111111"/>
          <w:sz w:val="28"/>
          <w:sz w:val="28"/>
          <w:szCs w:val="28"/>
          <w:rtl w:val="true"/>
          <w:lang w:bidi="fa-IR"/>
        </w:rPr>
        <w:t xml:space="preserve">فإنّ النجاشی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أخصّ بأبی عبد الله وأبی الحسن علیهماالسلام ، وکان یتوکّل لأبی الحسن علیه السلام ، ومات بالمدینة فی أیّام الرضا علیه السلام فتولّی أمره ، وکان حَظیّا عندهم موثّقاً ، وقد قال بعبد الله ورجع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والشیخ أیضاً فی کتاب الرجال ذکره فی رجال الکاظم علیه السلام وأنّه ثقة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67" w:name="__RefHeading___Toc39636_2142443653"/>
      <w:bookmarkStart w:id="968" w:name="_Toc376"/>
      <w:bookmarkEnd w:id="967"/>
      <w:r>
        <w:rPr>
          <w:rtl w:val="true"/>
        </w:rPr>
        <w:t>بحث حول یونس بن یعقوب</w:t>
      </w:r>
      <w:bookmarkStart w:id="969" w:name="pg17122_169781"/>
      <w:bookmarkEnd w:id="968"/>
    </w:p>
    <w:p>
      <w:pPr>
        <w:pStyle w:val="BookText"/>
        <w:rPr/>
      </w:pPr>
      <w:bookmarkEnd w:id="969"/>
      <w:r>
        <w:rPr>
          <w:rFonts w:ascii="IRNazanin" w:hAnsi="IRNazanin" w:eastAsia="IRNazanin"/>
          <w:color w:val="111111"/>
          <w:sz w:val="28"/>
          <w:sz w:val="28"/>
          <w:szCs w:val="28"/>
          <w:rtl w:val="true"/>
          <w:lang w:bidi="fa-IR"/>
        </w:rPr>
        <w:t xml:space="preserve">وابن بابویه فی أسانید الفقیه ذکر أنّه فطحی ولم یذکر الرجوع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یحصل المعارضة لقول النجاشی بالرجوع ، إلاّ أن یحمل کلام الصدوق علی ما قیل ، وعلی کل حال لا یفید هذا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والعلاّمة فی الخلاصة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الکشی أحادیث حسنة تدل علی حسن عقیدة هذا الرجل والذی أعتمد علیه قبول روایته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لا یخلو من غرابة ،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الأخبار التی رواها الکشی لیس فیها حسن ولا صحیح ، إلاّ أن یرید غیر المعنی المصطلح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قبول روایته مع کونه فطحیّاً دون غیره کما یظهر منه رحمه الله غیر ظاهر الوجه ، والرجوع غیر معلوم التاریخ ، لتعلم الروایة قبل أو بعد ، وهو أعلم بمراده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أبو بصیر ، وقد تقدّم القول فیه </w:t>
      </w:r>
      <w:r>
        <w:rPr>
          <w:rStyle w:val="FootnoteAnchor"/>
          <w:rtl w:val="true"/>
        </w:rPr>
        <w:footnoteReference w:id="1144"/>
      </w:r>
      <w:r>
        <w:rPr>
          <w:rFonts w:ascii="IRNazanin" w:hAnsi="IRNazanin" w:eastAsia="IRNazanin"/>
          <w:color w:val="111111"/>
          <w:sz w:val="28"/>
          <w:sz w:val="28"/>
          <w:szCs w:val="28"/>
          <w:rtl w:val="true"/>
          <w:lang w:bidi="fa-IR"/>
        </w:rPr>
        <w:t xml:space="preserve">، والسندی بن محمد ثقة ویسمی أبان </w:t>
      </w:r>
      <w:r>
        <w:rPr>
          <w:rStyle w:val="FootnoteAnchor"/>
          <w:rtl w:val="true"/>
        </w:rPr>
        <w:footnoteReference w:id="1145"/>
      </w:r>
      <w:r>
        <w:rPr>
          <w:rFonts w:ascii="IRNazanin" w:hAnsi="IRNazanin" w:eastAsia="IRNazanin"/>
          <w:color w:val="111111"/>
          <w:sz w:val="28"/>
          <w:sz w:val="28"/>
          <w:szCs w:val="28"/>
          <w:rtl w:val="true"/>
          <w:lang w:bidi="fa-IR"/>
        </w:rPr>
        <w:t>إلاّ أن وصفه بالبزّاز لم أره فی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الخبرین لا یخلو من غرابة ، وظاهر الصدوق فی الفقیه العمل بمضمون الروایة الثانیة ، فإنّه نقل متنها فی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الشیخ فی التوجیه الأوّل ظاهره أنّه فهم من الروایتین أن الدم کان یوجد ثلاثة أیّام أو أربعة ثم ینقطع وهکذا ، والذی یقتضیه آخر</w:t>
      </w:r>
    </w:p>
    <w:p>
      <w:pPr>
        <w:pStyle w:val="Heading4"/>
        <w:numPr>
          <w:ilvl w:val="3"/>
          <w:numId w:val="1"/>
        </w:numPr>
        <w:rPr/>
      </w:pPr>
      <w:bookmarkStart w:id="970" w:name="__RefHeading___Toc39638_2142443653"/>
      <w:bookmarkStart w:id="971" w:name="_Toc377"/>
      <w:bookmarkEnd w:id="970"/>
      <w:r>
        <w:rPr>
          <w:rtl w:val="true"/>
        </w:rPr>
        <w:t>السندی بن محمد ثقة</w:t>
      </w:r>
      <w:bookmarkEnd w:id="971"/>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72" w:name="__RefHeading___Toc39640_2142443653"/>
      <w:bookmarkStart w:id="973" w:name="_Toc378"/>
      <w:bookmarkEnd w:id="972"/>
      <w:r>
        <w:rPr>
          <w:rtl w:val="true"/>
        </w:rPr>
        <w:t>توجیه خبری یونس بن یعقوب وأبی بصیر</w:t>
      </w:r>
      <w:bookmarkEnd w:id="973"/>
    </w:p>
    <w:p>
      <w:pPr>
        <w:pStyle w:val="BookText"/>
        <w:rPr/>
      </w:pPr>
      <w:r>
        <w:rPr>
          <w:rFonts w:ascii="IRNazanin" w:hAnsi="IRNazanin" w:eastAsia="IRNazanin"/>
          <w:color w:val="111111"/>
          <w:sz w:val="28"/>
          <w:sz w:val="28"/>
          <w:szCs w:val="28"/>
          <w:rtl w:val="true"/>
          <w:lang w:bidi="fa-IR"/>
        </w:rPr>
        <w:t xml:space="preserve">الروایة الاولی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انقطع عنها وإلاّ فهی مستحاضة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الدم مستمر ، وإنّما کانت تراه بصفة دم الحیض أیّاماً وبصفة دم الاستحاضة أیّاماً کما یقتضیه التوجیه الثانی من الشیخ ، وإن أشکل التوجیه الثانی أیضا بأنّ الشیخ فهم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تعمل ما تعمله المستحاضة ، أنّ المراد فی الأیّام التی یشبه دمها دم الاستحاضة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أفهمه أنّ المراد کونها تعمل بعد الثلاثین إذا استمرّ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المعتبر قال المحقق بعد نقل کلام الشیخ فی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تأویل لا بأس به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الطهر لا یکون أقل من عشرة ، 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حق ، لکن لیس هذا طهراً علی الیقین ولا حیضاً ، بل هو دم مشتبه تعمل فیه بالاحتیاط </w:t>
      </w:r>
      <w:r>
        <w:rPr>
          <w:rStyle w:val="FootnoteAnchor"/>
          <w:rtl w:val="true"/>
        </w:rPr>
        <w:footnoteReference w:id="1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علیک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تعمل فیه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مدلول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العجب أن العلاّمة فی المختلف بعد نقل قول ابن بابویه ، وأنّه مناسب لما ذکره الشیخ فی النهایة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مراد ابن بابویه والشیخ أنها تری الدم بصفة دم الحیض أربعة أیّام ، والطهر الذی هو النقاء خمسة ، وتری تتمة العشرة أو الشهر بصفة دم الاستحاضة ، فإنها تتحیّض بما هو صفة دم الحیض ولا یحمل ذلک علی ظاهره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ذکر احتجاج الشیخ وابن بابویه بالروایتین المبحوث عنهما ولم یذکر الجواب عنهما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w:t>
      </w:r>
      <w:r>
        <w:rPr>
          <w:rFonts w:eastAsia="IRNazanin" w:cs="IRNazanin"/>
          <w:color w:val="111111"/>
          <w:sz w:val="28"/>
          <w:szCs w:val="28"/>
          <w:rtl w:val="true"/>
          <w:lang w:bidi="fa-IR"/>
        </w:rPr>
        <w:t xml:space="preserve">) </w:t>
      </w:r>
      <w:r>
        <w:rPr>
          <w:rStyle w:val="FootnoteAnchor"/>
          <w:rtl w:val="true"/>
        </w:rPr>
        <w:footnoteReference w:id="1148"/>
      </w:r>
      <w:r>
        <w:rPr>
          <w:rFonts w:ascii="IRNazanin" w:hAnsi="IRNazanin" w:eastAsia="IRNazanin"/>
          <w:color w:val="111111"/>
          <w:sz w:val="28"/>
          <w:sz w:val="28"/>
          <w:szCs w:val="28"/>
          <w:rtl w:val="true"/>
          <w:lang w:bidi="fa-IR"/>
        </w:rPr>
        <w:t xml:space="preserve">ذلک بناءً منه علی تأویل کلامهما ، </w:t>
      </w:r>
      <w:bookmarkStart w:id="974" w:name="pg17122_169783"/>
    </w:p>
    <w:p>
      <w:pPr>
        <w:pStyle w:val="BookText"/>
        <w:rPr/>
      </w:pPr>
      <w:bookmarkEnd w:id="974"/>
      <w:r>
        <w:rPr>
          <w:rFonts w:ascii="IRNazanin" w:hAnsi="IRNazanin" w:eastAsia="IRNazanin"/>
          <w:color w:val="111111"/>
          <w:sz w:val="28"/>
          <w:sz w:val="28"/>
          <w:szCs w:val="28"/>
          <w:rtl w:val="true"/>
          <w:lang w:bidi="fa-IR"/>
        </w:rPr>
        <w:t>فیکون التأویل فی الروایتین أیضا ، فهو بمراحل عن الروایتین ، وبالجملة فالکلام فی الروایتین لا یخلو من خطر ، ولعل من لا یعمل بالموثق فی راحة من تکلّف التوجیه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الحدیث الذی رواه الشیخ فی کتابه الکبیر </w:t>
      </w:r>
      <w:r>
        <w:rPr>
          <w:rStyle w:val="FootnoteAnchor"/>
          <w:rtl w:val="true"/>
        </w:rPr>
        <w:footnoteReference w:id="1149"/>
      </w:r>
      <w:r>
        <w:rPr>
          <w:rFonts w:ascii="IRNazanin" w:hAnsi="IRNazanin" w:eastAsia="IRNazanin"/>
          <w:color w:val="111111"/>
          <w:sz w:val="28"/>
          <w:sz w:val="28"/>
          <w:szCs w:val="28"/>
          <w:rtl w:val="true"/>
          <w:lang w:bidi="fa-IR"/>
        </w:rPr>
        <w:t>فالأمر فی دلالته أشکل من التوجیه ، کما یعلمه من راجعه ، ولو لا أنّ سنده غیر سلیم حیث رواه محمد بن عیسی ، عن یونس ، عن غیر واحد ، لنقلته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أن یعلم أنّ ظاهر الخبر الثانی حیث قال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فرأت الدم </w:t>
      </w:r>
      <w:r>
        <w:rPr>
          <w:rStyle w:val="FootnoteAnchor"/>
          <w:rtl w:val="true"/>
        </w:rPr>
        <w:footnoteReference w:id="1150"/>
      </w:r>
      <w:r>
        <w:rPr>
          <w:rFonts w:ascii="IRNazanin" w:hAnsi="IRNazanin" w:eastAsia="IRNazanin"/>
          <w:color w:val="111111"/>
          <w:sz w:val="28"/>
          <w:sz w:val="28"/>
          <w:szCs w:val="28"/>
          <w:rtl w:val="true"/>
          <w:lang w:bidi="fa-IR"/>
        </w:rPr>
        <w:t xml:space="preserve">صبیباً اغتسلت واستثفرت </w:t>
      </w:r>
      <w:r>
        <w:rPr>
          <w:rStyle w:val="FootnoteAnchor"/>
          <w:rtl w:val="true"/>
        </w:rPr>
        <w:footnoteReference w:id="1151"/>
      </w:r>
      <w:r>
        <w:rPr>
          <w:rFonts w:ascii="IRNazanin" w:hAnsi="IRNazanin" w:eastAsia="IRNazanin"/>
          <w:color w:val="111111"/>
          <w:sz w:val="28"/>
          <w:sz w:val="28"/>
          <w:szCs w:val="28"/>
          <w:rtl w:val="true"/>
          <w:lang w:bidi="fa-IR"/>
        </w:rPr>
        <w:t xml:space="preserve">واحتشت بالکرسف فی وقت کل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جمیع ما ذکر </w:t>
      </w:r>
      <w:r>
        <w:rPr>
          <w:rStyle w:val="FootnoteAnchor"/>
          <w:rtl w:val="true"/>
        </w:rPr>
        <w:footnoteReference w:id="1152"/>
      </w:r>
      <w:r>
        <w:rPr>
          <w:rFonts w:ascii="IRNazanin" w:hAnsi="IRNazanin" w:eastAsia="IRNazanin"/>
          <w:color w:val="111111"/>
          <w:sz w:val="28"/>
          <w:sz w:val="28"/>
          <w:szCs w:val="28"/>
          <w:rtl w:val="true"/>
          <w:lang w:bidi="fa-IR"/>
        </w:rPr>
        <w:t>فی وقت کل صلاة ، والحال أنّ الغسل لا یجب کذلک ، بل ولا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الجواب بأنّ الخبر فی حیّز الإجمال ، والمبیّن غیره من الأخبار ، کما 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رأت صفرة توضّأت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إشکال أیضاً ، إلاّ أنّ ضعف الروایة یسهل الخطب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أنّه أمر المستحاضة أن تستثفر ، هو أن تشد فخذها </w:t>
      </w:r>
      <w:r>
        <w:rPr>
          <w:rStyle w:val="FootnoteAnchor"/>
          <w:rtl w:val="true"/>
        </w:rPr>
        <w:footnoteReference w:id="1153"/>
      </w:r>
      <w:r>
        <w:rPr>
          <w:rFonts w:ascii="IRNazanin" w:hAnsi="IRNazanin" w:eastAsia="IRNazanin"/>
          <w:color w:val="111111"/>
          <w:sz w:val="28"/>
          <w:sz w:val="28"/>
          <w:szCs w:val="28"/>
          <w:rtl w:val="true"/>
          <w:lang w:bidi="fa-IR"/>
        </w:rPr>
        <w:t>بخرقة عریضة بعد أن تحتشی قطنا وتوُثِق طرفیها فی شی‌ء</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75" w:name="__RefHeading___Toc39642_2142443653"/>
      <w:bookmarkStart w:id="976" w:name="_Toc379"/>
      <w:bookmarkEnd w:id="975"/>
      <w:r>
        <w:rPr>
          <w:rtl w:val="true"/>
        </w:rPr>
        <w:t>معنی الاستثفار</w:t>
      </w:r>
      <w:bookmarkStart w:id="977" w:name="pg17122_169784"/>
      <w:bookmarkEnd w:id="976"/>
    </w:p>
    <w:p>
      <w:pPr>
        <w:pStyle w:val="BookText"/>
        <w:rPr/>
      </w:pPr>
      <w:bookmarkEnd w:id="977"/>
      <w:r>
        <w:rPr>
          <w:rFonts w:ascii="IRNazanin" w:hAnsi="IRNazanin" w:eastAsia="IRNazanin"/>
          <w:color w:val="111111"/>
          <w:sz w:val="28"/>
          <w:sz w:val="28"/>
          <w:szCs w:val="28"/>
          <w:rtl w:val="true"/>
          <w:lang w:bidi="fa-IR"/>
        </w:rPr>
        <w:t xml:space="preserve">تشدّه علی وسطها فتمنع بذلک سیل الدم ، مأخوذ من ثَفَر الدابة الذی جعل </w:t>
      </w:r>
      <w:r>
        <w:rPr>
          <w:rStyle w:val="FootnoteAnchor"/>
          <w:rtl w:val="true"/>
        </w:rPr>
        <w:footnoteReference w:id="1154"/>
      </w:r>
      <w:r>
        <w:rPr>
          <w:rFonts w:ascii="IRNazanin" w:hAnsi="IRNazanin" w:eastAsia="IRNazanin"/>
          <w:color w:val="111111"/>
          <w:sz w:val="28"/>
          <w:sz w:val="28"/>
          <w:szCs w:val="28"/>
          <w:rtl w:val="true"/>
          <w:lang w:bidi="fa-IR"/>
        </w:rPr>
        <w:t xml:space="preserve">تحت ذنبها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ما یجب علی من وطئ امرأة حائضا من الکفّارة</w:t>
      </w:r>
    </w:p>
    <w:p>
      <w:pPr>
        <w:pStyle w:val="BookText"/>
        <w:rPr/>
      </w:pPr>
      <w:r>
        <w:rPr>
          <w:rFonts w:ascii="IRNazanin" w:hAnsi="IRNazanin" w:eastAsia="IRNazanin"/>
          <w:color w:val="111111"/>
          <w:sz w:val="28"/>
          <w:sz w:val="28"/>
          <w:szCs w:val="28"/>
          <w:rtl w:val="true"/>
          <w:lang w:bidi="fa-IR"/>
        </w:rPr>
        <w:t xml:space="preserve">أخبرنی الشیخ رحمه الله عن أحمد بن محمد ، عن أبیه ، عن سعد ابن عبد الله ، عن أحمد بن محمد ، عن الحسن بن علی الوشّاء ، عن عبد الله ابن سنان ، عن حفص ، عن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عمّن أتی امرأته وهی طامث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یتصدق بدینار ویستغفر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أحمد بن عبدون ، عن علی بن محمد بن الزبیر ، عن علی بن الحسن بن فضال ، عن محمد بن عیسی ، عن النضر بن سوید ، عن یحیی بن عمران الحلبی ، عن عبد الله بن مسکان ، عن أبی بصیر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أتی حائضا فعلیه نصف دینار یتصدق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الاسناد عن علی بن الحسن بن فضال ، عن محمد بن عبد الله ابن زرارة ، عن محمد بن أبی عمیر ، عن حمّاد بن عثمان ، عن عبید الله بن علی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یقع علی امرأته وهی حائض ما علیه؟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یتصدق علی مسکین بقدر شُعبة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وأخبرنی الشیخ رحمه الله عن أحمد بن محمد ، عن أبیه ، عن سعد بن عبد الله ، عن أحمد بن محمد ، عن صفوان ، عن أبان ، عن</w:t>
      </w:r>
    </w:p>
    <w:p>
      <w:pPr>
        <w:pStyle w:val="Heading3"/>
        <w:numPr>
          <w:ilvl w:val="2"/>
          <w:numId w:val="1"/>
        </w:numPr>
        <w:rPr/>
      </w:pPr>
      <w:bookmarkStart w:id="978" w:name="__RefHeading___Toc39644_2142443653"/>
      <w:bookmarkStart w:id="979" w:name="_Toc380"/>
      <w:bookmarkEnd w:id="978"/>
      <w:r>
        <w:rPr>
          <w:rtl w:val="true"/>
        </w:rPr>
        <w:t>ما یجب علی من وطئ امرأة حائضا من الکفّارة</w:t>
      </w:r>
      <w:bookmarkEnd w:id="979"/>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80" w:name="__RefHeading___Toc39646_2142443653"/>
      <w:bookmarkStart w:id="981" w:name="_Toc381"/>
      <w:bookmarkEnd w:id="980"/>
      <w:r>
        <w:rPr>
          <w:rtl w:val="true"/>
        </w:rPr>
        <w:t>اشارة</w:t>
      </w:r>
      <w:bookmarkEnd w:id="981"/>
    </w:p>
    <w:p>
      <w:pPr>
        <w:pStyle w:val="BookText"/>
        <w:rPr/>
      </w:pPr>
      <w:r>
        <w:rPr>
          <w:rFonts w:ascii="IRNazanin" w:hAnsi="IRNazanin" w:eastAsia="IRNazanin"/>
          <w:color w:val="111111"/>
          <w:sz w:val="28"/>
          <w:sz w:val="28"/>
          <w:szCs w:val="28"/>
          <w:rtl w:val="true"/>
          <w:lang w:bidi="fa-IR"/>
        </w:rPr>
        <w:t xml:space="preserve">عبد الکریم بن عمر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أتی جاریته وهی طامث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یستغفر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الکریم فإنّ الناس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نصف دینار أو دینار؟ قال </w:t>
      </w:r>
      <w:r>
        <w:rPr>
          <w:rStyle w:val="FootnoteAnchor"/>
          <w:rtl w:val="true"/>
        </w:rPr>
        <w:footnoteReference w:id="1156"/>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فلیتصدّق علی عشرة مساکین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157"/>
      </w:r>
      <w:r>
        <w:rPr>
          <w:rFonts w:ascii="IRNazanin" w:hAnsi="IRNazanin" w:eastAsia="IRNazanin"/>
          <w:color w:val="111111"/>
          <w:sz w:val="28"/>
          <w:sz w:val="28"/>
          <w:szCs w:val="28"/>
          <w:rtl w:val="true"/>
          <w:lang w:bidi="fa-IR"/>
        </w:rPr>
        <w:t xml:space="preserve">محمد بن الحسن </w:t>
      </w:r>
      <w:r>
        <w:rPr>
          <w:rStyle w:val="FootnoteAnchor"/>
          <w:rtl w:val="true"/>
        </w:rPr>
        <w:footnoteReference w:id="1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w:t>
      </w:r>
      <w:r>
        <w:rPr>
          <w:rStyle w:val="FootnoteAnchor"/>
          <w:rtl w:val="true"/>
        </w:rPr>
        <w:footnoteReference w:id="1159"/>
      </w:r>
      <w:r>
        <w:rPr>
          <w:rFonts w:ascii="IRNazanin" w:hAnsi="IRNazanin" w:eastAsia="IRNazanin"/>
          <w:color w:val="111111"/>
          <w:sz w:val="28"/>
          <w:sz w:val="28"/>
          <w:szCs w:val="28"/>
          <w:rtl w:val="true"/>
          <w:lang w:bidi="fa-IR"/>
        </w:rPr>
        <w:t xml:space="preserve">فی الجمع بین هذه الأخبار أن نحمل الوطء إذا کان فی أول الحیض یلزمه دینار ، وإذا کان فی وسطه نصف دینار ، وإذا کان فی آخره ربع دینار ، وربما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قیمته مقدار الصدقة </w:t>
      </w:r>
      <w:r>
        <w:rPr>
          <w:rFonts w:eastAsia="IRNazanin" w:cs="IRNazanin"/>
          <w:color w:val="111111"/>
          <w:sz w:val="28"/>
          <w:szCs w:val="28"/>
          <w:rtl w:val="true"/>
          <w:lang w:bidi="fa-IR"/>
        </w:rPr>
        <w:t xml:space="preserve">) </w:t>
      </w:r>
      <w:r>
        <w:rPr>
          <w:rStyle w:val="FootnoteAnchor"/>
          <w:rtl w:val="true"/>
        </w:rPr>
        <w:footnoteReference w:id="1160"/>
      </w:r>
      <w:r>
        <w:rPr>
          <w:rFonts w:ascii="IRNazanin" w:hAnsi="IRNazanin" w:eastAsia="IRNazanin"/>
          <w:color w:val="111111"/>
          <w:sz w:val="28"/>
          <w:sz w:val="28"/>
          <w:szCs w:val="28"/>
          <w:rtl w:val="true"/>
          <w:lang w:bidi="fa-IR"/>
        </w:rPr>
        <w:t xml:space="preserve">علی عشرة مساکین ، ومتی عجز عن ذلک أجزأه الصدقة علی مسکین </w:t>
      </w:r>
      <w:r>
        <w:rPr>
          <w:rStyle w:val="FootnoteAnchor"/>
          <w:rtl w:val="true"/>
        </w:rPr>
        <w:footnoteReference w:id="1161"/>
      </w:r>
      <w:r>
        <w:rPr>
          <w:rFonts w:ascii="IRNazanin" w:hAnsi="IRNazanin" w:eastAsia="IRNazanin"/>
          <w:color w:val="111111"/>
          <w:sz w:val="28"/>
          <w:sz w:val="28"/>
          <w:szCs w:val="28"/>
          <w:rtl w:val="true"/>
          <w:lang w:bidi="fa-IR"/>
        </w:rPr>
        <w:t>بقدر شبعه ، لتلائم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یدل علی هذا التفصیل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أخبرنی به الحسین بن عبید الله ، عن أحمد بن محمد ، عن أبیه ، عن محمد </w:t>
      </w:r>
      <w:r>
        <w:rPr>
          <w:rStyle w:val="FootnoteAnchor"/>
          <w:rtl w:val="true"/>
        </w:rPr>
        <w:footnoteReference w:id="1162"/>
      </w:r>
      <w:r>
        <w:rPr>
          <w:rFonts w:ascii="IRNazanin" w:hAnsi="IRNazanin" w:eastAsia="IRNazanin"/>
          <w:color w:val="111111"/>
          <w:sz w:val="28"/>
          <w:sz w:val="28"/>
          <w:szCs w:val="28"/>
          <w:rtl w:val="true"/>
          <w:lang w:bidi="fa-IR"/>
        </w:rPr>
        <w:t xml:space="preserve">بن یحیی ، عن بعض أصحابه </w:t>
      </w:r>
      <w:r>
        <w:rPr>
          <w:rStyle w:val="FootnoteAnchor"/>
          <w:rtl w:val="true"/>
        </w:rPr>
        <w:footnoteReference w:id="1163"/>
      </w:r>
      <w:r>
        <w:rPr>
          <w:rFonts w:ascii="IRNazanin" w:hAnsi="IRNazanin" w:eastAsia="IRNazanin"/>
          <w:color w:val="111111"/>
          <w:sz w:val="28"/>
          <w:sz w:val="28"/>
          <w:szCs w:val="28"/>
          <w:rtl w:val="true"/>
          <w:lang w:bidi="fa-IR"/>
        </w:rPr>
        <w:t xml:space="preserve">، عن الطیالسی ، عن أحمد بن محمد ، عن داود بن فرقد ، عن أبی عبد الله علیه السلام فی کفارة الطمث أنه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یتصدق إذا کان فی أوله بدینار ، وفی أوسطه نصف دینار ، وفی آخره ربع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یکن عنده ما یکفّر؟ </w:t>
      </w:r>
      <w:bookmarkStart w:id="982" w:name="pg17122_169786"/>
    </w:p>
    <w:p>
      <w:pPr>
        <w:pStyle w:val="BookText"/>
        <w:rPr/>
      </w:pPr>
      <w:bookmarkEnd w:id="982"/>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فلیتصدّق علی مسکین واحد ، وإلاّ استغفر الله ولا یعود ، فإنّ الاستغفار توبة وکفّارة لکل من لم یجد السبیل إلی شی‌ء من الکفارة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تکرر القول فی رجاله ، غیر أنّ الحسن بن علی الوشّاء قد وقع للعلاّمة فیه شی‌ء لم یتقدّم ذکره ولا بأس بالتنبیه علیه ، فاعلم أنّ النجاشی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یکنی بأبی محمد الوشّاء ، وهو ابن بنت إلیاس الصیرفی خزاز من أصحاب الرضا علیه السلام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والعلاّمة فی الخلاصة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یکنی بأبی محمد الوشاء وهو ابن بنت إلیاس الصیرفی خیّران من أصحاب الرضا علیه السلام </w:t>
      </w:r>
      <w:r>
        <w:rPr>
          <w:rStyle w:val="FootnoteAnchor"/>
          <w:rtl w:val="true"/>
        </w:rPr>
        <w:footnoteReference w:id="1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باب إلیاس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خیّر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الظنّ أنّ قول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تصحیف لفظ خزاز فی کلام النجاشی ، إما لکونه منقولاً عن الکشی ، أو أنّه من کلامه ، والعلاّمة أخذ کلامه من النجاشی ولسرعة </w:t>
      </w:r>
      <w:r>
        <w:rPr>
          <w:rStyle w:val="FootnoteAnchor"/>
          <w:rtl w:val="true"/>
        </w:rPr>
        <w:footnoteReference w:id="1167"/>
      </w:r>
      <w:r>
        <w:rPr>
          <w:rFonts w:ascii="IRNazanin" w:hAnsi="IRNazanin" w:eastAsia="IRNazanin"/>
          <w:color w:val="111111"/>
          <w:sz w:val="28"/>
          <w:sz w:val="28"/>
          <w:szCs w:val="28"/>
          <w:rtl w:val="true"/>
          <w:lang w:bidi="fa-IR"/>
        </w:rPr>
        <w:t xml:space="preserve">العجلة فعل ما فعل ، أو أنّه نقله من الکشی وهو مصحّف </w:t>
      </w:r>
      <w:r>
        <w:rPr>
          <w:rStyle w:val="FootnoteAnchor"/>
          <w:rtl w:val="true"/>
        </w:rPr>
        <w:footnoteReference w:id="1168"/>
      </w:r>
      <w:r>
        <w:rPr>
          <w:rFonts w:ascii="IRNazanin" w:hAnsi="IRNazanin" w:eastAsia="IRNazanin"/>
          <w:color w:val="111111"/>
          <w:sz w:val="28"/>
          <w:sz w:val="28"/>
          <w:szCs w:val="28"/>
          <w:rtl w:val="true"/>
          <w:lang w:bidi="fa-IR"/>
        </w:rPr>
        <w:t xml:space="preserve">فیه ثم سری الوهم إلی أن قال فی الیأس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خیّر </w:t>
      </w:r>
      <w:r>
        <w:rPr>
          <w:rStyle w:val="FootnoteAnchor"/>
          <w:rtl w:val="true"/>
        </w:rPr>
        <w:footnoteReference w:id="1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فلیتأملّ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83" w:name="__RefHeading___Toc39648_2142443653"/>
      <w:bookmarkStart w:id="984" w:name="_Toc382"/>
      <w:bookmarkEnd w:id="983"/>
      <w:r>
        <w:rPr>
          <w:rtl w:val="true"/>
        </w:rPr>
        <w:t>بحث حول الحسن بن علی الوشّاء</w:t>
      </w:r>
      <w:bookmarkStart w:id="985" w:name="pg17122_169787"/>
      <w:bookmarkEnd w:id="984"/>
    </w:p>
    <w:p>
      <w:pPr>
        <w:pStyle w:val="BookText"/>
        <w:rPr/>
      </w:pPr>
      <w:bookmarkEnd w:id="985"/>
      <w:r>
        <w:rPr>
          <w:rFonts w:ascii="IRNazanin" w:hAnsi="IRNazanin" w:eastAsia="IRNazanin"/>
          <w:color w:val="111111"/>
          <w:sz w:val="28"/>
          <w:sz w:val="28"/>
          <w:szCs w:val="28"/>
          <w:rtl w:val="true"/>
          <w:lang w:bidi="fa-IR"/>
        </w:rPr>
        <w:t xml:space="preserve">ثم إنّ حفص المذکور فی السند مشترک بین من هو ثقة وغیره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رجاله قد تکرّر أیضا القول فیهم بما یغنی عن الإعادة ، ویحیی بن عمران الحلبی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عبد الکریم بن عمرو </w:t>
      </w:r>
      <w:r>
        <w:rPr>
          <w:rStyle w:val="FootnoteAnchor"/>
          <w:rtl w:val="true"/>
        </w:rPr>
        <w:footnoteReference w:id="1171"/>
      </w:r>
      <w:r>
        <w:rPr>
          <w:rFonts w:ascii="IRNazanin" w:hAnsi="IRNazanin" w:eastAsia="IRNazanin"/>
          <w:color w:val="111111"/>
          <w:sz w:val="28"/>
          <w:sz w:val="28"/>
          <w:szCs w:val="28"/>
          <w:rtl w:val="true"/>
          <w:lang w:bidi="fa-IR"/>
        </w:rPr>
        <w:t xml:space="preserve">فی النسخ التی رأیناها ، وفی </w:t>
      </w:r>
      <w:r>
        <w:rPr>
          <w:rStyle w:val="FootnoteAnchor"/>
          <w:rtl w:val="true"/>
        </w:rPr>
        <w:footnoteReference w:id="1172"/>
      </w:r>
      <w:r>
        <w:rPr>
          <w:rFonts w:ascii="IRNazanin" w:hAnsi="IRNazanin" w:eastAsia="IRNazanin"/>
          <w:color w:val="111111"/>
          <w:sz w:val="28"/>
          <w:sz w:val="28"/>
          <w:szCs w:val="28"/>
          <w:rtl w:val="true"/>
          <w:lang w:bidi="fa-IR"/>
        </w:rPr>
        <w:t xml:space="preserve">التهذیب عبد الملک بن عمرو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1174"/>
      </w:r>
      <w:r>
        <w:rPr>
          <w:rFonts w:ascii="IRNazanin" w:hAnsi="IRNazanin" w:eastAsia="IRNazanin"/>
          <w:color w:val="111111"/>
          <w:sz w:val="28"/>
          <w:sz w:val="28"/>
          <w:szCs w:val="28"/>
          <w:rtl w:val="true"/>
          <w:lang w:bidi="fa-IR"/>
        </w:rPr>
        <w:t xml:space="preserve">شیخنا أیّده الله فی فوائده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وکلاهما موجودان فی الرجال ، وعبد الکریم واقفی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فی النجاشی کما قال أیّده الله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ثقة ثقة وکان واقفیا </w:t>
      </w:r>
      <w:r>
        <w:rPr>
          <w:rStyle w:val="FootnoteAnchor"/>
          <w:rtl w:val="true"/>
        </w:rPr>
        <w:footnoteReference w:id="1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فی الکشی عن أشیاخ حمدویه </w:t>
      </w:r>
      <w:r>
        <w:rPr>
          <w:rStyle w:val="FootnoteAnchor"/>
          <w:rtl w:val="true"/>
        </w:rPr>
        <w:footnoteReference w:id="1176"/>
      </w:r>
      <w:r>
        <w:rPr>
          <w:rFonts w:ascii="IRNazanin" w:hAnsi="IRNazanin" w:eastAsia="IRNazanin"/>
          <w:color w:val="111111"/>
          <w:sz w:val="28"/>
          <w:sz w:val="28"/>
          <w:szCs w:val="28"/>
          <w:rtl w:val="true"/>
          <w:lang w:bidi="fa-IR"/>
        </w:rPr>
        <w:t xml:space="preserve">، ونقل فی الخلاصة عن الشیخ أنّه قال ذلک أیضا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عبد الملک بن عمرو فقد روی الکشی عن حمدویه ، عن یعقوب بن یزید ، عن ابن أبی عمیر ، عن جمیل بن صالح ، عن عبد الملک ابن عمرو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1178"/>
      </w:r>
      <w:r>
        <w:rPr>
          <w:rFonts w:ascii="IRNazanin" w:hAnsi="IRNazanin" w:eastAsia="IRNazanin"/>
          <w:color w:val="111111"/>
          <w:sz w:val="28"/>
          <w:sz w:val="28"/>
          <w:szCs w:val="28"/>
          <w:rtl w:val="true"/>
          <w:lang w:bidi="fa-IR"/>
        </w:rPr>
        <w:t xml:space="preserve">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لأدعو </w:t>
      </w:r>
      <w:r>
        <w:rPr>
          <w:rStyle w:val="FootnoteAnchor"/>
          <w:rtl w:val="true"/>
        </w:rPr>
        <w:footnoteReference w:id="1179"/>
      </w:r>
      <w:r>
        <w:rPr>
          <w:rFonts w:ascii="IRNazanin" w:hAnsi="IRNazanin" w:eastAsia="IRNazanin"/>
          <w:color w:val="111111"/>
          <w:sz w:val="28"/>
          <w:sz w:val="28"/>
          <w:szCs w:val="28"/>
          <w:rtl w:val="true"/>
          <w:lang w:bidi="fa-IR"/>
        </w:rPr>
        <w:t xml:space="preserve">لک حتی اسمّی دابّتک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أدعو لدابّتک </w:t>
      </w:r>
      <w:r>
        <w:rPr>
          <w:rFonts w:eastAsia="IRNazanin" w:cs="IRNazanin"/>
          <w:color w:val="111111"/>
          <w:sz w:val="28"/>
          <w:szCs w:val="28"/>
          <w:rtl w:val="true"/>
          <w:lang w:bidi="fa-IR"/>
        </w:rPr>
        <w:t xml:space="preserve">»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6" w:name="__RefHeading___Toc39650_2142443653"/>
      <w:bookmarkStart w:id="987" w:name="_Toc383"/>
      <w:bookmarkEnd w:id="986"/>
      <w:r>
        <w:rPr>
          <w:rtl w:val="true"/>
        </w:rPr>
        <w:t>حفص مشترک بین ثقة وغیره</w:t>
      </w:r>
      <w:bookmarkEnd w:id="987"/>
    </w:p>
    <w:p>
      <w:pPr>
        <w:pStyle w:val="Heading4"/>
        <w:numPr>
          <w:ilvl w:val="3"/>
          <w:numId w:val="1"/>
        </w:numPr>
        <w:rPr/>
      </w:pPr>
      <w:bookmarkStart w:id="988" w:name="__RefHeading___Toc39652_2142443653"/>
      <w:bookmarkStart w:id="989" w:name="_Toc384"/>
      <w:bookmarkEnd w:id="988"/>
      <w:r>
        <w:rPr>
          <w:rtl w:val="true"/>
        </w:rPr>
        <w:t>یحیی بن عمران الحلبی ثقة</w:t>
      </w:r>
      <w:bookmarkEnd w:id="98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90" w:name="__RefHeading___Toc39654_2142443653"/>
      <w:bookmarkStart w:id="991" w:name="_Toc385"/>
      <w:bookmarkEnd w:id="990"/>
      <w:r>
        <w:rPr>
          <w:rtl w:val="true"/>
        </w:rPr>
        <w:t>بحث حول عبدالکریم بن عمرو وعبدالملک بن عمر</w:t>
      </w:r>
      <w:bookmarkStart w:id="992" w:name="pg17122_169788"/>
      <w:bookmarkEnd w:id="991"/>
    </w:p>
    <w:p>
      <w:pPr>
        <w:pStyle w:val="BookText"/>
        <w:rPr/>
      </w:pPr>
      <w:bookmarkEnd w:id="992"/>
      <w:r>
        <w:rPr>
          <w:rFonts w:ascii="IRNazanin" w:hAnsi="IRNazanin" w:eastAsia="IRNazanin"/>
          <w:color w:val="111111"/>
          <w:sz w:val="28"/>
          <w:sz w:val="28"/>
          <w:szCs w:val="28"/>
          <w:rtl w:val="true"/>
          <w:lang w:bidi="fa-IR"/>
        </w:rPr>
        <w:t xml:space="preserve">ولجدّی قدس سره فی فوائد الخلاصة علی هذا الحدیث ما هذه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السند صحیح ولکنه ینتهی إلی الممدوح ، فهو شهادة لنفسه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ذلک </w:t>
      </w:r>
      <w:r>
        <w:rPr>
          <w:rFonts w:eastAsia="IRNazanin" w:cs="IRNazanin"/>
          <w:color w:val="111111"/>
          <w:sz w:val="28"/>
          <w:szCs w:val="28"/>
          <w:rtl w:val="true"/>
          <w:lang w:bidi="fa-IR"/>
        </w:rPr>
        <w:t xml:space="preserve">) </w:t>
      </w:r>
      <w:r>
        <w:rPr>
          <w:rStyle w:val="FootnoteAnchor"/>
          <w:rtl w:val="true"/>
        </w:rPr>
        <w:footnoteReference w:id="1181"/>
      </w:r>
      <w:r>
        <w:rPr>
          <w:rFonts w:ascii="IRNazanin" w:hAnsi="IRNazanin" w:eastAsia="IRNazanin"/>
          <w:color w:val="111111"/>
          <w:sz w:val="28"/>
          <w:sz w:val="28"/>
          <w:szCs w:val="28"/>
          <w:rtl w:val="true"/>
          <w:lang w:bidi="fa-IR"/>
        </w:rPr>
        <w:t xml:space="preserve">فهو مرجّح بسبب المدح ، فیلحق بالحسن لولا ما ذکرناه </w:t>
      </w:r>
      <w:r>
        <w:rPr>
          <w:rStyle w:val="FootnoteAnchor"/>
          <w:rtl w:val="true"/>
        </w:rPr>
        <w:footnoteReference w:id="1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لولا ما قاله لکان أعلی من الحسن ، وإن أمکن المناقشة فی ذلک ، إلاّ أنّ الأمر سهل ، حیث إن الراوی غیر معلوم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مع الإرسال الطیالسی ، ولا یبعد أن یکون محمد بن خالد ، وهو مذکور فی رجال الشیخ فیمن لم یرو عنهم علیهم السلام مهملاً ، وذکر أنّ الراوی عنه سعد بن عبد الله وعلی بن الحسن بن فضال </w:t>
      </w:r>
      <w:r>
        <w:rPr>
          <w:rStyle w:val="FootnoteAnchor"/>
          <w:rtl w:val="true"/>
        </w:rPr>
        <w:footnoteReference w:id="1183"/>
      </w:r>
      <w:r>
        <w:rPr>
          <w:rFonts w:ascii="IRNazanin" w:hAnsi="IRNazanin" w:eastAsia="IRNazanin"/>
          <w:color w:val="111111"/>
          <w:sz w:val="28"/>
          <w:sz w:val="28"/>
          <w:szCs w:val="28"/>
          <w:rtl w:val="true"/>
          <w:lang w:bidi="fa-IR"/>
        </w:rPr>
        <w:t xml:space="preserve">، والمرتبة قریبة ، وفی الخلاصة لم یذکره فی بابه ، ولکن فی ترجمة صائد النهدی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خالد لا یحضرنی حاله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یأتی الطیالسی للحسن بن أبی العرندس ، وهو مذکور فی رجال الکاظم علیه السلام من کتاب الشیخ مهملا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وداود بن فرقد هو داود بن أبی یزید ، کما صرّح به الشیخ فی هذا الکتاب ، وهو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والنجاشی صرّح بأن فرقد یکنی أبا یزید </w:t>
      </w:r>
      <w:r>
        <w:rPr>
          <w:rStyle w:val="FootnoteAnchor"/>
          <w:rtl w:val="true"/>
        </w:rPr>
        <w:footnoteReference w:id="1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فی کتاب الرجال ذکره فی رجال الصادق علیه السلام بهذه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فرقد</w:t>
      </w:r>
    </w:p>
    <w:p>
      <w:pPr>
        <w:pStyle w:val="Heading4"/>
        <w:numPr>
          <w:ilvl w:val="3"/>
          <w:numId w:val="1"/>
        </w:numPr>
        <w:rPr/>
      </w:pPr>
      <w:bookmarkStart w:id="993" w:name="__RefHeading___Toc39656_2142443653"/>
      <w:bookmarkStart w:id="994" w:name="_Toc386"/>
      <w:bookmarkEnd w:id="993"/>
      <w:r>
        <w:rPr>
          <w:rtl w:val="true"/>
        </w:rPr>
        <w:t>بحث حول الطیالسی</w:t>
      </w:r>
      <w:bookmarkEnd w:id="994"/>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95" w:name="__RefHeading___Toc39658_2142443653"/>
      <w:bookmarkStart w:id="996" w:name="_Toc387"/>
      <w:bookmarkEnd w:id="995"/>
      <w:r>
        <w:rPr>
          <w:rtl w:val="true"/>
        </w:rPr>
        <w:t>بحث حول داود بن فرقد</w:t>
      </w:r>
      <w:bookmarkStart w:id="997" w:name="pg17122_169789"/>
      <w:bookmarkEnd w:id="996"/>
    </w:p>
    <w:p>
      <w:pPr>
        <w:pStyle w:val="BookText"/>
        <w:rPr/>
      </w:pPr>
      <w:bookmarkEnd w:id="997"/>
      <w:r>
        <w:rPr>
          <w:rFonts w:ascii="IRNazanin" w:hAnsi="IRNazanin" w:eastAsia="IRNazanin"/>
          <w:color w:val="111111"/>
          <w:sz w:val="28"/>
          <w:sz w:val="28"/>
          <w:szCs w:val="28"/>
          <w:rtl w:val="true"/>
          <w:lang w:bidi="fa-IR"/>
        </w:rPr>
        <w:t xml:space="preserve">أبو یزید </w:t>
      </w:r>
      <w:r>
        <w:rPr>
          <w:rStyle w:val="FootnoteAnchor"/>
          <w:rtl w:val="true"/>
        </w:rPr>
        <w:footnoteReference w:id="1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داود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داود یکنی أبا زید وفرقد أبا یزید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فالأسانید کلّها غیر سلیمة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الأخبار المذکورة غیر الرابع والخامس کما تری تضمّن الدینار والنصف والصدقة علی مسکین بقدر شبعه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Style w:val="FootnoteAnchor"/>
          <w:rtl w:val="true"/>
        </w:rPr>
        <w:footnoteReference w:id="1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تضمّن نفی النصف والدینار والأمر بالصدقة علی عشرة مساکین ، وهو کالصریح فی عدم وجوب الدینار والنصف ، فإمّا أن یحمل علی الاستحباب فی الجمیع کما قد یستفاد من الأخبار حیث لم یتعیّن المقدار ، ویکون المنفی فی الرابع التعین ، أو یحمل علی التقیة ما دل علی الدینار والنصف ، فقد صرّح بعض العامة بما هذه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ویستحب لمن وطئ فی الحیض عالماً بالحال والتحریم أن یتصدّق بدینار خالص إن کان فی أوله وقوّته ، ونصف دینار إن کان فی ضعفه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کان فی قول الراوی فی الحدیث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یقولون ، إلی آخره ، إشارة إلی أهل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قاله الشیخ فی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الربع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أنّه لم یتقدم ما یدل علی الربع ، وکأنّه اعتمد علی الخبر الآتی ، ولا یخفی علیک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إنّما ذکر الربع دینار لما تضمّنه الخبر الرابع من</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98" w:name="__RefHeading___Toc39660_2142443653"/>
      <w:bookmarkStart w:id="999" w:name="_Toc388"/>
      <w:bookmarkEnd w:id="998"/>
      <w:r>
        <w:rPr>
          <w:rtl w:val="true"/>
        </w:rPr>
        <w:t>مقدار کفّارة وطء الحائض</w:t>
      </w:r>
      <w:bookmarkEnd w:id="999"/>
    </w:p>
    <w:p>
      <w:pPr>
        <w:pStyle w:val="BookText"/>
        <w:rPr/>
      </w:pPr>
      <w:r>
        <w:rPr>
          <w:rFonts w:ascii="IRNazanin" w:hAnsi="IRNazanin" w:eastAsia="IRNazanin"/>
          <w:color w:val="111111"/>
          <w:sz w:val="28"/>
          <w:sz w:val="28"/>
          <w:szCs w:val="28"/>
          <w:rtl w:val="true"/>
          <w:lang w:bidi="fa-IR"/>
        </w:rPr>
        <w:t xml:space="preserve">الصدقة علی عشرة مساکین ظنّاً منه أنّ الربع قیمته تفی بذلک ، کما ینبه علیه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کانت قیمة مقدار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الشیخ لا یخلو من إجمال ، إذ لم یعلم عوده إلی ماذا </w:t>
      </w:r>
      <w:r>
        <w:rPr>
          <w:rStyle w:val="FootnoteAnchor"/>
          <w:rtl w:val="true"/>
        </w:rPr>
        <w:footnoteReference w:id="1191"/>
      </w:r>
      <w:r>
        <w:rPr>
          <w:rFonts w:ascii="IRNazanin" w:hAnsi="IRNazanin" w:eastAsia="IRNazanin"/>
          <w:color w:val="111111"/>
          <w:sz w:val="28"/>
          <w:sz w:val="28"/>
          <w:szCs w:val="28"/>
          <w:rtl w:val="true"/>
          <w:lang w:bidi="fa-IR"/>
        </w:rPr>
        <w:t xml:space="preserve">، فیحتمل أن یعود إلی المجموع من الدینار أو النصف أو الربع ، والمراد أنّ الصدقة علی عشرة تتحقّق فی بعض الأحیان </w:t>
      </w:r>
      <w:r>
        <w:rPr>
          <w:rStyle w:val="FootnoteAnchor"/>
          <w:rtl w:val="true"/>
        </w:rPr>
        <w:footnoteReference w:id="1192"/>
      </w:r>
      <w:r>
        <w:rPr>
          <w:rFonts w:ascii="IRNazanin" w:hAnsi="IRNazanin" w:eastAsia="IRNazanin"/>
          <w:color w:val="111111"/>
          <w:sz w:val="28"/>
          <w:sz w:val="28"/>
          <w:szCs w:val="28"/>
          <w:rtl w:val="true"/>
          <w:lang w:bidi="fa-IR"/>
        </w:rPr>
        <w:t xml:space="preserve">بکل ما ذکر ، ویحتمل أن یعود إلی الربع ، ولا ریب أنّه من البُعد بمکان ، سیّما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عجز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یلائمه ، إذ لو عاد إلی الربع یصیر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عجز عن هذا القدر أجزأه الصدقة علی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خبیر بما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الخبر الذی استدل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 الصدقة علی مسکین بعد العجز عن المذکور جمیعه ، فیؤیّد عدم العود إلی الربع ، والحاصل أنّ الحدیث المستدل به </w:t>
      </w:r>
      <w:r>
        <w:rPr>
          <w:rFonts w:eastAsia="IRNazanin" w:cs="IRNazanin"/>
          <w:color w:val="111111"/>
          <w:sz w:val="28"/>
          <w:szCs w:val="28"/>
          <w:rtl w:val="true"/>
          <w:lang w:bidi="fa-IR"/>
        </w:rPr>
        <w:t xml:space="preserve">) ] </w:t>
      </w:r>
      <w:r>
        <w:rPr>
          <w:rStyle w:val="FootnoteAnchor"/>
          <w:rtl w:val="true"/>
        </w:rPr>
        <w:footnoteReference w:id="1193"/>
      </w:r>
      <w:r>
        <w:rPr>
          <w:rFonts w:ascii="IRNazanin" w:hAnsi="IRNazanin" w:eastAsia="IRNazanin"/>
          <w:color w:val="111111"/>
          <w:sz w:val="28"/>
          <w:sz w:val="28"/>
          <w:szCs w:val="28"/>
          <w:rtl w:val="true"/>
          <w:lang w:bidi="fa-IR"/>
        </w:rPr>
        <w:t xml:space="preserve">محتمل </w:t>
      </w:r>
      <w:r>
        <w:rPr>
          <w:rStyle w:val="FootnoteAnchor"/>
          <w:rtl w:val="true"/>
        </w:rPr>
        <w:footnoteReference w:id="1194"/>
      </w:r>
      <w:r>
        <w:rPr>
          <w:rFonts w:ascii="IRNazanin" w:hAnsi="IRNazanin" w:eastAsia="IRNazanin"/>
          <w:color w:val="111111"/>
          <w:sz w:val="28"/>
          <w:sz w:val="28"/>
          <w:szCs w:val="28"/>
          <w:rtl w:val="true"/>
          <w:lang w:bidi="fa-IR"/>
        </w:rPr>
        <w:t xml:space="preserve">لأن یراد به أنّ من عجز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الدینار </w:t>
      </w:r>
      <w:r>
        <w:rPr>
          <w:rStyle w:val="FootnoteAnchor"/>
          <w:rtl w:val="true"/>
        </w:rPr>
        <w:footnoteReference w:id="1195"/>
      </w:r>
      <w:r>
        <w:rPr>
          <w:rFonts w:ascii="IRNazanin" w:hAnsi="IRNazanin" w:eastAsia="IRNazanin"/>
          <w:color w:val="111111"/>
          <w:sz w:val="28"/>
          <w:sz w:val="28"/>
          <w:szCs w:val="28"/>
          <w:rtl w:val="true"/>
          <w:lang w:bidi="fa-IR"/>
        </w:rPr>
        <w:t>یتصدّق علی مسکین ، ومن عجز عن النصف کذلک ، ومن عجز عن الربع کذلک ، ولو فرض اجتماع الثلاثة علی الفاعل فإشکال ، غیر أنّ عدم صحة الروایة تخفّف الإشکال ، وإنّما ذکرنا ما ذکرناه لیعلم أن کلام الشیخ غیر واف بتحقیق الحال ، ولا فیه کمال الجمع بین الأخبار ، ولو قیل بالاستحباب سهل الخطب ، وسیأتی من الأخبار ما یؤید ذلک</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المعتبر بعد أن ذکر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یمنعنا ضعف طریقها عن تنزیلها علی الاستحباب ، لاتفاق الأصحاب علی اختصاصها بالمصلحة </w:t>
      </w:r>
      <w:bookmarkStart w:id="1000" w:name="pg17122_169791"/>
    </w:p>
    <w:p>
      <w:pPr>
        <w:pStyle w:val="BookText"/>
        <w:rPr/>
      </w:pPr>
      <w:bookmarkEnd w:id="1000"/>
      <w:r>
        <w:rPr>
          <w:rFonts w:ascii="Amiri" w:hAnsi="Amiri" w:eastAsia="Amiri" w:cs="Amiri"/>
          <w:color w:val="111111"/>
          <w:sz w:val="28"/>
          <w:sz w:val="28"/>
          <w:szCs w:val="28"/>
          <w:rtl w:val="true"/>
          <w:lang w:bidi="ar-SA"/>
        </w:rPr>
        <w:t xml:space="preserve">الراجحة إمّا وجوباً أو </w:t>
      </w:r>
      <w:r>
        <w:rPr>
          <w:rStyle w:val="FootnoteAnchor"/>
          <w:rtl w:val="true"/>
        </w:rPr>
        <w:footnoteReference w:id="1196"/>
      </w:r>
      <w:r>
        <w:rPr>
          <w:rFonts w:ascii="IRNazanin" w:hAnsi="IRNazanin" w:eastAsia="IRNazanin"/>
          <w:color w:val="111111"/>
          <w:sz w:val="28"/>
          <w:sz w:val="28"/>
          <w:szCs w:val="28"/>
          <w:rtl w:val="true"/>
          <w:lang w:bidi="fa-IR"/>
        </w:rPr>
        <w:t xml:space="preserve">استحباباً ، فنحن بالتحقیق عاملون بالإجماع لا بالروایة </w:t>
      </w:r>
      <w:r>
        <w:rPr>
          <w:rStyle w:val="FootnoteAnchor"/>
          <w:rtl w:val="true"/>
        </w:rPr>
        <w:footnoteReference w:id="1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الکلام کما تری غیر مفید بعد التردید بین الاستحباب والوجوب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وینقل عن السید المرتضی فی الانتصار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الوجه فی ترتیب هذه الکفّارة أنّ الواطئ فی أول الحیض لا مشقّة علیه فی ترکه الجماع </w:t>
      </w:r>
      <w:r>
        <w:rPr>
          <w:rStyle w:val="FootnoteAnchor"/>
          <w:rtl w:val="true"/>
        </w:rPr>
        <w:footnoteReference w:id="1198"/>
      </w:r>
      <w:r>
        <w:rPr>
          <w:rFonts w:ascii="IRNazanin" w:hAnsi="IRNazanin" w:eastAsia="IRNazanin"/>
          <w:color w:val="111111"/>
          <w:sz w:val="28"/>
          <w:sz w:val="28"/>
          <w:szCs w:val="28"/>
          <w:rtl w:val="true"/>
          <w:lang w:bidi="fa-IR"/>
        </w:rPr>
        <w:t xml:space="preserve">لقرب عهده فغلظت کفّارته ، والواطئ فی آخره مشقّته شدیدة لتطاول عهده فکفّارته أنقص ، وکفّارة الواطی فی نصفه متوسطة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عن الراوندی القول </w:t>
      </w:r>
      <w:r>
        <w:rPr>
          <w:rStyle w:val="FootnoteAnchor"/>
          <w:rtl w:val="true"/>
        </w:rPr>
        <w:footnoteReference w:id="1200"/>
      </w:r>
      <w:r>
        <w:rPr>
          <w:rFonts w:ascii="IRNazanin" w:hAnsi="IRNazanin" w:eastAsia="IRNazanin"/>
          <w:color w:val="111111"/>
          <w:sz w:val="28"/>
          <w:sz w:val="28"/>
          <w:szCs w:val="28"/>
          <w:rtl w:val="true"/>
          <w:lang w:bidi="fa-IR"/>
        </w:rPr>
        <w:t xml:space="preserve">بالتفصیل بالمضطر وغیره والشاب وغیره </w:t>
      </w:r>
      <w:r>
        <w:rPr>
          <w:rStyle w:val="FootnoteAnchor"/>
          <w:rtl w:val="true"/>
        </w:rPr>
        <w:footnoteReference w:id="1201"/>
      </w:r>
      <w:r>
        <w:rPr>
          <w:rFonts w:ascii="IRNazanin" w:hAnsi="IRNazanin" w:eastAsia="IRNazanin"/>
          <w:color w:val="111111"/>
          <w:sz w:val="28"/>
          <w:sz w:val="28"/>
          <w:szCs w:val="28"/>
          <w:rtl w:val="true"/>
          <w:lang w:bidi="fa-IR"/>
        </w:rPr>
        <w:t>، ولا نعلم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بعض المتأخّرین أنّ الأوّل والوسط والآخر یختلف بحسب عادة المرأة ، فالأول لذات الثلاثة الیوم الأوّل ، ولذات الأربعة هو مع ثلث الثانی ، ولذات الخمسة هو مع ثلثیه ، ولذات الستّة الیومان الأولان ، وعلی هذا القیاس الوسط والأخیر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فی المختلف عن سلار قولا </w:t>
      </w:r>
      <w:r>
        <w:rPr>
          <w:rStyle w:val="FootnoteAnchor"/>
          <w:rtl w:val="true"/>
        </w:rPr>
        <w:footnoteReference w:id="1203"/>
      </w:r>
      <w:r>
        <w:rPr>
          <w:rFonts w:ascii="IRNazanin" w:hAnsi="IRNazanin" w:eastAsia="IRNazanin"/>
          <w:color w:val="111111"/>
          <w:sz w:val="28"/>
          <w:sz w:val="28"/>
          <w:szCs w:val="28"/>
          <w:rtl w:val="true"/>
          <w:lang w:bidi="fa-IR"/>
        </w:rPr>
        <w:t>غیر واضح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المثقال الخالص من الذهب المضروب ، وقیمته عشرة</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01" w:name="__RefHeading___Toc39662_2142443653"/>
      <w:bookmarkStart w:id="1002" w:name="_Toc389"/>
      <w:bookmarkEnd w:id="1001"/>
      <w:r>
        <w:rPr>
          <w:rtl w:val="true"/>
        </w:rPr>
        <w:t>معنی الدینار</w:t>
      </w:r>
      <w:bookmarkStart w:id="1003" w:name="pg17122_169792"/>
      <w:bookmarkEnd w:id="1002"/>
    </w:p>
    <w:p>
      <w:pPr>
        <w:pStyle w:val="BookText"/>
        <w:rPr/>
      </w:pPr>
      <w:bookmarkEnd w:id="1003"/>
      <w:r>
        <w:rPr>
          <w:rFonts w:ascii="IRNazanin" w:hAnsi="IRNazanin" w:eastAsia="IRNazanin"/>
          <w:color w:val="111111"/>
          <w:sz w:val="28"/>
          <w:sz w:val="28"/>
          <w:szCs w:val="28"/>
          <w:rtl w:val="true"/>
          <w:lang w:bidi="fa-IR"/>
        </w:rPr>
        <w:t xml:space="preserve">دراهم ، وجزم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إجزاء القیمة ، ومصرف هذه الکفّارة مصرف غیرها </w:t>
      </w:r>
      <w:r>
        <w:rPr>
          <w:rStyle w:val="FootnoteAnchor"/>
          <w:rtl w:val="true"/>
        </w:rPr>
        <w:footnoteReference w:id="1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 بالحال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الشبْع بالفتح وکعِنَب ضدّ الجوع ، والشبْع بالکسر وکعِنَب اسم ما أشبَعَک ، وشُبْعَةٌ من طعام بالضم قدر ما یُشْبَع به مرّة ، قاله فی القاموس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أحمد بن محمد بن عیسی ، عن صفوان ، عن عیص ابن القاسم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علی </w:t>
      </w:r>
      <w:r>
        <w:rPr>
          <w:rFonts w:eastAsia="IRNazanin" w:cs="IRNazanin"/>
          <w:color w:val="111111"/>
          <w:sz w:val="28"/>
          <w:szCs w:val="28"/>
          <w:rtl w:val="true"/>
          <w:lang w:bidi="fa-IR"/>
        </w:rPr>
        <w:t xml:space="preserve">) </w:t>
      </w:r>
      <w:r>
        <w:rPr>
          <w:rStyle w:val="FootnoteAnchor"/>
          <w:rtl w:val="true"/>
        </w:rPr>
        <w:footnoteReference w:id="1206"/>
      </w:r>
      <w:r>
        <w:rPr>
          <w:rFonts w:ascii="IRNazanin" w:hAnsi="IRNazanin" w:eastAsia="IRNazanin"/>
          <w:color w:val="111111"/>
          <w:sz w:val="28"/>
          <w:sz w:val="28"/>
          <w:szCs w:val="28"/>
          <w:rtl w:val="true"/>
          <w:lang w:bidi="fa-IR"/>
        </w:rPr>
        <w:t xml:space="preserve">امرأته وهی طامث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یلتمس بعد </w:t>
      </w:r>
      <w:r>
        <w:rPr>
          <w:rStyle w:val="FootnoteAnchor"/>
          <w:rtl w:val="true"/>
        </w:rPr>
        <w:footnoteReference w:id="1207"/>
      </w:r>
      <w:r>
        <w:rPr>
          <w:rFonts w:ascii="IRNazanin" w:hAnsi="IRNazanin" w:eastAsia="IRNazanin"/>
          <w:color w:val="111111"/>
          <w:sz w:val="28"/>
          <w:sz w:val="28"/>
          <w:szCs w:val="28"/>
          <w:rtl w:val="true"/>
          <w:lang w:bidi="fa-IR"/>
        </w:rPr>
        <w:t xml:space="preserve">ذلک فقد نهی الله تعالی أن یقربها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فعل علیه </w:t>
      </w:r>
      <w:r>
        <w:rPr>
          <w:rStyle w:val="FootnoteAnchor"/>
          <w:rtl w:val="true"/>
        </w:rPr>
        <w:footnoteReference w:id="1208"/>
      </w:r>
      <w:r>
        <w:rPr>
          <w:rFonts w:ascii="IRNazanin" w:hAnsi="IRNazanin" w:eastAsia="IRNazanin"/>
          <w:color w:val="111111"/>
          <w:sz w:val="28"/>
          <w:sz w:val="28"/>
          <w:szCs w:val="28"/>
          <w:rtl w:val="true"/>
          <w:lang w:bidi="fa-IR"/>
        </w:rPr>
        <w:t xml:space="preserve">کفّارة؟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أعلم فیه شیئاً یستغفر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علی بن الحسن بن فضال ، عن محمد بن الحسن ، عن أبیه ، عن أبی جمیلة ، عن لیث المرادی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وقوع الرجل علی امرأته وهی طامث خطأ؟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علیه شی‌ء وقد عصی ربه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04" w:name="__RefHeading___Toc39664_2142443653"/>
      <w:bookmarkStart w:id="1005" w:name="_Toc390"/>
      <w:bookmarkEnd w:id="1004"/>
      <w:r>
        <w:rPr>
          <w:rtl w:val="true"/>
        </w:rPr>
        <w:t>معنی الشبع</w:t>
      </w:r>
      <w:bookmarkEnd w:id="1005"/>
    </w:p>
    <w:p>
      <w:pPr>
        <w:pStyle w:val="BookText"/>
        <w:rPr/>
      </w:pPr>
      <w:r>
        <w:rPr>
          <w:rFonts w:ascii="IRNazanin" w:hAnsi="IRNazanin" w:eastAsia="IRNazanin"/>
          <w:color w:val="111111"/>
          <w:sz w:val="28"/>
          <w:sz w:val="28"/>
          <w:szCs w:val="28"/>
          <w:rtl w:val="true"/>
          <w:lang w:bidi="fa-IR"/>
        </w:rPr>
        <w:t xml:space="preserve">عنه ، عن أحمد بن الحسن ، عن أبیه ، عن حماد بن عیسی ، عن حریز ، عن زرارة ، عن أحدهما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الحائض یأتیها زوجها؟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علیه شی‌ء یستغفر الله ولا یعود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هذه الأخبار أن نحملها علی أنّه إذا لم یعلم الرجل من حالها أنّها کانت حائضاً لم یلزمه شی‌ء ، فأمّا مع علمه بذلک فإنّه یلزمه الکفّارة حسب </w:t>
      </w:r>
      <w:r>
        <w:rPr>
          <w:rStyle w:val="FootnoteAnchor"/>
          <w:rtl w:val="true"/>
        </w:rPr>
        <w:footnoteReference w:id="1209"/>
      </w:r>
      <w:r>
        <w:rPr>
          <w:rFonts w:ascii="IRNazanin" w:hAnsi="IRNazanin" w:eastAsia="IRNazanin"/>
          <w:color w:val="111111"/>
          <w:sz w:val="28"/>
          <w:sz w:val="28"/>
          <w:szCs w:val="28"/>
          <w:rtl w:val="true"/>
          <w:lang w:bidi="fa-IR"/>
        </w:rPr>
        <w:t xml:space="preserve">ما ذکرناه ، ولیس لأحد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هذا التأویل لأنّه لو کانت هذه الأخبار محمولة علی حال النسیان لما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یستغفر ربه ممّا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عصی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یمتنع إطلاق القول علیه بأنه عصی ولا الحثّ علی الاستغفار من حیث إنّه فرّط فی السؤال عن حالها وهل هی طامث أم لا؟ مع علمه أنّها </w:t>
      </w:r>
      <w:r>
        <w:rPr>
          <w:rStyle w:val="FootnoteAnchor"/>
          <w:rtl w:val="true"/>
        </w:rPr>
        <w:footnoteReference w:id="1210"/>
      </w:r>
      <w:r>
        <w:rPr>
          <w:rFonts w:ascii="IRNazanin" w:hAnsi="IRNazanin" w:eastAsia="IRNazanin"/>
          <w:color w:val="111111"/>
          <w:sz w:val="28"/>
          <w:sz w:val="28"/>
          <w:szCs w:val="28"/>
          <w:rtl w:val="true"/>
          <w:lang w:bidi="fa-IR"/>
        </w:rPr>
        <w:t xml:space="preserve">لو کانت طامثاً لحرم علیه وطؤها ، فبهذا التفریط یکون عاصیاً ویجب </w:t>
      </w:r>
      <w:r>
        <w:rPr>
          <w:rStyle w:val="FootnoteAnchor"/>
          <w:rtl w:val="true"/>
        </w:rPr>
        <w:footnoteReference w:id="1211"/>
      </w:r>
      <w:r>
        <w:rPr>
          <w:rFonts w:ascii="IRNazanin" w:hAnsi="IRNazanin" w:eastAsia="IRNazanin"/>
          <w:color w:val="111111"/>
          <w:sz w:val="28"/>
          <w:sz w:val="28"/>
          <w:szCs w:val="28"/>
          <w:rtl w:val="true"/>
          <w:lang w:bidi="fa-IR"/>
        </w:rPr>
        <w:t xml:space="preserve">الاستغفار ، والذی یکشف عن هذا التأویل خبر لیث المرادی المتقدم </w:t>
      </w:r>
      <w:r>
        <w:rPr>
          <w:rStyle w:val="FootnoteAnchor"/>
          <w:rtl w:val="true"/>
        </w:rPr>
        <w:footnoteReference w:id="1212"/>
      </w:r>
      <w:r>
        <w:rPr>
          <w:rFonts w:ascii="IRNazanin" w:hAnsi="IRNazanin" w:eastAsia="IRNazanin"/>
          <w:color w:val="111111"/>
          <w:sz w:val="28"/>
          <w:sz w:val="28"/>
          <w:szCs w:val="28"/>
          <w:rtl w:val="true"/>
          <w:lang w:bidi="fa-IR"/>
        </w:rPr>
        <w:t xml:space="preserve">ذکره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وقوع الرجل علی امرأته وهی طامث خطاءً ، فقیّد السؤال بأنّ مواقعته لها کانت </w:t>
      </w:r>
      <w:r>
        <w:rPr>
          <w:rStyle w:val="FootnoteAnchor"/>
          <w:rtl w:val="true"/>
        </w:rPr>
        <w:footnoteReference w:id="1213"/>
      </w:r>
      <w:r>
        <w:rPr>
          <w:rFonts w:ascii="IRNazanin" w:hAnsi="IRNazanin" w:eastAsia="IRNazanin"/>
          <w:color w:val="111111"/>
          <w:sz w:val="28"/>
          <w:sz w:val="28"/>
          <w:szCs w:val="28"/>
          <w:rtl w:val="true"/>
          <w:lang w:bidi="fa-IR"/>
        </w:rPr>
        <w:t xml:space="preserve">خطاءً ، فأجابه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علیه شی‌ء وقد عصی 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 ارتیاب</w:t>
      </w:r>
      <w:r>
        <w:rPr>
          <w:rFonts w:eastAsia="IRNazanin" w:cs="IRNazanin"/>
          <w:color w:val="111111"/>
          <w:sz w:val="28"/>
          <w:szCs w:val="28"/>
          <w:rtl w:val="true"/>
          <w:lang w:bidi="fa-IR"/>
        </w:rPr>
        <w:t xml:space="preserve">. </w:t>
      </w:r>
      <w:bookmarkStart w:id="1006" w:name="pg17122_169794"/>
    </w:p>
    <w:p>
      <w:pPr>
        <w:pStyle w:val="BookText"/>
        <w:rPr/>
      </w:pPr>
      <w:bookmarkEnd w:id="1006"/>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الطریق إلی علی بن الحسن وقد تقدم مراراً </w:t>
      </w:r>
      <w:r>
        <w:rPr>
          <w:rStyle w:val="FootnoteAnchor"/>
          <w:rtl w:val="true"/>
        </w:rPr>
        <w:footnoteReference w:id="1214"/>
      </w:r>
      <w:r>
        <w:rPr>
          <w:rFonts w:ascii="IRNazanin" w:hAnsi="IRNazanin" w:eastAsia="IRNazanin"/>
          <w:color w:val="111111"/>
          <w:sz w:val="28"/>
          <w:sz w:val="28"/>
          <w:szCs w:val="28"/>
          <w:rtl w:val="true"/>
          <w:lang w:bidi="fa-IR"/>
        </w:rPr>
        <w:t xml:space="preserve">، وفیه أبو جمیلة وهو ضعیف ، وأما محمد بن الحسن فالظاهر أنّه ابن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أن یکون محمد بن الحسن بن سعید ، وعلی کل حال فالرجل ضعیف </w:t>
      </w:r>
      <w:r>
        <w:rPr>
          <w:rFonts w:eastAsia="IRNazanin" w:cs="IRNazanin"/>
          <w:color w:val="111111"/>
          <w:sz w:val="28"/>
          <w:szCs w:val="28"/>
          <w:rtl w:val="true"/>
          <w:lang w:bidi="fa-IR"/>
        </w:rPr>
        <w:t xml:space="preserve">) </w:t>
      </w:r>
      <w:r>
        <w:rPr>
          <w:rStyle w:val="FootnoteAnchor"/>
          <w:rtl w:val="true"/>
        </w:rPr>
        <w:footnoteReference w:id="1215"/>
      </w:r>
      <w:r>
        <w:rPr>
          <w:rFonts w:ascii="IRNazanin" w:hAnsi="IRNazanin" w:eastAsia="IRNazanin"/>
          <w:color w:val="111111"/>
          <w:sz w:val="28"/>
          <w:sz w:val="28"/>
          <w:szCs w:val="28"/>
          <w:rtl w:val="true"/>
          <w:lang w:bidi="fa-IR"/>
        </w:rPr>
        <w:t>واحتمال ثقة غیرهما ممکن ، لکن لا یفید کما لا یخفی ، علی أنّه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رجاله لا یخفی بعد ما قدّمناه ، غیر أنّ أحمد بن الحسن علی الظاهر ابن فضال ، ویحتمل أن یکون أحمد بن الحسن بن سعید ، 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العموم من حیث عدم الاستفصال من الإمام علیه السلام عن العمد وغیره ، وحینئذ یؤیّد حمل ما دلّ علی الکفّارة علی الاستحباب ، ویکون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أعلم فیه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یراد به عدم العلم بوجوب شی‌ء ، ولا یعترض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نفی العلم بشی‌ء أعم من الواجب والمستحب ، لإمکان الجواب بأنّ إثبات الاستحباب للعارض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الخبر قد یستفاد منه أنّ النهی عن القرب یراد به الجماع ، فیؤیّد ما قاله العلاّمة کما نقلناه عنه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إرادة النهی عن القرب الشامل للجماع وغیره ، فلیتأملّ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حمل الشیخ فلا یخفی ما فیه بالنسبة إلی 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الخبر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دلالة علی ما قاله ، فیمکن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بحمل</w:t>
      </w:r>
    </w:p>
    <w:p>
      <w:pPr>
        <w:pStyle w:val="Heading4"/>
        <w:numPr>
          <w:ilvl w:val="3"/>
          <w:numId w:val="1"/>
        </w:numPr>
        <w:rPr/>
      </w:pPr>
      <w:bookmarkStart w:id="1007" w:name="__RefHeading___Toc39666_2142443653"/>
      <w:bookmarkStart w:id="1008" w:name="_Toc391"/>
      <w:bookmarkEnd w:id="1007"/>
      <w:r>
        <w:rPr>
          <w:rtl w:val="true"/>
        </w:rPr>
        <w:t>أبو جمیلة ضعیف</w:t>
      </w:r>
      <w:bookmarkEnd w:id="1008"/>
    </w:p>
    <w:p>
      <w:pPr>
        <w:pStyle w:val="Heading4"/>
        <w:numPr>
          <w:ilvl w:val="3"/>
          <w:numId w:val="1"/>
        </w:numPr>
        <w:rPr/>
      </w:pPr>
      <w:bookmarkStart w:id="1009" w:name="__RefHeading___Toc39668_2142443653"/>
      <w:bookmarkStart w:id="1010" w:name="_Toc392"/>
      <w:bookmarkEnd w:id="1009"/>
      <w:r>
        <w:rPr>
          <w:rtl w:val="true"/>
        </w:rPr>
        <w:t>بحث حول محمد بن الحسن وأحمد بن الحسن</w:t>
      </w:r>
      <w:bookmarkEnd w:id="1010"/>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11" w:name="__RefHeading___Toc39670_2142443653"/>
      <w:bookmarkStart w:id="1012" w:name="_Toc393"/>
      <w:bookmarkEnd w:id="1011"/>
      <w:r>
        <w:rPr>
          <w:rtl w:val="true"/>
        </w:rPr>
        <w:t>توجیه الأخبار الدالة علی عدم الکفّارة</w:t>
      </w:r>
      <w:bookmarkEnd w:id="1012"/>
    </w:p>
    <w:p>
      <w:pPr>
        <w:pStyle w:val="BookText"/>
        <w:rPr/>
      </w:pPr>
      <w:r>
        <w:rPr>
          <w:rFonts w:ascii="IRNazanin" w:hAnsi="IRNazanin" w:eastAsia="IRNazanin"/>
          <w:color w:val="111111"/>
          <w:sz w:val="28"/>
          <w:sz w:val="28"/>
          <w:szCs w:val="28"/>
          <w:rtl w:val="true"/>
          <w:lang w:bidi="fa-IR"/>
        </w:rPr>
        <w:t>المطلق علی المقیّد ، إلاّ أنّ التقیید بالخطاء من کلام السائل ، وتأثیره فی تقیید الأخبار لا یخلو من نظر ، بل الظاهر أنّه لا وجه له ، لأنّ السؤال إذا وقع عن أحد الأفراد لا یفید تخصیصاً ، والتقریر من الإمام علیه السلام فی مثل هذا لا یحوم حوله التوجیه ، کما لا یخفی علی من أمعن نظره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القول فی الخبر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الثالث لا ریب أنّه یفید العموم بسبب ترک الاستفصال من الإمام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کما ذکرت ، إلاّ أنّه ربما یدّعی أنّه لا یخرج عن قبول التقیید بغیر العمد ، لدلالة الأخبار السابقة علی الکفّارة ، فتحمل علی العمد وهذا علی الخطاء ، غیر أن الحمل علی الاستحباب ممکن ، فالترجیح یتوقف علی موجبه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قاله الشیخ لا یخلو من نظر فی مواضع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نحملها علی أنّه إذا لم یعلم الرجل من حالها أنّها کانت حائضا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الحمل علی عدم العلم بالتحریم أقرب من الوجه المذکور ، لأنّ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مع علمه فإنّه یلزمه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یتم علی الإطلاق ، إذ مع الجهل بالتحریم لا یخلو وجوب الکفّارة من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لو کانت هذه الأخبار محمولة علی حال النسیان ، لا وجه له فإنّ النسیان لم یتقدم من الشیخ ، بل کلامه إنّما کان فی عدم العلم بکونها حائضاً ، وإدراج النسیان لا یخلو من اضطراب فی التوجیه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الاستغفار والعصیان لکونه فرّط فی السؤال ،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السؤال غیر واجب لیکون ترکه تفریطاً موجباً للاستغفار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bookmarkStart w:id="1013" w:name="pg17122_169796"/>
    </w:p>
    <w:p>
      <w:pPr>
        <w:pStyle w:val="BookText"/>
        <w:rPr/>
      </w:pPr>
      <w:bookmarkEnd w:id="1013"/>
      <w:r>
        <w:rPr>
          <w:rFonts w:ascii="IRNazanin" w:hAnsi="IRNazanin" w:eastAsia="IRNazanin"/>
          <w:color w:val="111111"/>
          <w:sz w:val="28"/>
          <w:sz w:val="28"/>
          <w:szCs w:val="28"/>
          <w:rtl w:val="true"/>
          <w:lang w:bidi="fa-IR"/>
        </w:rPr>
        <w:t>الجماع لمّا کان مشروطاً بعدم الحیض فلا بدّ من العلم بالشرط قبله ، فإذا لم یسأل فقد 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یجوز أن یکون الجماع جائزاً ما لم یعلم بالحیض ، نعم لو قرب إبّان </w:t>
      </w:r>
      <w:r>
        <w:rPr>
          <w:rStyle w:val="FootnoteAnchor"/>
          <w:rtl w:val="true"/>
        </w:rPr>
        <w:footnoteReference w:id="1216"/>
      </w:r>
      <w:r>
        <w:rPr>
          <w:rFonts w:ascii="IRNazanin" w:hAnsi="IRNazanin" w:eastAsia="IRNazanin"/>
          <w:color w:val="111111"/>
          <w:sz w:val="28"/>
          <w:sz w:val="28"/>
          <w:szCs w:val="28"/>
          <w:rtl w:val="true"/>
          <w:lang w:bidi="fa-IR"/>
        </w:rPr>
        <w:t xml:space="preserve">الحیض أمکن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بحصول الظن بالحیض فیحتاج إلی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ما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أَرَ تحریر المقام فی کلام الأصحاب </w:t>
      </w:r>
      <w:r>
        <w:rPr>
          <w:rFonts w:eastAsia="IRNazanin" w:cs="IRNazanin"/>
          <w:color w:val="111111"/>
          <w:sz w:val="28"/>
          <w:szCs w:val="28"/>
          <w:rtl w:val="true"/>
          <w:lang w:bidi="fa-IR"/>
        </w:rPr>
        <w:t xml:space="preserve">)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عرفت هذا فاعلم أنّه یبقی فی المسألة أُمور لا بدّ من التنبیه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قدّمنا فی الأخبار السابقة أنّ النهی عن الإیقاب لا معارض له ، غیر أن الإیقاب محتمل لأن یراد به فی القبل أو الدبر ، فلا یکون نصّاً فی المنع من الدبر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عام ، لأنّ النهی عن إیجاد ماهیّة الإیقاب یقتضی عدم إیجادها فی فرد ، فیؤول إلی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أنّ ما قاله بعض محقّقی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أنّ الحدیث بظاهره یدل علی المنع من وطء المرأة فی دبرها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بحث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الدلالة إنّما تستفاد علی الوطء فی الحیض لا مطلقا ، 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التناول للدبر إنّما یتم بالتقریب الذی ذکرناه ، ومع ذلک فیه نوع بحث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فی التهذیب بعد روایة عبید الله الحلبی الدالة علی أنّه یتصدّق علی کل مسکین بقدر شبعه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قیمته ما یبلغ الکفّارة </w:t>
      </w:r>
      <w:r>
        <w:rPr>
          <w:rStyle w:val="FootnoteAnchor"/>
          <w:rtl w:val="true"/>
        </w:rPr>
        <w:footnoteReference w:id="1218"/>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یکشف عن ذلک ، وذکر روایة عبد الملک بن عمرو الدالة</w:t>
      </w:r>
    </w:p>
    <w:p>
      <w:pPr>
        <w:pStyle w:val="Heading4"/>
        <w:numPr>
          <w:ilvl w:val="3"/>
          <w:numId w:val="1"/>
        </w:numPr>
        <w:rPr/>
      </w:pPr>
      <w:bookmarkStart w:id="1014" w:name="__RefHeading___Toc39672_2142443653"/>
      <w:bookmarkStart w:id="1015" w:name="_Toc394"/>
      <w:bookmarkEnd w:id="1014"/>
      <w:r>
        <w:rPr>
          <w:rtl w:val="true"/>
        </w:rPr>
        <w:t>هل علی الوطء فی الدبر کفّارة؟</w:t>
      </w:r>
      <w:bookmarkEnd w:id="1015"/>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16" w:name="__RefHeading___Toc39674_2142443653"/>
      <w:bookmarkStart w:id="1017" w:name="_Toc395"/>
      <w:bookmarkEnd w:id="1016"/>
      <w:r>
        <w:rPr>
          <w:rtl w:val="true"/>
        </w:rPr>
        <w:t>إجزاء التصدّق علی عشرة مساکین عن الکفّارة</w:t>
      </w:r>
      <w:bookmarkStart w:id="1018" w:name="pg17122_169797"/>
      <w:bookmarkEnd w:id="1017"/>
    </w:p>
    <w:p>
      <w:pPr>
        <w:pStyle w:val="BookText"/>
        <w:rPr/>
      </w:pPr>
      <w:bookmarkEnd w:id="1018"/>
      <w:r>
        <w:rPr>
          <w:rFonts w:ascii="IRNazanin" w:hAnsi="IRNazanin" w:eastAsia="IRNazanin"/>
          <w:color w:val="111111"/>
          <w:sz w:val="28"/>
          <w:sz w:val="28"/>
          <w:szCs w:val="28"/>
          <w:rtl w:val="true"/>
          <w:lang w:bidi="fa-IR"/>
        </w:rPr>
        <w:t xml:space="preserve">علی الصدقة علی عشرة مساکین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محمول علی أنّه إذا کان الوطء فی آخر الحیض ، لأنّه لو کان فی أوله أو فی وسطه لما عدل عن کفّارة دینار أو نصف دینار ، ولمّا کان آخر الحیض ورأی أنّ </w:t>
      </w:r>
      <w:r>
        <w:rPr>
          <w:rStyle w:val="FootnoteAnchor"/>
          <w:rtl w:val="true"/>
        </w:rPr>
        <w:footnoteReference w:id="1219"/>
      </w:r>
      <w:r>
        <w:rPr>
          <w:rFonts w:ascii="IRNazanin" w:hAnsi="IRNazanin" w:eastAsia="IRNazanin"/>
          <w:color w:val="111111"/>
          <w:sz w:val="28"/>
          <w:sz w:val="28"/>
          <w:szCs w:val="28"/>
          <w:rtl w:val="true"/>
          <w:lang w:bidi="fa-IR"/>
        </w:rPr>
        <w:t>ما یلزمه من الکفّارة الاولی أن یفضّه علی عشرة مساکین أمره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وأنت خبیر بأنّ هذا الکلام یقتضی أن یکون ما قدّمناه فی کلامه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مجمل ، مندفعاً بأنّ مراده الربع ، فهو مبیّن لکلامه هنا علی تقدیر الإجمال ، لکن لا یخفی أنّ الإیراد السابق یتوجّه علی کلام التهذیب أیضاً ، فإنّ دلالة الروایة علی ما قاله فی غایة البعد ، کما یعرف بأیسر نظر ، لکن منه یعلم أنّ ما قاله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إجزاء القیمة </w:t>
      </w:r>
      <w:r>
        <w:rPr>
          <w:rStyle w:val="FootnoteAnchor"/>
          <w:rtl w:val="true"/>
        </w:rPr>
        <w:footnoteReference w:id="1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کلام ، وقد تقدم نقله ، إلاّ أنّ الشأن فی الثبوت ، فینبغی تأمّل هذا کله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 المرتضی وابن إدریس دعوی الإجماع علی وجوب الکفّارة </w:t>
      </w:r>
      <w:r>
        <w:rPr>
          <w:rStyle w:val="FootnoteAnchor"/>
          <w:rtl w:val="true"/>
        </w:rPr>
        <w:footnoteReference w:id="1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المعتبر قال </w:t>
      </w:r>
      <w:r>
        <w:rPr>
          <w:rFonts w:eastAsia="IRNazanin" w:cs="IRNazanin"/>
          <w:color w:val="111111"/>
          <w:sz w:val="28"/>
          <w:szCs w:val="28"/>
          <w:rtl w:val="true"/>
          <w:lang w:bidi="fa-IR"/>
        </w:rPr>
        <w:t xml:space="preserve">: ) </w:t>
      </w:r>
      <w:r>
        <w:rPr>
          <w:rStyle w:val="FootnoteAnchor"/>
          <w:rtl w:val="true"/>
        </w:rPr>
        <w:footnoteReference w:id="1223"/>
      </w:r>
      <w:r>
        <w:rPr>
          <w:rFonts w:ascii="IRNazanin" w:hAnsi="IRNazanin" w:eastAsia="IRNazanin"/>
          <w:color w:val="111111"/>
          <w:sz w:val="28"/>
          <w:sz w:val="28"/>
          <w:szCs w:val="28"/>
          <w:rtl w:val="true"/>
          <w:lang w:bidi="fa-IR"/>
        </w:rPr>
        <w:t xml:space="preserve">وأمّا احتجاج الشیخ وعلم الهدی بالإجماع فلا نعلمه ، وکیف یتحقّق الإجماع فیما یتحقّق فیه الخلاف ، ولو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المخالف معلوم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نعلم أنّه لا مخالف غیره ، ومع الاحتمال لا یبقی وثوق بأنّ الحق فی کلامه </w:t>
      </w:r>
      <w:r>
        <w:rPr>
          <w:rStyle w:val="FootnoteAnchor"/>
          <w:rtl w:val="true"/>
        </w:rPr>
        <w:footnoteReference w:id="1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مدّعی الإجماع إذا کان معلوم العدالة فاحتمال وجود مخالف غیر المعلوم لا یوافق العدالة ، وقد ادّعی العدل عدم</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19" w:name="__RefHeading___Toc39676_2142443653"/>
      <w:bookmarkStart w:id="1020" w:name="_Toc396"/>
      <w:bookmarkEnd w:id="1019"/>
      <w:r>
        <w:rPr>
          <w:rtl w:val="true"/>
        </w:rPr>
        <w:t>بحث حول دعوی الإجماع علی وجوب الکفّارة</w:t>
      </w:r>
      <w:bookmarkStart w:id="1021" w:name="pg17122_169798"/>
      <w:bookmarkEnd w:id="1020"/>
    </w:p>
    <w:p>
      <w:pPr>
        <w:pStyle w:val="BookText"/>
        <w:rPr/>
      </w:pPr>
      <w:bookmarkEnd w:id="1021"/>
      <w:r>
        <w:rPr>
          <w:rFonts w:ascii="IRNazanin" w:hAnsi="IRNazanin" w:eastAsia="IRNazanin"/>
          <w:color w:val="111111"/>
          <w:sz w:val="28"/>
          <w:sz w:val="28"/>
          <w:szCs w:val="28"/>
          <w:rtl w:val="true"/>
          <w:lang w:bidi="fa-IR"/>
        </w:rPr>
        <w:t xml:space="preserve">المخالف المضرّ بالإجماع ، بل مثل هذا یوجب القدح فی العدل ، إذ هو فی قوّة الإخبار عن العلم بقول المعصوم ، فکیف یجوز عدمه علیه </w:t>
      </w:r>
      <w:r>
        <w:rPr>
          <w:rStyle w:val="FootnoteAnchor"/>
          <w:rtl w:val="true"/>
        </w:rPr>
        <w:footnoteReference w:id="1225"/>
      </w:r>
      <w:r>
        <w:rPr>
          <w:rFonts w:ascii="IRNazanin" w:hAnsi="IRNazanin" w:eastAsia="IRNazanin"/>
          <w:color w:val="111111"/>
          <w:sz w:val="28"/>
          <w:sz w:val="28"/>
          <w:szCs w:val="28"/>
          <w:rtl w:val="true"/>
          <w:lang w:bidi="fa-IR"/>
        </w:rPr>
        <w:t>، ومجرد الاستبعاد لا یضر بالحال علی تقدیر ثبوت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إرادة معنی آخر من الإجماع کما ظنه الشهید فی الذکری </w:t>
      </w:r>
      <w:r>
        <w:rPr>
          <w:rFonts w:eastAsia="IRNazanin" w:cs="IRNazanin"/>
          <w:color w:val="111111"/>
          <w:sz w:val="28"/>
          <w:szCs w:val="28"/>
          <w:rtl w:val="true"/>
          <w:lang w:bidi="fa-IR"/>
        </w:rPr>
        <w:t xml:space="preserve">- </w:t>
      </w:r>
      <w:r>
        <w:rPr>
          <w:rStyle w:val="FootnoteAnchor"/>
          <w:rtl w:val="true"/>
        </w:rPr>
        <w:footnoteReference w:id="1226"/>
      </w:r>
      <w:r>
        <w:rPr>
          <w:rFonts w:ascii="IRNazanin" w:hAnsi="IRNazanin" w:eastAsia="IRNazanin"/>
          <w:color w:val="111111"/>
          <w:sz w:val="28"/>
          <w:sz w:val="28"/>
          <w:szCs w:val="28"/>
          <w:rtl w:val="true"/>
          <w:lang w:bidi="fa-IR"/>
        </w:rPr>
        <w:t>یشکل بأنّه لا یصلح لإثبات حجّیة مثله ، ومجرد التسدید غیر کاف مع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والاحتمال هو أن یراد بالإجماع الشهرة ، وأنت خبیر بأنّ هذا لا یتمّ فی مثل دعوی الشیخ الإجماع والمرتضی الإجماع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ثبت الإجماع علی وجه النقل بخبر الواحد فالقائل بالاستحباب إن کان لمجرد الاحتمال الذی قاله المحقق فالأمر لا یخلو من إشکال ، نعم یتم إشکال المحقق فی مثل الشیخ فإنّه نقل الإجماع کما حکاه البعض عنه </w:t>
      </w:r>
      <w:r>
        <w:rPr>
          <w:rStyle w:val="FootnoteAnchor"/>
          <w:rtl w:val="true"/>
        </w:rPr>
        <w:footnoteReference w:id="1227"/>
      </w:r>
      <w:r>
        <w:rPr>
          <w:rFonts w:ascii="IRNazanin" w:hAnsi="IRNazanin" w:eastAsia="IRNazanin"/>
          <w:color w:val="111111"/>
          <w:sz w:val="28"/>
          <w:sz w:val="28"/>
          <w:szCs w:val="28"/>
          <w:rtl w:val="true"/>
          <w:lang w:bidi="fa-IR"/>
        </w:rPr>
        <w:t xml:space="preserve">، مع أنّ العلاّمة نقل عنه فی المختلف القول بالاستحباب والقول بالوجوب </w:t>
      </w:r>
      <w:r>
        <w:rPr>
          <w:rStyle w:val="FootnoteAnchor"/>
          <w:rtl w:val="true"/>
        </w:rPr>
        <w:footnoteReference w:id="1228"/>
      </w:r>
      <w:r>
        <w:rPr>
          <w:rFonts w:ascii="IRNazanin" w:hAnsi="IRNazanin" w:eastAsia="IRNazanin"/>
          <w:color w:val="111111"/>
          <w:sz w:val="28"/>
          <w:sz w:val="28"/>
          <w:szCs w:val="28"/>
          <w:rtl w:val="true"/>
          <w:lang w:bidi="fa-IR"/>
        </w:rPr>
        <w:t>، ثم ما قدّمناه عن المحقق سابقاً قد عرفت القول فیه ، ومنافرته لردّ الإجماع هنا غیر 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الرجل هل یجوز له وطء المرأة</w:t>
      </w:r>
    </w:p>
    <w:p>
      <w:pPr>
        <w:pStyle w:val="BookText"/>
        <w:rPr/>
      </w:pPr>
      <w:r>
        <w:rPr>
          <w:rFonts w:ascii="IRNazanin" w:hAnsi="IRNazanin" w:eastAsia="IRNazanin"/>
          <w:color w:val="111111"/>
          <w:sz w:val="28"/>
          <w:sz w:val="28"/>
          <w:szCs w:val="28"/>
          <w:rtl w:val="true"/>
          <w:lang w:bidi="fa-IR"/>
        </w:rPr>
        <w:t>إذا انقطع عنها دم الحیض قبل أن تغتسل أم لا؟</w:t>
      </w:r>
    </w:p>
    <w:p>
      <w:pPr>
        <w:pStyle w:val="BookText"/>
        <w:rPr/>
      </w:pPr>
      <w:r>
        <w:rPr>
          <w:rFonts w:ascii="IRNazanin" w:hAnsi="IRNazanin" w:eastAsia="IRNazanin"/>
          <w:color w:val="111111"/>
          <w:sz w:val="28"/>
          <w:sz w:val="28"/>
          <w:szCs w:val="28"/>
          <w:rtl w:val="true"/>
          <w:lang w:bidi="fa-IR"/>
        </w:rPr>
        <w:t>أخبرنی أحمد بن عبدون ، عن علی بن محمد بن الزبیر ، عن</w:t>
      </w:r>
    </w:p>
    <w:p>
      <w:pPr>
        <w:pStyle w:val="Heading3"/>
        <w:numPr>
          <w:ilvl w:val="2"/>
          <w:numId w:val="1"/>
        </w:numPr>
        <w:rPr/>
      </w:pPr>
      <w:bookmarkStart w:id="1022" w:name="__RefHeading___Toc39678_2142443653"/>
      <w:bookmarkStart w:id="1023" w:name="_Toc397"/>
      <w:bookmarkEnd w:id="1022"/>
      <w:r>
        <w:rPr>
          <w:rtl w:val="true"/>
        </w:rPr>
        <w:t>هل یجوز له وطء المرأةإذا انقطع عنها دم الحیض قبل أن تغتسل أم لا؟</w:t>
      </w:r>
      <w:bookmarkEnd w:id="1023"/>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24" w:name="__RefHeading___Toc39680_2142443653"/>
      <w:bookmarkStart w:id="1025" w:name="_Toc398"/>
      <w:bookmarkEnd w:id="1024"/>
      <w:r>
        <w:rPr>
          <w:rtl w:val="true"/>
        </w:rPr>
        <w:t>اشارة</w:t>
      </w:r>
      <w:bookmarkStart w:id="1026" w:name="pg17122_169799"/>
      <w:bookmarkEnd w:id="1025"/>
    </w:p>
    <w:p>
      <w:pPr>
        <w:pStyle w:val="BookText"/>
        <w:rPr/>
      </w:pPr>
      <w:bookmarkEnd w:id="1026"/>
      <w:r>
        <w:rPr>
          <w:rFonts w:ascii="IRNazanin" w:hAnsi="IRNazanin" w:eastAsia="IRNazanin"/>
          <w:color w:val="111111"/>
          <w:sz w:val="28"/>
          <w:sz w:val="28"/>
          <w:szCs w:val="28"/>
          <w:rtl w:val="true"/>
          <w:lang w:bidi="fa-IR"/>
        </w:rPr>
        <w:t xml:space="preserve">علی بن الحسن بن فضال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أیوب بن نوح ، عن الحسن ابن محبوب ، عن علاء ، عن محمد بن مسلم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ینقطع عنها دم الحیض فی آخر أیّامها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أصاب زوجها شبق فلتغسل فرجها ثم یمسّها زوجها إن شاء قبل أن تغتسل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الاسناد عن علی بن الحسن </w:t>
      </w:r>
      <w:r>
        <w:rPr>
          <w:rStyle w:val="FootnoteAnchor"/>
          <w:rtl w:val="true"/>
        </w:rPr>
        <w:footnoteReference w:id="1229"/>
      </w:r>
      <w:r>
        <w:rPr>
          <w:rFonts w:ascii="IRNazanin" w:hAnsi="IRNazanin" w:eastAsia="IRNazanin"/>
          <w:color w:val="111111"/>
          <w:sz w:val="28"/>
          <w:sz w:val="28"/>
          <w:szCs w:val="28"/>
          <w:rtl w:val="true"/>
          <w:lang w:bidi="fa-IR"/>
        </w:rPr>
        <w:t xml:space="preserve">، عن أحمد ومحمد ابنی الحسن ، عن أبیهما ، عن عبد الله بن بکیر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انقطع الدم ولم تغتسل فلیأتها زوجها إن 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الخبرین تکرّر القول فی رجاله سوی أنّه ینبغی أن یعلم أن العلاّمة فی الخلاصة قال فی أیوب بن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له کتب وروایات ومسائل عن أبی الحسن الثالث علیه السلام ، وکان وکیلا لأبی الحسن وأبی محمد علیهماالسلام ، عظیم المنزلة عندهما ، مأمونا شدید الورع کثیر العبادة ثقة فی روایاته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التکرار فی التوثیق لا یخلو من غرابة ، والظاهر أنّ سببه کون العلاّمة نقل کلام الشیخ فی الفهرست وکلام النجاشی ، ولم یتفطّن لتکرار التوثیق ، إلاّ أنّ فیه زیادة عن عبارة الشیخ أیضاً ، وکل هذا من شدّة العجلة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قاله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أیوب بن نوح وکیل لأبی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عبارة النجاشی ، والشیخ لم یذکره فی کتاب الرجال فی رجال أبی محمد علیه السلام ، بل ذکره فی رجال الجواد </w:t>
      </w:r>
      <w:r>
        <w:rPr>
          <w:rStyle w:val="FootnoteAnchor"/>
          <w:rtl w:val="true"/>
        </w:rPr>
        <w:footnoteReference w:id="1231"/>
      </w:r>
      <w:r>
        <w:rPr>
          <w:rFonts w:ascii="IRNazanin" w:hAnsi="IRNazanin" w:eastAsia="IRNazanin"/>
          <w:color w:val="111111"/>
          <w:sz w:val="28"/>
          <w:sz w:val="28"/>
          <w:szCs w:val="28"/>
          <w:rtl w:val="true"/>
          <w:lang w:bidi="fa-IR"/>
        </w:rPr>
        <w:t xml:space="preserve">والهادی علیهماالسلام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27" w:name="__RefHeading___Toc39682_2142443653"/>
      <w:bookmarkStart w:id="1028" w:name="_Toc399"/>
      <w:bookmarkEnd w:id="1027"/>
      <w:r>
        <w:rPr>
          <w:rtl w:val="true"/>
        </w:rPr>
        <w:t>بحث حول أیوب بن نوح</w:t>
      </w:r>
      <w:bookmarkStart w:id="1029" w:name="pg17122_169800"/>
      <w:bookmarkEnd w:id="1028"/>
    </w:p>
    <w:p>
      <w:pPr>
        <w:pStyle w:val="BookText"/>
        <w:rPr/>
      </w:pPr>
      <w:bookmarkEnd w:id="1029"/>
      <w:r>
        <w:rPr>
          <w:rFonts w:ascii="IRNazanin" w:hAnsi="IRNazanin" w:eastAsia="IRNazanin"/>
          <w:color w:val="111111"/>
          <w:sz w:val="28"/>
          <w:sz w:val="28"/>
          <w:szCs w:val="28"/>
          <w:rtl w:val="true"/>
          <w:lang w:bidi="fa-IR"/>
        </w:rPr>
        <w:t xml:space="preserve">ثم إنّ عبد الله بن بکیر اتفق للعلاّمة أنّه نقل عن الشیخ الطوسی أنّه فطحی المذهب إلاّ أنّه ثقة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بکیر وجماعة من الفطحیّة هم فقهاء أصحابنا ، وذکر جماعة منهم عمار الساباطی ، وعلی بن أسباط ، وبنو الحسن بن علی بن فضال علی وأخواه ، وقال فی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الکشی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عبد الله بن بکیر ممّن أجمعت العصابة علی تصحیح ما یصح عنه ، وأقرّوا له بالفقه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أعتمد علی روایته ، وإن کان مذهبه فاسداً </w:t>
      </w:r>
      <w:r>
        <w:rPr>
          <w:rStyle w:val="FootnoteAnchor"/>
          <w:rtl w:val="true"/>
        </w:rPr>
        <w:footnoteReference w:id="1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وکتب جدّی قدس سره علی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الرجل ضعیف ، وقد عدّه جماعة فی قسم الضعفاء وسیأتی فی القسم الثانی ، فلا وجه لذکره هنا ، وکأن الحامل علی ذکره حکم الشیخ بأنّه ثقة ، ولکن قد ذکر من المضعفین فی 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Style w:val="FootnoteAnchor"/>
          <w:rtl w:val="true"/>
        </w:rPr>
        <w:footnoteReference w:id="1234"/>
      </w:r>
      <w:r>
        <w:rPr>
          <w:rFonts w:ascii="IRNazanin" w:hAnsi="IRNazanin" w:eastAsia="IRNazanin"/>
          <w:color w:val="111111"/>
          <w:sz w:val="28"/>
          <w:sz w:val="28"/>
          <w:szCs w:val="28"/>
          <w:rtl w:val="true"/>
          <w:lang w:bidi="fa-IR"/>
        </w:rPr>
        <w:t xml:space="preserve">هو أجلّ من هذا الرجل وأشهر </w:t>
      </w:r>
      <w:r>
        <w:rPr>
          <w:rStyle w:val="FootnoteAnchor"/>
          <w:rtl w:val="true"/>
        </w:rPr>
        <w:footnoteReference w:id="1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ما فی هذا الکلام ،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الحکم بضعف عبد الله إن أُرید به عدم کونه إمامیّا ثقة فهو صحیح ، إلاّ أن العلاّمة اعتماده علیه للإجماع المنقول من الکشی ، فله جهة ضعف وجهة قبول ، والعلاّمة لم یعتمد فی القسم الأوّل علی الإمامی الثقة کما یعلم من عادته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المذکور فی القسم الثانی عبد الله بن بکیر الأرجانی ، والظاهر أنّه غیره ، لأنّه 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مرتفع القول ضعیف </w:t>
      </w:r>
      <w:r>
        <w:rPr>
          <w:rStyle w:val="FootnoteAnchor"/>
          <w:rtl w:val="true"/>
        </w:rPr>
        <w:footnoteReference w:id="1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الله المذکور فی القسم الأوّل قد وثّقه الشیخ فی الفهرست </w:t>
      </w:r>
      <w:r>
        <w:rPr>
          <w:rStyle w:val="FootnoteAnchor"/>
          <w:rtl w:val="true"/>
        </w:rPr>
        <w:footnoteReference w:id="1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کتاب الرجال فی</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30" w:name="__RefHeading___Toc39684_2142443653"/>
      <w:bookmarkStart w:id="1031" w:name="_Toc400"/>
      <w:bookmarkEnd w:id="1030"/>
      <w:r>
        <w:rPr>
          <w:rtl w:val="true"/>
        </w:rPr>
        <w:t>بحث حول عبدالله بن بکیر</w:t>
      </w:r>
      <w:bookmarkEnd w:id="1031"/>
    </w:p>
    <w:p>
      <w:pPr>
        <w:pStyle w:val="BookText"/>
        <w:rPr/>
      </w:pPr>
      <w:r>
        <w:rPr>
          <w:rFonts w:ascii="IRNazanin" w:hAnsi="IRNazanin" w:eastAsia="IRNazanin"/>
          <w:color w:val="111111"/>
          <w:sz w:val="28"/>
          <w:sz w:val="28"/>
          <w:szCs w:val="28"/>
          <w:rtl w:val="true"/>
          <w:lang w:bidi="fa-IR"/>
        </w:rPr>
        <w:t xml:space="preserve">أصحاب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بکیر بن أعین الشیبانی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الدلالة علی جواز الوطء مع الشبق وغسل الفرج ، غیر أنّ الحدیث کما تری من جهة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شیخنا أیّده الله فی فوائده علی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الروایة فی الکافی فی کتاب النکاح مرویة فی الصحیح ، ولم یحضرنی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شیخنا قدس سره فی المدارک فقد أسند الروایة عن محمد بن مسلم إلی الشیخ واصفاً لها بالصحة </w:t>
      </w:r>
      <w:r>
        <w:rPr>
          <w:rStyle w:val="FootnoteAnchor"/>
          <w:rtl w:val="true"/>
        </w:rPr>
        <w:footnoteReference w:id="1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علیها فی التهذیب إلاّ بهذا الطریق المذکور هنا ، فلعلّها فی غیر محلّها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والخبر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حمله علی الأوّل ، لأنّ الثانی لا یخرج عن المطلق ، والأوّل عن المقید ، واحتمال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الأُولی لرفع الکراهة والثانیة لبیان الجواز مع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 وستسمع الکلام فی جمع الشیخ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والمنقول عن الصدوق القول بالتحریم قبل الغسل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الفقیه قد ذکر مضمون روایة محمد بن مسلم </w:t>
      </w:r>
      <w:r>
        <w:rPr>
          <w:rFonts w:eastAsia="IRNazanin" w:cs="IRNazanin"/>
          <w:color w:val="111111"/>
          <w:sz w:val="28"/>
          <w:szCs w:val="28"/>
          <w:rtl w:val="true"/>
          <w:lang w:bidi="fa-IR"/>
        </w:rPr>
        <w:t xml:space="preserve">] </w:t>
      </w:r>
      <w:r>
        <w:rPr>
          <w:rStyle w:val="FootnoteAnchor"/>
          <w:rtl w:val="true"/>
        </w:rPr>
        <w:footnoteReference w:id="1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وظاهره </w:t>
      </w:r>
      <w:r>
        <w:rPr>
          <w:rStyle w:val="FootnoteAnchor"/>
          <w:rtl w:val="true"/>
        </w:rPr>
        <w:footnoteReference w:id="1242"/>
      </w:r>
      <w:r>
        <w:rPr>
          <w:rFonts w:ascii="IRNazanin" w:hAnsi="IRNazanin" w:eastAsia="IRNazanin"/>
          <w:color w:val="111111"/>
          <w:sz w:val="28"/>
          <w:sz w:val="28"/>
          <w:szCs w:val="28"/>
          <w:rtl w:val="true"/>
          <w:lang w:bidi="fa-IR"/>
        </w:rPr>
        <w:t>العمل بذلک ، ولعلّ القول المنقول عنه فی غیر الفقیه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والمشهور جواز وطء الحائض إذا طهرت قبل الغسل علی </w:t>
      </w:r>
      <w:bookmarkStart w:id="1032" w:name="pg17122_169802"/>
    </w:p>
    <w:p>
      <w:pPr>
        <w:pStyle w:val="BookText"/>
        <w:rPr/>
      </w:pPr>
      <w:bookmarkEnd w:id="1032"/>
      <w:r>
        <w:rPr>
          <w:rFonts w:ascii="Amiri" w:hAnsi="Amiri" w:eastAsia="Amiri" w:cs="Amiri"/>
          <w:color w:val="111111"/>
          <w:sz w:val="28"/>
          <w:sz w:val="28"/>
          <w:szCs w:val="28"/>
          <w:rtl w:val="true"/>
          <w:lang w:bidi="ar-SA"/>
        </w:rPr>
        <w:t xml:space="preserve">کراهة واستدل بأصالة الإباحة ، 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تَقْرَبُوهُنَّ حَتّی یَطْهُرْنَ </w:t>
      </w:r>
      <w:r>
        <w:rPr>
          <w:rFonts w:eastAsia="Amiri" w:cs="Amiri" w:ascii="Amiri" w:hAnsi="Amiri"/>
          <w:color w:val="111111"/>
          <w:sz w:val="28"/>
          <w:szCs w:val="28"/>
          <w:rtl w:val="true"/>
          <w:lang w:bidi="ar-SA"/>
        </w:rPr>
        <w:t xml:space="preserve">) </w:t>
      </w:r>
      <w:r>
        <w:rPr>
          <w:rStyle w:val="FootnoteAnchor"/>
          <w:rtl w:val="true"/>
        </w:rPr>
        <w:footnoteReference w:id="1243"/>
      </w:r>
      <w:r>
        <w:rPr>
          <w:rFonts w:ascii="IRNazanin" w:hAnsi="IRNazanin" w:eastAsia="IRNazanin"/>
          <w:color w:val="111111"/>
          <w:sz w:val="28"/>
          <w:sz w:val="28"/>
          <w:szCs w:val="28"/>
          <w:rtl w:val="true"/>
          <w:lang w:bidi="fa-IR"/>
        </w:rPr>
        <w:t xml:space="preserve">بالتخفیف کما قرأ به السبعة ، أی یخرجن من الحیض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طهرت المرأة إذا انقطع حیضها ، جعل سبحانه غایة التحریم انقطاع الدم ، فیثبت الحل بعده عملاً بمفهوم الغایة ، لأنّه حجّة ، بل صرح الأُصولیّون بأنه أقوی من مفهوم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قراءة التشدید 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تقربوهن حتی یطّهّرن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ینافی ذلک ، لأنّ تَفَعَّل قد جاء بمعنی فَعَلَ کَتَبسَّم وَتبیّن بمعنی بان وبسم ، والحمل علی هذا المعنی أولی ، صونا للقراءتین عن التنافی ، أو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النهی محمول علی الکراهة توفیقاً بین القراءتین ، فیکون المنهی عنه المباشرة بعد انقطاع الدم ، لسبق العلم بالتحریم حال الدم من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فَاعْتَزِلُوا النِّساءَ فِی الْمَحِیضِ </w:t>
      </w:r>
      <w:r>
        <w:rPr>
          <w:rFonts w:eastAsia="Amiri" w:cs="Amiri" w:ascii="Amiri" w:hAnsi="Amiri"/>
          <w:color w:val="111111"/>
          <w:sz w:val="28"/>
          <w:szCs w:val="28"/>
          <w:rtl w:val="true"/>
          <w:lang w:bidi="ar-SA"/>
        </w:rPr>
        <w:t xml:space="preserve">) </w:t>
      </w:r>
      <w:r>
        <w:rPr>
          <w:rStyle w:val="FootnoteAnchor"/>
          <w:rtl w:val="true"/>
        </w:rPr>
        <w:footnoteReference w:id="1244"/>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فی هذا نوع تأمّل ، لأنّ مراد هذا القائل أنّ قراءة التشدید تحمل علی ظاهرها من دون جعلها بمعنی یَطْهُرن مخفّفاً ، ویکون النهی للکراهة لئلاّ ینافی قراءة یطهرن بالتخفیف ، إذ مقتضاها الجواز إذا طَهُرن والکراهة لا تنافی الجواز ، فیتم عدم التنافی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التوفیق بین القراءتین لم یحصل ، لأنّ قراءة التشدید یکون النهی فیها عن القرب بعد انقطاع الدم ، وقراءة التخفیف تقتضی أنّ النهی عن القرب فی حال الحیض ، فیتغایر المعنی وإن اتحد المآل والمفهوم من توافق القراءتین معنیً ومآلاً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33" w:name="__RefHeading___Toc39686_2142443653"/>
      <w:bookmarkStart w:id="1034" w:name="_Toc401"/>
      <w:bookmarkEnd w:id="1033"/>
      <w:r>
        <w:rPr>
          <w:rtl w:val="true"/>
        </w:rPr>
        <w:t xml:space="preserve">الاستدلال بقوله تعالی </w:t>
      </w:r>
      <w:r>
        <w:rPr>
          <w:rtl w:val="true"/>
        </w:rPr>
        <w:t xml:space="preserve">: ( </w:t>
      </w:r>
      <w:r>
        <w:rPr>
          <w:rtl w:val="true"/>
        </w:rPr>
        <w:t xml:space="preserve">ولا تقربوهنّ حتی یطهرن </w:t>
      </w:r>
      <w:r>
        <w:rPr>
          <w:rtl w:val="true"/>
        </w:rPr>
        <w:t xml:space="preserve">) </w:t>
      </w:r>
      <w:r>
        <w:rPr>
          <w:rtl w:val="true"/>
        </w:rPr>
        <w:t>علی جواز وطء الحائض بعد انقطاع الدم قبل الغُسل والمناقشة فیه</w:t>
      </w:r>
      <w:bookmarkEnd w:id="1034"/>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التشدید إذا وقع بمعنی عدمه کان أقرب لتوافق القرائتین معنًی ، من حیث کون النهی عن حالة المحیض فی القرائتین ، ویؤیّد بأنّ سبق العلم بالتحریم وإن حصل بالأمر بالاعتزال ، إلاّ أنّ تأکیده یفید </w:t>
      </w:r>
      <w:r>
        <w:rPr>
          <w:rStyle w:val="FootnoteAnchor"/>
          <w:rtl w:val="true"/>
        </w:rPr>
        <w:footnoteReference w:id="1246"/>
      </w:r>
      <w:r>
        <w:rPr>
          <w:rFonts w:ascii="IRNazanin" w:hAnsi="IRNazanin" w:eastAsia="IRNazanin"/>
          <w:color w:val="111111"/>
          <w:sz w:val="28"/>
          <w:sz w:val="28"/>
          <w:szCs w:val="28"/>
          <w:rtl w:val="true"/>
          <w:lang w:bidi="fa-IR"/>
        </w:rPr>
        <w:t>المبالغة المطلوبة فی عدم المباشرة ، وإن کان التأسیس خیراً منه فی بعض الأحیان ،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یعلم أنّ ما قاله المحقق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قُرئ بالتضعیف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یَطْهُرْنَ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أن یحمل علی الاستحباب توفیقاً بین القراءتین ودفعاً للتنافی بینهما </w:t>
      </w:r>
      <w:r>
        <w:rPr>
          <w:rStyle w:val="FootnoteAnchor"/>
          <w:rtl w:val="true"/>
        </w:rPr>
        <w:footnoteReference w:id="124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غرضه ما قررناه أوّلاً کما هو الظاهر محل بحث ، ویمکن الجواب بأنّ القراءتین إذا اتحدتا مآلاً کفی والأمر متحقق </w:t>
      </w:r>
      <w:r>
        <w:rPr>
          <w:rFonts w:eastAsia="IRNazanin" w:cs="IRNazanin"/>
          <w:color w:val="111111"/>
          <w:sz w:val="28"/>
          <w:szCs w:val="28"/>
          <w:rtl w:val="true"/>
          <w:lang w:bidi="fa-IR"/>
        </w:rPr>
        <w:t xml:space="preserve">)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المستدل بما قدّمناه نفی المعارضة 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تَطَهَّرْنَ فَأْتُوهُنَّ </w:t>
      </w:r>
      <w:r>
        <w:rPr>
          <w:rFonts w:eastAsia="Amiri" w:cs="Amiri" w:ascii="Amiri" w:hAnsi="Amiri"/>
          <w:color w:val="111111"/>
          <w:sz w:val="28"/>
          <w:szCs w:val="28"/>
          <w:rtl w:val="true"/>
          <w:lang w:bidi="ar-SA"/>
        </w:rPr>
        <w:t xml:space="preserve">) </w:t>
      </w:r>
      <w:r>
        <w:rPr>
          <w:rStyle w:val="FootnoteAnchor"/>
          <w:rtl w:val="true"/>
        </w:rPr>
        <w:footnoteReference w:id="1249"/>
      </w:r>
      <w:r>
        <w:rPr>
          <w:rFonts w:ascii="IRNazanin" w:hAnsi="IRNazanin" w:eastAsia="IRNazanin"/>
          <w:color w:val="111111"/>
          <w:sz w:val="28"/>
          <w:sz w:val="28"/>
          <w:szCs w:val="28"/>
          <w:rtl w:val="true"/>
          <w:lang w:bidi="fa-IR"/>
        </w:rPr>
        <w:t>حیث شرط فی إباحة الوطء التطهیر الذی هو الغُسل ، بأنّ مفهومه انتفاء رجحان الوطء مع عدم التطهیر ، وهو أعمّ من التحریم ، فیحتمل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أنّ الأمر هنا للإباحة لکن یمنع إرادة الغُسل من التطهیر بل یحمل علی الطهر ، لوروده بمعناه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المعنی اللغوی المحقق بغَسل الفرج</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سلّمنا أنّ المراد بالتطهیر الغُسل ، لکن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مفهومان تعارضا ، فإن </w:t>
      </w:r>
    </w:p>
    <w:p>
      <w:pPr>
        <w:pStyle w:val="BookText"/>
        <w:rPr/>
      </w:pPr>
      <w:r>
        <w:rPr>
          <w:rFonts w:ascii="IRNazanin" w:hAnsi="IRNazanin" w:eastAsia="IRNazanin"/>
          <w:color w:val="111111"/>
          <w:sz w:val="28"/>
          <w:sz w:val="28"/>
          <w:szCs w:val="28"/>
          <w:rtl w:val="true"/>
          <w:lang w:bidi="fa-IR"/>
        </w:rPr>
        <w:t>لم یترجّح أقواهما تساقطا ویبقی حکم الأصل سالماً من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نظری القاصر أنّ هذا محل نظر ، لأنّ ما ذکر من أنّ المفهوم انتفاء الرجحان مع عدم التحریم فیحتمل الإباحة إن کان مع قراءة التخفیف ، والتشدید علی تقدیر کون تطهّر بمعنی طهر ، فلا بد من إرادة الإباحة ، لا مجرد احتمال الإباحة ، وعلی تقدیر إرادة الإباحة یکون تأکیداً ، والتأسیس بأن یراد الرجحان علی تقدیر التطهیر أولی ، وحینئذٍ فلا بد من بیان رجحان التأکید علی التأسیس ، والتسلیم المذکور یأتی فیه الکلام بعینه ، ویزید أنّ الحمل علی المعنی اللغوی یدل علی زیادةٍ علی الإباحة المستفادة من مفهوم الغایة ، فلا یتّحد الحکم ، وإن أُرید أنّ الطهارة بالمعنی اللغوی فی الأوّل والأخیر ویکون تطهّر بمعنی طَهُر رجع إلی الأوّل من جهة الاتّحاد ویخالف المطلوب أوّلاً من إرادة الخروج من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التسلیم الثالث لا یتم ، لأنّ التطهیر إذا أُرید به الغُسل والطهر الأوّل یراد به الخروج من الحیض فلا تعارض ، ولو أُرید بالأوّل الغُسل لم یتم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أن یراد الأوّل ویرجّح التأکید علی التأسیس لتوافق القراءتین أیّ مانع منه؟</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ذکرت له وجه ، إلاّ أنّه لا بدّ من بیانه فی المعارضة ، علی أنّه ربما یشکل بأنّ المتقدم کون قراءة التشدید محتملة لکونها بمعنی التخفیف ، ولکون النهی بعد الخروج عن الحیض والنهی للکراهة ، وعلی تقدیر الأوّل یمکن تمام ما ذکرت ، أمّا علی التقدیر الثانی فتکون الکراهة منتفیة بعد الغُسل ، فإمّا أن یباح الوطء بمعنی تساوی الطرفین ، أو یکون راجحاً ، لکن الثانی لا وجه له لعدم ما یدل علیه ، فیکون مباحاً متساوی </w:t>
      </w:r>
    </w:p>
    <w:p>
      <w:pPr>
        <w:pStyle w:val="BookText"/>
        <w:rPr/>
      </w:pPr>
      <w:r>
        <w:rPr>
          <w:rFonts w:ascii="IRNazanin" w:hAnsi="IRNazanin" w:eastAsia="IRNazanin"/>
          <w:color w:val="111111"/>
          <w:sz w:val="28"/>
          <w:sz w:val="28"/>
          <w:szCs w:val="28"/>
          <w:rtl w:val="true"/>
          <w:lang w:bidi="fa-IR"/>
        </w:rPr>
        <w:t>الطرفین ، ومفهوم الشرط یفید الرجحان بعد الغُسل فلا یتمّ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تقدیر أن یکون الأمر للإباحة یندفع هذا ، لکن یلزم تعین إرادة مورد التسلیم ، ویلزم حصول التأکید ، والتأسیس خیر منه ، فیرجع الکلام الأوّل ، وإرادة غَسل الفرج یزید معها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تعارض المفهومین إمّا أن یکون مع التغایر بإرادة الغُسل من التطهیر ، أو مع الاتحاد بأن یکون بمعنی طَهُر ، فإن کان مع التغایر فالتعارض غیر واضح ، وإن کان مع الاتحاد فیحتاج إلی الترجیح ، وینبغی تأمّل هذا کله ، فإنّه حریٌّ بالتأمل التام ، لأنّی لم أجده فی کلام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 جدی قدس سره فی شرح الإرشاد أورد علی الاستدلال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حمل التطهیر علی انقطاع الدم مع أنّه حقیقة شرعیة فی أحد الثلاثة یعنی الوضوء والغسل والتیمم لا یتم ، وغایة ما ذکروه أن یکون ثابتاً فی اللغة ، والحقائق الشرعیة 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حمل قراءة التشدید علی التخفیف حملاً علی الشواهد المذکورة مع ما هو معلوم من قواعد العرب أنّ کثرة المبانی تدل علی زیادة المعانی ، وهذا هو الکثیر الشائع ، وما وقع نادر ، مشکل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صدر الآیة وهو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تَقْرَبُوهُنَّ حَتّی یَطْهُرْنَ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دل علی تحریم الوطء فی وقت الحیض ، ولا یلزم منه اختصاص التحریم بوقته ، إذ لا یلزم من تحریم شی‌ء فی وقتٍ أو مکانٍ مخصوص اختصاص التحریم به ، لأنّه أعم ولا دلالة للعام علی أفراده المعیّنة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تعارض مفهومان ، إلی آخره ، لا یتم ، لأنّه لو حمل الجمیع علی الطهارة الشرعیة أعنی الغُسل لم یقع تنافٍ أصلا </w:t>
      </w:r>
    </w:p>
    <w:p>
      <w:pPr>
        <w:pStyle w:val="BookText"/>
        <w:rPr/>
      </w:pPr>
      <w:r>
        <w:rPr>
          <w:rFonts w:ascii="Amiri" w:hAnsi="Amiri" w:eastAsia="Amiri" w:cs="Amiri"/>
          <w:color w:val="111111"/>
          <w:sz w:val="28"/>
          <w:sz w:val="28"/>
          <w:szCs w:val="28"/>
          <w:rtl w:val="true"/>
          <w:lang w:bidi="ar-SA"/>
        </w:rPr>
        <w:t xml:space="preserve">واستغنی عن التکلّف ، ویؤیّده قوله فی آخر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التَّوّابِینَ وَیُحِبُّ الْمُتَطَهِّرِینَ </w:t>
      </w:r>
      <w:r>
        <w:rPr>
          <w:rFonts w:eastAsia="Amiri" w:cs="Amiri" w:ascii="Amiri" w:hAnsi="Amiri"/>
          <w:color w:val="111111"/>
          <w:sz w:val="28"/>
          <w:szCs w:val="28"/>
          <w:rtl w:val="true"/>
          <w:lang w:bidi="ar-SA"/>
        </w:rPr>
        <w:t xml:space="preserve">) </w:t>
      </w:r>
      <w:r>
        <w:rPr>
          <w:rStyle w:val="FootnoteAnchor"/>
          <w:rtl w:val="true"/>
        </w:rPr>
        <w:footnoteReference w:id="1250"/>
      </w:r>
      <w:r>
        <w:rPr>
          <w:rFonts w:ascii="Amiri" w:hAnsi="Amiri" w:eastAsia="Amiri" w:cs="Amiri"/>
          <w:color w:val="111111"/>
          <w:sz w:val="28"/>
          <w:sz w:val="28"/>
          <w:szCs w:val="28"/>
          <w:rtl w:val="true"/>
          <w:lang w:bidi="ar-SA"/>
        </w:rPr>
        <w:t xml:space="preserve">فإن الموصوف بالمحبة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Style w:val="FootnoteAnchor"/>
          <w:rtl w:val="true"/>
        </w:rPr>
        <w:footnoteReference w:id="1251"/>
      </w:r>
      <w:r>
        <w:rPr>
          <w:rFonts w:ascii="IRNazanin" w:hAnsi="IRNazanin" w:eastAsia="IRNazanin"/>
          <w:color w:val="111111"/>
          <w:sz w:val="28"/>
          <w:sz w:val="28"/>
          <w:szCs w:val="28"/>
          <w:rtl w:val="true"/>
          <w:lang w:bidi="fa-IR"/>
        </w:rPr>
        <w:t>فعل الطهارة بالاختیار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حمل قراءة التضعیف علی الاستحباب بمعنی توقف الوطء علی الغُسل استحباباً عدول عن الحقیقة ، والظاهر من صدر الآیة النهی ، وهو دال علی التحریم </w:t>
      </w:r>
      <w:r>
        <w:rPr>
          <w:rStyle w:val="FootnoteAnchor"/>
          <w:rtl w:val="true"/>
        </w:rPr>
        <w:footnoteReference w:id="125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انتهی ملخّصاً </w:t>
      </w:r>
      <w:r>
        <w:rPr>
          <w:rFonts w:eastAsia="Amiri" w:cs="Amiri" w:ascii="Amiri" w:hAnsi="Amiri"/>
          <w:color w:val="111111"/>
          <w:sz w:val="28"/>
          <w:szCs w:val="28"/>
          <w:rtl w:val="true"/>
          <w:lang w:bidi="ar-SA"/>
        </w:rPr>
        <w:t xml:space="preserve">)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ذکرت فی حاشیة الروضة إمکان الجواب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مبنی علی ثبوت الحقیقة الشرعیة ، وإثباتها مشکل ، ویقال هنا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الاعتراف بإرادة الغُسل من التطهیر لا یدل علی ثبوت الحقیقة الشرعیة ، بل یجوز أن یکون مجازاً وقرینته تعارض المفهومین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احتمال إرادة غَسل الفرج ممکنة فلا یتم المطلوب ، وفیه ما تقدم ، إلاّ أنّه لا یدفع الإیراد عند التحقیق ، ولعلّ الأولی الجواب بأنّ اللغة استعملت الطهارة بمعنی الغسل ، کما فی القاموس </w:t>
      </w:r>
      <w:r>
        <w:rPr>
          <w:rStyle w:val="FootnoteAnchor"/>
          <w:rtl w:val="true"/>
        </w:rPr>
        <w:footnoteReference w:id="1254"/>
      </w:r>
      <w:r>
        <w:rPr>
          <w:rFonts w:ascii="Amiri" w:hAnsi="Amiri" w:eastAsia="Amiri" w:cs="Amiri"/>
          <w:color w:val="111111"/>
          <w:sz w:val="28"/>
          <w:sz w:val="28"/>
          <w:szCs w:val="28"/>
          <w:rtl w:val="true"/>
          <w:lang w:bidi="ar-SA"/>
        </w:rPr>
        <w:t>، فلیتأملّ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إنّما یتم إذا کان الحمل لغیر ضرورة ، والحال أنّ ضرورة الجمع اقتضته ، وأصل التجویز کاف للضرورة ، وقد صرحوا بأنّ کثرة المبانی إنّما تدل علی زیادة المعانی غالباً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الاختصاص لا ریب فیه ، إلاّ أن یدل دلیل علی خلافه ، ولا دلیل هنا ، وهذا واضح</w:t>
      </w:r>
      <w:r>
        <w:rPr>
          <w:rFonts w:eastAsia="IRNazanin" w:cs="IRNazanin"/>
          <w:color w:val="111111"/>
          <w:sz w:val="28"/>
          <w:szCs w:val="28"/>
          <w:rtl w:val="true"/>
          <w:lang w:bidi="fa-IR"/>
        </w:rPr>
        <w:t xml:space="preserve">. </w:t>
      </w:r>
      <w:bookmarkStart w:id="1035" w:name="pg17122_169807"/>
    </w:p>
    <w:p>
      <w:pPr>
        <w:pStyle w:val="BookText"/>
        <w:rPr/>
      </w:pPr>
      <w:bookmarkEnd w:id="1035"/>
      <w:r>
        <w:rPr>
          <w:rFonts w:ascii="IRNazanin" w:hAnsi="IRNazanin" w:eastAsia="IRNazanin"/>
          <w:color w:val="111111"/>
          <w:sz w:val="28"/>
          <w:sz w:val="28"/>
          <w:szCs w:val="28"/>
          <w:rtl w:val="true"/>
          <w:lang w:bidi="fa-IR"/>
        </w:rPr>
        <w:t xml:space="preserve">وعن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موقوف علی ثبوت الحقیقة الشرعیة ، وفیه ما فیه ، والحق اندفاع هذا بما قدّمناه من احتمال المجاز وقرینته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الاندفاع إنّما یتم لو تعین إرادة المعنی الشرعی لدفع المنافاة ، والحال أنّه غیر منحصر لما سبق من الاحتمالات ، وبهذا قد یتوجه جواب ما قدّمناه أیضاً من إیراد نحو ما قاله جدّی قدس سره إلاّ أنّ الحق وجود مخلص عنه باحتمال اندفاع التنافی بأیّ وجه کان ، وذلک کاف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العدول عن الحقیقة لا نزاع للخصم فیه ، وإنّما الضرورة اقتضته ، وفی المقام مزید بحث إلاّ أن المهمّ ما ذکرناه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الشبق شدّة الغلمة کما فی الصحاح والقاموس </w:t>
      </w:r>
      <w:r>
        <w:rPr>
          <w:rStyle w:val="FootnoteAnchor"/>
          <w:rtl w:val="true"/>
        </w:rPr>
        <w:footnoteReference w:id="1255"/>
      </w:r>
      <w:r>
        <w:rPr>
          <w:rFonts w:ascii="Amiri" w:hAnsi="Amiri" w:eastAsia="Amiri" w:cs="Amiri"/>
          <w:color w:val="111111"/>
          <w:sz w:val="28"/>
          <w:sz w:val="28"/>
          <w:szCs w:val="28"/>
          <w:rtl w:val="true"/>
          <w:lang w:bidi="ar-SA"/>
        </w:rPr>
        <w:t xml:space="preserve">، ثم فی القاموس غَلِمَ کفَرِحَ غُلمةً بالضم واغتلم غُلِبَ شهوةً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علی بن الحسن ، عن علی بن أسباط ، عن عمّه یعقوب الأحمر ، عن أبی بصیر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امرأة کانت طامثاً فرأت الطهر أیقع علیها زوجها قبل أن تغتسل؟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حتی تغتسل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امرأة حاضت فی السفر ثم طهرت فلم تجد ماءً یوماً أو یومین </w:t>
      </w:r>
      <w:r>
        <w:rPr>
          <w:rStyle w:val="FootnoteAnchor"/>
          <w:rtl w:val="true"/>
        </w:rPr>
        <w:footnoteReference w:id="1257"/>
      </w:r>
      <w:r>
        <w:rPr>
          <w:rFonts w:ascii="IRNazanin" w:hAnsi="IRNazanin" w:eastAsia="IRNazanin"/>
          <w:color w:val="111111"/>
          <w:sz w:val="28"/>
          <w:sz w:val="28"/>
          <w:szCs w:val="28"/>
          <w:rtl w:val="true"/>
          <w:lang w:bidi="fa-IR"/>
        </w:rPr>
        <w:t xml:space="preserve">، یحل </w:t>
      </w:r>
      <w:r>
        <w:rPr>
          <w:rStyle w:val="FootnoteAnchor"/>
          <w:rtl w:val="true"/>
        </w:rPr>
        <w:footnoteReference w:id="1258"/>
      </w:r>
      <w:r>
        <w:rPr>
          <w:rFonts w:ascii="IRNazanin" w:hAnsi="IRNazanin" w:eastAsia="IRNazanin"/>
          <w:color w:val="111111"/>
          <w:sz w:val="28"/>
          <w:sz w:val="28"/>
          <w:szCs w:val="28"/>
          <w:rtl w:val="true"/>
          <w:lang w:bidi="fa-IR"/>
        </w:rPr>
        <w:t>لزوجها أن یجامعها قبل أن</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36" w:name="__RefHeading___Toc39688_2142443653"/>
      <w:bookmarkStart w:id="1037" w:name="_Toc402"/>
      <w:bookmarkEnd w:id="1036"/>
      <w:r>
        <w:rPr>
          <w:rtl w:val="true"/>
        </w:rPr>
        <w:t>معنی الشبق والغُلمة</w:t>
      </w:r>
      <w:bookmarkEnd w:id="1037"/>
    </w:p>
    <w:p>
      <w:pPr>
        <w:pStyle w:val="BookText"/>
        <w:rPr/>
      </w:pPr>
      <w:r>
        <w:rPr>
          <w:rFonts w:ascii="IRNazanin" w:hAnsi="IRNazanin" w:eastAsia="IRNazanin"/>
          <w:color w:val="111111"/>
          <w:sz w:val="28"/>
          <w:sz w:val="28"/>
          <w:szCs w:val="28"/>
          <w:rtl w:val="true"/>
          <w:lang w:bidi="fa-IR"/>
        </w:rPr>
        <w:t xml:space="preserve">تغتسل؟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یصلح حتی تغتسل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 عن أیوب بن نوح وسندی بن محمد جمیعاً ، عن صفوان ابن یحیی ، عن سعید بن یسار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تحرم علیها الصلاة ثم تطهر فتتوضّأ من غیر أن تغتسل فلزوجها </w:t>
      </w:r>
      <w:r>
        <w:rPr>
          <w:rStyle w:val="FootnoteAnchor"/>
          <w:rtl w:val="true"/>
        </w:rPr>
        <w:footnoteReference w:id="1259"/>
      </w:r>
      <w:r>
        <w:rPr>
          <w:rFonts w:ascii="IRNazanin" w:hAnsi="IRNazanin" w:eastAsia="IRNazanin"/>
          <w:color w:val="111111"/>
          <w:sz w:val="28"/>
          <w:sz w:val="28"/>
          <w:szCs w:val="28"/>
          <w:rtl w:val="true"/>
          <w:lang w:bidi="fa-IR"/>
        </w:rPr>
        <w:t xml:space="preserve">أن یأتیها قبل أن تغتسل؟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حتی تغتسل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هذه الأخبار أن نحملها علی ضرب من الکراهیة دون الحظر ، والأولة علی الجواز ، 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أخبرنی به أحمد بن عبدون ، عن علی بن محمد بن الزبیر ، عن علی ابن الحسن بن فضال ، عن معاویة بن حکیم ، وعمرو بن عثمان ، عن عبد الله ابن المغیرة </w:t>
      </w:r>
      <w:r>
        <w:rPr>
          <w:rStyle w:val="FootnoteAnchor"/>
          <w:rtl w:val="true"/>
        </w:rPr>
        <w:footnoteReference w:id="1260"/>
      </w:r>
      <w:r>
        <w:rPr>
          <w:rFonts w:ascii="IRNazanin" w:hAnsi="IRNazanin" w:eastAsia="IRNazanin"/>
          <w:color w:val="111111"/>
          <w:sz w:val="28"/>
          <w:sz w:val="28"/>
          <w:szCs w:val="28"/>
          <w:rtl w:val="true"/>
          <w:lang w:bidi="fa-IR"/>
        </w:rPr>
        <w:t xml:space="preserve">، عن العبد الصالح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المرأة إذا طهرت من الحیض ولم </w:t>
      </w:r>
      <w:r>
        <w:rPr>
          <w:rStyle w:val="FootnoteAnchor"/>
          <w:rtl w:val="true"/>
        </w:rPr>
        <w:footnoteReference w:id="1261"/>
      </w:r>
      <w:r>
        <w:rPr>
          <w:rFonts w:ascii="IRNazanin" w:hAnsi="IRNazanin" w:eastAsia="IRNazanin"/>
          <w:color w:val="111111"/>
          <w:sz w:val="28"/>
          <w:sz w:val="28"/>
          <w:szCs w:val="28"/>
          <w:rtl w:val="true"/>
          <w:lang w:bidi="fa-IR"/>
        </w:rPr>
        <w:t xml:space="preserve">تمسّ الماء فلا یقع علیها زوجها حتی تغتسل ، وإن فعل فلا بأس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تمسّ الماء أحبّ إلیّ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 عن أیوب بن نوح </w:t>
      </w:r>
      <w:r>
        <w:rPr>
          <w:rStyle w:val="FootnoteAnchor"/>
          <w:rtl w:val="true"/>
        </w:rPr>
        <w:footnoteReference w:id="1262"/>
      </w:r>
      <w:r>
        <w:rPr>
          <w:rFonts w:ascii="IRNazanin" w:hAnsi="IRNazanin" w:eastAsia="IRNazanin"/>
          <w:color w:val="111111"/>
          <w:sz w:val="28"/>
          <w:sz w:val="28"/>
          <w:szCs w:val="28"/>
          <w:rtl w:val="true"/>
          <w:lang w:bidi="fa-IR"/>
        </w:rPr>
        <w:t xml:space="preserve">، عن محمد بن أبی حمزة ، عن علی بن یقطین ، عن أبی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الحائض تری الطهر أیقع بها زوجها قبل أن تغتسل؟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وبعد الغُسل أحب إلیّ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الجمیع غیر سلیم ، وقد کرّرنا القول فی المهم من رجاله ، غیر أنّه </w:t>
      </w:r>
      <w:bookmarkStart w:id="1038" w:name="pg17122_169809"/>
    </w:p>
    <w:p>
      <w:pPr>
        <w:pStyle w:val="BookText"/>
        <w:rPr/>
      </w:pPr>
      <w:bookmarkEnd w:id="1038"/>
      <w:r>
        <w:rPr>
          <w:rFonts w:ascii="IRNazanin" w:hAnsi="IRNazanin" w:eastAsia="IRNazanin"/>
          <w:color w:val="111111"/>
          <w:sz w:val="28"/>
          <w:sz w:val="28"/>
          <w:szCs w:val="28"/>
          <w:rtl w:val="true"/>
          <w:lang w:bidi="fa-IR"/>
        </w:rPr>
        <w:t xml:space="preserve">ینبغی أن یعلم أنّ علی بن أسباط الواقع فی الأوّل قال النجاشی فی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کوفی ثقة وکان فطحیاً ، جری بینه وبین علی بن مهزیار رسائل فی ذلک رجعوا فیها إلی أبی جعفر الثانی علیه السلام فرجع علی بن أسباط عن ذلک القول وترکه ، وقد روی عن الرضا علیه السلام من قبل ذلک ، وکان أوثق الناس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فطحیا ، ولعلی بن مهزیار إلیه رسالة فی النقض علیه مقدار جزء صغیر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ینجع ذلک ومات علی مذهبه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وأنت خبیر بأنّ کلام الکشی لا یقتضی أنّ القول بعدم الرجوع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 بل أسنده إلی الغیر ، وهو غیر معلوم ، والنجاشی قوله لا معارض له یعتدّ به ، غیر أنّ الروایات لا یعلم کونها بعد الرجوع </w:t>
      </w:r>
      <w:r>
        <w:rPr>
          <w:rFonts w:eastAsia="IRNazanin" w:cs="IRNazanin"/>
          <w:color w:val="111111"/>
          <w:sz w:val="28"/>
          <w:szCs w:val="28"/>
          <w:rtl w:val="true"/>
          <w:lang w:bidi="fa-IR"/>
        </w:rPr>
        <w:t xml:space="preserve">) </w:t>
      </w:r>
      <w:r>
        <w:rPr>
          <w:rStyle w:val="FootnoteAnchor"/>
          <w:rtl w:val="true"/>
        </w:rPr>
        <w:footnoteReference w:id="1265"/>
      </w:r>
      <w:r>
        <w:rPr>
          <w:rFonts w:ascii="IRNazanin" w:hAnsi="IRNazanin" w:eastAsia="IRNazanin"/>
          <w:color w:val="111111"/>
          <w:sz w:val="28"/>
          <w:sz w:val="28"/>
          <w:szCs w:val="28"/>
          <w:rtl w:val="true"/>
          <w:lang w:bidi="fa-IR"/>
        </w:rPr>
        <w:t xml:space="preserve">أو قبله ، أمّا لو روی عن الرضا علیه السلام فهو قبل الرجوع علی قول النجاشی ، وحینئذٍ لو روی عن الجواد یمکن القبول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روی عن الرضا فقط قبل الرجوع ، وبعده روی عن الرضا والجواد علیهماالسلام ، وهو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إذا روی عن الجواد فالأصل عدم السبق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نظر واضح ، وبالجملة فروایاته الخالیة من القدح فی غیره لا تخلو من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قول ابن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الکشی قال بعدم رجوعه </w:t>
      </w:r>
      <w:r>
        <w:rPr>
          <w:rStyle w:val="FootnoteAnchor"/>
          <w:rtl w:val="true"/>
        </w:rPr>
        <w:footnoteReference w:id="1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جملة الأوهام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سعید بن یسار الواقع فی الخبر الثانی فهو ثقة ، وضبط العلاّمة</w:t>
      </w:r>
    </w:p>
    <w:p>
      <w:pPr>
        <w:pStyle w:val="Heading4"/>
        <w:numPr>
          <w:ilvl w:val="3"/>
          <w:numId w:val="1"/>
        </w:numPr>
        <w:rPr/>
      </w:pPr>
      <w:bookmarkStart w:id="1039" w:name="__RefHeading___Toc39690_2142443653"/>
      <w:bookmarkStart w:id="1040" w:name="_Toc403"/>
      <w:bookmarkEnd w:id="1039"/>
      <w:r>
        <w:rPr>
          <w:rtl w:val="true"/>
        </w:rPr>
        <w:t>بحث حول علی بن أسباط</w:t>
      </w:r>
      <w:bookmarkEnd w:id="1040"/>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41" w:name="__RefHeading___Toc39692_2142443653"/>
      <w:bookmarkStart w:id="1042" w:name="_Toc404"/>
      <w:bookmarkEnd w:id="1041"/>
      <w:r>
        <w:rPr>
          <w:rtl w:val="true"/>
        </w:rPr>
        <w:t>سعید بن یسار ثقة</w:t>
      </w:r>
      <w:bookmarkStart w:id="1043" w:name="pg17122_169810"/>
      <w:bookmarkEnd w:id="1042"/>
    </w:p>
    <w:p>
      <w:pPr>
        <w:pStyle w:val="BookText"/>
        <w:rPr/>
      </w:pPr>
      <w:bookmarkEnd w:id="1043"/>
      <w:r>
        <w:rPr>
          <w:rFonts w:ascii="IRNazanin" w:hAnsi="IRNazanin" w:eastAsia="IRNazanin"/>
          <w:color w:val="111111"/>
          <w:sz w:val="28"/>
          <w:sz w:val="28"/>
          <w:szCs w:val="28"/>
          <w:rtl w:val="true"/>
          <w:lang w:bidi="fa-IR"/>
        </w:rPr>
        <w:t xml:space="preserve">فی الإیضاح یسار بالیاء المنقطة تحتها نقطتین والسین المهملة المخففة والراء أخیراً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استدل القائل بتحریم الوطء قبل الغُسل بالخبر الأول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حکاه فی المختلف ، وأجاب بالحمل علی الاستحباب جمعاً بین الأدلّة والروایتین </w:t>
      </w:r>
      <w:r>
        <w:rPr>
          <w:rStyle w:val="FootnoteAnchor"/>
          <w:rtl w:val="true"/>
        </w:rPr>
        <w:footnoteReference w:id="1268"/>
      </w:r>
      <w:r>
        <w:rPr>
          <w:rFonts w:ascii="IRNazanin" w:hAnsi="IRNazanin" w:eastAsia="IRNazanin"/>
          <w:color w:val="111111"/>
          <w:sz w:val="28"/>
          <w:sz w:val="28"/>
          <w:szCs w:val="28"/>
          <w:rtl w:val="true"/>
          <w:lang w:bidi="fa-IR"/>
        </w:rPr>
        <w:t xml:space="preserve">، والشیخ ذکر الکراهة والمآل واحد ، غیر أنّه لا یخفی أنّ الخبر الدال علی التفصیل بالشبق وعدمه لا وجه لعدم التعرض له ، بل إمّا أن یحمل مطلق الأخبار علیه ، أو یقال مع الشبق لا کراهة ، هذا علی تقدیر الإغماض عن الخبر الصحیح الذی ذکره شیخنا أیّده الله ولو التفتنا إلیه فالمعارض لا یصلح لذلک لعدم المکافأة فی الإسناد ، وبه یترجّح ما قاله الصدوق لولا احتمال ما </w:t>
      </w:r>
      <w:r>
        <w:rPr>
          <w:rStyle w:val="FootnoteAnchor"/>
          <w:rtl w:val="true"/>
        </w:rPr>
        <w:footnoteReference w:id="1269"/>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ما فی ظاهر الخبر الأوّل من الدلالة علی الکراهة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مؤیّد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الثانی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فتتوضّأ ، لعلّ المراد به الاستنجاء ، ویحتمل الوضوء الشرعی علی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الخبر الأوّل المستدل به الشیخ علی الجمع لا یخلو من إجمال بالنسبة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تمسّ الماء ، إذ یحتمل أن یراد به غَسل الفرج ویفید</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44" w:name="__RefHeading___Toc39694_2142443653"/>
      <w:bookmarkStart w:id="1045" w:name="_Toc405"/>
      <w:bookmarkEnd w:id="1044"/>
      <w:r>
        <w:rPr>
          <w:rtl w:val="true"/>
        </w:rPr>
        <w:t>توجیه الروایات الناهیة عن الوطء قبل الغُسل</w:t>
      </w:r>
      <w:bookmarkEnd w:id="1045"/>
    </w:p>
    <w:p>
      <w:pPr>
        <w:pStyle w:val="BookText"/>
        <w:rPr/>
      </w:pPr>
      <w:r>
        <w:rPr>
          <w:rFonts w:ascii="IRNazanin" w:hAnsi="IRNazanin" w:eastAsia="IRNazanin"/>
          <w:color w:val="111111"/>
          <w:sz w:val="28"/>
          <w:sz w:val="28"/>
          <w:szCs w:val="28"/>
          <w:rtl w:val="true"/>
          <w:lang w:bidi="fa-IR"/>
        </w:rPr>
        <w:t>حینئذ أنّ غَسل الفرج أولی ، وبدونه یجوز الوطء علی کراهیة ومعه تخفّ الکراهة ولا تزول إلاّ بالغُسل ، ویحتمل أن یراد به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وجه لاحتمال غَسل الفرج بعد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یقع علیها زوجها حتی تغتسل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صریح فی أنّ المراد لم تغتسل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الإمام علیه السلام لا تعلّق له بقول السائل ، علی معنی أنّه لا یقیده ، بل الجواب منه علّة بعد سؤاله عمّن لم تغسل فرجها أنّه لا یقع علیها حتی تغتسل ، سواء مسّت الماء بغَسل الفرج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تمسّ الماء أحب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 أنّ مع عدم الغُسل غَسل الفرج أحبّ إلیّ ، وإن احتمل أن یراد به الغسل فی الثانی ، إلاّ أنّ الاحتمال الذی ذکرناه قائم ، کما لا یخفی علی من أعطی الروایة حق 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فمطلوب الشیخ فی الجمع مجمل ، وکان حقه التفصیل بالشبق وعدمه ، ثم غَسل الفرج وعدمه ، وترتیب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فاعلم أن العلاّمة فی المختلف نقل عن ابن بابویه القول بأنّه لا یجوز الوطء حتی تغتسل ، فإن غلبته الشهوة أمرها بغَسل فرجها ، وحکی عنه الاستدلال مع الروایتین بالآیة ، ووجه الاستدلال بها أنّه تعالی علّق الإتیان بفعل الطهارة والمراد بها الغُسل أو غَسل الفرج مع الشبق</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عن الروایتین بما سمعته ، وعن الآیة بالمنع من إرادة فعل الطهارة من التطهیر ، فإنّ 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یرید فإذا طَهُرنَ ، لأنّ تفعّل بمعنی فعل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تطعّمت الطعام وطعمته بمعنی واحد ، سلّمنا لکنه مستأنف ولا یکون شرطاً ولا غایة لزمان الحظر ، سلّمنا لکن المراد به غَسل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وفی نظری القاصر أنّ الاستدلال من الصدوق یمکن أن یوجّه بأنّ التطهّر یدل بظاهره علی الزیادة ، ولیست إلاّ الغُسل أو غَسل الفرج مع الشبق ، کما تدل علیه الروایة لا من مجرّد الآیة ، کما هو واضح ، وعلی هذا تکون الآیة عنده لها ظهور فی الزیادة مع بقاء نوع إجمال تبیّن بالخبر ، أمّا کون الآیة بمجرّدها تدل علی ما قاله فدفعه أظهر من أن یخفی علی الصدوق ، وجواب العلاّمة حینئذ غیر تامّ ،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مجی‌ء تطهّر بمعنی طهر لا ینافی ظهور دلالة تطهّر علی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لمّا تحققت المعارضة فی الآیتین ذکر البعض مجی‌ء تطهّر بمعنی طهر لتحقیق الجمع ، وهذا أمر زائد علی دلالة الظاهر ، فکأنّ العلاّمة نقل هذا فی الجواب ولم یتفطّن للفرق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احتمال الاستئناف الذی ذکره لم أفهم وجهه ، لأنّ دلالة مفهوم الشرط حاصلة إن کان الاستئناف </w:t>
      </w:r>
      <w:r>
        <w:rPr>
          <w:rStyle w:val="FootnoteAnchor"/>
          <w:rtl w:val="true"/>
        </w:rPr>
        <w:footnoteReference w:id="1272"/>
      </w:r>
      <w:r>
        <w:rPr>
          <w:rFonts w:ascii="IRNazanin" w:hAnsi="IRNazanin" w:eastAsia="IRNazanin"/>
          <w:color w:val="111111"/>
          <w:sz w:val="28"/>
          <w:sz w:val="28"/>
          <w:szCs w:val="28"/>
          <w:rtl w:val="true"/>
          <w:lang w:bidi="fa-IR"/>
        </w:rPr>
        <w:t xml:space="preserve">أو عدمه ، فإذا لوحظ أوّل الآیة بالنسبة إلی مفهوم الغایة حصل التعارض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یکون شرطاً ولا 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غرابة علی ما أظن ، وهو أعلم بمراده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لکن المراد به غَسل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الجزم بإرادته غیر معلوم الوجه مع احتمال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تعرض العلاّمة لروایة محمد بن مسلم الدالة علی التفصیل فی الاستدلال للصدوق هو الموجب للإشکال فی جوابه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شی‌ء وهو أنّ شیخنا قدس سره بعد أن ذکر الاستدلال علی مختاره من الکراهة علی الإطلاق بالآیة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الجواز أیضا ما رواه الشیخ </w:t>
      </w:r>
      <w:bookmarkStart w:id="1046" w:name="pg17122_169813"/>
    </w:p>
    <w:p>
      <w:pPr>
        <w:pStyle w:val="BookText"/>
        <w:rPr/>
      </w:pPr>
      <w:bookmarkEnd w:id="1046"/>
      <w:r>
        <w:rPr>
          <w:rFonts w:ascii="IRNazanin" w:hAnsi="IRNazanin" w:eastAsia="IRNazanin"/>
          <w:color w:val="111111"/>
          <w:sz w:val="28"/>
          <w:sz w:val="28"/>
          <w:szCs w:val="28"/>
          <w:rtl w:val="true"/>
          <w:lang w:bidi="fa-IR"/>
        </w:rPr>
        <w:t xml:space="preserve">فی الصحیح عن محمد بن مسلم ، وذکر الروایة الأُولی متناً </w:t>
      </w:r>
      <w:r>
        <w:rPr>
          <w:rStyle w:val="FootnoteAnchor"/>
          <w:rtl w:val="true"/>
        </w:rPr>
        <w:footnoteReference w:id="1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السند فلا أعلمه الآن کما قدّمت القول فیه </w:t>
      </w:r>
      <w:r>
        <w:rPr>
          <w:rStyle w:val="FootnoteAnchor"/>
          <w:rtl w:val="true"/>
        </w:rPr>
        <w:footnoteReference w:id="1274"/>
      </w:r>
      <w:r>
        <w:rPr>
          <w:rFonts w:ascii="IRNazanin" w:hAnsi="IRNazanin" w:eastAsia="IRNazanin"/>
          <w:color w:val="111111"/>
          <w:sz w:val="28"/>
          <w:sz w:val="28"/>
          <w:szCs w:val="28"/>
          <w:rtl w:val="true"/>
          <w:lang w:bidi="fa-IR"/>
        </w:rPr>
        <w:t xml:space="preserve">، وأنت خبیر بأنّ الروایة تضمنت التفصیل فکیف یستدل بها علی الجواز بالإطلاق؟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بعدها موثّقة علی ابن یقطین المذکورة هنا أخیراً </w:t>
      </w:r>
      <w:r>
        <w:rPr>
          <w:rFonts w:eastAsia="IRNazanin" w:cs="IRNazanin"/>
          <w:color w:val="111111"/>
          <w:sz w:val="28"/>
          <w:szCs w:val="28"/>
          <w:rtl w:val="true"/>
          <w:lang w:bidi="fa-IR"/>
        </w:rPr>
        <w:t xml:space="preserve">» </w:t>
      </w:r>
      <w:r>
        <w:rPr>
          <w:rStyle w:val="FootnoteAnchor"/>
          <w:rtl w:val="true"/>
        </w:rPr>
        <w:footnoteReference w:id="1275"/>
      </w:r>
      <w:r>
        <w:rPr>
          <w:rFonts w:ascii="IRNazanin" w:hAnsi="IRNazanin" w:eastAsia="IRNazanin"/>
          <w:color w:val="111111"/>
          <w:sz w:val="28"/>
          <w:sz w:val="28"/>
          <w:szCs w:val="28"/>
          <w:rtl w:val="true"/>
          <w:lang w:bidi="fa-IR"/>
        </w:rPr>
        <w:t>والله تعالی أعلم بحقائق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المرأة تری الدم أول مرة وتستمرّ بها</w:t>
      </w:r>
    </w:p>
    <w:p>
      <w:pPr>
        <w:pStyle w:val="BookText"/>
        <w:rPr/>
      </w:pPr>
      <w:r>
        <w:rPr>
          <w:rFonts w:ascii="IRNazanin" w:hAnsi="IRNazanin" w:eastAsia="IRNazanin"/>
          <w:color w:val="111111"/>
          <w:sz w:val="28"/>
          <w:sz w:val="28"/>
          <w:szCs w:val="28"/>
          <w:rtl w:val="true"/>
          <w:lang w:bidi="fa-IR"/>
        </w:rPr>
        <w:t xml:space="preserve">أخبرنی الشیخ رحمه الله عن أحمد بن محمد ، عن أبیه ، عن محمد بن الحسن الصفار ، عن أحمد بن محمد ، عن معاویة بن حکیم ، عن حسن بن علی ، عن عبد الله بن بکیر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المرأة إذا رأت الدم فی أول حیضها فاستمرّ بها الدم بعد ذلک ترکت الصلاة عشرة أیّام ثم تصلّی عشرین </w:t>
      </w:r>
      <w:r>
        <w:rPr>
          <w:rStyle w:val="FootnoteAnchor"/>
          <w:rtl w:val="true"/>
        </w:rPr>
        <w:footnoteReference w:id="1276"/>
      </w:r>
      <w:r>
        <w:rPr>
          <w:rFonts w:ascii="IRNazanin" w:hAnsi="IRNazanin" w:eastAsia="IRNazanin"/>
          <w:color w:val="111111"/>
          <w:sz w:val="28"/>
          <w:sz w:val="28"/>
          <w:szCs w:val="28"/>
          <w:rtl w:val="true"/>
          <w:lang w:bidi="fa-IR"/>
        </w:rPr>
        <w:t xml:space="preserve">، فإن استمرّ بها الدم بعد ذلک ترکت الصلاة ثلاثة أیّام وصلّت سبعة وعشرین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w:t>
      </w:r>
      <w:r>
        <w:rPr>
          <w:rStyle w:val="FootnoteAnchor"/>
          <w:rtl w:val="true"/>
        </w:rPr>
        <w:footnoteReference w:id="1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بکیر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لا یجدون منه 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أحمد بن عبدون ، عن علی بن محمد بن الزبیر ، عن علی بن الحسن بن فضال ، عن محمد واحمد ابنی الحسن ، عن أبیهما ، عن عبد الله بن بکیر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الجاریة أول ما تحیض یدفع علیها الدم فتکون مستحاضة إنّها تنتظر بالصلاة فلا تصلی حتی یمضی</w:t>
      </w:r>
    </w:p>
    <w:p>
      <w:pPr>
        <w:pStyle w:val="Heading3"/>
        <w:numPr>
          <w:ilvl w:val="2"/>
          <w:numId w:val="1"/>
        </w:numPr>
        <w:rPr/>
      </w:pPr>
      <w:bookmarkStart w:id="1047" w:name="__RefHeading___Toc39696_2142443653"/>
      <w:bookmarkStart w:id="1048" w:name="_Toc406"/>
      <w:bookmarkEnd w:id="1047"/>
      <w:r>
        <w:rPr>
          <w:rtl w:val="true"/>
        </w:rPr>
        <w:t>المرأة تری الدم أول مرة وتستمرّ بها</w:t>
      </w:r>
      <w:bookmarkEnd w:id="1048"/>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49" w:name="__RefHeading___Toc39698_2142443653"/>
      <w:bookmarkStart w:id="1050" w:name="_Toc407"/>
      <w:bookmarkEnd w:id="1049"/>
      <w:r>
        <w:rPr>
          <w:rtl w:val="true"/>
        </w:rPr>
        <w:t>اشارة</w:t>
      </w:r>
      <w:bookmarkStart w:id="1051" w:name="pg17122_169814"/>
      <w:bookmarkEnd w:id="1050"/>
    </w:p>
    <w:p>
      <w:pPr>
        <w:pStyle w:val="BookText"/>
        <w:rPr/>
      </w:pPr>
      <w:bookmarkEnd w:id="1051"/>
      <w:r>
        <w:rPr>
          <w:rFonts w:ascii="IRNazanin" w:hAnsi="IRNazanin" w:eastAsia="IRNazanin"/>
          <w:color w:val="111111"/>
          <w:sz w:val="28"/>
          <w:sz w:val="28"/>
          <w:szCs w:val="28"/>
          <w:rtl w:val="true"/>
          <w:lang w:bidi="fa-IR"/>
        </w:rPr>
        <w:t xml:space="preserve">أکثر ما یکون من الحیض ، فإذا مضی ذلک وهو عشرة أیّام فعلت ما تفعل المستحاضة ثم صلّت فمکثت تصلّی بقیة شهرها ، ثم تترک الصلاة فی المرّة الثانیة أقل ما تترک امرأة الصلاة وتجلس أقل ما یکون من الطمث وهو ثلاثة أیّام ، فإن دام علیها الحیض صلّت فی وقت الصلاة التی صلّت وجعلت وقت طهرها أکثر ما یکون من الطهر وترکها الصلاة أقل ما یکون من الحیض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ینافی هذین الخبرین خبر یونس </w:t>
      </w:r>
      <w:r>
        <w:rPr>
          <w:rStyle w:val="FootnoteAnchor"/>
          <w:rtl w:val="true"/>
        </w:rPr>
        <w:footnoteReference w:id="1278"/>
      </w:r>
      <w:r>
        <w:rPr>
          <w:rFonts w:ascii="IRNazanin" w:hAnsi="IRNazanin" w:eastAsia="IRNazanin"/>
          <w:color w:val="111111"/>
          <w:sz w:val="28"/>
          <w:sz w:val="28"/>
          <w:szCs w:val="28"/>
          <w:rtl w:val="true"/>
          <w:lang w:bidi="fa-IR"/>
        </w:rPr>
        <w:t xml:space="preserve">الطویل الذی أوردناه فی کتابنا </w:t>
      </w:r>
      <w:r>
        <w:rPr>
          <w:rStyle w:val="FootnoteAnchor"/>
          <w:rtl w:val="true"/>
        </w:rPr>
        <w:footnoteReference w:id="1279"/>
      </w:r>
      <w:r>
        <w:rPr>
          <w:rFonts w:ascii="IRNazanin" w:hAnsi="IRNazanin" w:eastAsia="IRNazanin"/>
          <w:color w:val="111111"/>
          <w:sz w:val="28"/>
          <w:sz w:val="28"/>
          <w:szCs w:val="28"/>
          <w:rtl w:val="true"/>
          <w:lang w:bidi="fa-IR"/>
        </w:rPr>
        <w:t xml:space="preserve">من أنّ من هذه حالتها </w:t>
      </w:r>
      <w:r>
        <w:rPr>
          <w:rStyle w:val="FootnoteAnchor"/>
          <w:rtl w:val="true"/>
        </w:rPr>
        <w:footnoteReference w:id="1280"/>
      </w:r>
      <w:r>
        <w:rPr>
          <w:rFonts w:ascii="IRNazanin" w:hAnsi="IRNazanin" w:eastAsia="IRNazanin"/>
          <w:color w:val="111111"/>
          <w:sz w:val="28"/>
          <w:sz w:val="28"/>
          <w:szCs w:val="28"/>
          <w:rtl w:val="true"/>
          <w:lang w:bidi="fa-IR"/>
        </w:rPr>
        <w:t>تترک الصلاة سبعة أیّام فی الشهر وتصلی باقی الشهر ، لأنّه یجوز أن یکون ذلک عبارة عمّا یصیب کل واحد من شهر إذا اجتمع شهران ، فإنّها إذا ترکت فی الشهر الأوّل عشرة أیّام وفی الثانی ثلاثة أیّام کان نصف ذلک نحواً من سبعة أیّام علی التقریب ، فیکون مطابقاً لما تضمنته روایة عبد الله بن بکیر ، وهو مطابق للأُصول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موثّقا ، لأنّ حسن بن علی إمّا ابن فضال علی الظاهر ، وإمّا الوشّاء علی بُعدٍ ، واحتمال غیرهما فی غایة البُعد ، إلاّ احتمال ابن النعمان الثقة ولا یضر بالحال ، وشیخنا قدس سره فی المدارک جزم بأنّه الحسن بن علی بن فضال </w:t>
      </w:r>
      <w:r>
        <w:rPr>
          <w:rStyle w:val="FootnoteAnchor"/>
          <w:rtl w:val="true"/>
        </w:rPr>
        <w:footnoteReference w:id="1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بعید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52" w:name="__RefHeading___Toc39700_2142443653"/>
      <w:bookmarkStart w:id="1053" w:name="_Toc408"/>
      <w:bookmarkEnd w:id="1052"/>
      <w:r>
        <w:rPr>
          <w:rtl w:val="true"/>
        </w:rPr>
        <w:t>حسن بن علی الراوی عن عبدالله بن بکیر إمّا ابن فضّال وإمّا الوشّاء</w:t>
      </w:r>
      <w:bookmarkStart w:id="1054" w:name="pg17122_169815"/>
      <w:bookmarkEnd w:id="1053"/>
    </w:p>
    <w:p>
      <w:pPr>
        <w:pStyle w:val="BookText"/>
        <w:rPr/>
      </w:pPr>
      <w:bookmarkEnd w:id="1054"/>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تکرّر القول فی رجاله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تخفی دلالة الخبر الأوّل علی أنّ أوّل ما تترک الصلاة عشرة أیّام من الشهر ثم الثلاثة من الثانی ، والخبر الثانی دال علی ذلک وزیادة الاستمرار علی الثلاثة فی جمیع الأشهر الذی یستمرّ فیه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قول ابن بکیر 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لا یجدون منه 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أن یعود إلی ما ذکر من أخذ العشرة من الأوّل والثلاثة من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یعود إلی أنّ الثلاثة لا بدّ من أخذها إذا استمرّ الدم لا العشرة ، ویؤیّد الثانی الخبر الثانی ، واحتمال أن یراد أخذ عشرة من الأوّل وثلاثة من الثانی دائماً ممکن لولا الترجیح بالخبر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فرق بین الاحتمال الأخیر والأوّل؟</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هو أنّ الأوّل لمجرد أخذ العشرة فی الأوّل والثلاثة 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التفات إلی ما بعد ذلک ، والاحتمال الأخیر أن تکون العشرة فی الأوّل والثلاثة فی الثانی </w:t>
      </w:r>
      <w:r>
        <w:rPr>
          <w:rFonts w:eastAsia="IRNazanin" w:cs="IRNazanin"/>
          <w:color w:val="111111"/>
          <w:sz w:val="28"/>
          <w:szCs w:val="28"/>
          <w:rtl w:val="true"/>
          <w:lang w:bidi="fa-IR"/>
        </w:rPr>
        <w:t xml:space="preserve">) </w:t>
      </w:r>
      <w:r>
        <w:rPr>
          <w:rStyle w:val="FootnoteAnchor"/>
          <w:rtl w:val="true"/>
        </w:rPr>
        <w:footnoteReference w:id="1282"/>
      </w:r>
      <w:r>
        <w:rPr>
          <w:rFonts w:ascii="IRNazanin" w:hAnsi="IRNazanin" w:eastAsia="IRNazanin"/>
          <w:color w:val="111111"/>
          <w:sz w:val="28"/>
          <w:sz w:val="28"/>
          <w:szCs w:val="28"/>
          <w:rtl w:val="true"/>
          <w:lang w:bidi="fa-IR"/>
        </w:rPr>
        <w:t>دائما مع الاستمرار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یعلم أنّ 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یجوز أن یکون عبارة عمّا یصیب کل واحد من شهر ، محل تأمّل ، لأنّ الخبرین کما عرفت فیهما احتمالات بعضها ینافی ما قاله الشیخ ، إلاّ أن یرید الحکم بالنسبة إلی الشهرین الأولین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خبر یونس یدل علی السبعة من کل شهر ، علی أنّ خبر یونس تضمن الستّة أو السبعة فلا وجه لعدم </w:t>
      </w:r>
      <w:r>
        <w:rPr>
          <w:rStyle w:val="FootnoteAnchor"/>
          <w:rtl w:val="true"/>
        </w:rPr>
        <w:footnoteReference w:id="1283"/>
      </w:r>
      <w:r>
        <w:rPr>
          <w:rFonts w:ascii="IRNazanin" w:hAnsi="IRNazanin" w:eastAsia="IRNazanin"/>
          <w:color w:val="111111"/>
          <w:sz w:val="28"/>
          <w:sz w:val="28"/>
          <w:szCs w:val="28"/>
          <w:rtl w:val="true"/>
          <w:lang w:bidi="fa-IR"/>
        </w:rPr>
        <w:t>التعرض لذلک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55" w:name="__RefHeading___Toc39702_2142443653"/>
      <w:bookmarkStart w:id="1056" w:name="_Toc409"/>
      <w:bookmarkEnd w:id="1055"/>
      <w:r>
        <w:rPr>
          <w:rtl w:val="true"/>
        </w:rPr>
        <w:t>حکم المبتدأة التی استمرّ بها الدم</w:t>
      </w:r>
      <w:bookmarkEnd w:id="1056"/>
    </w:p>
    <w:p>
      <w:pPr>
        <w:pStyle w:val="BookText"/>
        <w:rPr/>
      </w:pPr>
      <w:r>
        <w:rPr>
          <w:rFonts w:ascii="IRNazanin" w:hAnsi="IRNazanin" w:eastAsia="IRNazanin"/>
          <w:color w:val="111111"/>
          <w:sz w:val="28"/>
          <w:sz w:val="28"/>
          <w:szCs w:val="28"/>
          <w:rtl w:val="true"/>
          <w:lang w:bidi="fa-IR"/>
        </w:rPr>
        <w:t xml:space="preserve">واحتمال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خبر یونس یؤیّد أنّ المراد عشرة من شهر وثلاثة من آخر دائما فیتم مطلوب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خبر یونس إنّما یدل علی مطلوب الشیخ ویبین بعد أن یعلم أنّ المراد ما قاله الشیخ ، وهو عن ذلک بمراحل ، إذا عرفت هذا </w:t>
      </w:r>
      <w:r>
        <w:rPr>
          <w:rStyle w:val="FootnoteAnchor"/>
          <w:rtl w:val="true"/>
        </w:rPr>
        <w:footnoteReference w:id="1284"/>
      </w:r>
      <w:r>
        <w:rPr>
          <w:rFonts w:ascii="IRNazanin" w:hAnsi="IRNazanin" w:eastAsia="IRNazanin"/>
          <w:color w:val="111111"/>
          <w:sz w:val="28"/>
          <w:sz w:val="28"/>
          <w:szCs w:val="28"/>
          <w:rtl w:val="true"/>
          <w:lang w:bidi="fa-IR"/>
        </w:rPr>
        <w:t xml:space="preserve">فما ذکره المتأخّرون تبعاً للشیخ من جواز أخذ عشرة من شهر وثلاثة من آخر دائماً </w:t>
      </w:r>
      <w:r>
        <w:rPr>
          <w:rStyle w:val="FootnoteAnchor"/>
          <w:rtl w:val="true"/>
        </w:rPr>
        <w:footnoteReference w:id="1285"/>
      </w:r>
      <w:r>
        <w:rPr>
          <w:rFonts w:ascii="IRNazanin" w:hAnsi="IRNazanin" w:eastAsia="IRNazanin"/>
          <w:color w:val="111111"/>
          <w:sz w:val="28"/>
          <w:sz w:val="28"/>
          <w:szCs w:val="28"/>
          <w:rtl w:val="true"/>
          <w:lang w:bidi="fa-IR"/>
        </w:rPr>
        <w:t>، لا یخفی ما فیه علی تقدیر الإغماض عن الأسانید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والمحقق قال فی المعتبر بعد أن حکم بضعف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عندی أن تتحیّض کل واحدة منهما یعنی المبتدأة والمضطربة بالتفسیر الذی ذکره ثلاثة أیّام ، لأنّه المتیقّن فی الحیض ، وتصلّی وتصوم بقیة الشهر استظهاراً وعملاً بالأصل فی لزوم العبادة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الکلام وإن کان لا یخلو من نظر ، فإنّ الأصل فی لزوم العبادة محل کلام ، إلاّ أنّ فیه اعترافاً بضعف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العلاّمة فی المختلف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فوائد شیخنا أیّده الله علی الکتاب ما هذه صورته بعد الروایتین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جاء علی وجه یحکم بکونه حیضاً ودام ، وإلاّ احتمل أن تستظهر بیوم أو یومین ، فتحتاط للصلاة فی الأوّل ، وفی الشهر الثانی تترک الصلاة ثلاثة أیّام لا أکثر احتیاطاً لها ، حیث إنّ ترکها فی الأوّل عشرة ، وقول </w:t>
      </w:r>
      <w:bookmarkStart w:id="1057" w:name="pg17122_169817"/>
    </w:p>
    <w:p>
      <w:pPr>
        <w:pStyle w:val="BookText"/>
        <w:rPr/>
      </w:pPr>
      <w:bookmarkEnd w:id="1057"/>
      <w:r>
        <w:rPr>
          <w:rFonts w:ascii="IRNazanin" w:hAnsi="IRNazanin" w:eastAsia="IRNazanin"/>
          <w:color w:val="111111"/>
          <w:sz w:val="28"/>
          <w:sz w:val="28"/>
          <w:szCs w:val="28"/>
          <w:rtl w:val="true"/>
          <w:lang w:bidi="fa-IR"/>
        </w:rPr>
        <w:t>ابن بکیر جاز أن یکون إشارة إلی الحکمین جمیعاً وإلی الأخذ فقط ، وجاز إلی الأخیر من غیر اعتبار نفی الزائد ، هذا مع عدم النساء لها أو کنّ مختلفات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علیک حقیقة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حدیث یونس الذی أشار إلیه الشیخ قد تضمن التخییر بین الستّة والسبعة من کل شهر ، ولو لا ضعف سنده لنقلناه ، غیر أنّ جماعة من المتأخّرین حکموا به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عن العلاّمة فی النهایة وجوب العمل بما یؤدّی اجتهادها إلیه ، لئلاّ یلزم التخییر فی السابع بین وجوب الصلاة وعدمه </w:t>
      </w:r>
      <w:r>
        <w:rPr>
          <w:rStyle w:val="FootnoteAnchor"/>
          <w:rtl w:val="true"/>
        </w:rPr>
        <w:footnoteReference w:id="1289"/>
      </w:r>
      <w:r>
        <w:rPr>
          <w:rFonts w:ascii="IRNazanin" w:hAnsi="IRNazanin" w:eastAsia="IRNazanin"/>
          <w:color w:val="111111"/>
          <w:sz w:val="28"/>
          <w:sz w:val="28"/>
          <w:szCs w:val="28"/>
          <w:rtl w:val="true"/>
          <w:lang w:bidi="fa-IR"/>
        </w:rPr>
        <w:t xml:space="preserve">، واعترض علیه بأیّام الاستظهار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والمحقق فی المعتبر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مانع من ذلک ، إذ قد یقع التخییر فی الواجب کما یتخیّر المسافر بین الإتمام والقصر فی مواضع التخییر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نظری القاصر أنّ هذا غریب من المحقق ، فإنّ تخییر المسافرین فردی الواجب ، والتخییر هنا بین الفعل والترک لا إلی بدل ، فتعریف الواجب لا ینطبق علی الصلاة الواقعة ، نعم أیّام الاستظهار مثله ، والسکوت عن هذا بالنسبة إلی تعریف الواجب إمّا للاعتراف به أو لغیر ذلک ، وقد یحتمل أن یجاب بأنّ التخییر فی الاستظهار وعدمه ، لا فی فعل الصلاة ، فإن اختارت الطهر کانت الصلاة واجبة وإلاّ فلا ، لا أنّ التخییر فی الصلاة بین فعلها وعدمه ، وهکذا فی السادس والسابع من الشهر إن اختارت السابع</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58" w:name="__RefHeading___Toc39704_2142443653"/>
      <w:bookmarkStart w:id="1059" w:name="_Toc410"/>
      <w:bookmarkEnd w:id="1058"/>
      <w:r>
        <w:rPr>
          <w:rtl w:val="true"/>
        </w:rPr>
        <w:t>هل تتخیّر بین الستّة والسبعة من کلّ شهر؟</w:t>
      </w:r>
      <w:bookmarkEnd w:id="1059"/>
    </w:p>
    <w:p>
      <w:pPr>
        <w:pStyle w:val="BookText"/>
        <w:rPr/>
      </w:pPr>
      <w:r>
        <w:rPr>
          <w:rFonts w:ascii="IRNazanin" w:hAnsi="IRNazanin" w:eastAsia="IRNazanin"/>
          <w:color w:val="111111"/>
          <w:sz w:val="28"/>
          <w:sz w:val="28"/>
          <w:szCs w:val="28"/>
          <w:rtl w:val="true"/>
          <w:lang w:bidi="fa-IR"/>
        </w:rPr>
        <w:t xml:space="preserve">وجبت الصلاة وإلاّ فلا ، وهذا وإن کان متکلّفا </w:t>
      </w:r>
      <w:r>
        <w:rPr>
          <w:rStyle w:val="FootnoteAnchor"/>
          <w:rtl w:val="true"/>
        </w:rPr>
        <w:footnoteReference w:id="1292"/>
      </w:r>
      <w:r>
        <w:rPr>
          <w:rFonts w:ascii="IRNazanin" w:hAnsi="IRNazanin" w:eastAsia="IRNazanin"/>
          <w:color w:val="111111"/>
          <w:sz w:val="28"/>
          <w:sz w:val="28"/>
          <w:szCs w:val="28"/>
          <w:rtl w:val="true"/>
          <w:lang w:bidi="fa-IR"/>
        </w:rPr>
        <w:t xml:space="preserve">إلاّ أنّه لا یخرج الصلاة عن تعریف الصلاة </w:t>
      </w:r>
      <w:r>
        <w:rPr>
          <w:rStyle w:val="FootnoteAnchor"/>
          <w:rtl w:val="true"/>
        </w:rPr>
        <w:footnoteReference w:id="1293"/>
      </w:r>
      <w:r>
        <w:rPr>
          <w:rFonts w:ascii="IRNazanin" w:hAnsi="IRNazanin" w:eastAsia="IRNazanin"/>
          <w:color w:val="111111"/>
          <w:sz w:val="28"/>
          <w:sz w:val="28"/>
          <w:szCs w:val="28"/>
          <w:rtl w:val="true"/>
          <w:lang w:bidi="fa-IR"/>
        </w:rPr>
        <w:t>الواجب فی الجملة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فوائد شیخنا أیده الله أنّ العادة لما کانت أکثر ما تکون ستّة أو سبعة فجاز أن یکون ذلک لأنّ عادة نسائها دائرة بینهما ، أو بناء ذلک علی الظاهر من عادة نساء أهل المدینة ، أو قراباتها ، وجاز أن یکون ذلک أولی فیما بعد الشهر والشهرین ، أو لم یکن وقع السؤال إلاّ بعد مضیّ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سلّمه الله فلیتدبّر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زرعة ،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جاریة حاضت أوّل حیضها فدام دمها ثلاثة أشهر وهی لا تعرف أیّام أقرائها؟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أقراؤها مثل أقراء نسائها ، فإن کنّ نساؤها مختلفات فأکثر جلوسها عشرة أیّام ، وأقلّه ثلاثة أیّام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علی بن الحسن بن فضال ، عن الحسن بن علی بن بنت إلیاس ، عن جمیل بن دراج ومحمد بن حمران جمیعاً ، عن زرارة ومحمد بن مسلم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للمستحاضة أن تنظر بعض نسائها فتقتدی بأقرائها ثم تستظهر علی ذلک بیوم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ینافی الأخبار الأوّلة فإنّ هذا حکم من لها نساء ، فأمّا من لیس لها نساء أو کنّ مختلفات کان الحکم ما ذکرناه ، ولأجل ذلک قال فی آخر الخبر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کنّ نساؤها مختلفات فأکثر جلوسها عشرة أیّام </w:t>
      </w:r>
      <w:bookmarkStart w:id="1060" w:name="pg17122_169819"/>
    </w:p>
    <w:p>
      <w:pPr>
        <w:pStyle w:val="BookText"/>
        <w:rPr/>
      </w:pPr>
      <w:bookmarkEnd w:id="1060"/>
      <w:r>
        <w:rPr>
          <w:rFonts w:ascii="IRNazanin" w:hAnsi="IRNazanin" w:eastAsia="IRNazanin"/>
          <w:color w:val="111111"/>
          <w:sz w:val="28"/>
          <w:sz w:val="28"/>
          <w:szCs w:val="28"/>
          <w:rtl w:val="true"/>
          <w:lang w:bidi="fa-IR"/>
        </w:rPr>
        <w:t xml:space="preserve">وأقله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حکمها عند ذلک إلی ما تضمنته الأخبار الأوّلة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فی الکتاب إذ لیس فی المشیخة طریق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تکرر القول فی رجاله ، سوی محمد بن حمران وقد وثّقه النجاشی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قاله الشیخ فیه لا یخلو من تأمّل علی تقدیر سلامة السند ، لکن نقل عن الشیخ دعوی الإجماع علی صحة الروایة الأُولی </w:t>
      </w:r>
      <w:r>
        <w:rPr>
          <w:rStyle w:val="FootnoteAnchor"/>
          <w:rtl w:val="true"/>
        </w:rPr>
        <w:footnoteReference w:id="1295"/>
      </w:r>
      <w:r>
        <w:rPr>
          <w:rFonts w:ascii="IRNazanin" w:hAnsi="IRNazanin" w:eastAsia="IRNazanin"/>
          <w:color w:val="111111"/>
          <w:sz w:val="28"/>
          <w:sz w:val="28"/>
          <w:szCs w:val="28"/>
          <w:rtl w:val="true"/>
          <w:lang w:bidi="fa-IR"/>
        </w:rPr>
        <w:t xml:space="preserve">، ثم إنّ الثانیة لا تخفی دلالتها علی الرجوع إلی بعض نسائها ، والذی صرح به جماعة من المتأخّرین أنّ الرجوع إلی نسائها مشروط بالاتفاق </w:t>
      </w:r>
      <w:r>
        <w:rPr>
          <w:rStyle w:val="FootnoteAnchor"/>
          <w:rtl w:val="true"/>
        </w:rPr>
        <w:footnoteReference w:id="1296"/>
      </w:r>
      <w:r>
        <w:rPr>
          <w:rFonts w:ascii="IRNazanin" w:hAnsi="IRNazanin" w:eastAsia="IRNazanin"/>
          <w:color w:val="111111"/>
          <w:sz w:val="28"/>
          <w:sz w:val="28"/>
          <w:szCs w:val="28"/>
          <w:rtl w:val="true"/>
          <w:lang w:bidi="fa-IR"/>
        </w:rPr>
        <w:t xml:space="preserve">، ومع الاتفاق لا وجه لذکر البعض ، وممّن ذکر الاتفاق المحقق فی المعتبر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رجوعها إلی نسائها مشروط باتفاقهنّ </w:t>
      </w:r>
      <w:r>
        <w:rPr>
          <w:rStyle w:val="FootnoteAnchor"/>
          <w:rtl w:val="true"/>
        </w:rPr>
        <w:footnoteReference w:id="1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الشرائع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عن العلاّمة فی النهایة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کنّ عشراً فاتفق فیهن تسع رجعت إلی الأقران </w:t>
      </w:r>
      <w:r>
        <w:rPr>
          <w:rStyle w:val="FootnoteAnchor"/>
          <w:rtl w:val="true"/>
        </w:rPr>
        <w:footnoteReference w:id="1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ورجّح جدی قدس سره </w:t>
      </w:r>
      <w:r>
        <w:rPr>
          <w:rFonts w:eastAsia="IRNazanin" w:cs="IRNazanin"/>
          <w:color w:val="111111"/>
          <w:sz w:val="28"/>
          <w:szCs w:val="28"/>
          <w:rtl w:val="true"/>
          <w:lang w:bidi="fa-IR"/>
        </w:rPr>
        <w:t xml:space="preserve">- </w:t>
      </w:r>
      <w:r>
        <w:rPr>
          <w:rStyle w:val="FootnoteAnchor"/>
          <w:rtl w:val="true"/>
        </w:rPr>
        <w:footnoteReference w:id="1300"/>
      </w:r>
      <w:r>
        <w:rPr>
          <w:rFonts w:ascii="IRNazanin" w:hAnsi="IRNazanin" w:eastAsia="IRNazanin"/>
          <w:color w:val="111111"/>
          <w:sz w:val="28"/>
          <w:sz w:val="28"/>
          <w:szCs w:val="28"/>
          <w:rtl w:val="true"/>
          <w:lang w:bidi="fa-IR"/>
        </w:rPr>
        <w:t xml:space="preserve">وقبله الشهید </w:t>
      </w:r>
      <w:r>
        <w:rPr>
          <w:rStyle w:val="FootnoteAnchor"/>
          <w:rtl w:val="true"/>
        </w:rPr>
        <w:footnoteReference w:id="1301"/>
      </w:r>
      <w:r>
        <w:rPr>
          <w:rFonts w:ascii="IRNazanin" w:hAnsi="IRNazanin" w:eastAsia="IRNazanin"/>
          <w:color w:val="111111"/>
          <w:sz w:val="28"/>
          <w:sz w:val="28"/>
          <w:szCs w:val="28"/>
          <w:rtl w:val="true"/>
          <w:lang w:bidi="fa-IR"/>
        </w:rPr>
        <w:t>اعتبار</w:t>
      </w:r>
    </w:p>
    <w:p>
      <w:pPr>
        <w:pStyle w:val="Heading4"/>
        <w:numPr>
          <w:ilvl w:val="3"/>
          <w:numId w:val="1"/>
        </w:numPr>
        <w:rPr/>
      </w:pPr>
      <w:bookmarkStart w:id="1061" w:name="__RefHeading___Toc39706_2142443653"/>
      <w:bookmarkStart w:id="1062" w:name="_Toc411"/>
      <w:bookmarkEnd w:id="1061"/>
      <w:r>
        <w:rPr>
          <w:rtl w:val="true"/>
        </w:rPr>
        <w:t>محمد بن حمران ثقة</w:t>
      </w:r>
      <w:bookmarkEnd w:id="1062"/>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63" w:name="__RefHeading___Toc39708_2142443653"/>
      <w:bookmarkStart w:id="1064" w:name="_Toc412"/>
      <w:bookmarkEnd w:id="1063"/>
      <w:r>
        <w:rPr>
          <w:rtl w:val="true"/>
        </w:rPr>
        <w:t>رجوع المبتدأة إلی نسائها</w:t>
      </w:r>
      <w:bookmarkEnd w:id="1064"/>
    </w:p>
    <w:p>
      <w:pPr>
        <w:pStyle w:val="BookText"/>
        <w:rPr/>
      </w:pPr>
      <w:r>
        <w:rPr>
          <w:rFonts w:ascii="IRNazanin" w:hAnsi="IRNazanin" w:eastAsia="IRNazanin"/>
          <w:color w:val="111111"/>
          <w:sz w:val="28"/>
          <w:sz w:val="28"/>
          <w:szCs w:val="28"/>
          <w:rtl w:val="true"/>
          <w:lang w:bidi="fa-IR"/>
        </w:rPr>
        <w:t>الأغلب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یذهب علیک أنّ الروایة الأُولی إذا </w:t>
      </w:r>
      <w:r>
        <w:rPr>
          <w:rStyle w:val="FootnoteAnchor"/>
          <w:rtl w:val="true"/>
        </w:rPr>
        <w:footnoteReference w:id="1302"/>
      </w:r>
      <w:r>
        <w:rPr>
          <w:rFonts w:ascii="IRNazanin" w:hAnsi="IRNazanin" w:eastAsia="IRNazanin"/>
          <w:color w:val="111111"/>
          <w:sz w:val="28"/>
          <w:sz w:val="28"/>
          <w:szCs w:val="28"/>
          <w:rtl w:val="true"/>
          <w:lang w:bidi="fa-IR"/>
        </w:rPr>
        <w:t>عمل بها لما نقل من دعوی الإجماع فمفادها أنّ مع الاختلاف ینقل حکمها ، والروایة الثانیة مفادها البعض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فالبحث فی </w:t>
      </w:r>
      <w:r>
        <w:rPr>
          <w:rStyle w:val="FootnoteAnchor"/>
          <w:rtl w:val="true"/>
        </w:rPr>
        <w:footnoteReference w:id="1303"/>
      </w:r>
      <w:r>
        <w:rPr>
          <w:rFonts w:ascii="IRNazanin" w:hAnsi="IRNazanin" w:eastAsia="IRNazanin"/>
          <w:color w:val="111111"/>
          <w:sz w:val="28"/>
          <w:sz w:val="28"/>
          <w:szCs w:val="28"/>
          <w:rtl w:val="true"/>
          <w:lang w:bidi="fa-IR"/>
        </w:rPr>
        <w:t xml:space="preserve">هذا الحکم قلیل الفائدة ، نعم ینبغی أن یعلم أنّ المتبادر من نسائها الأقارب ، وذکر بعض المتأخّرین أنّ الأقارب من الأبوین أو الأب ، ولا یعتبر العصبة ، لأنّ المعتبر الطبیعة وهی جاذبة من الطرفین </w:t>
      </w:r>
      <w:r>
        <w:rPr>
          <w:rStyle w:val="FootnoteAnchor"/>
          <w:rtl w:val="true"/>
        </w:rPr>
        <w:footnoteReference w:id="1304"/>
      </w:r>
      <w:r>
        <w:rPr>
          <w:rFonts w:ascii="IRNazanin" w:hAnsi="IRNazanin" w:eastAsia="IRNazanin"/>
          <w:color w:val="111111"/>
          <w:sz w:val="28"/>
          <w:sz w:val="28"/>
          <w:szCs w:val="28"/>
          <w:rtl w:val="true"/>
          <w:lang w:bidi="fa-IR"/>
        </w:rPr>
        <w:t xml:space="preserve">ثّم إنّه ینقل عن الشیخ فی المبسوط وجماعة من الأصحاب أنّهم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عادة ذوات نسائها من بلدها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والمحقق فی المعتبر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نطالب بدلیله فإنّه لم یثبت ، ولو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یغلب فی الظن أنّها کنسائها مع اتفاقهنّ یغلب فی الأقران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منعنا ذلک ، فإنّ ذوات القرابة بینها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وبینهنّ </w:t>
      </w:r>
      <w:r>
        <w:rPr>
          <w:rFonts w:eastAsia="IRNazanin" w:cs="IRNazanin"/>
          <w:color w:val="111111"/>
          <w:sz w:val="28"/>
          <w:szCs w:val="28"/>
          <w:rtl w:val="true"/>
          <w:lang w:bidi="fa-IR"/>
        </w:rPr>
        <w:t xml:space="preserve">) </w:t>
      </w:r>
      <w:r>
        <w:rPr>
          <w:rStyle w:val="FootnoteAnchor"/>
          <w:rtl w:val="true"/>
        </w:rPr>
        <w:footnoteReference w:id="1306"/>
      </w:r>
      <w:r>
        <w:rPr>
          <w:rFonts w:ascii="IRNazanin" w:hAnsi="IRNazanin" w:eastAsia="IRNazanin"/>
          <w:color w:val="111111"/>
          <w:sz w:val="28"/>
          <w:sz w:val="28"/>
          <w:szCs w:val="28"/>
          <w:rtl w:val="true"/>
          <w:lang w:bidi="fa-IR"/>
        </w:rPr>
        <w:t xml:space="preserve">مشابهة فی الطباع والجنسیة والأصل فقوّی الظنّ مع الاتفاق بمساواتها لهنّ ، ولا کذلک الأقران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واعترضه </w:t>
      </w:r>
      <w:r>
        <w:rPr>
          <w:rStyle w:val="FootnoteAnchor"/>
          <w:rtl w:val="true"/>
        </w:rPr>
        <w:footnoteReference w:id="1308"/>
      </w:r>
      <w:r>
        <w:rPr>
          <w:rFonts w:ascii="IRNazanin" w:hAnsi="IRNazanin" w:eastAsia="IRNazanin"/>
          <w:color w:val="111111"/>
          <w:sz w:val="28"/>
          <w:sz w:val="28"/>
          <w:szCs w:val="28"/>
          <w:rtl w:val="true"/>
          <w:lang w:bidi="fa-IR"/>
        </w:rPr>
        <w:t xml:space="preserve">الشهید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دال علیه ، لأنّ الإضافة تصدق بأدنی ملابسة ، ولما لابستها فی السنّ والبلد صدق علیهن النساء ، وأمّا المشاکلة فمن السنّ واتحاد البلد یحصل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 xml:space="preserve">. </w:t>
      </w:r>
      <w:bookmarkStart w:id="1065" w:name="pg17122_169821"/>
    </w:p>
    <w:p>
      <w:pPr>
        <w:pStyle w:val="BookText"/>
        <w:rPr/>
      </w:pPr>
      <w:bookmarkEnd w:id="1065"/>
      <w:r>
        <w:rPr>
          <w:rFonts w:ascii="IRNazanin" w:hAnsi="IRNazanin" w:eastAsia="IRNazanin"/>
          <w:color w:val="111111"/>
          <w:sz w:val="28"/>
          <w:sz w:val="28"/>
          <w:szCs w:val="28"/>
          <w:rtl w:val="true"/>
          <w:lang w:bidi="fa-IR"/>
        </w:rPr>
        <w:t>ولا یخفی علیک الحال بعد ما قدمناه من المتبادر ، أمّا إلزامه بالقول بأحد الأمرین إمّا البلد أو السن لصدق الملابسة ولا قائل به فجوابه سهل بعد القول بأنّه لا قائل به ، إذ الإجماع أخرجه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وأنت خبیر بأنّ الروایة الثانیة لیس فیها تقیید بالمبتدئة ، والمذکور فی کلام المتأخّرین الاختصاص بها بعد فقد التمییز </w:t>
      </w:r>
      <w:r>
        <w:rPr>
          <w:rStyle w:val="FootnoteAnchor"/>
          <w:rtl w:val="true"/>
        </w:rPr>
        <w:footnoteReference w:id="1310"/>
      </w:r>
      <w:r>
        <w:rPr>
          <w:rFonts w:ascii="IRNazanin" w:hAnsi="IRNazanin" w:eastAsia="IRNazanin"/>
          <w:color w:val="111111"/>
          <w:sz w:val="28"/>
          <w:sz w:val="28"/>
          <w:szCs w:val="28"/>
          <w:rtl w:val="true"/>
          <w:lang w:bidi="fa-IR"/>
        </w:rPr>
        <w:t>والأوّل لا یصلح لأن یقیّدها ، أو ذکر المبتدأة من کلام الراوی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الحبلی تری الدم</w:t>
      </w:r>
    </w:p>
    <w:p>
      <w:pPr>
        <w:pStyle w:val="BookText"/>
        <w:rPr/>
      </w:pPr>
      <w:r>
        <w:rPr>
          <w:rFonts w:ascii="IRNazanin" w:hAnsi="IRNazanin" w:eastAsia="IRNazanin"/>
          <w:color w:val="111111"/>
          <w:sz w:val="28"/>
          <w:sz w:val="28"/>
          <w:szCs w:val="28"/>
          <w:rtl w:val="true"/>
          <w:lang w:bidi="fa-IR"/>
        </w:rPr>
        <w:t xml:space="preserve">أخبرنی الشیخ رحمه الله عن أحمد بن محمد ، عن أبیه ، عن الحسین بن الحسن بن أبان ، عن الحسین بن سعید ، عن حماد ، عن حریز ، عمّن أخبره ، عن أبی جعفر وأبی عبد الله علیهماالسلام فی الحبلی تری الدم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تدع الصلاة فإنّه ربما بقی فی الرحم الدم ولم یخرج وذلک الهِراقة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الاسناد عن الحسین بن سعید ، عن النضر وفضالة بن أیوب ، عن ابن سنان ، عن أبی عبد الله علیه السلام أنّه سُئل عن الحبلی تری الدم أتترک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إنّ الحبلی ربما قذفت بالدم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حماد ، عن شعیب ، عن أبی بصیر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الحُبلی تری الدم؟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إنّه ربما قذفت المرأة بالدم وهی حبلی </w:t>
      </w:r>
      <w:r>
        <w:rPr>
          <w:rFonts w:eastAsia="IRNazanin" w:cs="IRNazanin"/>
          <w:color w:val="111111"/>
          <w:sz w:val="28"/>
          <w:szCs w:val="28"/>
          <w:rtl w:val="true"/>
          <w:lang w:bidi="fa-IR"/>
        </w:rPr>
        <w:t>».</w:t>
      </w:r>
    </w:p>
    <w:p>
      <w:pPr>
        <w:pStyle w:val="Heading3"/>
        <w:numPr>
          <w:ilvl w:val="2"/>
          <w:numId w:val="1"/>
        </w:numPr>
        <w:rPr/>
      </w:pPr>
      <w:bookmarkStart w:id="1066" w:name="__RefHeading___Toc39710_2142443653"/>
      <w:bookmarkStart w:id="1067" w:name="_Toc413"/>
      <w:bookmarkEnd w:id="1066"/>
      <w:r>
        <w:rPr>
          <w:rtl w:val="true"/>
        </w:rPr>
        <w:t>الحبلی تری الدم</w:t>
      </w:r>
      <w:bookmarkEnd w:id="1067"/>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68" w:name="__RefHeading___Toc39712_2142443653"/>
      <w:bookmarkStart w:id="1069" w:name="_Toc414"/>
      <w:bookmarkEnd w:id="1068"/>
      <w:r>
        <w:rPr>
          <w:rtl w:val="true"/>
        </w:rPr>
        <w:t>اشارة</w:t>
      </w:r>
      <w:bookmarkStart w:id="1070" w:name="pg17122_169822"/>
      <w:bookmarkEnd w:id="1069"/>
    </w:p>
    <w:p>
      <w:pPr>
        <w:pStyle w:val="BookText"/>
        <w:rPr/>
      </w:pPr>
      <w:bookmarkEnd w:id="1070"/>
      <w:r>
        <w:rPr>
          <w:rFonts w:ascii="IRNazanin" w:hAnsi="IRNazanin" w:eastAsia="IRNazanin"/>
          <w:color w:val="111111"/>
          <w:sz w:val="28"/>
          <w:sz w:val="28"/>
          <w:szCs w:val="28"/>
          <w:rtl w:val="true"/>
          <w:lang w:bidi="fa-IR"/>
        </w:rPr>
        <w:t xml:space="preserve">عنه ، عن صفوان ، عن عبد الرحمن بن الحجاج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إبراهیم علیه السلام عن المرأة الحُبلی تری الدم وهی حامل ، کما کانت تری قبل ذلک فی کل شهر ، هل تترک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تترک إن دام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عثمان بن عیسی ، عن سماعة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امرأة رأت الدم فی الحَبَل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تقعد أیّامها التی کانت تحیض ، فإذا زاد الدم علی الأیام التی کانت تقعد استظهرت بثلاثة أیّام ثم هی مستحاضة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صفوان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Style w:val="FootnoteAnchor"/>
          <w:rtl w:val="true"/>
        </w:rPr>
        <w:footnoteReference w:id="1311"/>
      </w:r>
      <w:r>
        <w:rPr>
          <w:rFonts w:ascii="IRNazanin" w:hAnsi="IRNazanin" w:eastAsia="IRNazanin"/>
          <w:color w:val="111111"/>
          <w:sz w:val="28"/>
          <w:sz w:val="28"/>
          <w:szCs w:val="28"/>
          <w:rtl w:val="true"/>
          <w:lang w:bidi="fa-IR"/>
        </w:rPr>
        <w:t xml:space="preserve">علیه السلام عن الحبلی تری الدم ثلاثة أیّام أو أربعة أیّام تصلی؟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تمسک عن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الشیخ رحمه الله عن أحمد بن محمد ، عن أبیه ، عن الصفار ، عن أحمد بن محمد ، عن علی بن الحکم ، عن العلاء القلاّء ، عن محمد بن مسلم ، عن أحدهما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الحبلی تری الدم کما کانت تری أیام حیضها مستقیماً فی کل شهر؟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تمسک عن الصلاة کما کانت تصنع فی حیضها فإذا طهرت صلت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 ارتیاب بعد ما قدّمناه إلاّ من جهة 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کذلک ، وابن سنان فیه هو عبد الله ، لا محمد ، کما یشهد به التتبّع ، لأنّ کل موضع یذکر فیه محمد فهو یروی عن الصادق</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71" w:name="__RefHeading___Toc39714_2142443653"/>
      <w:bookmarkStart w:id="1072" w:name="_Toc415"/>
      <w:bookmarkEnd w:id="1071"/>
      <w:r>
        <w:rPr>
          <w:rtl w:val="true"/>
        </w:rPr>
        <w:t>بحث حول عبدالله بن سنان ومحمد بن سنان</w:t>
      </w:r>
      <w:bookmarkEnd w:id="1072"/>
    </w:p>
    <w:p>
      <w:pPr>
        <w:pStyle w:val="BookText"/>
        <w:rPr/>
      </w:pPr>
      <w:r>
        <w:rPr>
          <w:rFonts w:ascii="IRNazanin" w:hAnsi="IRNazanin" w:eastAsia="IRNazanin"/>
          <w:color w:val="111111"/>
          <w:sz w:val="28"/>
          <w:sz w:val="28"/>
          <w:szCs w:val="28"/>
          <w:rtl w:val="true"/>
          <w:lang w:bidi="fa-IR"/>
        </w:rPr>
        <w:t xml:space="preserve">بواسطة ، وذکر الشیخ رحمه الله فی کتاب الرجال جماعة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لم یرووا عن الصادق علیه السلام إلاّ بواسطة وعدّ من جملتهم محمد بن سنان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محمد بن سنان الضعیف لیس أخا عبد الله کما توهّمه بعض لیکونا فی مرتبة واحدة ، وعلی تقدیر الاخوّة اتحاد المرتبة غیر لازم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والشیخ فی کتاب الرجال ذکر محمداً فی رجال الرضا علیه السلام </w:t>
      </w:r>
      <w:r>
        <w:rPr>
          <w:rStyle w:val="FootnoteAnchor"/>
          <w:rtl w:val="true"/>
        </w:rPr>
        <w:footnoteReference w:id="1313"/>
      </w:r>
      <w:r>
        <w:rPr>
          <w:rFonts w:ascii="IRNazanin" w:hAnsi="IRNazanin" w:eastAsia="IRNazanin"/>
          <w:color w:val="111111"/>
          <w:sz w:val="28"/>
          <w:sz w:val="28"/>
          <w:szCs w:val="28"/>
          <w:rtl w:val="true"/>
          <w:lang w:bidi="fa-IR"/>
        </w:rPr>
        <w:t xml:space="preserve">وذکر فی رجال الصادق علیه السلام محمد بن سنان بن طریف الهاشمی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وأخوه عبد الله </w:t>
      </w:r>
      <w:r>
        <w:rPr>
          <w:rStyle w:val="FootnoteAnchor"/>
          <w:rtl w:val="true"/>
        </w:rPr>
        <w:footnoteReference w:id="1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محمد المذکور لیس هو المتقدّم ، لأنّ المتقدّم 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أبو جعفر الزاهری </w:t>
      </w:r>
      <w:r>
        <w:rPr>
          <w:rStyle w:val="FootnoteAnchor"/>
          <w:rtl w:val="true"/>
        </w:rPr>
        <w:footnoteReference w:id="1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 أجداده طریف ، وعبد الله ابن سنان هو ابن طریف مولی بنی هاشم کما ذکره النجاشی </w:t>
      </w:r>
      <w:r>
        <w:rPr>
          <w:rStyle w:val="FootnoteAnchor"/>
          <w:rtl w:val="true"/>
        </w:rPr>
        <w:footnoteReference w:id="1316"/>
      </w:r>
      <w:r>
        <w:rPr>
          <w:rFonts w:ascii="IRNazanin" w:hAnsi="IRNazanin" w:eastAsia="IRNazanin"/>
          <w:color w:val="111111"/>
          <w:sz w:val="28"/>
          <w:sz w:val="28"/>
          <w:szCs w:val="28"/>
          <w:rtl w:val="true"/>
          <w:lang w:bidi="fa-IR"/>
        </w:rPr>
        <w:t>، فإذن لعبد الله أخ یقال له محمد ، وهو مهمل فی رجال الصادق ومحمد بن سنان الضعیف فی رجال الرضا علیه السلام لا غیر</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وقع لبعض المتأخّرین من الالتباس ، حیث ظنّ أنّ محمد بن سنان الضعیف هو المذکور فی رجال الصادق علیه السلام ، فیجوز أن یروی عن الصادق علیه السلام ، ویشکل الحال ، ثم دَفَعه بأنّ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 </w:t>
      </w:r>
      <w:r>
        <w:rPr>
          <w:rFonts w:eastAsia="IRNazanin" w:cs="IRNazanin"/>
          <w:color w:val="111111"/>
          <w:sz w:val="28"/>
          <w:szCs w:val="28"/>
          <w:rtl w:val="true"/>
          <w:lang w:bidi="fa-IR"/>
        </w:rPr>
        <w:t xml:space="preserve">] </w:t>
      </w:r>
      <w:r>
        <w:rPr>
          <w:rStyle w:val="FootnoteAnchor"/>
          <w:rtl w:val="true"/>
        </w:rPr>
        <w:footnoteReference w:id="1317"/>
      </w:r>
      <w:r>
        <w:rPr>
          <w:rFonts w:ascii="IRNazanin" w:hAnsi="IRNazanin" w:eastAsia="IRNazanin"/>
          <w:color w:val="111111"/>
          <w:sz w:val="28"/>
          <w:sz w:val="28"/>
          <w:szCs w:val="28"/>
          <w:rtl w:val="true"/>
          <w:lang w:bidi="fa-IR"/>
        </w:rPr>
        <w:t>فی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دفعه بعد ما قررناه ، غایة الأمر أنّه یحتمل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عبد الله إذا کان له أخ مهمل فی الرجال من أصحاب الصادق علیه السلام فیجوز أن یکون هو </w:t>
      </w:r>
    </w:p>
    <w:p>
      <w:pPr>
        <w:pStyle w:val="BookText"/>
        <w:rPr/>
      </w:pPr>
      <w:r>
        <w:rPr>
          <w:rFonts w:ascii="IRNazanin" w:hAnsi="IRNazanin" w:eastAsia="IRNazanin"/>
          <w:color w:val="111111"/>
          <w:sz w:val="28"/>
          <w:sz w:val="28"/>
          <w:szCs w:val="28"/>
          <w:rtl w:val="true"/>
          <w:lang w:bidi="fa-IR"/>
        </w:rPr>
        <w:t>الراوی ، ویساوی الضعیف لکونه مهملا ، وجوابه أنّ الإطلاق فی مثل ابن سنان إنّما ینصرف إلی المشهور ، کما یعرف بتتبع إطلاق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نقل العلاّمة فی الخلاصة عن المفید فی إرشاده توثیق محمد بن سنان </w:t>
      </w:r>
      <w:r>
        <w:rPr>
          <w:rStyle w:val="FootnoteAnchor"/>
          <w:rtl w:val="true"/>
        </w:rPr>
        <w:footnoteReference w:id="1318"/>
      </w:r>
      <w:r>
        <w:rPr>
          <w:rFonts w:ascii="IRNazanin" w:hAnsi="IRNazanin" w:eastAsia="IRNazanin"/>
          <w:color w:val="111111"/>
          <w:sz w:val="28"/>
          <w:sz w:val="28"/>
          <w:szCs w:val="28"/>
          <w:rtl w:val="true"/>
          <w:lang w:bidi="fa-IR"/>
        </w:rPr>
        <w:t xml:space="preserve">، والحال أنّ الشیخ قال فی باب المهور من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سنان مطعون علیه ضعیف جدّاً </w:t>
      </w:r>
      <w:r>
        <w:rPr>
          <w:rStyle w:val="FootnoteAnchor"/>
          <w:rtl w:val="true"/>
        </w:rPr>
        <w:footnoteReference w:id="1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والنجاشی قال فی ترجمة میّاح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 کتاباً یعرف برسالة میّاح ، وطریقها أضعف منها وهو محمد بن سنان </w:t>
      </w:r>
      <w:r>
        <w:rPr>
          <w:rStyle w:val="FootnoteAnchor"/>
          <w:rtl w:val="true"/>
        </w:rPr>
        <w:footnoteReference w:id="1320"/>
      </w:r>
      <w:r>
        <w:rPr>
          <w:rFonts w:ascii="IRNazanin" w:hAnsi="IRNazanin" w:eastAsia="IRNazanin"/>
          <w:color w:val="111111"/>
          <w:sz w:val="28"/>
          <w:sz w:val="28"/>
          <w:szCs w:val="28"/>
          <w:rtl w:val="true"/>
          <w:lang w:bidi="fa-IR"/>
        </w:rPr>
        <w:t xml:space="preserve">، وغیر ذلک من الأقوال فیه کما یعلم من کتب الرجال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فیه لا یخلو من ارتیاب ، فإنّ غایة ما یمکن الجمع بأنه کان ثقة وتغیّر کما یظهر من کتب الرجال </w:t>
      </w:r>
      <w:r>
        <w:rPr>
          <w:rStyle w:val="FootnoteAnchor"/>
          <w:rtl w:val="true"/>
        </w:rPr>
        <w:footnoteReference w:id="1322"/>
      </w:r>
      <w:r>
        <w:rPr>
          <w:rFonts w:ascii="IRNazanin" w:hAnsi="IRNazanin" w:eastAsia="IRNazanin"/>
          <w:color w:val="111111"/>
          <w:sz w:val="28"/>
          <w:sz w:val="28"/>
          <w:szCs w:val="28"/>
          <w:rtl w:val="true"/>
          <w:lang w:bidi="fa-IR"/>
        </w:rPr>
        <w:t>، إلاّ أنّ عدم وقوف المفید علی تغیّره والحکم بثقته فی غایة البُعد ، بل مقطوع بنفیه ، وکون الجرح عنده لم یتحقق من مثل ما ورد فیه لعدم ثبوته أقوی إشکالاً ، فإنّ مثل النجاشی المتأخّر یستبعد الثبوت عنده حینئذ ، وکذلک الشیخ</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روایة الثقات عن محمد بن سنان کما یستفاد من الأخبار أغرب ، وقد صرح الکشی بما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عنه یعنی محمد ابن سنان الفضل ، وأبوه ، ویونس ، ومحمد بن عیسی العبیدی ، ومحمد بن الحسین بن أبی الخطاب ، والحسن والحسین ابنا سعید الأهوازیان ، وأیوب ابن نوح ، وغیرهم من العدول والثقات من أهل العلم </w:t>
      </w:r>
      <w:r>
        <w:rPr>
          <w:rStyle w:val="FootnoteAnchor"/>
          <w:rtl w:val="true"/>
        </w:rPr>
        <w:footnoteReference w:id="1323"/>
      </w:r>
      <w:r>
        <w:rPr>
          <w:rFonts w:ascii="IRNazanin" w:hAnsi="IRNazanin" w:eastAsia="IRNazanin"/>
          <w:color w:val="111111"/>
          <w:sz w:val="28"/>
          <w:sz w:val="28"/>
          <w:szCs w:val="28"/>
          <w:rtl w:val="true"/>
          <w:lang w:bidi="fa-IR"/>
        </w:rPr>
        <w:t xml:space="preserve">، لکن لا یخفی أنّ </w:t>
      </w:r>
      <w:bookmarkStart w:id="1073" w:name="pg17122_169825"/>
    </w:p>
    <w:p>
      <w:pPr>
        <w:pStyle w:val="BookText"/>
        <w:rPr/>
      </w:pPr>
      <w:bookmarkEnd w:id="1073"/>
      <w:r>
        <w:rPr>
          <w:rFonts w:ascii="IRNazanin" w:hAnsi="IRNazanin" w:eastAsia="IRNazanin"/>
          <w:color w:val="111111"/>
          <w:sz w:val="28"/>
          <w:sz w:val="28"/>
          <w:szCs w:val="28"/>
          <w:rtl w:val="true"/>
          <w:lang w:bidi="fa-IR"/>
        </w:rPr>
        <w:t>الروایة عنه یحتمل أن تکون لاعتمادهم علی أصله ، أو فی حال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فی الرجل واسع المجال ، والله تعالی أعلم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 ضعیف ، لأنّ أبا بصیر هو الضعیف بقرینة روایة شعیب عنه وهو العقرقوفی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وإن کان فی عبد الرحمن بن الحجاج کلام ، لما وجدته فی کتاب الغیبة للشیخ الطوسی </w:t>
      </w:r>
      <w:r>
        <w:rPr>
          <w:rStyle w:val="FootnoteAnchor"/>
          <w:rtl w:val="true"/>
        </w:rPr>
        <w:footnoteReference w:id="1324"/>
      </w:r>
      <w:r>
        <w:rPr>
          <w:rFonts w:ascii="IRNazanin" w:hAnsi="IRNazanin" w:eastAsia="IRNazanin"/>
          <w:color w:val="111111"/>
          <w:sz w:val="28"/>
          <w:sz w:val="28"/>
          <w:szCs w:val="28"/>
          <w:rtl w:val="true"/>
          <w:lang w:bidi="fa-IR"/>
        </w:rPr>
        <w:t xml:space="preserve">وبعض الأخبار فی الکشی </w:t>
      </w:r>
      <w:r>
        <w:rPr>
          <w:rStyle w:val="FootnoteAnchor"/>
          <w:rtl w:val="true"/>
        </w:rPr>
        <w:footnoteReference w:id="1325"/>
      </w:r>
      <w:r>
        <w:rPr>
          <w:rFonts w:ascii="IRNazanin" w:hAnsi="IRNazanin" w:eastAsia="IRNazanin"/>
          <w:color w:val="111111"/>
          <w:sz w:val="28"/>
          <w:sz w:val="28"/>
          <w:szCs w:val="28"/>
          <w:rtl w:val="true"/>
          <w:lang w:bidi="fa-IR"/>
        </w:rPr>
        <w:t xml:space="preserve">، إلاّ أن توثیق النجاشی له مکرّراً من دون ذکر شی‌ء </w:t>
      </w:r>
      <w:r>
        <w:rPr>
          <w:rStyle w:val="FootnoteAnchor"/>
          <w:rtl w:val="true"/>
        </w:rPr>
        <w:footnoteReference w:id="1326"/>
      </w:r>
      <w:r>
        <w:rPr>
          <w:rFonts w:ascii="IRNazanin" w:hAnsi="IRNazanin" w:eastAsia="IRNazanin"/>
          <w:color w:val="111111"/>
          <w:sz w:val="28"/>
          <w:sz w:val="28"/>
          <w:szCs w:val="28"/>
          <w:rtl w:val="true"/>
          <w:lang w:bidi="fa-IR"/>
        </w:rPr>
        <w:t>أقوی ، کما کرّرنا فیه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 وکذا السابع ، کل ذلک بعد ملاحظة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الجمیع دال علی أنّ الحیض یجامع الحمل ، غیر أنّ الخبر الأوّل مطلق فی الحبلی المتقدم لها عادة وغیرها ، وکذلک الثانی والثالث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فیدل علی من تقدمت لها عادة مستقرّة فی الجملة ، وقوله علیه السلام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لأن یراد به التوالی ، ویحتمل أن یراد به وجوده فی العادة ابتداءً وانتهاءً ، فلو انقطع فی أثنائها ربما یشکل الحال ، إلاّ أنّ إطلاق الأخبار الأُول ربما دفع الإشکال ، واحتمال تقییدها بالرابع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زیادة بیان الاستظهار</w:t>
      </w:r>
      <w:r>
        <w:rPr>
          <w:rFonts w:eastAsia="IRNazanin" w:cs="IRNazanin"/>
          <w:color w:val="111111"/>
          <w:sz w:val="28"/>
          <w:szCs w:val="28"/>
          <w:rtl w:val="true"/>
          <w:lang w:bidi="fa-IR"/>
        </w:rPr>
        <w:t>.</w:t>
      </w:r>
    </w:p>
    <w:p>
      <w:pPr>
        <w:pStyle w:val="Heading4"/>
        <w:numPr>
          <w:ilvl w:val="3"/>
          <w:numId w:val="1"/>
        </w:numPr>
        <w:rPr/>
      </w:pPr>
      <w:bookmarkStart w:id="1074" w:name="__RefHeading___Toc39716_2142443653"/>
      <w:bookmarkStart w:id="1075" w:name="_Toc416"/>
      <w:bookmarkEnd w:id="1074"/>
      <w:r>
        <w:rPr>
          <w:rtl w:val="true"/>
        </w:rPr>
        <w:t>أبو بصیر الذی یروی عنه شعیب العقرقوفی هو الضعیف</w:t>
      </w:r>
      <w:bookmarkEnd w:id="1075"/>
    </w:p>
    <w:p>
      <w:pPr>
        <w:pStyle w:val="Heading4"/>
        <w:numPr>
          <w:ilvl w:val="3"/>
          <w:numId w:val="1"/>
        </w:numPr>
        <w:rPr/>
      </w:pPr>
      <w:bookmarkStart w:id="1076" w:name="__RefHeading___Toc39718_2142443653"/>
      <w:bookmarkStart w:id="1077" w:name="_Toc417"/>
      <w:bookmarkEnd w:id="1076"/>
      <w:r>
        <w:rPr>
          <w:rtl w:val="true"/>
        </w:rPr>
        <w:t>بحث حول عبدالرحمان بن الحجاج</w:t>
      </w:r>
      <w:bookmarkEnd w:id="1077"/>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78" w:name="__RefHeading___Toc39720_2142443653"/>
      <w:bookmarkStart w:id="1079" w:name="_Toc418"/>
      <w:bookmarkEnd w:id="1078"/>
      <w:r>
        <w:rPr>
          <w:rtl w:val="true"/>
        </w:rPr>
        <w:t>الحیض یجامع الحمل</w:t>
      </w:r>
      <w:bookmarkStart w:id="1080" w:name="pg17122_169826"/>
      <w:bookmarkEnd w:id="1079"/>
    </w:p>
    <w:p>
      <w:pPr>
        <w:pStyle w:val="BookText"/>
        <w:rPr/>
      </w:pPr>
      <w:bookmarkEnd w:id="1080"/>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فی التناول لکون العدد المذکور عادة قبل الحمل وعدمه ، وکونه من کلام السائل لا یضرّ بعد ترک الاستفصال من الإمام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یفید تقییداً کما لا یخفی علی من راجع ما ذکرناه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یعلم أنّ استدلال جماعة من القائلین بمجامعة الحیض للحبل بالأخبار من غیر تنبیه علی ما ذکرناه غیر لائق ، ومنهم شیخنا قدس سره </w:t>
      </w:r>
      <w:r>
        <w:rPr>
          <w:rFonts w:eastAsia="IRNazanin" w:cs="IRNazanin"/>
          <w:color w:val="111111"/>
          <w:sz w:val="28"/>
          <w:szCs w:val="28"/>
          <w:rtl w:val="true"/>
          <w:lang w:bidi="fa-IR"/>
        </w:rPr>
        <w:t xml:space="preserve">- </w:t>
      </w:r>
      <w:r>
        <w:rPr>
          <w:rStyle w:val="FootnoteAnchor"/>
          <w:rtl w:val="true"/>
        </w:rPr>
        <w:footnoteReference w:id="1327"/>
      </w:r>
      <w:r>
        <w:rPr>
          <w:rFonts w:ascii="IRNazanin" w:hAnsi="IRNazanin" w:eastAsia="IRNazanin"/>
          <w:color w:val="111111"/>
          <w:sz w:val="28"/>
          <w:sz w:val="28"/>
          <w:szCs w:val="28"/>
          <w:rtl w:val="true"/>
          <w:lang w:bidi="fa-IR"/>
        </w:rPr>
        <w:t xml:space="preserve">والعلاّمة فی المختلف </w:t>
      </w:r>
      <w:r>
        <w:rPr>
          <w:rStyle w:val="FootnoteAnchor"/>
          <w:rtl w:val="true"/>
        </w:rPr>
        <w:footnoteReference w:id="1328"/>
      </w:r>
      <w:r>
        <w:rPr>
          <w:rFonts w:ascii="IRNazanin" w:hAnsi="IRNazanin" w:eastAsia="IRNazanin"/>
          <w:color w:val="111111"/>
          <w:sz w:val="28"/>
          <w:sz w:val="28"/>
          <w:szCs w:val="28"/>
          <w:rtl w:val="true"/>
          <w:lang w:bidi="fa-IR"/>
        </w:rPr>
        <w:t xml:space="preserve">، ونقل فی المختلف القول عن ابن بابویه والسید المرتضی فی المسائل الناصریة </w:t>
      </w:r>
      <w:r>
        <w:rPr>
          <w:rStyle w:val="FootnoteAnchor"/>
          <w:rtl w:val="true"/>
        </w:rPr>
        <w:footnoteReference w:id="1329"/>
      </w:r>
      <w:r>
        <w:rPr>
          <w:rFonts w:ascii="IRNazanin" w:hAnsi="IRNazanin" w:eastAsia="IRNazanin"/>
          <w:color w:val="111111"/>
          <w:sz w:val="28"/>
          <w:sz w:val="28"/>
          <w:szCs w:val="28"/>
          <w:rtl w:val="true"/>
          <w:lang w:bidi="fa-IR"/>
        </w:rPr>
        <w:t xml:space="preserve">، وزاد شیخنا قدس سره روایة فی الحسن رواها الکلینی رحمه الله عن سلیمان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الحبلی ربما طمثت؟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وذلک أنّ الولد فی بطن امّه غذاؤه الدم فربما کثر ففضل عنه ، فإذا فضل دفعته ، وإذا دفعته حرُمت علیها الصلاة </w:t>
      </w:r>
      <w:r>
        <w:rPr>
          <w:rFonts w:eastAsia="IRNazanin" w:cs="IRNazanin"/>
          <w:color w:val="111111"/>
          <w:sz w:val="28"/>
          <w:szCs w:val="28"/>
          <w:rtl w:val="true"/>
          <w:lang w:bidi="fa-IR"/>
        </w:rPr>
        <w:t xml:space="preserve">»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کان فی الحدیث الأوّل إیماء إلی هذا ، إلاّ 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یخرج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أظنّه بزیادة الواو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أن یکون المراد لم یخرج قبل الحمل ، والأمر سهل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النهایة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أُمّ سلمة أنّ امرأة کانت تهراق الدم ، 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وهَراقَه یُهَریقُه بفتح الهاء هِراقَةً </w:t>
      </w:r>
      <w:r>
        <w:rPr>
          <w:rStyle w:val="FootnoteAnchor"/>
          <w:rtl w:val="true"/>
        </w:rPr>
        <w:footnoteReference w:id="1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هَراقَ الماء یُهَریقه</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81" w:name="__RefHeading___Toc39722_2142443653"/>
      <w:bookmarkStart w:id="1082" w:name="_Toc419"/>
      <w:bookmarkEnd w:id="1081"/>
      <w:r>
        <w:rPr>
          <w:rtl w:val="true"/>
        </w:rPr>
        <w:t>معنی الهراقة</w:t>
      </w:r>
      <w:bookmarkEnd w:id="1082"/>
    </w:p>
    <w:p>
      <w:pPr>
        <w:pStyle w:val="BookText"/>
        <w:rPr/>
      </w:pPr>
      <w:r>
        <w:rPr>
          <w:rFonts w:ascii="IRNazanin" w:hAnsi="IRNazanin" w:eastAsia="IRNazanin"/>
          <w:color w:val="111111"/>
          <w:sz w:val="28"/>
          <w:sz w:val="28"/>
          <w:szCs w:val="28"/>
          <w:rtl w:val="true"/>
          <w:lang w:bidi="fa-IR"/>
        </w:rPr>
        <w:t xml:space="preserve">بفتح الهاء هِراقةً ، بالکسر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صبه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أحمد بن محمد ، عن علی بن الحکم ، عن حمید ابن المثنی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الأوّل علیه السلام عن الحبلی تری الدفقة والدفقتین </w:t>
      </w:r>
      <w:r>
        <w:rPr>
          <w:rStyle w:val="FootnoteAnchor"/>
          <w:rtl w:val="true"/>
        </w:rPr>
        <w:footnoteReference w:id="1333"/>
      </w:r>
      <w:r>
        <w:rPr>
          <w:rFonts w:ascii="IRNazanin" w:hAnsi="IRNazanin" w:eastAsia="IRNazanin"/>
          <w:color w:val="111111"/>
          <w:sz w:val="28"/>
          <w:sz w:val="28"/>
          <w:szCs w:val="28"/>
          <w:rtl w:val="true"/>
          <w:lang w:bidi="fa-IR"/>
        </w:rPr>
        <w:t xml:space="preserve">فی الأیّام وفی الشهر وفی </w:t>
      </w:r>
      <w:r>
        <w:rPr>
          <w:rStyle w:val="FootnoteAnchor"/>
          <w:rtl w:val="true"/>
        </w:rPr>
        <w:footnoteReference w:id="1334"/>
      </w:r>
      <w:r>
        <w:rPr>
          <w:rFonts w:ascii="IRNazanin" w:hAnsi="IRNazanin" w:eastAsia="IRNazanin"/>
          <w:color w:val="111111"/>
          <w:sz w:val="28"/>
          <w:sz w:val="28"/>
          <w:szCs w:val="28"/>
          <w:rtl w:val="true"/>
          <w:lang w:bidi="fa-IR"/>
        </w:rPr>
        <w:t xml:space="preserve">الشهرین؟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تلک الهراقة لیس تمسک هذه عن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محمد بن أحمد بن یحیی ، عن إبراهیم بن هاشم ، عن النوفلی ، عن السکونی ، عن جعفر ، عن أبیه علیهماالسلام أنّه </w:t>
      </w:r>
      <w:r>
        <w:rPr>
          <w:rStyle w:val="FootnoteAnchor"/>
          <w:rtl w:val="true"/>
        </w:rPr>
        <w:footnoteReference w:id="133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الله لیجعل حیضاً مع حبل ، یعنی </w:t>
      </w:r>
      <w:r>
        <w:rPr>
          <w:rStyle w:val="FootnoteAnchor"/>
          <w:rtl w:val="true"/>
        </w:rPr>
        <w:footnoteReference w:id="1336"/>
      </w:r>
      <w:r>
        <w:rPr>
          <w:rFonts w:ascii="IRNazanin" w:hAnsi="IRNazanin" w:eastAsia="IRNazanin"/>
          <w:color w:val="111111"/>
          <w:sz w:val="28"/>
          <w:sz w:val="28"/>
          <w:szCs w:val="28"/>
          <w:rtl w:val="true"/>
          <w:lang w:bidi="fa-IR"/>
        </w:rPr>
        <w:t xml:space="preserve">إذا رأت المرأة الدم وهی حامل لا تدع الصلاة إلاّ أن تری علی رأس الولد إذا ضربها الطلق </w:t>
      </w:r>
      <w:r>
        <w:rPr>
          <w:rStyle w:val="FootnoteAnchor"/>
          <w:rtl w:val="true"/>
        </w:rPr>
        <w:footnoteReference w:id="1337"/>
      </w:r>
      <w:r>
        <w:rPr>
          <w:rFonts w:ascii="IRNazanin" w:hAnsi="IRNazanin" w:eastAsia="IRNazanin"/>
          <w:color w:val="111111"/>
          <w:sz w:val="28"/>
          <w:sz w:val="28"/>
          <w:szCs w:val="28"/>
          <w:rtl w:val="true"/>
          <w:lang w:bidi="fa-IR"/>
        </w:rPr>
        <w:t xml:space="preserve">ورأت الدم ترکت الصلاة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فهذان الخبران لا ینافیان الأخبار المتقدّمة ، لأنّ الخبر الأوّل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الحبلی تری الدفقة والدفقتین فی الأیّام وفی الشهر 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تلک الهراقة لیس تمسک هذه عن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صحیح ، لأنّ ذلک لیس بأقل الحیض ، لأنا قد بیّنا أنّ أقل أیّام </w:t>
      </w:r>
      <w:r>
        <w:rPr>
          <w:rStyle w:val="FootnoteAnchor"/>
          <w:rtl w:val="true"/>
        </w:rPr>
        <w:footnoteReference w:id="1338"/>
      </w:r>
      <w:r>
        <w:rPr>
          <w:rFonts w:ascii="IRNazanin" w:hAnsi="IRNazanin" w:eastAsia="IRNazanin"/>
          <w:color w:val="111111"/>
          <w:sz w:val="28"/>
          <w:sz w:val="28"/>
          <w:szCs w:val="28"/>
          <w:rtl w:val="true"/>
          <w:lang w:bidi="fa-IR"/>
        </w:rPr>
        <w:t xml:space="preserve">الحیض ثلاثة أیّام </w:t>
      </w:r>
      <w:r>
        <w:rPr>
          <w:rStyle w:val="FootnoteAnchor"/>
          <w:rtl w:val="true"/>
        </w:rPr>
        <w:footnoteReference w:id="1339"/>
      </w:r>
      <w:r>
        <w:rPr>
          <w:rFonts w:ascii="IRNazanin" w:hAnsi="IRNazanin" w:eastAsia="IRNazanin"/>
          <w:color w:val="111111"/>
          <w:sz w:val="28"/>
          <w:sz w:val="28"/>
          <w:szCs w:val="28"/>
          <w:rtl w:val="true"/>
          <w:lang w:bidi="fa-IR"/>
        </w:rPr>
        <w:t xml:space="preserve">، وإذا لم تر </w:t>
      </w:r>
    </w:p>
    <w:p>
      <w:pPr>
        <w:pStyle w:val="BookText"/>
        <w:rPr/>
      </w:pPr>
      <w:r>
        <w:rPr>
          <w:rFonts w:ascii="IRNazanin" w:hAnsi="IRNazanin" w:eastAsia="IRNazanin"/>
          <w:color w:val="111111"/>
          <w:sz w:val="28"/>
          <w:sz w:val="28"/>
          <w:szCs w:val="28"/>
          <w:rtl w:val="true"/>
          <w:lang w:bidi="fa-IR"/>
        </w:rPr>
        <w:t>إلاّ دفقة أو دفقتین فلیس بدم حیض لا یجوز لها ترک الصلاة والصوم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الخبر الثانی وهو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یجعل الله الحبل مع الحیض ، فالوجه فیه أنّه لا یکون ذلک </w:t>
      </w:r>
      <w:r>
        <w:rPr>
          <w:rStyle w:val="FootnoteAnchor"/>
          <w:rtl w:val="true"/>
        </w:rPr>
        <w:footnoteReference w:id="1340"/>
      </w:r>
      <w:r>
        <w:rPr>
          <w:rFonts w:ascii="IRNazanin" w:hAnsi="IRNazanin" w:eastAsia="IRNazanin"/>
          <w:color w:val="111111"/>
          <w:sz w:val="28"/>
          <w:sz w:val="28"/>
          <w:szCs w:val="28"/>
          <w:rtl w:val="true"/>
          <w:lang w:bidi="fa-IR"/>
        </w:rPr>
        <w:t xml:space="preserve">مع الحبلی </w:t>
      </w:r>
      <w:r>
        <w:rPr>
          <w:rStyle w:val="FootnoteAnchor"/>
          <w:rtl w:val="true"/>
        </w:rPr>
        <w:footnoteReference w:id="1341"/>
      </w:r>
      <w:r>
        <w:rPr>
          <w:rFonts w:ascii="IRNazanin" w:hAnsi="IRNazanin" w:eastAsia="IRNazanin"/>
          <w:color w:val="111111"/>
          <w:sz w:val="28"/>
          <w:sz w:val="28"/>
          <w:szCs w:val="28"/>
          <w:rtl w:val="true"/>
          <w:lang w:bidi="fa-IR"/>
        </w:rPr>
        <w:t>المستبین حملها ، وإنّما یکون الحیض ما لم یستبن الحمل فإذا استبان فقد ارتفع الحیض ، ولأجل ذلک اعتبرنا أنّه متی تأخّر عن عادتها بعشرین یوماً فلیس ذلک بدم 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أخبرنی به الشیخ رحمه الله عن أبی القاسم جعفر بن محمد ، عن محمد ابن یعقوب ، عن محمد بن یحیی ، عن أحمد بن محمد ، عن الحسن بن محبوب ، عن الحسین بن نعیم الصحاف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 ولدی تری الدم وهی حامل کیف تصنع بالصلاة؟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رأت الحامل الدم بعد ما مضی </w:t>
      </w:r>
      <w:r>
        <w:rPr>
          <w:rStyle w:val="FootnoteAnchor"/>
          <w:rtl w:val="true"/>
        </w:rPr>
        <w:footnoteReference w:id="1342"/>
      </w:r>
      <w:r>
        <w:rPr>
          <w:rFonts w:ascii="IRNazanin" w:hAnsi="IRNazanin" w:eastAsia="IRNazanin"/>
          <w:color w:val="111111"/>
          <w:sz w:val="28"/>
          <w:sz w:val="28"/>
          <w:szCs w:val="28"/>
          <w:rtl w:val="true"/>
          <w:lang w:bidi="fa-IR"/>
        </w:rPr>
        <w:t xml:space="preserve">عشرون یوماً من الوقت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تری فیه الدم من الشهر الذی </w:t>
      </w:r>
      <w:r>
        <w:rPr>
          <w:rFonts w:eastAsia="IRNazanin" w:cs="IRNazanin"/>
          <w:color w:val="111111"/>
          <w:sz w:val="28"/>
          <w:szCs w:val="28"/>
          <w:rtl w:val="true"/>
          <w:lang w:bidi="fa-IR"/>
        </w:rPr>
        <w:t xml:space="preserve">) </w:t>
      </w:r>
      <w:r>
        <w:rPr>
          <w:rStyle w:val="FootnoteAnchor"/>
          <w:rtl w:val="true"/>
        </w:rPr>
        <w:footnoteReference w:id="1343"/>
      </w:r>
      <w:r>
        <w:rPr>
          <w:rFonts w:ascii="IRNazanin" w:hAnsi="IRNazanin" w:eastAsia="IRNazanin"/>
          <w:color w:val="111111"/>
          <w:sz w:val="28"/>
          <w:sz w:val="28"/>
          <w:szCs w:val="28"/>
          <w:rtl w:val="true"/>
          <w:lang w:bidi="fa-IR"/>
        </w:rPr>
        <w:t xml:space="preserve">کانت تقعد </w:t>
      </w:r>
      <w:r>
        <w:rPr>
          <w:rStyle w:val="FootnoteAnchor"/>
          <w:rtl w:val="true"/>
        </w:rPr>
        <w:footnoteReference w:id="1344"/>
      </w:r>
      <w:r>
        <w:rPr>
          <w:rFonts w:ascii="IRNazanin" w:hAnsi="IRNazanin" w:eastAsia="IRNazanin"/>
          <w:color w:val="111111"/>
          <w:sz w:val="28"/>
          <w:sz w:val="28"/>
          <w:szCs w:val="28"/>
          <w:rtl w:val="true"/>
          <w:lang w:bidi="fa-IR"/>
        </w:rPr>
        <w:t xml:space="preserve">فیه فإنّ ذلک لیس من الرحم ولا من الطمث ، فتتوضّأ </w:t>
      </w:r>
      <w:r>
        <w:rPr>
          <w:rStyle w:val="FootnoteAnchor"/>
          <w:rtl w:val="true"/>
        </w:rPr>
        <w:footnoteReference w:id="1345"/>
      </w:r>
      <w:r>
        <w:rPr>
          <w:rFonts w:ascii="IRNazanin" w:hAnsi="IRNazanin" w:eastAsia="IRNazanin"/>
          <w:color w:val="111111"/>
          <w:sz w:val="28"/>
          <w:sz w:val="28"/>
          <w:szCs w:val="28"/>
          <w:rtl w:val="true"/>
          <w:lang w:bidi="fa-IR"/>
        </w:rPr>
        <w:t xml:space="preserve">وتحتشی بکرسف وتصلّی ، وإذا رأت الحامل الدم قبل الوقت الذی کانت تری فیه الدم بقلیل </w:t>
      </w:r>
      <w:r>
        <w:rPr>
          <w:rStyle w:val="FootnoteAnchor"/>
          <w:rtl w:val="true"/>
        </w:rPr>
        <w:footnoteReference w:id="1346"/>
      </w:r>
      <w:r>
        <w:rPr>
          <w:rFonts w:ascii="IRNazanin" w:hAnsi="IRNazanin" w:eastAsia="IRNazanin"/>
          <w:color w:val="111111"/>
          <w:sz w:val="28"/>
          <w:sz w:val="28"/>
          <w:szCs w:val="28"/>
          <w:rtl w:val="true"/>
          <w:lang w:bidi="fa-IR"/>
        </w:rPr>
        <w:t xml:space="preserve">، أو فی الوقت من ذلک الشهر فإنّه من </w:t>
      </w:r>
      <w:bookmarkStart w:id="1083" w:name="pg17122_169829"/>
    </w:p>
    <w:p>
      <w:pPr>
        <w:pStyle w:val="BookText"/>
        <w:rPr/>
      </w:pPr>
      <w:bookmarkEnd w:id="1083"/>
      <w:r>
        <w:rPr>
          <w:rFonts w:ascii="IRNazanin" w:hAnsi="IRNazanin" w:eastAsia="IRNazanin"/>
          <w:color w:val="111111"/>
          <w:sz w:val="28"/>
          <w:sz w:val="28"/>
          <w:szCs w:val="28"/>
          <w:rtl w:val="true"/>
          <w:lang w:bidi="fa-IR"/>
        </w:rPr>
        <w:t xml:space="preserve">الحیضة فلتمسک عن الصلاة عدد أیّامها التی کانت تعقد فی حیضها ، فإن انقطع الدم عنها قبل ذلک فلتغتسل ولتصلّ ، وإن </w:t>
      </w:r>
      <w:r>
        <w:rPr>
          <w:rStyle w:val="FootnoteAnchor"/>
          <w:rtl w:val="true"/>
        </w:rPr>
        <w:footnoteReference w:id="1347"/>
      </w:r>
      <w:r>
        <w:rPr>
          <w:rFonts w:ascii="IRNazanin" w:hAnsi="IRNazanin" w:eastAsia="IRNazanin"/>
          <w:color w:val="111111"/>
          <w:sz w:val="28"/>
          <w:sz w:val="28"/>
          <w:szCs w:val="28"/>
          <w:rtl w:val="true"/>
          <w:lang w:bidi="fa-IR"/>
        </w:rPr>
        <w:t xml:space="preserve">لم ینقطع الدم عنها إلاّ بعد ما تمضی من </w:t>
      </w:r>
      <w:r>
        <w:rPr>
          <w:rStyle w:val="FootnoteAnchor"/>
          <w:rtl w:val="true"/>
        </w:rPr>
        <w:footnoteReference w:id="1348"/>
      </w:r>
      <w:r>
        <w:rPr>
          <w:rFonts w:ascii="IRNazanin" w:hAnsi="IRNazanin" w:eastAsia="IRNazanin"/>
          <w:color w:val="111111"/>
          <w:sz w:val="28"/>
          <w:sz w:val="28"/>
          <w:szCs w:val="28"/>
          <w:rtl w:val="true"/>
          <w:lang w:bidi="fa-IR"/>
        </w:rPr>
        <w:t>الأیّام التی کانت تری الدم فیها بیوم أو یومین فلتغتسل وتحتشی وتستثفر وتصلّی الظهر 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لتنظر فإن </w:t>
      </w:r>
      <w:r>
        <w:rPr>
          <w:rStyle w:val="FootnoteAnchor"/>
          <w:rtl w:val="true"/>
        </w:rPr>
        <w:footnoteReference w:id="1349"/>
      </w:r>
      <w:r>
        <w:rPr>
          <w:rFonts w:ascii="IRNazanin" w:hAnsi="IRNazanin" w:eastAsia="IRNazanin"/>
          <w:color w:val="111111"/>
          <w:sz w:val="28"/>
          <w:sz w:val="28"/>
          <w:szCs w:val="28"/>
          <w:rtl w:val="true"/>
          <w:lang w:bidi="fa-IR"/>
        </w:rPr>
        <w:t xml:space="preserve">کان الدم فی ما بینها وبین المغرب لا یسیل من خلف الکرسف فلتتوضّأ ولتصلّ عند کل صلاة ما لم تطرح الکرسف ، فإن طرحت الکرسف عنها وسال الدم وجب علیها الغسل ، وإن طرحت الکرسف عنها ولم یسل الدم فلتتوضّأ ولتصلِّ ولا غسل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w:t>
      </w:r>
      <w:r>
        <w:rPr>
          <w:rStyle w:val="FootnoteAnchor"/>
          <w:rtl w:val="true"/>
        </w:rPr>
        <w:footnoteReference w:id="1350"/>
      </w:r>
      <w:r>
        <w:rPr>
          <w:rFonts w:ascii="IRNazanin" w:hAnsi="IRNazanin" w:eastAsia="IRNazanin"/>
          <w:color w:val="111111"/>
          <w:sz w:val="28"/>
          <w:sz w:val="28"/>
          <w:szCs w:val="28"/>
          <w:rtl w:val="true"/>
          <w:lang w:bidi="fa-IR"/>
        </w:rPr>
        <w:t xml:space="preserve">کان الدم إذا أمسکت الکرسف یسیل من خلف الکرسف صبیباً لا یرقی فإنّ علیها أن تغتسل فی کل یوم ولیلة ثلاث مرّات ثم تحتشی وتصلّی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تغتسل للفجر ، وتغتسل للظهر والعصر ، وتغتسل للمغرب والعشاء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w:t>
      </w:r>
      <w:r>
        <w:rPr>
          <w:rStyle w:val="FootnoteAnchor"/>
          <w:rtl w:val="true"/>
        </w:rPr>
        <w:footnoteReference w:id="1351"/>
      </w:r>
      <w:r>
        <w:rPr>
          <w:rFonts w:ascii="Amiri" w:hAnsi="Amiri" w:eastAsia="Amiri" w:cs="Amiri"/>
          <w:color w:val="111111"/>
          <w:sz w:val="28"/>
          <w:sz w:val="28"/>
          <w:szCs w:val="28"/>
          <w:rtl w:val="true"/>
          <w:lang w:bidi="ar-SA"/>
        </w:rPr>
        <w:t xml:space="preserve">تفعل المستحاضة فإذا </w:t>
      </w:r>
      <w:r>
        <w:rPr>
          <w:rStyle w:val="FootnoteAnchor"/>
          <w:rtl w:val="true"/>
        </w:rPr>
        <w:footnoteReference w:id="1352"/>
      </w:r>
      <w:r>
        <w:rPr>
          <w:rFonts w:ascii="IRNazanin" w:hAnsi="IRNazanin" w:eastAsia="IRNazanin"/>
          <w:color w:val="111111"/>
          <w:sz w:val="28"/>
          <w:sz w:val="28"/>
          <w:szCs w:val="28"/>
          <w:rtl w:val="true"/>
          <w:lang w:bidi="fa-IR"/>
        </w:rPr>
        <w:t xml:space="preserve">فعلت ذلک أذهب الله بالدم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 ارتیاب ، فإنّ </w:t>
      </w:r>
      <w:r>
        <w:rPr>
          <w:rStyle w:val="FootnoteAnchor"/>
          <w:rtl w:val="true"/>
        </w:rPr>
        <w:footnoteReference w:id="1353"/>
      </w:r>
      <w:r>
        <w:rPr>
          <w:rFonts w:ascii="IRNazanin" w:hAnsi="IRNazanin" w:eastAsia="IRNazanin"/>
          <w:color w:val="111111"/>
          <w:sz w:val="28"/>
          <w:sz w:val="28"/>
          <w:szCs w:val="28"/>
          <w:rtl w:val="true"/>
          <w:lang w:bidi="fa-IR"/>
        </w:rPr>
        <w:t>علی بن الحکم بتقدیر الاشتراک</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84" w:name="__RefHeading___Toc39724_2142443653"/>
      <w:bookmarkStart w:id="1085" w:name="_Toc420"/>
      <w:bookmarkEnd w:id="1084"/>
      <w:r>
        <w:rPr>
          <w:rtl w:val="true"/>
        </w:rPr>
        <w:t>علی بن الحکم الذی یروی عنه أحمد بن محمد بن عیسی هو الثقة</w:t>
      </w:r>
      <w:bookmarkStart w:id="1086" w:name="pg17122_169830"/>
      <w:bookmarkEnd w:id="1085"/>
    </w:p>
    <w:p>
      <w:pPr>
        <w:pStyle w:val="BookText"/>
        <w:rPr/>
      </w:pPr>
      <w:bookmarkEnd w:id="1086"/>
      <w:r>
        <w:rPr>
          <w:rFonts w:ascii="IRNazanin" w:hAnsi="IRNazanin" w:eastAsia="IRNazanin"/>
          <w:color w:val="111111"/>
          <w:sz w:val="28"/>
          <w:sz w:val="28"/>
          <w:szCs w:val="28"/>
          <w:rtl w:val="true"/>
          <w:lang w:bidi="fa-IR"/>
        </w:rPr>
        <w:t xml:space="preserve">هو الثقة بقرینة روایة أحمد بن محمد بن عیسی عنه ، وأحمد بن محمد هو ابن عیسی ، وحمید بن المثنی هو أبو المعزی ثقة ثقة فی النجاشی </w:t>
      </w:r>
      <w:r>
        <w:rPr>
          <w:rStyle w:val="FootnoteAnchor"/>
          <w:rtl w:val="true"/>
        </w:rPr>
        <w:footnoteReference w:id="1354"/>
      </w:r>
      <w:r>
        <w:rPr>
          <w:rFonts w:ascii="IRNazanin" w:hAnsi="IRNazanin" w:eastAsia="IRNazanin"/>
          <w:color w:val="111111"/>
          <w:sz w:val="28"/>
          <w:sz w:val="28"/>
          <w:szCs w:val="28"/>
          <w:rtl w:val="true"/>
          <w:lang w:bidi="fa-IR"/>
        </w:rPr>
        <w:t xml:space="preserve">، ووثّقه أیضاً ابن بابویه فی الفقیه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الحال بالنوفلی والسکونی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 وفی الإیضاح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بضم النون وفتح العین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خفی فی عدم المعارضة کما ذکره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قاله الشیخ غیر واضح الوجه ، والأخبار الأوّلة صریحة فی وجود الحیض مع الحمل ، غایة الأمر أنّه لا بدّ فیها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ذلک اعتبرنا أنّه متی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أنّه متی لم یتأخّر یکون حیضا ، فهو اعتراف بوجود الحیض مع الحمل ، إلاّ أنّ مراد الشیخ أنّه إذا لم یتأخّر لم یمکن حمل ، والدلیل لا یساعد علیه ، فإن روایة الصحاف صریحة فی تحقق الحیض مع الحمل ، غایة الأمر أنّها تدل علی أنّ الحامل متی تأخّر الدم عن عادتها التی کانت تری فیها الدم قبل الحمل بعشرین یوماً لا یکون الدم حیضا ، وهذا لا ینفی حیض الحامل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فی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رأت قبل الوقت بقلیل أو فیه </w:t>
      </w:r>
      <w:r>
        <w:rPr>
          <w:rStyle w:val="FootnoteAnchor"/>
          <w:rtl w:val="true"/>
        </w:rPr>
        <w:footnoteReference w:id="1357"/>
      </w:r>
      <w:r>
        <w:rPr>
          <w:rFonts w:ascii="IRNazanin" w:hAnsi="IRNazanin" w:eastAsia="IRNazanin"/>
          <w:color w:val="111111"/>
          <w:sz w:val="28"/>
          <w:sz w:val="28"/>
          <w:szCs w:val="28"/>
          <w:rtl w:val="true"/>
          <w:lang w:bidi="fa-IR"/>
        </w:rPr>
        <w:t>من ذلک الشهر فإنّه من الحیضة ، صریح فی مجامعة الحیض للحمل</w:t>
      </w:r>
      <w:r>
        <w:rPr>
          <w:rFonts w:eastAsia="IRNazanin" w:cs="IRNazanin"/>
          <w:color w:val="111111"/>
          <w:sz w:val="28"/>
          <w:szCs w:val="28"/>
          <w:rtl w:val="true"/>
          <w:lang w:bidi="fa-IR"/>
        </w:rPr>
        <w:t>.</w:t>
      </w:r>
    </w:p>
    <w:p>
      <w:pPr>
        <w:pStyle w:val="Heading4"/>
        <w:numPr>
          <w:ilvl w:val="3"/>
          <w:numId w:val="1"/>
        </w:numPr>
        <w:rPr/>
      </w:pPr>
      <w:bookmarkStart w:id="1087" w:name="__RefHeading___Toc39726_2142443653"/>
      <w:bookmarkStart w:id="1088" w:name="_Toc421"/>
      <w:bookmarkEnd w:id="1087"/>
      <w:r>
        <w:rPr>
          <w:rtl w:val="true"/>
        </w:rPr>
        <w:t>حمید بن المثنی هو أبو المغرا ثقة</w:t>
      </w:r>
      <w:bookmarkEnd w:id="1088"/>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89" w:name="__RefHeading___Toc39728_2142443653"/>
      <w:bookmarkStart w:id="1090" w:name="_Toc422"/>
      <w:bookmarkEnd w:id="1089"/>
      <w:r>
        <w:rPr>
          <w:rtl w:val="true"/>
        </w:rPr>
        <w:t>توجیه ما دلّ علی أنّ الحیض لا یجامع الحمل</w:t>
      </w:r>
      <w:bookmarkEnd w:id="1090"/>
    </w:p>
    <w:p>
      <w:pPr>
        <w:pStyle w:val="BookText"/>
        <w:rPr/>
      </w:pPr>
      <w:r>
        <w:rPr>
          <w:rFonts w:ascii="IRNazanin" w:hAnsi="IRNazanin" w:eastAsia="IRNazanin"/>
          <w:color w:val="111111"/>
          <w:sz w:val="28"/>
          <w:sz w:val="28"/>
          <w:szCs w:val="28"/>
          <w:rtl w:val="true"/>
          <w:lang w:bidi="fa-IR"/>
        </w:rPr>
        <w:t xml:space="preserve">وفی نظری القاصر أن الروایة مؤیّدة لما أسلفناه من أنّ الأخبار المطلقة تحمل علی المقیّدة ، فلا یتم إطلاق القول بحیض الحامل ، کما لا یتم القول الذی یقوله الشیخ باعتبار مضی عشرین یوما نظراً إلی الروایة علی الإطلاق ، فإنّ قوله علیه السلام فیها أخیراً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لم ینقطع عنها إلاّ بعد ما تمضی الأیّام التی کانت تری الدم فیها بیوم أو یومین فلتغتسل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 یقتضی أنّه لو انقطع أکثر من ذلک لا یکون حیضا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والحال إنّ أوّلها أفاد مضی عشرین فالتدافع حاصل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مفهوم الأخیر مقید المنطوق الأوّل الدال علی 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مفهوم الأوّل أیضا لا بدّ من تقییده ، وهذا یوجب نوع ریبه فی الروایة لولا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یعلم أن ما قاله شیخنا المحقق أیّده الله فی فوائد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یخفی بُعد التوجیه ، وأنّ مفاد الروایة أن دم الحیض من الحامل إنّما یکون فی العادة أو قبلها بیسیر ، دون ما بعدها أو قبلها بیوم أو یومین أو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نظر ، فإنّ الروایة کما تری صریحة فی اعتقاد التأخّر بیوم أو یومین ، بل أوّلها یقتضی أنّ المضرّ التأخّر بعشرین ، والمفهوم فیه أنّ ما دون العشرین لا یضر ، غایة الأمر أنّه یقید ، ویحصل الإشکال الذی ذکرناه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ذکرناه یعلم أنّ ما فی الحبل المتین ، من أن قول الشیخ فی النهایة بأنّ ما تراه الحامل فی أیّام عادتها حیض ، وما تراه بعد العادة بعشرین یوماً لیس بحیض ، وأنّ حدیث الحسین بن نعیم یدل علیه ، ولیس فی الأحادیث المعتبرة ما ینافیه </w:t>
      </w:r>
      <w:r>
        <w:rPr>
          <w:rStyle w:val="FootnoteAnchor"/>
          <w:rtl w:val="true"/>
        </w:rPr>
        <w:footnoteReference w:id="1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بحث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ذکرناه من المعارضة فی نفس الروایة المحتاج إلی تکلّف تامّ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الأخبار المعتبرة قد دلت علی أنّ المرأة إذا رأت فی أیّامها التی کانت تری الدم فیها فهو حیض ، ومفهوم روایة الحسین أنّ الدم لو تأخّر أقل من عشرین فهو حیض ، فالمنافاة حاصلة لولا دلالة آخرها بنوع من التقریب ، وإن کان فی الظنّ أنّه غیر واف إلاّ أنّه یدفع قول الشیخ باعتبار العشرین ، وعدم الالتفات إلی تحقیق دفع التعارض بین مفاهیم الأخبار غیر لائق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یعلم أیضا أنّ ما قاله شیخنا قدس سره فی المدارک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الشیخ قال فی النهایة وکتابی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تجده المرأة الحامل فی أیّام عادتها یحکم بکونه حیضا ، وما تراه بعد عادتها بعشرین یوماً فلیس بحیض </w:t>
      </w:r>
      <w:r>
        <w:rPr>
          <w:rStyle w:val="FootnoteAnchor"/>
          <w:rtl w:val="true"/>
        </w:rPr>
        <w:footnoteReference w:id="1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 ، فإنّ الشیخ فی هذا الکتاب قائل بعدم حیض الحامل إذا استبان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قاله شیخنا قدس سره نقلاً عن الشیخ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الدم حیض قبل أن یستبین لا بعده ونقل فیه الإجماع </w:t>
      </w:r>
      <w:r>
        <w:rPr>
          <w:rStyle w:val="FootnoteAnchor"/>
          <w:rtl w:val="true"/>
        </w:rPr>
        <w:footnoteReference w:id="1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 الشیخ علی القول الثانی بصحیحة الحسین بن نعیم ،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مع صحتها صریحة فی المدّعی ، فیتعین العمل بها </w:t>
      </w:r>
      <w:r>
        <w:rPr>
          <w:rStyle w:val="FootnoteAnchor"/>
          <w:rtl w:val="true"/>
        </w:rPr>
        <w:footnoteReference w:id="1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 أیضا ، فإنّ الروایة فی غایة الغموض بعد ما ذکرناه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القول الثانی هو الذی نسبه إلی کتابی الأخبار ، وقد علمت قول الشیخ هنا ، والحال أنّ شیخنا قدس سره قال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 الثالث فلم أقف له علی مستند </w:t>
      </w:r>
      <w:r>
        <w:rPr>
          <w:rStyle w:val="FootnoteAnchor"/>
          <w:rtl w:val="true"/>
        </w:rPr>
        <w:footnoteReference w:id="1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الحال من القول الثالث الاستبانة وعدمها ، والشیخ هنا مستدل بالروایة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أُرید بالقول الثانی هو قول الشیخ الثانی أعنی الاستبانة وعدمها زاد المحذور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فتحقیق الأقوال والأدلّة منتف ، والأصل فی ذلک العلاّمة فی المختلف ، فإنّه نقل أولاً قولی الشیخ فی الخلاف والنهایة </w:t>
      </w:r>
      <w:r>
        <w:rPr>
          <w:rStyle w:val="FootnoteAnchor"/>
          <w:rtl w:val="true"/>
        </w:rPr>
        <w:footnoteReference w:id="1363"/>
      </w:r>
      <w:r>
        <w:rPr>
          <w:rFonts w:ascii="IRNazanin" w:hAnsi="IRNazanin" w:eastAsia="IRNazanin"/>
          <w:color w:val="111111"/>
          <w:sz w:val="28"/>
          <w:sz w:val="28"/>
          <w:szCs w:val="28"/>
          <w:rtl w:val="true"/>
          <w:lang w:bidi="fa-IR"/>
        </w:rPr>
        <w:t xml:space="preserve">، 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الحمل إن استبان فلا حیض وإن لم یستبن فالحیض واقع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أیّام العادة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الشیخ علی قوله بما رواه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یبیّن أیّ قولٍ ، فوقع الاشتباه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 ما تضمّنته الروایة الاولی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تلک الهراقة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ینافی ما تضمنه الروایة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وذلک الهراقة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الأُولی أفادت أنّ الهراقة حیض والثانیة عدمه ، والشیخ لم یتعرض لبیان ذلک ، وغایة ما یمکن من التوجیه اشتراک الهراقة بین الحیض وغیره ، إلاّ أنّ السرّ فی الکلام غیر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ما تضمّنته الروایة الثانیة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 تری علی رأس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موافق لمراد الشیخ ولا لمذهبنا ، 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الشیخ قائل بعدم الحیض مع تحقق الحمل ، وقبل الولادة لا نفاس ولا حیض ، فلا وجه لترک الصلاة ، کما لا وجه لعدم تعرض الشیخ لبیانه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فالمعروف من المذهب أنّه لا نفاس قبل الولادة ، وغایة ما یمکن أن یوجّه بأنّ المراد به النفاس فی أوّل خروج الولد کما هو مذهب الشیخ فی الخلاف والمبسوط علی ما نقل عنه من أنّ النفاس یکون مع الولادة </w:t>
      </w:r>
      <w:r>
        <w:rPr>
          <w:rStyle w:val="FootnoteAnchor"/>
          <w:rtl w:val="true"/>
        </w:rPr>
        <w:footnoteReference w:id="1364"/>
      </w:r>
      <w:r>
        <w:rPr>
          <w:rFonts w:ascii="IRNazanin" w:hAnsi="IRNazanin" w:eastAsia="IRNazanin"/>
          <w:color w:val="111111"/>
          <w:sz w:val="28"/>
          <w:sz w:val="28"/>
          <w:szCs w:val="28"/>
          <w:rtl w:val="true"/>
          <w:lang w:bidi="fa-IR"/>
        </w:rPr>
        <w:t xml:space="preserve">، لا کما یقوله المرتضی من أنّ النفاس عقیب الولادة </w:t>
      </w:r>
      <w:r>
        <w:rPr>
          <w:rStyle w:val="FootnoteAnchor"/>
          <w:rtl w:val="true"/>
        </w:rPr>
        <w:footnoteReference w:id="1365"/>
      </w:r>
      <w:r>
        <w:rPr>
          <w:rFonts w:ascii="IRNazanin" w:hAnsi="IRNazanin" w:eastAsia="IRNazanin"/>
          <w:color w:val="111111"/>
          <w:sz w:val="28"/>
          <w:sz w:val="28"/>
          <w:szCs w:val="28"/>
          <w:rtl w:val="true"/>
          <w:lang w:bidi="fa-IR"/>
        </w:rPr>
        <w:t xml:space="preserve">، وقد </w:t>
      </w:r>
      <w:bookmarkStart w:id="1091" w:name="pg17122_169834"/>
    </w:p>
    <w:p>
      <w:pPr>
        <w:pStyle w:val="BookText"/>
        <w:rPr/>
      </w:pPr>
      <w:bookmarkEnd w:id="1091"/>
      <w:r>
        <w:rPr>
          <w:rFonts w:ascii="IRNazanin" w:hAnsi="IRNazanin" w:eastAsia="IRNazanin"/>
          <w:color w:val="111111"/>
          <w:sz w:val="28"/>
          <w:sz w:val="28"/>
          <w:szCs w:val="28"/>
          <w:rtl w:val="true"/>
          <w:lang w:bidi="fa-IR"/>
        </w:rPr>
        <w:t xml:space="preserve">ینافی ما قلناه قوله </w:t>
      </w:r>
      <w:r>
        <w:rPr>
          <w:rStyle w:val="FootnoteAnchor"/>
          <w:rtl w:val="true"/>
        </w:rPr>
        <w:footnoteReference w:id="136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ضربها </w:t>
      </w:r>
      <w:r>
        <w:rPr>
          <w:rStyle w:val="FootnoteAnchor"/>
          <w:rtl w:val="true"/>
        </w:rPr>
        <w:footnoteReference w:id="1367"/>
      </w:r>
      <w:r>
        <w:rPr>
          <w:rFonts w:ascii="IRNazanin" w:hAnsi="IRNazanin" w:eastAsia="IRNazanin"/>
          <w:color w:val="111111"/>
          <w:sz w:val="28"/>
          <w:sz w:val="28"/>
          <w:szCs w:val="28"/>
          <w:rtl w:val="true"/>
          <w:lang w:bidi="fa-IR"/>
        </w:rPr>
        <w:t xml:space="preserve">الطلق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الظاهر منه قبل خروج الولد ، إلاّ أنّ التوجیه لیس ببعید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تقدیر الاعتماد علی تفسیر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العلاّمة فی المختلف عن ابن الجنید القول بأنّه لا یجتمع حیض وحبل ، والاحتجاج بالروایتین المذکورتین ، وأجاب عن الأُولی بأنّه لم یحصل توالی ثلاثة أیّام ، وعن الثانیة بضعف السند </w:t>
      </w:r>
      <w:r>
        <w:rPr>
          <w:rStyle w:val="FootnoteAnchor"/>
          <w:rtl w:val="true"/>
        </w:rPr>
        <w:footnoteReference w:id="1368"/>
      </w:r>
      <w:r>
        <w:rPr>
          <w:rFonts w:ascii="IRNazanin" w:hAnsi="IRNazanin" w:eastAsia="IRNazanin"/>
          <w:color w:val="111111"/>
          <w:sz w:val="28"/>
          <w:sz w:val="28"/>
          <w:szCs w:val="28"/>
          <w:rtl w:val="true"/>
          <w:lang w:bidi="fa-IR"/>
        </w:rPr>
        <w:t>، ولم یتعرض لشی‌ء ، ممّا ذکرناه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روایة الحسین بن نعیم فبقی فیها أُمور وقعت فی کلام الأعلام ، وفی نظری القاصر أنّها محل کلام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الشهید فی الدروس والذکری علی ما نقله شیخنا قدس سره بالروایة علی أنّ الاعتبار بقلّة الدم وکثرته بأوقات الصلاة </w:t>
      </w:r>
      <w:r>
        <w:rPr>
          <w:rStyle w:val="FootnoteAnchor"/>
          <w:rtl w:val="true"/>
        </w:rPr>
        <w:footnoteReference w:id="1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جدّی قدس سره فی فوائده علی الروضة بعد حکایته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اعتبرناه فوجدناه دالاًّ علی عدم اعتباره صریحاً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یخطر فی البال أنّ الشهید رحمه الله نظر فی الروایة إلی أنّ الأمر بالغسل والوضوء فی الروایة واقع ، وهو للوجوب ، ولمّا کان غیر غسل الجنابة واجباً لغیره دلّ علی أنّ الاعتبار بأوقات الصلاة ، وجدّی قدس سره نظر إلی 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لتنظر فإن کان الدم فیما بینها وبین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عدم دخول وقت المغرب ، فلا یکون الأمر بالوضوء للوجوب وکذلک الغسل ، ولا یذهب علیک أنّ الأمر إذا کان للوجوب فلتحمل الروایة علی إرادة وقت المغرب ، والعبارة وإن کانت لا تساعد علیه ظاهراً إلاّ أنّ التأویل ممکن</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92" w:name="__RefHeading___Toc39730_2142443653"/>
      <w:bookmarkStart w:id="1093" w:name="_Toc423"/>
      <w:bookmarkEnd w:id="1092"/>
      <w:r>
        <w:rPr>
          <w:rtl w:val="true"/>
        </w:rPr>
        <w:t>استدلال الشهید بروایة الحسین بن نعیم علی أنّ الاعتبار فی قلّة الدم وکثرته بأوقات الصلاة والمناقشة فیه</w:t>
      </w:r>
      <w:bookmarkStart w:id="1094" w:name="pg17122_169835"/>
      <w:bookmarkEnd w:id="1093"/>
    </w:p>
    <w:p>
      <w:pPr>
        <w:pStyle w:val="BookText"/>
        <w:rPr/>
      </w:pPr>
      <w:bookmarkEnd w:id="1094"/>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یجوز أن یکون للاستحباب ، وقرینته عدم دخول الوقت ، إلاّ أنّ الخبر لا یکون صریحا کما قاله جدّی قدس سره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الشهید رحمه الله بالخبر علی أنّ المتوسّطة علیها غسل واحد </w:t>
      </w:r>
      <w:r>
        <w:rPr>
          <w:rStyle w:val="FootnoteAnchor"/>
          <w:rtl w:val="true"/>
        </w:rPr>
        <w:footnoteReference w:id="1370"/>
      </w:r>
      <w:r>
        <w:rPr>
          <w:rFonts w:ascii="IRNazanin" w:hAnsi="IRNazanin" w:eastAsia="IRNazanin"/>
          <w:color w:val="111111"/>
          <w:sz w:val="28"/>
          <w:sz w:val="28"/>
          <w:szCs w:val="28"/>
          <w:rtl w:val="true"/>
          <w:lang w:bidi="fa-IR"/>
        </w:rPr>
        <w:t>، ردّاً علی من نفی المتوسّطة وجعلها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واعترضه شیخنا قدس سره بأن موضع الدلالة فیها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طرحت الکرسف عنها وسال الدم وجب علیها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غیر محل النزاع ، فإنّ موضع الخلاف ما لم یحصل السیلان ، قال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لا إشعار فی الخبر بکون الغسل للفجر ، فحمله علیه تحکّم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والذی یخطر فی البال أنّ کلا من الاستدلال والاعتراض لا یخلو من 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صریح الروایة أنّ السیلان لو حصل مع طرح الکرسف ، وهذا خارج عن الأقوال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مقتضاها الموافقة للشهید ، علی أنّ الروایة دالّة علی المتوسّطة لکنّها دلت علی السیلان ، والمتوسّطة هی التی تنفذ دمها من الکرسف ولم یسل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انتفاء ذلک من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قول شیخنا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إشعار فی الخبر بکون الغسل للفجر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 وجه ، بل الأولی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صریح فی الغُسل للمغرب ، کما لا یخفی علی من أعطی الروایة حقّ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أظنّه أنّ هذا لا یضر بحال الاستدلال لو سلمت من غیره ، لأنّ</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95" w:name="__RefHeading___Toc39732_2142443653"/>
      <w:bookmarkStart w:id="1096" w:name="_Toc424"/>
      <w:bookmarkEnd w:id="1095"/>
      <w:r>
        <w:rPr>
          <w:rtl w:val="true"/>
        </w:rPr>
        <w:t>استدلال الشهید بروایة الحسین علی أنّ المتوسطة علیها غسل واحد والمناقشة فیه</w:t>
      </w:r>
      <w:bookmarkEnd w:id="1096"/>
    </w:p>
    <w:p>
      <w:pPr>
        <w:pStyle w:val="BookText"/>
        <w:rPr/>
      </w:pPr>
      <w:r>
        <w:rPr>
          <w:rFonts w:ascii="IRNazanin" w:hAnsi="IRNazanin" w:eastAsia="IRNazanin"/>
          <w:color w:val="111111"/>
          <w:sz w:val="28"/>
          <w:sz w:val="28"/>
          <w:szCs w:val="28"/>
          <w:rtl w:val="true"/>
          <w:lang w:bidi="fa-IR"/>
        </w:rPr>
        <w:t xml:space="preserve">ذکر غُسل الفجر للمتوسّطة فی کلام الأصحاب </w:t>
      </w:r>
      <w:r>
        <w:rPr>
          <w:rStyle w:val="FootnoteAnchor"/>
          <w:rtl w:val="true"/>
        </w:rPr>
        <w:footnoteReference w:id="1372"/>
      </w:r>
      <w:r>
        <w:rPr>
          <w:rFonts w:ascii="IRNazanin" w:hAnsi="IRNazanin" w:eastAsia="IRNazanin"/>
          <w:color w:val="111111"/>
          <w:sz w:val="28"/>
          <w:sz w:val="28"/>
          <w:szCs w:val="28"/>
          <w:rtl w:val="true"/>
          <w:lang w:bidi="fa-IR"/>
        </w:rPr>
        <w:t>لیس علی وجه التعیّن ، ضرورة أنّ الدم بتقدیر وجود شرط المتوسطة لا یلزم أن یکون عند الفجر ، بل لو وجد عند الظهر أو العصر وغیرهما کذلک ، کما أنّ الکثیر لا یلزمها البدأة بالفجر فیما لو حصلت الکثرة عند الظهر أو العصر أو المغرب ، غایة الأمر أنّه یلزم إشکال فی المقام علی تقدیر ابتداء الدم من غیر الفجر فی الکثیرة بالنسبة إلی الثلاثة الأغسال ، وبیان ذلک لم أجده فی کلام الأصحاب ، وقد فصّلت ذلک فی غیر هذا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الباعث للأصحاب علی ذکر الفجر أوّلاً هو النص ، لکن تعین مدلول النص دائماً لا یوافقه الاعتبار والتأمّل الصادق فی مدلول معتبر الأخبار ، ولعلّ التعبیر بما تضمنته الروایة المبحوث عنها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کل یوم ولیلة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 وإن کان فیه الإشکال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یمکن توجیه کلام الشهید بأنّ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وسال الدم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بمعنی الحال ، أی والحال أنّه سال الدم قبل الطرح ، ویراد بالسیلان النفوذ فقط ویکون قوله علیه السلام فی الکثیرة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یسیل من خلف الکرسف صبیبا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قرینة علی أنّه فی السابق نفذ من غیر سیلان ، ولا مانع من إطلاق السیلان بالاشتراک ، إلاّ أنّه لا یخفی توقف التوجیه علی الثبوت من غیر الروایة ، أمّا منها فالاحتمال لا یفید إثبات المطلوب</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من الشهید أنّه لم یعتمد علی الروایة وحدها ، بل فی روایة لزرارة ما قد یظن منها ذلک ، وإن کان الحق خلافه ، والغرض مجرّد التوجیه </w:t>
      </w:r>
      <w:bookmarkStart w:id="1097" w:name="pg17122_169837"/>
    </w:p>
    <w:p>
      <w:pPr>
        <w:pStyle w:val="BookText"/>
        <w:rPr/>
      </w:pPr>
      <w:bookmarkEnd w:id="1097"/>
      <w:r>
        <w:rPr>
          <w:rFonts w:ascii="IRNazanin" w:hAnsi="IRNazanin" w:eastAsia="IRNazanin"/>
          <w:color w:val="111111"/>
          <w:sz w:val="28"/>
          <w:sz w:val="28"/>
          <w:szCs w:val="28"/>
          <w:rtl w:val="true"/>
          <w:lang w:bidi="fa-IR"/>
        </w:rPr>
        <w:t>لکلام مثل الشهید ، فإنّ الخبر بظاهره لا یدل علی مطلوبه بأدنی تأمّل ، فلا ینبغی الغفلة عن هذا وأشباهه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جدّی قدس سره فی شرح الإرشاد أنّ حدث الاستحاضة کغیره من الأحداث ، فمتی حصل کفی فی وجوب موجبه </w:t>
      </w:r>
      <w:r>
        <w:rPr>
          <w:rStyle w:val="FootnoteAnchor"/>
          <w:rtl w:val="true"/>
        </w:rPr>
        <w:footnoteReference w:id="1373"/>
      </w:r>
      <w:r>
        <w:rPr>
          <w:rFonts w:ascii="IRNazanin" w:hAnsi="IRNazanin" w:eastAsia="IRNazanin"/>
          <w:color w:val="111111"/>
          <w:sz w:val="28"/>
          <w:sz w:val="28"/>
          <w:szCs w:val="28"/>
          <w:rtl w:val="true"/>
          <w:lang w:bidi="fa-IR"/>
        </w:rPr>
        <w:t xml:space="preserve">، کما اختاره الشهید فی البیان </w:t>
      </w:r>
      <w:r>
        <w:rPr>
          <w:rStyle w:val="FootnoteAnchor"/>
          <w:rtl w:val="true"/>
        </w:rPr>
        <w:footnoteReference w:id="1374"/>
      </w:r>
      <w:r>
        <w:rPr>
          <w:rFonts w:ascii="IRNazanin" w:hAnsi="IRNazanin" w:eastAsia="IRNazanin"/>
          <w:color w:val="111111"/>
          <w:sz w:val="28"/>
          <w:sz w:val="28"/>
          <w:szCs w:val="28"/>
          <w:rtl w:val="true"/>
          <w:lang w:bidi="fa-IR"/>
        </w:rPr>
        <w:t xml:space="preserve">،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بالقلة والکثرة فی أوقات الصلاة </w:t>
      </w:r>
      <w:r>
        <w:rPr>
          <w:rStyle w:val="FootnoteAnchor"/>
          <w:rtl w:val="true"/>
        </w:rPr>
        <w:footnoteReference w:id="1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وتمسّک جدّی قدس سره بإطلاق الروایات المتضمنة لکون الاستحاضة موجبة للوضوء أو الغسل ، وبقوله علیه السلام فی الخبر المبحوث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فلتغتسل وتصلّی الظهرین ثم لتنظر</w:t>
      </w:r>
      <w:r>
        <w:rPr>
          <w:rFonts w:eastAsia="IRNazanin" w:cs="IRNazanin"/>
          <w:color w:val="111111"/>
          <w:sz w:val="28"/>
          <w:szCs w:val="28"/>
          <w:rtl w:val="true"/>
          <w:lang w:bidi="fa-IR"/>
        </w:rPr>
        <w:t xml:space="preserve">. »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شیخنا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ویتفرّع علی القولین ما لو کثر قبل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وطرأت القلة فعلی الأوّل یجب الغسل للکثرة المتقدمة ، وعلی الثانی لا غسل علیها ما لم یوجد فی الوقت </w:t>
      </w:r>
      <w:r>
        <w:rPr>
          <w:rFonts w:eastAsia="IRNazanin" w:cs="IRNazanin"/>
          <w:color w:val="111111"/>
          <w:sz w:val="28"/>
          <w:szCs w:val="28"/>
          <w:rtl w:val="true"/>
          <w:lang w:bidi="fa-IR"/>
        </w:rPr>
        <w:t xml:space="preserve">) </w:t>
      </w:r>
      <w:r>
        <w:rPr>
          <w:rStyle w:val="FootnoteAnchor"/>
          <w:rtl w:val="true"/>
        </w:rPr>
        <w:footnoteReference w:id="1377"/>
      </w:r>
      <w:r>
        <w:rPr>
          <w:rFonts w:ascii="IRNazanin" w:hAnsi="IRNazanin" w:eastAsia="IRNazanin"/>
          <w:color w:val="111111"/>
          <w:sz w:val="28"/>
          <w:sz w:val="28"/>
          <w:szCs w:val="28"/>
          <w:rtl w:val="true"/>
          <w:lang w:bidi="fa-IR"/>
        </w:rPr>
        <w:t xml:space="preserve">متصلا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والذی یخطر فی البال أنّ الاستدلال بإطلاق الروایات محل نظر ، لأنّ مفاد الأخبار الجمع بین الصلاتین ، فلو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متی حصل کفی فی وجوب موجبه ، لم یتم لزوم الجمع ، فإن الظاهر من الجمع لوجود الحدث المستمرّ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الاستمرار معتبر لکن لا مع الکثرة بل لا بدّ من وجود الدم ، وأنت خبیر بأنّ کلامهم لا یعطی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اعتبار أوقات الصلاة لو قلنا به لا وجه لوجوب ثلاثة أغسال</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98" w:name="__RefHeading___Toc39734_2142443653"/>
      <w:bookmarkStart w:id="1099" w:name="_Toc425"/>
      <w:bookmarkEnd w:id="1098"/>
      <w:r>
        <w:rPr>
          <w:rtl w:val="true"/>
        </w:rPr>
        <w:t>هل الاستحاضة حدث کغیره من الاحداث؟</w:t>
      </w:r>
      <w:bookmarkEnd w:id="109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الغسل تابع لوجود الدم الکثیر ، سواء کان فی صلاة أو صلاتین 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أنّ الخبر تضمّن ثلاثة أغسال </w:t>
      </w:r>
      <w:r>
        <w:rPr>
          <w:rFonts w:eastAsia="IRNazanin" w:cs="IRNazanin"/>
          <w:color w:val="111111"/>
          <w:sz w:val="28"/>
          <w:szCs w:val="28"/>
          <w:rtl w:val="true"/>
          <w:lang w:bidi="fa-IR"/>
        </w:rPr>
        <w:t xml:space="preserve">)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یبعد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مدلول الخبر ثلاثة أغسال فی الیوم واللیلة علی تقدیر الاستمرار ، وحینئذ مع الاستمرار تجب کل یوم ولیلة ثلاثة أغسال ، فلو لم یستمر لم یجب الثلاثة سواء وجب واحد أو أکثر ، والخبر المبحوث إذا أعطاه المتأمّل حق النظر یری أنّه دال علی اعتبار أوقات الصلاة ، وذکر الثلاثة الأغسال لوجود الدم وقت الصلاة المذکورة فیه ، غایة الأمر أنّه قد یتوجه فی الخبر نوع إشکال ، فالنظر إلی الاستدلال به علی حکم الکثیر ، لأنّ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لم ینقطع الدم عنها إلاّ بعد ما تمضی الأیّام التی کانت تری الدم فیها بیوم أو یومین فلتغتسل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صریح فی أنّ الغسل المأمور به غسل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لتنظر فیما بینها وبین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کان الدم إذا أمسکت الکرسف یسیل من خلف الکرسف صبیباً لا یرقی فإنّ علیها أن تغتسل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 صریح فی أنّ الأغسال ثلاث مرّات بعد غسل الحیض ، ویکون مبدأ غسل الاستحاضة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فالیوم واللیلة إمّا أن یراد به تلک اللیلة مع الیوم الآتی ، أو الیوم السابق الذی مبدؤه الظهر مع اللیلة التی بعدها المعتبر فیها الدم فیما بینه وبین المغرب</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 لا وجه له ، لأنّ الغسل الأوّل لم یکن للاستحاضة بل للحیض ، فلا یدل علی الأغسال الثلاثة للاستحاضة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والأوّل یقتضی أنّ المبدأ المغرب ، فلا یتم قول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المبدأ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یقتضیه النظر 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کان الدم إذا أمسکت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تعلق له بما تقدم من الحالة التی بینه وبین المغرب ، بل هو بیان لحال المستحاضة من حیث هی ، إلاّ 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علیها أن تغتسل فی کل یوم ولیلة ثلاث مرّات ثم تحتشی وتصلّی وتغتسل للفجر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 لا یخلو من إجمال ، إذ یحتمل أن یراد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وتغتسل للفجر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 بیان أغسال الیوم واللیلة علی تقدیر وجود الدم من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أن یکون من </w:t>
      </w:r>
      <w:r>
        <w:rPr>
          <w:rStyle w:val="FootnoteAnchor"/>
          <w:rtl w:val="true"/>
        </w:rPr>
        <w:footnoteReference w:id="1380"/>
      </w:r>
      <w:r>
        <w:rPr>
          <w:rFonts w:ascii="IRNazanin" w:hAnsi="IRNazanin" w:eastAsia="IRNazanin"/>
          <w:color w:val="111111"/>
          <w:sz w:val="28"/>
          <w:sz w:val="28"/>
          <w:szCs w:val="28"/>
          <w:rtl w:val="true"/>
          <w:lang w:bidi="fa-IR"/>
        </w:rPr>
        <w:t xml:space="preserve">تتمّة بیان أحکام من نظرت ما بینها وبین المغرب ، ویفید أنّ الغسل لازم لها علی الوجه المذکور فی جمیع الصلوات ، فإذا بدأت الکثرة من المغرب واستمرت علیها الغسل للفجر بعد غسل المغرب والعشاء ، وغسل للظهرین ، وغسل للمغرب ، وهکذا ، ویؤیّده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وهکذا تفعل المستحاضة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یدل علی أنّ الحکم المذکور للحائض المستمر دمها إلی أن تصیر مستحاضة ، وحکم المستحاضة غیر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مؤیّد مع أنّه ظاهر فی تعیّن الاحتمال لإمکان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حکم کل مستحاضة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لا یخفی أنّ تحقیق الحال فی هذا موقوف علی ثبوت اعتبار أوقات الصلوات والاستمرار ، وإن لم یثبت ذلک فالخبر باق علی إجماله ، ولم أَرَ من أوضح الحال فی جمیع ما ذکرته ، ولا أشار إلی بعضه ، والله ولیّ التوفیق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فضالة ، عن أبی المغراء </w:t>
      </w:r>
      <w:r>
        <w:rPr>
          <w:rStyle w:val="FootnoteAnchor"/>
          <w:rtl w:val="true"/>
        </w:rPr>
        <w:footnoteReference w:id="1381"/>
      </w:r>
      <w:r>
        <w:rPr>
          <w:rFonts w:ascii="IRNazanin" w:hAnsi="IRNazanin" w:eastAsia="IRNazanin"/>
          <w:color w:val="111111"/>
          <w:sz w:val="28"/>
          <w:sz w:val="28"/>
          <w:szCs w:val="28"/>
          <w:rtl w:val="true"/>
          <w:lang w:bidi="fa-IR"/>
        </w:rPr>
        <w:t xml:space="preserve">، عن إسحاق بن عمار ، قال سألت أبا عبد الله علیه السلام عن المرأة الحبلی تری الدم الیوم والیومین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دماً عبیطاً فلا تصلّی ذلک </w:t>
      </w:r>
      <w:r>
        <w:rPr>
          <w:rStyle w:val="FootnoteAnchor"/>
          <w:rtl w:val="true"/>
        </w:rPr>
        <w:footnoteReference w:id="1382"/>
      </w:r>
      <w:r>
        <w:rPr>
          <w:rFonts w:ascii="IRNazanin" w:hAnsi="IRNazanin" w:eastAsia="IRNazanin"/>
          <w:color w:val="111111"/>
          <w:sz w:val="28"/>
          <w:sz w:val="28"/>
          <w:szCs w:val="28"/>
          <w:rtl w:val="true"/>
          <w:lang w:bidi="fa-IR"/>
        </w:rPr>
        <w:t xml:space="preserve">الیومین ، وإن کان </w:t>
      </w:r>
      <w:r>
        <w:rPr>
          <w:rStyle w:val="FootnoteAnchor"/>
          <w:rtl w:val="true"/>
        </w:rPr>
        <w:footnoteReference w:id="1383"/>
      </w:r>
      <w:r>
        <w:rPr>
          <w:rFonts w:ascii="IRNazanin" w:hAnsi="IRNazanin" w:eastAsia="IRNazanin"/>
          <w:color w:val="111111"/>
          <w:sz w:val="28"/>
          <w:sz w:val="28"/>
          <w:szCs w:val="28"/>
          <w:rtl w:val="true"/>
          <w:lang w:bidi="fa-IR"/>
        </w:rPr>
        <w:t xml:space="preserve">صفرة فلتغتسل عند کل صلاتین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ینافی </w:t>
      </w:r>
      <w:r>
        <w:rPr>
          <w:rStyle w:val="FootnoteAnchor"/>
          <w:rtl w:val="true"/>
        </w:rPr>
        <w:footnoteReference w:id="1384"/>
      </w:r>
      <w:r>
        <w:rPr>
          <w:rFonts w:ascii="IRNazanin" w:hAnsi="IRNazanin" w:eastAsia="IRNazanin"/>
          <w:color w:val="111111"/>
          <w:sz w:val="28"/>
          <w:sz w:val="28"/>
          <w:szCs w:val="28"/>
          <w:rtl w:val="true"/>
          <w:lang w:bidi="fa-IR"/>
        </w:rPr>
        <w:t xml:space="preserve">ما قدمناه من أنّ أقل الحیض ثلاثة أیّام ، لأنّ الوجه فیه أن تری الیوم والیومین دماً متوالیاً وتری تمام الثلاثة فی مدّة العشرة ، لأن الحائض متی رأت الدم فی مدّة العشرة أیّام ثلاثة أیّام کانت حائضا وإن لم یکن ذلک متوالیاً حسب ما رویناه فی کتاب تهذیب الأحکام فی روایة یونس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السند</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فیه ارتیاب إلاّ من جهة إسحاق بن عمار ، حیث إنّ الشیخ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فطحی </w:t>
      </w:r>
      <w:r>
        <w:rPr>
          <w:rStyle w:val="FootnoteAnchor"/>
          <w:rtl w:val="true"/>
        </w:rPr>
        <w:footnoteReference w:id="1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فالحدیث موثّق ، وقد قدّمنا کلاماً فی هذا </w:t>
      </w:r>
      <w:r>
        <w:rPr>
          <w:rStyle w:val="FootnoteAnchor"/>
          <w:rtl w:val="true"/>
        </w:rPr>
        <w:footnoteReference w:id="1387"/>
      </w:r>
      <w:r>
        <w:rPr>
          <w:rFonts w:ascii="IRNazanin" w:hAnsi="IRNazanin" w:eastAsia="IRNazanin"/>
          <w:color w:val="111111"/>
          <w:sz w:val="28"/>
          <w:sz w:val="28"/>
          <w:szCs w:val="28"/>
          <w:rtl w:val="true"/>
          <w:lang w:bidi="fa-IR"/>
        </w:rPr>
        <w:t xml:space="preserve">، وأنّه لا یبعد </w:t>
      </w:r>
      <w:bookmarkStart w:id="1100" w:name="pg17122_169841"/>
    </w:p>
    <w:p>
      <w:pPr>
        <w:pStyle w:val="BookText"/>
        <w:rPr/>
      </w:pPr>
      <w:bookmarkEnd w:id="1100"/>
      <w:r>
        <w:rPr>
          <w:rFonts w:ascii="IRNazanin" w:hAnsi="IRNazanin" w:eastAsia="IRNazanin"/>
          <w:color w:val="111111"/>
          <w:sz w:val="28"/>
          <w:sz w:val="28"/>
          <w:szCs w:val="28"/>
          <w:rtl w:val="true"/>
          <w:lang w:bidi="fa-IR"/>
        </w:rPr>
        <w:t>کون الحدیث صحیحا ، وأبو المغراء اسمه حمید ابن المثنی ، وهو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النجاشی </w:t>
      </w:r>
      <w:r>
        <w:rPr>
          <w:rStyle w:val="FootnoteAnchor"/>
          <w:rtl w:val="true"/>
        </w:rPr>
        <w:footnoteReference w:id="1388"/>
      </w:r>
      <w:r>
        <w:rPr>
          <w:rFonts w:ascii="IRNazanin" w:hAnsi="IRNazanin" w:eastAsia="IRNazanin"/>
          <w:color w:val="111111"/>
          <w:sz w:val="28"/>
          <w:sz w:val="28"/>
          <w:szCs w:val="28"/>
          <w:rtl w:val="true"/>
          <w:lang w:bidi="fa-IR"/>
        </w:rPr>
        <w:t xml:space="preserve">أنّ الحسن بن سعید شارک أخاه الحسین فی کتبه وکان شریک أخیه فی جمیع رجاله إلاّ زرعة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Style w:val="FootnoteAnchor"/>
          <w:rtl w:val="true"/>
        </w:rPr>
        <w:footnoteReference w:id="1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الحضرمی وفضالة بن أیوب ، فإنّ الحسین کان یروی عن أخیه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وکثیر من أمثالها تقتضی روایة الحسین عن فضالة بغیر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کما ذکرت إلاّ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النجاشی ذکر ذلک روایة عن غیر معلوم الحال </w:t>
      </w:r>
      <w:r>
        <w:rPr>
          <w:rStyle w:val="FootnoteAnchor"/>
          <w:rtl w:val="true"/>
        </w:rPr>
        <w:footnoteReference w:id="1390"/>
      </w:r>
      <w:r>
        <w:rPr>
          <w:rFonts w:ascii="IRNazanin" w:hAnsi="IRNazanin" w:eastAsia="IRNazanin"/>
          <w:color w:val="111111"/>
          <w:sz w:val="28"/>
          <w:sz w:val="28"/>
          <w:szCs w:val="28"/>
          <w:rtl w:val="true"/>
          <w:lang w:bidi="fa-IR"/>
        </w:rPr>
        <w:t xml:space="preserve">، والعلاّمة فی کلامه ما یحتمل ان لا یکون منه علی سبیل الجزم کما یعلم من مراجعته ، علی أنّ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زرعة بن مهران وهماً کما لا یخفی ، وعلی کل حال لا یبعد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Style w:val="FootnoteAnchor"/>
          <w:rtl w:val="true"/>
        </w:rPr>
        <w:footnoteReference w:id="1391"/>
      </w:r>
      <w:r>
        <w:rPr>
          <w:rFonts w:ascii="IRNazanin" w:hAnsi="IRNazanin" w:eastAsia="IRNazanin"/>
          <w:color w:val="111111"/>
          <w:sz w:val="28"/>
          <w:sz w:val="28"/>
          <w:szCs w:val="28"/>
          <w:rtl w:val="true"/>
          <w:lang w:bidi="fa-IR"/>
        </w:rPr>
        <w:t>هذا لا یضرّ بالحال لعدالة الواسطة ومعلومیّتها بالاختصاص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قد یتخیل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الروایة إذا کانت بالواسطة فترکها نوع من التدلیس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المعلومیّة اقتضت الترک ، وإن کان فی البین کلام ، لأنّ ذکر فضالة فی الروایة عن زرعة یقتضی عدم الالتفات إلی المعلومیّة إلاّ أن یفرق بین الرجلین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یخلو من إشکال ، إلاّ أنّ المتأخّرین لم یلتفتوا إلی ذکر هذا علی ما رأیت ، ولعل الأمر لیس بعسر بعد ما سمعته</w:t>
      </w:r>
      <w:r>
        <w:rPr>
          <w:rFonts w:eastAsia="IRNazanin" w:cs="IRNazanin"/>
          <w:color w:val="111111"/>
          <w:sz w:val="28"/>
          <w:szCs w:val="28"/>
          <w:rtl w:val="true"/>
          <w:lang w:bidi="fa-IR"/>
        </w:rPr>
        <w:t>.</w:t>
      </w:r>
    </w:p>
    <w:p>
      <w:pPr>
        <w:pStyle w:val="Heading4"/>
        <w:numPr>
          <w:ilvl w:val="3"/>
          <w:numId w:val="1"/>
        </w:numPr>
        <w:rPr/>
      </w:pPr>
      <w:bookmarkStart w:id="1101" w:name="__RefHeading___Toc39736_2142443653"/>
      <w:bookmarkStart w:id="1102" w:name="_Toc426"/>
      <w:bookmarkEnd w:id="1101"/>
      <w:r>
        <w:rPr>
          <w:rtl w:val="true"/>
        </w:rPr>
        <w:t>أبو المغراء ثقة</w:t>
      </w:r>
      <w:bookmarkEnd w:id="1102"/>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03" w:name="__RefHeading___Toc39738_2142443653"/>
      <w:bookmarkStart w:id="1104" w:name="_Toc427"/>
      <w:bookmarkEnd w:id="1103"/>
      <w:r>
        <w:rPr>
          <w:rtl w:val="true"/>
        </w:rPr>
        <w:t>بحث حول روایة الحسین بن سعید عن زرعة وفضالة</w:t>
      </w:r>
      <w:bookmarkStart w:id="1105" w:name="pg17122_169842"/>
      <w:bookmarkEnd w:id="1104"/>
    </w:p>
    <w:p>
      <w:pPr>
        <w:pStyle w:val="BookText"/>
        <w:rPr/>
      </w:pPr>
      <w:bookmarkEnd w:id="1105"/>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کلام النجاشی محتمل لأن یرید أنّ الحسین یروی عن جمیع رجال الحسن إلاّ فی الرجلین </w:t>
      </w:r>
      <w:r>
        <w:rPr>
          <w:rFonts w:eastAsia="IRNazanin" w:cs="IRNazanin"/>
          <w:color w:val="111111"/>
          <w:sz w:val="28"/>
          <w:szCs w:val="28"/>
          <w:rtl w:val="true"/>
          <w:lang w:bidi="fa-IR"/>
        </w:rPr>
        <w:t xml:space="preserve">) </w:t>
      </w:r>
      <w:r>
        <w:rPr>
          <w:rStyle w:val="FootnoteAnchor"/>
          <w:rtl w:val="true"/>
        </w:rPr>
        <w:footnoteReference w:id="1392"/>
      </w:r>
      <w:r>
        <w:rPr>
          <w:rFonts w:ascii="IRNazanin" w:hAnsi="IRNazanin" w:eastAsia="IRNazanin"/>
          <w:color w:val="111111"/>
          <w:sz w:val="28"/>
          <w:sz w:val="28"/>
          <w:szCs w:val="28"/>
          <w:rtl w:val="true"/>
          <w:lang w:bidi="fa-IR"/>
        </w:rPr>
        <w:t xml:space="preserve">المذکورین ، فإنّه یروی عنهما بواسطة أخیه ، لا أنّه لا یروی عنهما إلاّ بواسطة أخیه ، ویجوز أن یکون راویاً عنهما بغیر واسطة إلاّ فی بعض الأخبار </w:t>
      </w:r>
      <w:r>
        <w:rPr>
          <w:rStyle w:val="FootnoteAnchor"/>
          <w:rtl w:val="true"/>
        </w:rPr>
        <w:footnoteReference w:id="1393"/>
      </w:r>
      <w:r>
        <w:rPr>
          <w:rFonts w:ascii="IRNazanin" w:hAnsi="IRNazanin" w:eastAsia="IRNazanin"/>
          <w:color w:val="111111"/>
          <w:sz w:val="28"/>
          <w:sz w:val="28"/>
          <w:szCs w:val="28"/>
          <w:rtl w:val="true"/>
          <w:lang w:bidi="fa-IR"/>
        </w:rPr>
        <w:t>، فإنّه یرجّح الروایة عنهما بواسطة ، وهذا کثیر فی الروایة بالنسبة إلی روایة الشخص تارة بواسطة وأُخری بعدمها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ذکره الشیخ فیه وإن بَعُد ، إلاّ أنّه وجه للجمع إذا ثبت مذهب الشیخ بعدم اشتراط التوالی ، وقد تقدم فی خبر عبد الرحمن بن الحجاج اشتراط الدوام فی الدم من الحبلی ، وبیّنا أنّ الظاهر منه اعتبار التوالی ، فیفید اختصاص الحبلی بالتوالی إذا لم نقل به فی غیرها ، وکان علی الشیخ التنبیه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ببیان </w:t>
      </w:r>
      <w:r>
        <w:rPr>
          <w:rFonts w:eastAsia="IRNazanin" w:cs="IRNazanin"/>
          <w:color w:val="111111"/>
          <w:sz w:val="28"/>
          <w:szCs w:val="28"/>
          <w:rtl w:val="true"/>
          <w:lang w:bidi="fa-IR"/>
        </w:rPr>
        <w:t xml:space="preserve">) </w:t>
      </w:r>
      <w:r>
        <w:rPr>
          <w:rStyle w:val="FootnoteAnchor"/>
          <w:rtl w:val="true"/>
        </w:rPr>
        <w:footnoteReference w:id="1394"/>
      </w:r>
      <w:r>
        <w:rPr>
          <w:rFonts w:ascii="IRNazanin" w:hAnsi="IRNazanin" w:eastAsia="IRNazanin"/>
          <w:color w:val="111111"/>
          <w:sz w:val="28"/>
          <w:sz w:val="28"/>
          <w:szCs w:val="28"/>
          <w:rtl w:val="true"/>
          <w:lang w:bidi="fa-IR"/>
        </w:rPr>
        <w:t>احتمال الدوام لغیر التوالی ، ولا یبعد توجیهه لو ثبتت الأدلة علی عدم التوالی ، وما أشار إلیه الشیخ من روایة یونس له وجه لو صحت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تحمل الروایة المبحوث عنها علی أنّ الحبلی تترک الصلاة </w:t>
      </w:r>
      <w:r>
        <w:rPr>
          <w:rStyle w:val="FootnoteAnchor"/>
          <w:rtl w:val="true"/>
        </w:rPr>
        <w:footnoteReference w:id="1395"/>
      </w:r>
      <w:r>
        <w:rPr>
          <w:rFonts w:ascii="IRNazanin" w:hAnsi="IRNazanin" w:eastAsia="IRNazanin"/>
          <w:color w:val="111111"/>
          <w:sz w:val="28"/>
          <w:sz w:val="28"/>
          <w:szCs w:val="28"/>
          <w:rtl w:val="true"/>
          <w:lang w:bidi="fa-IR"/>
        </w:rPr>
        <w:t>فی الیوم والیومین من غیر انتظار مضی الثلاثة کما فی بعض النساء ، وهذا الوجه وإن بَعُد لیس بأبعد من توجیه الشیخ ، ولا بدّ للعامل بالموثّق القائل بالتوالی من هذا التوجیه ، إلاّ أن یذکر غیره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06" w:name="__RefHeading___Toc39740_2142443653"/>
      <w:bookmarkStart w:id="1107" w:name="_Toc428"/>
      <w:bookmarkEnd w:id="1106"/>
      <w:r>
        <w:rPr>
          <w:rtl w:val="true"/>
        </w:rPr>
        <w:t>توجیه الشیخ لموثقة إسحاق بن عمّار والمناقشة فیه</w:t>
      </w:r>
      <w:bookmarkStart w:id="1108" w:name="pg17122_169843"/>
      <w:bookmarkEnd w:id="1107"/>
    </w:p>
    <w:p>
      <w:pPr>
        <w:pStyle w:val="BookText"/>
        <w:rPr/>
      </w:pPr>
      <w:bookmarkEnd w:id="1108"/>
      <w:r>
        <w:rPr>
          <w:rFonts w:ascii="IRNazanin" w:hAnsi="IRNazanin" w:eastAsia="IRNazanin"/>
          <w:color w:val="111111"/>
          <w:sz w:val="28"/>
          <w:sz w:val="28"/>
          <w:szCs w:val="28"/>
          <w:rtl w:val="true"/>
          <w:lang w:bidi="fa-IR"/>
        </w:rPr>
        <w:t xml:space="preserve">وما تضمنه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مع الصفرة تغتسل عند کل صلاتین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ینافی ما دل علی التفصیل بالقلة وعدمها ، لإمکان حمل المطلق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یقتضیه الخبر من أنّ الدم إذا کان عبیطاً لا تصلّی ، وإن کانت صفرة تصلّی بالغسل ، قد یتوهم منه أن لا واسطة بین الدم العبیط والصفرة والحال أنّها موجودة ، ویمکن التوجیه بأنّ الغرض من الصفرة عدم کون الدم عبیطاً ، ولئن استبعد ذلک أمکن استفادة حکم الواسطة من دلیل آخر ، وعدم ذکر الإمام علیه السلام له فی الروایة علی نحو غیره من الأحکام الحاصلة من المقید والمطلق والعام والخاص ، غیر أنّ الحکمة لا نعلمها ، والتوجیه واسع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عبیط بیّن العُبطة بالضم طریّ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النهایة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فقأت لحماً عبیطاً ، العبیط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الطَّریّ </w:t>
      </w:r>
      <w:r>
        <w:rPr>
          <w:rStyle w:val="FootnoteAnchor"/>
          <w:rtl w:val="true"/>
        </w:rPr>
        <w:footnoteReference w:id="1397"/>
      </w:r>
      <w:r>
        <w:rPr>
          <w:rFonts w:ascii="IRNazanin" w:hAnsi="IRNazanin" w:eastAsia="IRNazanin"/>
          <w:color w:val="111111"/>
          <w:sz w:val="28"/>
          <w:sz w:val="28"/>
          <w:szCs w:val="28"/>
          <w:rtl w:val="true"/>
          <w:lang w:bidi="fa-IR"/>
        </w:rPr>
        <w:t xml:space="preserve">، وفی الحبل المتین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الخالص الطری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الحائض تطهر عند وقت الصلاة</w:t>
      </w:r>
    </w:p>
    <w:p>
      <w:pPr>
        <w:pStyle w:val="BookText"/>
        <w:rPr/>
      </w:pPr>
      <w:r>
        <w:rPr>
          <w:rFonts w:ascii="IRNazanin" w:hAnsi="IRNazanin" w:eastAsia="IRNazanin"/>
          <w:color w:val="111111"/>
          <w:sz w:val="28"/>
          <w:sz w:val="28"/>
          <w:szCs w:val="28"/>
          <w:rtl w:val="true"/>
          <w:lang w:bidi="fa-IR"/>
        </w:rPr>
        <w:t>أخبرنی الشیخ رحمه الله عن أبی القاسم جعفر بن محمد ، عن</w:t>
      </w:r>
    </w:p>
    <w:p>
      <w:pPr>
        <w:pStyle w:val="Heading4"/>
        <w:numPr>
          <w:ilvl w:val="3"/>
          <w:numId w:val="1"/>
        </w:numPr>
        <w:rPr/>
      </w:pPr>
      <w:bookmarkStart w:id="1109" w:name="__RefHeading___Toc39742_2142443653"/>
      <w:bookmarkStart w:id="1110" w:name="_Toc429"/>
      <w:bookmarkEnd w:id="1109"/>
      <w:r>
        <w:rPr>
          <w:rtl w:val="true"/>
        </w:rPr>
        <w:t>مقتضی خبر إسحاق عدم الواسطة بین الدم العبیط والصفرة</w:t>
      </w:r>
      <w:bookmarkEnd w:id="1110"/>
    </w:p>
    <w:p>
      <w:pPr>
        <w:pStyle w:val="Heading4"/>
        <w:numPr>
          <w:ilvl w:val="3"/>
          <w:numId w:val="1"/>
        </w:numPr>
        <w:rPr/>
      </w:pPr>
      <w:bookmarkStart w:id="1111" w:name="__RefHeading___Toc39744_2142443653"/>
      <w:bookmarkStart w:id="1112" w:name="_Toc430"/>
      <w:bookmarkEnd w:id="1111"/>
      <w:r>
        <w:rPr>
          <w:rtl w:val="true"/>
        </w:rPr>
        <w:t>معنی العُبطة</w:t>
      </w:r>
      <w:bookmarkEnd w:id="1112"/>
    </w:p>
    <w:p>
      <w:pPr>
        <w:pStyle w:val="Heading3"/>
        <w:numPr>
          <w:ilvl w:val="2"/>
          <w:numId w:val="1"/>
        </w:numPr>
        <w:rPr/>
      </w:pPr>
      <w:bookmarkStart w:id="1113" w:name="__RefHeading___Toc39746_2142443653"/>
      <w:bookmarkStart w:id="1114" w:name="_Toc431"/>
      <w:bookmarkEnd w:id="1113"/>
      <w:r>
        <w:rPr>
          <w:rtl w:val="true"/>
        </w:rPr>
        <w:t>الحائض تطهر عند وقت الصلاة</w:t>
      </w:r>
      <w:bookmarkEnd w:id="1114"/>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15" w:name="__RefHeading___Toc39748_2142443653"/>
      <w:bookmarkStart w:id="1116" w:name="_Toc432"/>
      <w:bookmarkEnd w:id="1115"/>
      <w:r>
        <w:rPr>
          <w:rtl w:val="true"/>
        </w:rPr>
        <w:t>اشارة</w:t>
      </w:r>
      <w:bookmarkEnd w:id="1116"/>
    </w:p>
    <w:p>
      <w:pPr>
        <w:pStyle w:val="BookText"/>
        <w:rPr/>
      </w:pPr>
      <w:r>
        <w:rPr>
          <w:rFonts w:ascii="IRNazanin" w:hAnsi="IRNazanin" w:eastAsia="IRNazanin"/>
          <w:color w:val="111111"/>
          <w:sz w:val="28"/>
          <w:sz w:val="28"/>
          <w:szCs w:val="28"/>
          <w:rtl w:val="true"/>
          <w:lang w:bidi="fa-IR"/>
        </w:rPr>
        <w:t xml:space="preserve">محمد بن یعقوب ، عن محمد بن یحیی ، عن أحمد بن محمد ، عن الحجال ، عن ثعلبة ، عن معمر بن یحیی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الحائض تطهر عند العصر تصلّی الاولی؟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 إنّما </w:t>
      </w:r>
      <w:r>
        <w:rPr>
          <w:rFonts w:eastAsia="IRNazanin" w:cs="IRNazanin"/>
          <w:color w:val="111111"/>
          <w:sz w:val="28"/>
          <w:szCs w:val="28"/>
          <w:rtl w:val="true"/>
          <w:lang w:bidi="fa-IR"/>
        </w:rPr>
        <w:t xml:space="preserve">] </w:t>
      </w:r>
      <w:r>
        <w:rPr>
          <w:rStyle w:val="FootnoteAnchor"/>
          <w:rtl w:val="true"/>
        </w:rPr>
        <w:footnoteReference w:id="1399"/>
      </w:r>
      <w:r>
        <w:rPr>
          <w:rFonts w:ascii="IRNazanin" w:hAnsi="IRNazanin" w:eastAsia="IRNazanin"/>
          <w:color w:val="111111"/>
          <w:sz w:val="28"/>
          <w:sz w:val="28"/>
          <w:szCs w:val="28"/>
          <w:rtl w:val="true"/>
          <w:lang w:bidi="fa-IR"/>
        </w:rPr>
        <w:t xml:space="preserve">تصلّی الصلاة التی تطهر عندها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الاسناد عن أحمد بن محمد ، عن الحسن بن محبوب ، عن الفضل بن یونس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الأوّل علیه السلام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تری الطهر قبل غروب الشمس کیف تصنع بالصلاة؟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رأت الطهر بعد ما یمضی من زوال الشمس أربعة أقدام فلا تصلّی إلاّ العصر ، لأنّ وقت الظهر دخل علیها وهی فی الدم ، وخرج عنها الوقت وهی فی الدم ، فلم یجب علیها أن تصلّی الظهر ، وما طرح الله عنها من الصلاة وهی فی الدم 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رأت المرأة الدم بعد ما یمضی من زوال الشمس أربعة أقدام فلتمسک عن الصلاة ، فإذا طهرت من الدم فلتقض الظهر ، لأنّ وقت الظهر دخل علیها وهی طاهرة ، وخرج عنها وقت الظهر وهی طاهرة ، فضیّعت صلاة الظهر فوجب علیها قضاؤها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أخبرنی أحمد بن عبدون ، عن علی بن محمد بن الزبیر ، عن علی بن الحسن بن فضال ، عن علی بن أسباط ، عن علاء بن رزین ، عن محمد بن مسلم ، عن أحدهما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تری الطهر عند الظهر فتشتغل فی شأنها حتی یدخل وقت العصر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تصلّی العصر وحدها ، فإن ضیّعت فعلیها صلاتان </w:t>
      </w:r>
      <w:r>
        <w:rPr>
          <w:rFonts w:eastAsia="IRNazanin" w:cs="IRNazanin"/>
          <w:color w:val="111111"/>
          <w:sz w:val="28"/>
          <w:szCs w:val="28"/>
          <w:rtl w:val="true"/>
          <w:lang w:bidi="fa-IR"/>
        </w:rPr>
        <w:t xml:space="preserve">». </w:t>
      </w:r>
      <w:bookmarkStart w:id="1117" w:name="pg17122_169845"/>
    </w:p>
    <w:p>
      <w:pPr>
        <w:pStyle w:val="BookText"/>
        <w:rPr/>
      </w:pPr>
      <w:bookmarkEnd w:id="1117"/>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الحجال ، والعلاّمة فی الخلاصة ذکر أنّ الحجال عبد الله ابن محمد </w:t>
      </w:r>
      <w:r>
        <w:rPr>
          <w:rStyle w:val="FootnoteAnchor"/>
          <w:rtl w:val="true"/>
        </w:rPr>
        <w:footnoteReference w:id="1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الأسدی مولاهم کوفی الحجال ،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ثقة </w:t>
      </w:r>
      <w:r>
        <w:rPr>
          <w:rStyle w:val="FootnoteAnchor"/>
          <w:rtl w:val="true"/>
        </w:rPr>
        <w:footnoteReference w:id="1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 إرادة المذکور أنّ النجاشی قال فی ترجمة ثعلبة بن 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الراوی عنه عبد الله بن محمد الحجال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ثعلبة فقد قدّمنا فیه القول </w:t>
      </w:r>
      <w:r>
        <w:rPr>
          <w:rStyle w:val="FootnoteAnchor"/>
          <w:rtl w:val="true"/>
        </w:rPr>
        <w:footnoteReference w:id="1403"/>
      </w:r>
      <w:r>
        <w:rPr>
          <w:rFonts w:ascii="IRNazanin" w:hAnsi="IRNazanin" w:eastAsia="IRNazanin"/>
          <w:color w:val="111111"/>
          <w:sz w:val="28"/>
          <w:sz w:val="28"/>
          <w:szCs w:val="28"/>
          <w:rtl w:val="true"/>
          <w:lang w:bidi="fa-IR"/>
        </w:rPr>
        <w:t>، وما قد یتخیّل من أنّ ثعلبة لا یتعیّن کونه ابن میمون ، لیدل علی ما ذکر ، جوابه یعلم من ممارسة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معمر بن یحیی فهو وإن کان مشترکاً بین الثقة وغیره </w:t>
      </w:r>
      <w:r>
        <w:rPr>
          <w:rStyle w:val="FootnoteAnchor"/>
          <w:rtl w:val="true"/>
        </w:rPr>
        <w:footnoteReference w:id="1404"/>
      </w:r>
      <w:r>
        <w:rPr>
          <w:rFonts w:ascii="IRNazanin" w:hAnsi="IRNazanin" w:eastAsia="IRNazanin"/>
          <w:color w:val="111111"/>
          <w:sz w:val="28"/>
          <w:sz w:val="28"/>
          <w:szCs w:val="28"/>
          <w:rtl w:val="true"/>
          <w:lang w:bidi="fa-IR"/>
        </w:rPr>
        <w:t xml:space="preserve">إلاّ أنّ الراوی عن الثقة ثعلبة ، وقد ذکرنا ظهور ثعلبة فی ابن میمون ، وفی الإیضاح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مَعْمَر بفتح المیم وإسکان العین وتخفیف المیم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یونس ، والنجاشی وثقه </w:t>
      </w:r>
      <w:r>
        <w:rPr>
          <w:rStyle w:val="FootnoteAnchor"/>
          <w:rtl w:val="true"/>
        </w:rPr>
        <w:footnoteReference w:id="1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واقفی </w:t>
      </w:r>
      <w:r>
        <w:rPr>
          <w:rStyle w:val="FootnoteAnchor"/>
          <w:rtl w:val="true"/>
        </w:rPr>
        <w:footnoteReference w:id="1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کرّرنا </w:t>
      </w:r>
      <w:r>
        <w:rPr>
          <w:rStyle w:val="FootnoteAnchor"/>
          <w:rtl w:val="true"/>
        </w:rPr>
        <w:footnoteReference w:id="1408"/>
      </w:r>
      <w:r>
        <w:rPr>
          <w:rFonts w:ascii="IRNazanin" w:hAnsi="IRNazanin" w:eastAsia="IRNazanin"/>
          <w:color w:val="111111"/>
          <w:sz w:val="28"/>
          <w:sz w:val="28"/>
          <w:szCs w:val="28"/>
          <w:rtl w:val="true"/>
          <w:lang w:bidi="fa-IR"/>
        </w:rPr>
        <w:t>القول فی مثل هذا من حیث إنّ النجاشی مقدّم علی جرح الشیخ ، کما یقتضیه الاعتبار ، وما ظنّه بعض المتأخّرین من أنّه لا منافاة</w:t>
      </w:r>
    </w:p>
    <w:p>
      <w:pPr>
        <w:pStyle w:val="Heading4"/>
        <w:numPr>
          <w:ilvl w:val="3"/>
          <w:numId w:val="1"/>
        </w:numPr>
        <w:rPr/>
      </w:pPr>
      <w:bookmarkStart w:id="1118" w:name="__RefHeading___Toc39750_2142443653"/>
      <w:bookmarkStart w:id="1119" w:name="_Toc433"/>
      <w:bookmarkEnd w:id="1118"/>
      <w:r>
        <w:rPr>
          <w:rtl w:val="true"/>
        </w:rPr>
        <w:t>بحث حول الحجّال</w:t>
      </w:r>
      <w:bookmarkEnd w:id="1119"/>
    </w:p>
    <w:p>
      <w:pPr>
        <w:pStyle w:val="Heading4"/>
        <w:numPr>
          <w:ilvl w:val="3"/>
          <w:numId w:val="1"/>
        </w:numPr>
        <w:rPr/>
      </w:pPr>
      <w:bookmarkStart w:id="1120" w:name="__RefHeading___Toc39752_2142443653"/>
      <w:bookmarkStart w:id="1121" w:name="_Toc434"/>
      <w:bookmarkEnd w:id="1120"/>
      <w:r>
        <w:rPr>
          <w:rtl w:val="true"/>
        </w:rPr>
        <w:t>ثعلبة الراوی عن معمر بن یحیی هو ابن میمون</w:t>
      </w:r>
      <w:bookmarkEnd w:id="1121"/>
    </w:p>
    <w:p>
      <w:pPr>
        <w:pStyle w:val="Heading4"/>
        <w:numPr>
          <w:ilvl w:val="3"/>
          <w:numId w:val="1"/>
        </w:numPr>
        <w:rPr/>
      </w:pPr>
      <w:bookmarkStart w:id="1122" w:name="__RefHeading___Toc39754_2142443653"/>
      <w:bookmarkStart w:id="1123" w:name="_Toc435"/>
      <w:bookmarkEnd w:id="1122"/>
      <w:r>
        <w:rPr>
          <w:rtl w:val="true"/>
        </w:rPr>
        <w:t>معمر بن یحیی الذی یروی عنه ثعلبة بن میمون هو الثقة</w:t>
      </w:r>
      <w:bookmarkEnd w:id="1123"/>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24" w:name="__RefHeading___Toc39756_2142443653"/>
      <w:bookmarkStart w:id="1125" w:name="_Toc436"/>
      <w:bookmarkEnd w:id="1124"/>
      <w:r>
        <w:rPr>
          <w:rtl w:val="true"/>
        </w:rPr>
        <w:t>بحث حول الفضل بن یونس</w:t>
      </w:r>
      <w:bookmarkStart w:id="1126" w:name="pg17122_169846"/>
      <w:bookmarkEnd w:id="1125"/>
    </w:p>
    <w:p>
      <w:pPr>
        <w:pStyle w:val="BookText"/>
        <w:rPr/>
      </w:pPr>
      <w:bookmarkEnd w:id="1126"/>
      <w:r>
        <w:rPr>
          <w:rFonts w:ascii="IRNazanin" w:hAnsi="IRNazanin" w:eastAsia="IRNazanin"/>
          <w:color w:val="111111"/>
          <w:sz w:val="28"/>
          <w:sz w:val="28"/>
          <w:szCs w:val="28"/>
          <w:rtl w:val="true"/>
          <w:lang w:bidi="fa-IR"/>
        </w:rPr>
        <w:t xml:space="preserve">بین الوقف والتوثیق </w:t>
      </w:r>
      <w:r>
        <w:rPr>
          <w:rStyle w:val="FootnoteAnchor"/>
          <w:rtl w:val="true"/>
        </w:rPr>
        <w:footnoteReference w:id="1409"/>
      </w:r>
      <w:r>
        <w:rPr>
          <w:rFonts w:ascii="IRNazanin" w:hAnsi="IRNazanin" w:eastAsia="IRNazanin"/>
          <w:color w:val="111111"/>
          <w:sz w:val="28"/>
          <w:sz w:val="28"/>
          <w:szCs w:val="28"/>
          <w:rtl w:val="true"/>
          <w:lang w:bidi="fa-IR"/>
        </w:rPr>
        <w:t>یدفعه التأمّل فی کتاب النجاشی والتدبر فی تثبّت مؤلّفه وتحقیقه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حاله بعد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لا یخلو من إجمال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الصلاة التی تطهر عندها محتملة لإرادة وقت الفضیلة أو وقت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والخبر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الدلالة علی أنّ الطهر إذا وقع بعد أربعة أقدام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تصلی إلاّ العصر ، والتعلیل فیه یدل علی أنّ الوقت یراد به الأربعة أقدام </w:t>
      </w:r>
      <w:r>
        <w:rPr>
          <w:rFonts w:eastAsia="IRNazanin" w:cs="IRNazanin"/>
          <w:color w:val="111111"/>
          <w:sz w:val="28"/>
          <w:szCs w:val="28"/>
          <w:rtl w:val="true"/>
          <w:lang w:bidi="fa-IR"/>
        </w:rPr>
        <w:t xml:space="preserve">) </w:t>
      </w:r>
      <w:r>
        <w:rPr>
          <w:rStyle w:val="FootnoteAnchor"/>
          <w:rtl w:val="true"/>
        </w:rPr>
        <w:footnoteReference w:id="1410"/>
      </w:r>
      <w:r>
        <w:rPr>
          <w:rFonts w:ascii="IRNazanin" w:hAnsi="IRNazanin" w:eastAsia="IRNazanin"/>
          <w:color w:val="111111"/>
          <w:sz w:val="28"/>
          <w:sz w:val="28"/>
          <w:szCs w:val="28"/>
          <w:rtl w:val="true"/>
          <w:lang w:bidi="fa-IR"/>
        </w:rPr>
        <w:t>وحینئذ فهو بیّن الخبر الأوّل علی تقدیر العمل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تضمنه الخبر الثانی من اعتبار أربعة أقدام لا یتمّ إرادة وقت الفضیلة منه ولا وقت الإجزاء ، 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فضیلة الظهر لا تنحصر فی الأربعة کما یستفاد من الأخبار وسیأتی ، 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الإجزاء لا ریب فی امتداد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ذکرتَ وجه إلاّ أنّ إرادة الفضیلة لا ارتیاب فیها ، غایة الأمر أنّ الأخبار مختلفة فی ذلک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یضرّ بالحال علی تقدیر العمل بالخبر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بعض محققی المعاصرین سلّمه الله من أنّ خبر معمر بن یحیی لعله محمول </w:t>
      </w:r>
      <w:r>
        <w:rPr>
          <w:rFonts w:eastAsia="IRNazanin" w:cs="IRNazanin"/>
          <w:color w:val="111111"/>
          <w:sz w:val="28"/>
          <w:szCs w:val="28"/>
          <w:rtl w:val="true"/>
          <w:lang w:bidi="fa-IR"/>
        </w:rPr>
        <w:t xml:space="preserve">) </w:t>
      </w:r>
      <w:r>
        <w:rPr>
          <w:rStyle w:val="FootnoteAnchor"/>
          <w:rtl w:val="true"/>
        </w:rPr>
        <w:footnoteReference w:id="1411"/>
      </w:r>
      <w:r>
        <w:rPr>
          <w:rFonts w:ascii="IRNazanin" w:hAnsi="IRNazanin" w:eastAsia="IRNazanin"/>
          <w:color w:val="111111"/>
          <w:sz w:val="28"/>
          <w:sz w:val="28"/>
          <w:szCs w:val="28"/>
          <w:rtl w:val="true"/>
          <w:lang w:bidi="fa-IR"/>
        </w:rPr>
        <w:t>علی ما إذا لم یبق من الوقت سوی ما یخص</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27" w:name="__RefHeading___Toc39758_2142443653"/>
      <w:bookmarkStart w:id="1128" w:name="_Toc437"/>
      <w:bookmarkEnd w:id="1127"/>
      <w:r>
        <w:rPr>
          <w:rtl w:val="true"/>
        </w:rPr>
        <w:t>هل الاعتبار بالطهر عند وقت الفضیلة أو وقت الإجزاء؟</w:t>
      </w:r>
      <w:bookmarkEnd w:id="1128"/>
    </w:p>
    <w:p>
      <w:pPr>
        <w:pStyle w:val="BookText"/>
        <w:rPr/>
      </w:pPr>
      <w:r>
        <w:rPr>
          <w:rFonts w:ascii="IRNazanin" w:hAnsi="IRNazanin" w:eastAsia="IRNazanin"/>
          <w:color w:val="111111"/>
          <w:sz w:val="28"/>
          <w:sz w:val="28"/>
          <w:szCs w:val="28"/>
          <w:rtl w:val="true"/>
          <w:lang w:bidi="fa-IR"/>
        </w:rPr>
        <w:t xml:space="preserve">العصر </w:t>
      </w:r>
      <w:r>
        <w:rPr>
          <w:rStyle w:val="FootnoteAnchor"/>
          <w:rtl w:val="true"/>
        </w:rPr>
        <w:footnoteReference w:id="1412"/>
      </w:r>
      <w:r>
        <w:rPr>
          <w:rFonts w:ascii="IRNazanin" w:hAnsi="IRNazanin" w:eastAsia="IRNazanin"/>
          <w:color w:val="111111"/>
          <w:sz w:val="28"/>
          <w:sz w:val="28"/>
          <w:szCs w:val="28"/>
          <w:rtl w:val="true"/>
          <w:lang w:bidi="fa-IR"/>
        </w:rPr>
        <w:t>، لا یخلو من وجه علی تقدیر عدم العمل بالخبر الثانی ، لکن الخبر موثق علی تقدیر قبول قول الشیخ بالوقف ، والمعلوم من عادة القائل العمل بالموثق ، فعدم النظر إلی الحدیث ونقله لا یخلو من غرابة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مدارک شیخنا قدس سره بعد نقل روایة معمر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حملها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لم تدرک من آخر الوقت إلاّ مقدار أربع رکعات ، فإنّه یختص بالعصر کما سیجی‌ء بیانه </w:t>
      </w:r>
      <w:r>
        <w:rPr>
          <w:rStyle w:val="FootnoteAnchor"/>
          <w:rtl w:val="true"/>
        </w:rPr>
        <w:footnoteReference w:id="1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کما سیجی‌ء إلی </w:t>
      </w:r>
      <w:r>
        <w:rPr>
          <w:rFonts w:eastAsia="IRNazanin" w:cs="IRNazanin"/>
          <w:color w:val="111111"/>
          <w:sz w:val="28"/>
          <w:szCs w:val="28"/>
          <w:rtl w:val="true"/>
          <w:lang w:bidi="fa-IR"/>
        </w:rPr>
        <w:t xml:space="preserve">) </w:t>
      </w:r>
      <w:r>
        <w:rPr>
          <w:rStyle w:val="FootnoteAnchor"/>
          <w:rtl w:val="true"/>
        </w:rPr>
        <w:footnoteReference w:id="1414"/>
      </w:r>
      <w:r>
        <w:rPr>
          <w:rFonts w:ascii="IRNazanin" w:hAnsi="IRNazanin" w:eastAsia="IRNazanin"/>
          <w:color w:val="111111"/>
          <w:sz w:val="28"/>
          <w:sz w:val="28"/>
          <w:szCs w:val="28"/>
          <w:rtl w:val="true"/>
          <w:lang w:bidi="fa-IR"/>
        </w:rPr>
        <w:t xml:space="preserve">ما ذکره فی المواقیت </w:t>
      </w:r>
      <w:r>
        <w:rPr>
          <w:rStyle w:val="FootnoteAnchor"/>
          <w:rtl w:val="true"/>
        </w:rPr>
        <w:footnoteReference w:id="1415"/>
      </w:r>
      <w:r>
        <w:rPr>
          <w:rFonts w:ascii="IRNazanin" w:hAnsi="IRNazanin" w:eastAsia="IRNazanin"/>
          <w:color w:val="111111"/>
          <w:sz w:val="28"/>
          <w:sz w:val="28"/>
          <w:szCs w:val="28"/>
          <w:rtl w:val="true"/>
          <w:lang w:bidi="fa-IR"/>
        </w:rPr>
        <w:t>، والمذکور فیها لا یخلو من نظر ، کما ستعلمه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تقدیر تمامیة دلیل الاختصاص فعموم دلیل الاشتراک بین الفرضین لا یمنع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الخبر المبحوث عنه ربما یتناول إدراک الرکعة من العصر ، لأنّ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تصلّی التی تطهر عندها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یتناول الجمیع والبعض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المتبادر جمیع الوقت وسیجی‌ء إنشاء الله تعالی بیان ما لا بدّ منه فی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الخبر الثانی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طرح الله عنها من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 لعلّ المراد به أنّ ما فاتها من الصلاة فی حال الحیض أکثر من الصلاة الفائتة حال مضیّ أربعة أقدام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ما یفیده الخبر من حکم المرأة إذا رأت الدم بعد ما یمضی من الزوال أربعة أقدام ، لو صح الحدیث لا مجال للتوقف فیه بسبب الشک فی </w:t>
      </w:r>
      <w:bookmarkStart w:id="1129" w:name="pg17122_169848"/>
    </w:p>
    <w:p>
      <w:pPr>
        <w:pStyle w:val="BookText"/>
        <w:rPr/>
      </w:pPr>
      <w:bookmarkEnd w:id="1129"/>
      <w:r>
        <w:rPr>
          <w:rFonts w:ascii="IRNazanin" w:hAnsi="IRNazanin" w:eastAsia="IRNazanin"/>
          <w:color w:val="111111"/>
          <w:sz w:val="28"/>
          <w:sz w:val="28"/>
          <w:szCs w:val="28"/>
          <w:rtl w:val="true"/>
          <w:lang w:bidi="fa-IR"/>
        </w:rPr>
        <w:t>بعض المقدمات ، وستسمع القول فی المسألة عن قریب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الخبر الثالث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ضیّعت فعلیها صلاتان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المراد به أنّ دخول وقت العصر إن کان فی غیر زمان اشتغالها بمقدمات الصلاة ، بل اتفق دخوله حال ترکها کذلک فعلیها صلاة الظهر والعصر ، غیر أنّ المقام لا یخلو بعد من إجمال ، لأنّ وقت العصر الداخل إن کان المراد به المختص ، یشکل الحال بأنّ عدم الاشتغال فی المقدمات لا یقتضی وجوب قضاء الظهر مطلقا ، بل إذا علم أن الوقت یتّسع فعل الظهر مع المقدمات أو فعل بعضها معها علی المشهور ، وإن کان المراد ما یعم المشترک یشکل الحکم بصلاة العصر وحدها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الحکم مفاد الخبر الأوّل بإطلاقه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الخبر الأوّل فی ظاهره ما یدفع هذا الحکم بعد التأمّل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مفاد الخبر المبحوث عنه أنّ عدم الاشتغال بالمقدمات المعتبر عنه بالتضییع علی الظاهر من الکلام یفید لزوم الصلاتین ، وعلی تقدیر إرادة المشترک یشکل فعل العصر وحدها علی قول </w:t>
      </w:r>
      <w:r>
        <w:rPr>
          <w:rStyle w:val="FootnoteAnchor"/>
          <w:rtl w:val="true"/>
        </w:rPr>
        <w:footnoteReference w:id="1416"/>
      </w:r>
      <w:r>
        <w:rPr>
          <w:rFonts w:ascii="Amiri" w:hAnsi="Amiri" w:eastAsia="Amiri" w:cs="Amiri"/>
          <w:color w:val="111111"/>
          <w:sz w:val="28"/>
          <w:sz w:val="28"/>
          <w:szCs w:val="28"/>
          <w:rtl w:val="true"/>
          <w:lang w:bidi="ar-SA"/>
        </w:rPr>
        <w:t xml:space="preserve">المتأخّرین </w:t>
      </w:r>
      <w:r>
        <w:rPr>
          <w:rStyle w:val="FootnoteAnchor"/>
          <w:rtl w:val="true"/>
        </w:rPr>
        <w:footnoteReference w:id="1417"/>
      </w:r>
      <w:r>
        <w:rPr>
          <w:rFonts w:ascii="IRNazanin" w:hAnsi="IRNazanin" w:eastAsia="IRNazanin"/>
          <w:color w:val="111111"/>
          <w:sz w:val="28"/>
          <w:sz w:val="28"/>
          <w:szCs w:val="28"/>
          <w:rtl w:val="true"/>
          <w:lang w:bidi="fa-IR"/>
        </w:rPr>
        <w:t xml:space="preserve">وظاهر الشیخ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وجه حمل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ضیّعت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 علی ما ذکرت مع إمکان الحمل علی أنها لو ترکت الصلاة علیها القضاء؟</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الاحتمال یدفعه التأمّل الصادق فی مدلول الخبر ، والله تعالی أعلم بالحال</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30" w:name="__RefHeading___Toc39760_2142443653"/>
      <w:bookmarkStart w:id="1131" w:name="_Toc438"/>
      <w:bookmarkEnd w:id="1130"/>
      <w:r>
        <w:rPr>
          <w:rtl w:val="true"/>
        </w:rPr>
        <w:t xml:space="preserve">معنی قوله علیه السلام </w:t>
      </w:r>
      <w:r>
        <w:rPr>
          <w:rtl w:val="true"/>
        </w:rPr>
        <w:t xml:space="preserve">: « </w:t>
      </w:r>
      <w:r>
        <w:rPr>
          <w:rtl w:val="true"/>
        </w:rPr>
        <w:t xml:space="preserve">فإن ضیّعت فعلیها صلاتان </w:t>
      </w:r>
      <w:r>
        <w:rPr>
          <w:rtl w:val="true"/>
        </w:rPr>
        <w:t>»</w:t>
      </w:r>
      <w:bookmarkStart w:id="1132" w:name="pg17122_169849"/>
      <w:bookmarkEnd w:id="1131"/>
    </w:p>
    <w:p>
      <w:pPr>
        <w:pStyle w:val="BookText"/>
        <w:rPr/>
      </w:pPr>
      <w:bookmarkEnd w:id="1132"/>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علی بن الحسن </w:t>
      </w:r>
      <w:r>
        <w:rPr>
          <w:rStyle w:val="FootnoteAnchor"/>
          <w:rtl w:val="true"/>
        </w:rPr>
        <w:footnoteReference w:id="1419"/>
      </w:r>
      <w:r>
        <w:rPr>
          <w:rFonts w:ascii="IRNazanin" w:hAnsi="IRNazanin" w:eastAsia="IRNazanin"/>
          <w:color w:val="111111"/>
          <w:sz w:val="28"/>
          <w:sz w:val="28"/>
          <w:szCs w:val="28"/>
          <w:rtl w:val="true"/>
          <w:lang w:bidi="fa-IR"/>
        </w:rPr>
        <w:t xml:space="preserve">، عن محمد بن الربیع ، عن سیف ابن عمیرة ، عن منصور بن حازم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طهرت الحائض قبل العصر صلّت الظهر والعصر ، فإن طهرت فی آخر وقت العصر صلّت العصر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ینافی الخبر الأوّل ، لأن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طهرت قبل وقت العصر ، یجوز أن یکون ذلک وقت الظهر فلأجل ذلک وجب علیها قضاء الظهر والعصر ، ولو کان وقت العصر لا غیر لما وجب علیها إلاّ صلاة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علی بن محبوب ، عن یعقوب ، عن أبی همام ، عن أبی الحسن الأوّل علیه السلام فی الحائض إذا اغتسلت فی وقت العصر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تصلی العصر ثم تصلی الظهر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ینافی أیضا ما قدّمناه ، لأنه إنّما أخبر عمّن تغتسل فی وقت العصر ، ویجوز أن یکون </w:t>
      </w:r>
      <w:r>
        <w:rPr>
          <w:rStyle w:val="FootnoteAnchor"/>
          <w:rtl w:val="true"/>
        </w:rPr>
        <w:footnoteReference w:id="1420"/>
      </w:r>
      <w:r>
        <w:rPr>
          <w:rFonts w:ascii="IRNazanin" w:hAnsi="IRNazanin" w:eastAsia="IRNazanin"/>
          <w:color w:val="111111"/>
          <w:sz w:val="28"/>
          <w:sz w:val="28"/>
          <w:szCs w:val="28"/>
          <w:rtl w:val="true"/>
          <w:lang w:bidi="fa-IR"/>
        </w:rPr>
        <w:t>طهرت فی وقت الظهر وأخّرت الغسل إلی أن اغتسلت فی وقت قد یضیق للعصر ، فلأجل ذلک أمرها بالظهر بعد أن تصلّی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القول فی رجاله ، سوی محمد بن الربیع وهو مشترک فی الرجال بین مهملین</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33" w:name="__RefHeading___Toc39762_2142443653"/>
      <w:bookmarkStart w:id="1134" w:name="_Toc439"/>
      <w:bookmarkEnd w:id="1133"/>
      <w:r>
        <w:rPr>
          <w:rtl w:val="true"/>
        </w:rPr>
        <w:t>محمد بن الربیع مشترک بین مهملین</w:t>
      </w:r>
      <w:bookmarkStart w:id="1135" w:name="pg17122_169850"/>
      <w:bookmarkEnd w:id="1134"/>
    </w:p>
    <w:p>
      <w:pPr>
        <w:pStyle w:val="BookText"/>
        <w:rPr/>
      </w:pPr>
      <w:bookmarkEnd w:id="1135"/>
      <w:r>
        <w:rPr>
          <w:rFonts w:ascii="IRNazanin" w:hAnsi="IRNazanin" w:eastAsia="IRNazanin"/>
          <w:color w:val="111111"/>
          <w:sz w:val="28"/>
          <w:sz w:val="28"/>
          <w:szCs w:val="28"/>
          <w:rtl w:val="true"/>
          <w:lang w:bidi="fa-IR"/>
        </w:rPr>
        <w:t xml:space="preserve">ویعقوب فی الثانی محتمل لابن یزید الثقة ، وابن یقطین المذکور فی رجال الرضا علیه السلام مهملا </w:t>
      </w:r>
      <w:r>
        <w:rPr>
          <w:rStyle w:val="FootnoteAnchor"/>
          <w:rtl w:val="true"/>
        </w:rPr>
        <w:footnoteReference w:id="1421"/>
      </w:r>
      <w:r>
        <w:rPr>
          <w:rFonts w:ascii="IRNazanin" w:hAnsi="IRNazanin" w:eastAsia="IRNazanin"/>
          <w:color w:val="111111"/>
          <w:sz w:val="28"/>
          <w:sz w:val="28"/>
          <w:szCs w:val="28"/>
          <w:rtl w:val="true"/>
          <w:lang w:bidi="fa-IR"/>
        </w:rPr>
        <w:t xml:space="preserve">، إلاّ أن المتکرّر فی الکتاب روایة محمد بن علی بن محبوب عن یعقوب بن یزید ، ففی باب صلاة المغمی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محبوب ، عن یعقوب بن یزید </w:t>
      </w:r>
      <w:r>
        <w:rPr>
          <w:rStyle w:val="FootnoteAnchor"/>
          <w:rtl w:val="true"/>
        </w:rPr>
        <w:footnoteReference w:id="1422"/>
      </w:r>
      <w:r>
        <w:rPr>
          <w:rFonts w:ascii="IRNazanin" w:hAnsi="IRNazanin" w:eastAsia="IRNazanin"/>
          <w:color w:val="111111"/>
          <w:sz w:val="28"/>
          <w:sz w:val="28"/>
          <w:szCs w:val="28"/>
          <w:rtl w:val="true"/>
          <w:lang w:bidi="fa-IR"/>
        </w:rPr>
        <w:t xml:space="preserve">، وکذلک فی باب صلاة الخوف </w:t>
      </w:r>
      <w:r>
        <w:rPr>
          <w:rStyle w:val="FootnoteAnchor"/>
          <w:rtl w:val="true"/>
        </w:rPr>
        <w:footnoteReference w:id="1423"/>
      </w:r>
      <w:r>
        <w:rPr>
          <w:rFonts w:ascii="IRNazanin" w:hAnsi="IRNazanin" w:eastAsia="IRNazanin"/>
          <w:color w:val="111111"/>
          <w:sz w:val="28"/>
          <w:sz w:val="28"/>
          <w:szCs w:val="28"/>
          <w:rtl w:val="true"/>
          <w:lang w:bidi="fa-IR"/>
        </w:rPr>
        <w:t>، وغیر ذلک ، وحینئذ فالظاهر ظهور ابن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یخرج عن الإطلاق بالنسبة 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طهرت قبل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طهرت فی آخر وقت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یفید تقییده بإدراک غیر المختص بالعصر علی تقدیر أن یراد بآخر وقت العصر المختص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والخبر المتقدم الدال علی أنّ المرأة إذا رأت الطهر بعد أربعة أقدام تصلّی العصر فقط ، صریح المنافاة لهذا الخبر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والحمل المذکور من الشیخ علی أنّ المراد وقت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أُرید به المختص بالظهر أشکل بأنّ الروایة تضمّنت آخر وقت العصر ، فلو کان المراد وقت الظهر المختص بقی الوقت المشترک مسکوت الحکم ، والمطلوب فی الروایة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یقال بعدم معلومیّة إرادته من الإمام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أراد الشیخ بوقت الظهر الأعم من المختص ، بل وقت الفضیلة أو المشترک کما یقتضیه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وقت العصر لا غیر ، أشکل بما تقدم</w:t>
      </w:r>
    </w:p>
    <w:p>
      <w:pPr>
        <w:pStyle w:val="Heading4"/>
        <w:numPr>
          <w:ilvl w:val="3"/>
          <w:numId w:val="1"/>
        </w:numPr>
        <w:rPr/>
      </w:pPr>
      <w:bookmarkStart w:id="1136" w:name="__RefHeading___Toc39764_2142443653"/>
      <w:bookmarkStart w:id="1137" w:name="_Toc440"/>
      <w:bookmarkEnd w:id="1136"/>
      <w:r>
        <w:rPr>
          <w:rtl w:val="true"/>
        </w:rPr>
        <w:t>یعقوب الذی یروی عنه محمد بن علی بن محبوب هو ابن یزید</w:t>
      </w:r>
      <w:bookmarkEnd w:id="1137"/>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38" w:name="__RefHeading___Toc39766_2142443653"/>
      <w:bookmarkStart w:id="1139" w:name="_Toc441"/>
      <w:bookmarkEnd w:id="1138"/>
      <w:r>
        <w:rPr>
          <w:rtl w:val="true"/>
        </w:rPr>
        <w:t>المناقشة فی توجیه الشیخ لخبر منصور بن حازم</w:t>
      </w:r>
      <w:bookmarkStart w:id="1140" w:name="pg17122_169851"/>
      <w:bookmarkEnd w:id="1139"/>
    </w:p>
    <w:p>
      <w:pPr>
        <w:pStyle w:val="BookText"/>
        <w:rPr/>
      </w:pPr>
      <w:bookmarkEnd w:id="1140"/>
      <w:r>
        <w:rPr>
          <w:rFonts w:ascii="IRNazanin" w:hAnsi="IRNazanin" w:eastAsia="IRNazanin"/>
          <w:color w:val="111111"/>
          <w:sz w:val="28"/>
          <w:sz w:val="28"/>
          <w:szCs w:val="28"/>
          <w:rtl w:val="true"/>
          <w:lang w:bidi="fa-IR"/>
        </w:rPr>
        <w:t>من الخبر المتضمن لأربعة أقدام ، فما ظنّه الشیخ من انتفاء المنافاة بجمیع ما تقدم محل کلام ، ومن توقف عمله علی الخبر الصحیح قد یخفّ عنه الإشکال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الخبر الثانی </w:t>
      </w:r>
      <w:r>
        <w:rPr>
          <w:rFonts w:eastAsia="IRNazanin" w:cs="IRNazanin"/>
          <w:color w:val="111111"/>
          <w:sz w:val="28"/>
          <w:szCs w:val="28"/>
          <w:rtl w:val="true"/>
          <w:lang w:bidi="fa-IR"/>
        </w:rPr>
        <w:t xml:space="preserve">: ) </w:t>
      </w:r>
      <w:r>
        <w:rPr>
          <w:rStyle w:val="FootnoteAnchor"/>
          <w:rtl w:val="true"/>
        </w:rPr>
        <w:footnoteReference w:id="1424"/>
      </w:r>
      <w:r>
        <w:rPr>
          <w:rFonts w:ascii="IRNazanin" w:hAnsi="IRNazanin" w:eastAsia="IRNazanin"/>
          <w:color w:val="111111"/>
          <w:sz w:val="28"/>
          <w:sz w:val="28"/>
          <w:szCs w:val="28"/>
          <w:rtl w:val="true"/>
          <w:lang w:bidi="fa-IR"/>
        </w:rPr>
        <w:t xml:space="preserve">فما ذکره الشیخ فیه لا یخلو من وجه ، إلاّ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تضیق العصر </w:t>
      </w:r>
      <w:r>
        <w:rPr>
          <w:rFonts w:eastAsia="IRNazanin" w:cs="IRNazanin"/>
          <w:color w:val="111111"/>
          <w:sz w:val="28"/>
          <w:szCs w:val="28"/>
          <w:rtl w:val="true"/>
          <w:lang w:bidi="fa-IR"/>
        </w:rPr>
        <w:t xml:space="preserve">) </w:t>
      </w:r>
      <w:r>
        <w:rPr>
          <w:rStyle w:val="FootnoteAnchor"/>
          <w:rtl w:val="true"/>
        </w:rPr>
        <w:footnoteReference w:id="1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الظاهر یرید به الوقت المختص بالعصر ، ووجوب الصلاة حینئذ مبنی علی أنّ إدراک </w:t>
      </w:r>
      <w:r>
        <w:rPr>
          <w:rStyle w:val="FootnoteAnchor"/>
          <w:rtl w:val="true"/>
        </w:rPr>
        <w:footnoteReference w:id="1426"/>
      </w:r>
      <w:r>
        <w:rPr>
          <w:rFonts w:ascii="IRNazanin" w:hAnsi="IRNazanin" w:eastAsia="IRNazanin"/>
          <w:color w:val="111111"/>
          <w:sz w:val="28"/>
          <w:sz w:val="28"/>
          <w:szCs w:val="28"/>
          <w:rtl w:val="true"/>
          <w:lang w:bidi="fa-IR"/>
        </w:rPr>
        <w:t xml:space="preserve">شی‌ء من الوقت یقتضی وجوب الصلاة ، إذ الغسل فی المختص لا بدّ أن یقصر الوقت معه عن الفعل ، والأخبار الدالة علی ذلک لا یخلو من قصور فی السند ، إلاّ أنّ العلاّمة فی المنتهی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خلاف فیه بین أهل العلم </w:t>
      </w:r>
      <w:r>
        <w:rPr>
          <w:rStyle w:val="FootnoteAnchor"/>
          <w:rtl w:val="true"/>
        </w:rPr>
        <w:footnoteReference w:id="1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ضمیمة هذا إلی الأخبار تسهل الخطب ، وسیأتی تفصیل القول فی بابه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علی بن الحسن ، عن محمد بن عبد الله بن زرارة ، عن محمد بن الفضیل ، عن أبی الصباح الکنانی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طهرت المرأة قبل طلوع الفجر صلّت المغرب والعشاء الآخرة ، وإن طهرت قبل أن تغیب الشمس صلّت الظهر والعصر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عبد الرحمن بن أبی نجران ، عن عبد الله بن سنان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طهرت المرأة قبل غروب الشمس</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41" w:name="__RefHeading___Toc39768_2142443653"/>
      <w:bookmarkStart w:id="1142" w:name="_Toc442"/>
      <w:bookmarkEnd w:id="1141"/>
      <w:r>
        <w:rPr>
          <w:rtl w:val="true"/>
        </w:rPr>
        <w:t>المناقشة فی توجیه الشیخ لخبر أبی همام</w:t>
      </w:r>
      <w:bookmarkStart w:id="1143" w:name="pg17122_169852"/>
      <w:bookmarkEnd w:id="1142"/>
    </w:p>
    <w:p>
      <w:pPr>
        <w:pStyle w:val="BookText"/>
        <w:rPr/>
      </w:pPr>
      <w:bookmarkEnd w:id="1143"/>
      <w:r>
        <w:rPr>
          <w:rFonts w:ascii="IRNazanin" w:hAnsi="IRNazanin" w:eastAsia="IRNazanin"/>
          <w:color w:val="111111"/>
          <w:sz w:val="28"/>
          <w:sz w:val="28"/>
          <w:szCs w:val="28"/>
          <w:rtl w:val="true"/>
          <w:lang w:bidi="fa-IR"/>
        </w:rPr>
        <w:t xml:space="preserve">فلتصلّ الظهر والعصر ، وإن طهرت من آخر اللیل فلتصلّ المغرب والعشاء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أحمد بن الحسن ، عن أبیه ، عن ثعلبة ، عن معمر بن یحیی ، عن داود الزجاجی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کانت المرأة حائضا وطهرت قبل غروب الشمس صلّت الظهر والعصر ، وإن طهرت من آخر اللیل صلّت المغرب والعشاء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 عن محمد بن علی ، عن أبی جمیلة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أخیه ، عن أبیه ، عن أبی جمیلة ، عن عمر بن حنظلة ، عن الشیخ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طهرت المرأة قبل طلوع الفجر صلّت المغرب والعشاء الآخرة ، وإن طهرت قبل أن تغیب الشمس صلّت الظهر والعصر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الجمع بین هذه الأخبار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المرأة إذا طهرت بعد زوال الشمس إلی أن یمضی منه أربعة أقدام فإنّه یجب علیها قضاء الظهر والعصر معاً ، وإذا طهرت بعد مضی أربعة أقدام فإنّه یجب علیها قضاء العصر لا غیر ، ویستحب لها قضاء الظهر إذا کان طهرها إلی مغیب الشمس ، وکذلک یجب علیها قضاء المغرب والعشاء إلی نصف اللیل ، ویستحب لها قضاؤهما إلی عند طلوع الفجر ، وعلی هذا الوجه لا تنافی بین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قدّمنا ما فی طریق الشیخ إلی علی بن الحسن من الجهالة ، وکذلک ذکرنا حال محمد بن عبد الله بن زرارة من أنّه لا یخلو من</w:t>
      </w:r>
    </w:p>
    <w:p>
      <w:pPr>
        <w:pStyle w:val="Heading4"/>
        <w:numPr>
          <w:ilvl w:val="3"/>
          <w:numId w:val="1"/>
        </w:numPr>
        <w:rPr/>
      </w:pPr>
      <w:bookmarkStart w:id="1144" w:name="__RefHeading___Toc39770_2142443653"/>
      <w:bookmarkStart w:id="1145" w:name="_Toc443"/>
      <w:bookmarkEnd w:id="1144"/>
      <w:r>
        <w:rPr>
          <w:rtl w:val="true"/>
        </w:rPr>
        <w:t>طریق الشیخ إلی علی بن الحسن مجهول</w:t>
      </w:r>
      <w:bookmarkEnd w:id="1145"/>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46" w:name="__RefHeading___Toc39772_2142443653"/>
      <w:bookmarkStart w:id="1147" w:name="_Toc444"/>
      <w:bookmarkEnd w:id="1146"/>
      <w:r>
        <w:rPr>
          <w:rtl w:val="true"/>
        </w:rPr>
        <w:t>محمد بن عبدالله بن زرارة لا یخلو من مدح</w:t>
      </w:r>
      <w:bookmarkStart w:id="1148" w:name="pg17122_169853"/>
      <w:bookmarkEnd w:id="1147"/>
    </w:p>
    <w:p>
      <w:pPr>
        <w:pStyle w:val="BookText"/>
        <w:rPr/>
      </w:pPr>
      <w:bookmarkEnd w:id="1148"/>
      <w:r>
        <w:rPr>
          <w:rFonts w:ascii="IRNazanin" w:hAnsi="IRNazanin" w:eastAsia="IRNazanin"/>
          <w:color w:val="111111"/>
          <w:sz w:val="28"/>
          <w:sz w:val="28"/>
          <w:szCs w:val="28"/>
          <w:rtl w:val="true"/>
          <w:lang w:bidi="fa-IR"/>
        </w:rPr>
        <w:t xml:space="preserve">مدح فی الرجال ، وأمّا محمد بن الفضیل فهو مشترک بین ثقة وغیره </w:t>
      </w:r>
      <w:r>
        <w:rPr>
          <w:rStyle w:val="FootnoteAnchor"/>
          <w:rtl w:val="true"/>
        </w:rPr>
        <w:footnoteReference w:id="1428"/>
      </w:r>
      <w:r>
        <w:rPr>
          <w:rFonts w:ascii="IRNazanin" w:hAnsi="IRNazanin" w:eastAsia="IRNazanin"/>
          <w:color w:val="111111"/>
          <w:sz w:val="28"/>
          <w:sz w:val="28"/>
          <w:szCs w:val="28"/>
          <w:rtl w:val="true"/>
          <w:lang w:bidi="fa-IR"/>
        </w:rPr>
        <w:t>، وأبو الصباح هو إبراهیم بن نعیم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عنه فیه یرجع إلی علی بن الحسن ، وقد علمت حال الطریق إلیه ، وحال علی بن الحسن مشهور بالفطحیة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مع ما تقدم عن قریب وبعید داود الزجاجی وهو مذکور فی رجال الباقر والصادق علیهماالسلام من کتاب الشیخ مهملا </w:t>
      </w:r>
      <w:r>
        <w:rPr>
          <w:rStyle w:val="FootnoteAnchor"/>
          <w:rtl w:val="true"/>
        </w:rPr>
        <w:footnoteReference w:id="1429"/>
      </w:r>
      <w:r>
        <w:rPr>
          <w:rFonts w:ascii="IRNazanin" w:hAnsi="IRNazanin" w:eastAsia="IRNazanin"/>
          <w:color w:val="111111"/>
          <w:sz w:val="28"/>
          <w:sz w:val="28"/>
          <w:szCs w:val="28"/>
          <w:rtl w:val="true"/>
          <w:lang w:bidi="fa-IR"/>
        </w:rPr>
        <w:t>، والذی رأیته فی النسخة بالدال المهملة ، وفی نسخة الاستبصار بالزای ، والأمر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مع ما تقدم محمد بن علی ، ولا یبعد أن یکون ابن محبوب ، إلاّ أن احتمال غیره قائم ، ومحمد فیه معطوف علی محمد بن علی ، وضمیر أخیه لعلی ، ومحمد مذکور فی الکشی عن محمد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الفطحیة من غیر توثیق </w:t>
      </w:r>
      <w:r>
        <w:rPr>
          <w:rStyle w:val="FootnoteAnchor"/>
          <w:rtl w:val="true"/>
        </w:rPr>
        <w:footnoteReference w:id="1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جمیلة هو المفضل بن صالح ، وقد ضعّفه العلاّمة فی الخلاصة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یضع الحدیث </w:t>
      </w:r>
      <w:r>
        <w:rPr>
          <w:rStyle w:val="FootnoteAnchor"/>
          <w:rtl w:val="true"/>
        </w:rPr>
        <w:footnoteReference w:id="1431"/>
      </w:r>
      <w:r>
        <w:rPr>
          <w:rFonts w:ascii="IRNazanin" w:hAnsi="IRNazanin" w:eastAsia="IRNazanin"/>
          <w:color w:val="111111"/>
          <w:sz w:val="28"/>
          <w:sz w:val="28"/>
          <w:szCs w:val="28"/>
          <w:rtl w:val="true"/>
          <w:lang w:bidi="fa-IR"/>
        </w:rPr>
        <w:t xml:space="preserve">، وعمر بن حنظلة قدمنا القول فیه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قاله الشیخ من الجمع لا یخلو من نظر ، لأنّ مفاد الأخبار المذکورة لا یخرج من الإطلاق ، والسابق من الأخبار مقید ، لکن التقیید خاص بالظهر والعصر ، أمّا المغرب والعشاء فلا ذکر لهما فیها ، فإن کان الشیخ نظر إلی أنّ</w:t>
      </w:r>
    </w:p>
    <w:p>
      <w:pPr>
        <w:pStyle w:val="Heading4"/>
        <w:numPr>
          <w:ilvl w:val="3"/>
          <w:numId w:val="1"/>
        </w:numPr>
        <w:rPr/>
      </w:pPr>
      <w:bookmarkStart w:id="1149" w:name="__RefHeading___Toc39774_2142443653"/>
      <w:bookmarkStart w:id="1150" w:name="_Toc445"/>
      <w:bookmarkEnd w:id="1149"/>
      <w:r>
        <w:rPr>
          <w:rtl w:val="true"/>
        </w:rPr>
        <w:t>محمد بن الفضیل مشترک بین ثقة وغیره</w:t>
      </w:r>
      <w:bookmarkEnd w:id="1150"/>
    </w:p>
    <w:p>
      <w:pPr>
        <w:pStyle w:val="Heading4"/>
        <w:numPr>
          <w:ilvl w:val="3"/>
          <w:numId w:val="1"/>
        </w:numPr>
        <w:rPr/>
      </w:pPr>
      <w:bookmarkStart w:id="1151" w:name="__RefHeading___Toc39776_2142443653"/>
      <w:bookmarkStart w:id="1152" w:name="_Toc446"/>
      <w:bookmarkEnd w:id="1151"/>
      <w:r>
        <w:rPr>
          <w:rtl w:val="true"/>
        </w:rPr>
        <w:t>أبو الصباح هو إبراهیم بن نعیم الثقة</w:t>
      </w:r>
      <w:bookmarkEnd w:id="1152"/>
    </w:p>
    <w:p>
      <w:pPr>
        <w:pStyle w:val="Heading4"/>
        <w:numPr>
          <w:ilvl w:val="3"/>
          <w:numId w:val="1"/>
        </w:numPr>
        <w:rPr/>
      </w:pPr>
      <w:bookmarkStart w:id="1153" w:name="__RefHeading___Toc39778_2142443653"/>
      <w:bookmarkStart w:id="1154" w:name="_Toc447"/>
      <w:bookmarkEnd w:id="1153"/>
      <w:r>
        <w:rPr>
          <w:rtl w:val="true"/>
        </w:rPr>
        <w:t>علی بن الحسن فطحی</w:t>
      </w:r>
      <w:bookmarkEnd w:id="1154"/>
    </w:p>
    <w:p>
      <w:pPr>
        <w:pStyle w:val="Heading4"/>
        <w:numPr>
          <w:ilvl w:val="3"/>
          <w:numId w:val="1"/>
        </w:numPr>
        <w:rPr/>
      </w:pPr>
      <w:bookmarkStart w:id="1155" w:name="__RefHeading___Toc39780_2142443653"/>
      <w:bookmarkStart w:id="1156" w:name="_Toc448"/>
      <w:bookmarkEnd w:id="1155"/>
      <w:r>
        <w:rPr>
          <w:rtl w:val="true"/>
        </w:rPr>
        <w:t>بحث حول داود الزجاجی</w:t>
      </w:r>
      <w:bookmarkEnd w:id="1156"/>
    </w:p>
    <w:p>
      <w:pPr>
        <w:pStyle w:val="Heading4"/>
        <w:numPr>
          <w:ilvl w:val="3"/>
          <w:numId w:val="1"/>
        </w:numPr>
        <w:rPr/>
      </w:pPr>
      <w:bookmarkStart w:id="1157" w:name="__RefHeading___Toc39782_2142443653"/>
      <w:bookmarkStart w:id="1158" w:name="_Toc449"/>
      <w:bookmarkEnd w:id="1157"/>
      <w:r>
        <w:rPr>
          <w:rtl w:val="true"/>
        </w:rPr>
        <w:t>محمد فطحی غیر موثق</w:t>
      </w:r>
      <w:bookmarkEnd w:id="1158"/>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59" w:name="__RefHeading___Toc39784_2142443653"/>
      <w:bookmarkStart w:id="1160" w:name="_Toc450"/>
      <w:bookmarkEnd w:id="1159"/>
      <w:r>
        <w:rPr>
          <w:rtl w:val="true"/>
        </w:rPr>
        <w:t>أبو جمیلة ضعیف</w:t>
      </w:r>
      <w:bookmarkStart w:id="1161" w:name="pg17122_169854"/>
      <w:bookmarkEnd w:id="1160"/>
    </w:p>
    <w:p>
      <w:pPr>
        <w:pStyle w:val="BookText"/>
        <w:rPr/>
      </w:pPr>
      <w:bookmarkEnd w:id="1161"/>
      <w:r>
        <w:rPr>
          <w:rFonts w:ascii="IRNazanin" w:hAnsi="IRNazanin" w:eastAsia="IRNazanin"/>
          <w:color w:val="111111"/>
          <w:sz w:val="28"/>
          <w:sz w:val="28"/>
          <w:szCs w:val="28"/>
          <w:rtl w:val="true"/>
          <w:lang w:bidi="fa-IR"/>
        </w:rPr>
        <w:t xml:space="preserve">الحکم فی الجمیع واحد نظراً إلی إمکان جریان التعلیل ، أشکل بأنّ التقیید </w:t>
      </w:r>
      <w:r>
        <w:rPr>
          <w:rStyle w:val="FootnoteAnchor"/>
          <w:rtl w:val="true"/>
        </w:rPr>
        <w:footnoteReference w:id="1433"/>
      </w:r>
      <w:r>
        <w:rPr>
          <w:rFonts w:ascii="IRNazanin" w:hAnsi="IRNazanin" w:eastAsia="IRNazanin"/>
          <w:color w:val="111111"/>
          <w:sz w:val="28"/>
          <w:sz w:val="28"/>
          <w:szCs w:val="28"/>
          <w:rtl w:val="true"/>
          <w:lang w:bidi="fa-IR"/>
        </w:rPr>
        <w:t xml:space="preserve">بنصف اللیل لا یناسب ذلک ، لأنّ وقت الظهر لا یعتبر آخره ، کما صرح به الشیخ تبعاً للنص ، وحینئذ لا یتم إطلاق القول فی المغرب والعشاء ، ولا مانع من حمل الأخبار فیهما علی امتداد الوقت إلی الفجر ویکون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 </w:t>
      </w:r>
      <w:r>
        <w:rPr>
          <w:rFonts w:eastAsia="IRNazanin" w:cs="IRNazanin"/>
          <w:color w:val="111111"/>
          <w:sz w:val="28"/>
          <w:szCs w:val="28"/>
          <w:rtl w:val="true"/>
          <w:lang w:bidi="fa-IR"/>
        </w:rPr>
        <w:t xml:space="preserve">] </w:t>
      </w:r>
      <w:r>
        <w:rPr>
          <w:rStyle w:val="FootnoteAnchor"/>
          <w:rtl w:val="true"/>
        </w:rPr>
        <w:footnoteReference w:id="1434"/>
      </w:r>
      <w:r>
        <w:rPr>
          <w:rFonts w:ascii="IRNazanin" w:hAnsi="IRNazanin" w:eastAsia="IRNazanin"/>
          <w:color w:val="111111"/>
          <w:sz w:val="28"/>
          <w:sz w:val="28"/>
          <w:szCs w:val="28"/>
          <w:rtl w:val="true"/>
          <w:lang w:bidi="fa-IR"/>
        </w:rPr>
        <w:t>وقت المضطر ، وسیأتی من الشیخ ذکر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الأخبار إذا دلّت علی اتحاد حکم المغرب والعشاء والظهر والعصر کان الفرق بین کل من المغرب والعشاء والظهر والعصر غیر مناسب للحکمة من إطلاق الإمام علیه السلام ، فلا بد علی تقدیر الاستحباب فی الظهرین القول به فی العشاءین ، وفیه ما قدّمناه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ما ذکره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قضاء الظهر مستحب إلی غیاب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تسامح ، بل الظاهر أنّه لا یخلو من خلل ، إذ الدلیل علی استحباب القضاء للظهر علی تقدیر إدراک المختص بالعصر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حملت الأخبار الدالة علی أنّ الطهر قبل الغروب یقتضی صلاة الفرضین علی الاستحباب زاد الإشکال ،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الظهر فقط ، 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المطلوب وجوب قضاء العصر واستحباب قضاء الظهر ، وبالجملة فالکلام واسع البحث والمحصّل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 العلاّمة فی المختلف نقل عن الشیخ فی المبسوط أنّه 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طهرت بعد زوال الشمس إلی دخول وقت العصر قضت الصلاتین معاً وجوباً ، ویستحب لها قضاؤهما إذا طهرت قبل مغیب</w:t>
      </w:r>
    </w:p>
    <w:p>
      <w:pPr>
        <w:pStyle w:val="Heading4"/>
        <w:numPr>
          <w:ilvl w:val="3"/>
          <w:numId w:val="1"/>
        </w:numPr>
        <w:rPr/>
      </w:pPr>
      <w:bookmarkStart w:id="1162" w:name="__RefHeading___Toc39786_2142443653"/>
      <w:bookmarkStart w:id="1163" w:name="_Toc451"/>
      <w:bookmarkEnd w:id="1162"/>
      <w:r>
        <w:rPr>
          <w:rtl w:val="true"/>
        </w:rPr>
        <w:t>المناقشة فی توجیه الشیخ للأخبار الدالّة علی أنّ الطهر قبل طلوع الفجر وغروب الشمس یقتضی صلاة العشائین والظهرین</w:t>
      </w:r>
      <w:bookmarkEnd w:id="1163"/>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64" w:name="__RefHeading___Toc39788_2142443653"/>
      <w:bookmarkStart w:id="1165" w:name="_Toc452"/>
      <w:bookmarkEnd w:id="1164"/>
      <w:r>
        <w:rPr>
          <w:rtl w:val="true"/>
        </w:rPr>
        <w:t>کلام العلّامة فی المسألة والمناقشة فیه</w:t>
      </w:r>
      <w:bookmarkEnd w:id="1165"/>
    </w:p>
    <w:p>
      <w:pPr>
        <w:pStyle w:val="BookText"/>
        <w:rPr/>
      </w:pPr>
      <w:r>
        <w:rPr>
          <w:rFonts w:ascii="IRNazanin" w:hAnsi="IRNazanin" w:eastAsia="IRNazanin"/>
          <w:color w:val="111111"/>
          <w:sz w:val="28"/>
          <w:sz w:val="28"/>
          <w:szCs w:val="28"/>
          <w:rtl w:val="true"/>
          <w:lang w:bidi="fa-IR"/>
        </w:rPr>
        <w:t>الشمس بمقدار ما تصلّی خمس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نقل عن ابن البراج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والصحیح أنّها إذا اتسع زمانها للطهارة وأداءِ خمس رکعات وجب علیها فعل الصلاتین معاً کما قال یعنی الشیخ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لحقت قبل المغیب ما تصلّی فیه رکعة لزمها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ما رواه الشیخ ، عن منصور بن حازم ، عن أبی عبد الله علیه السلام ، وذکر الروایة السابقة المشتمل سندها هنا علی محمد بن الربیع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العلاّمة عقیب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عقیب الأخبار التی أوردها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أُعوّل علیه فی الجمع أنّ المرأة إذا طهرت بعد زوال الشمس إلی أن یمضی أربعة أقدام فإنّه یجب علیها قضاء الظهر والعصر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هنا ، وإن کان ظاهر أوّل الکلام أنّه من غیر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کلام العلاّمة لا یخلو من نظر فی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فالاستدلال بالروایة لا یخفی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ذکر الأخبار المعارضة والاقتصار علی نقل کلام الشیخ أغرب</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من أنّ إدراک الرکعة من الظهر یوجب إدراک الصلاة ، لا یخلو دلیله من الأخبار من قصور کما سبقت إلیه الإشارة ، والإجماع فی المقام منتف مع خلاف الشیخ ، إلاّ أن یکون الإجماع بعد الشیخ ، وکلام المنتهی السابق نقله یدل علی خلاف ذلک </w:t>
      </w:r>
      <w:r>
        <w:rPr>
          <w:rStyle w:val="FootnoteAnchor"/>
          <w:rtl w:val="true"/>
        </w:rPr>
        <w:footnoteReference w:id="1436"/>
      </w:r>
      <w:r>
        <w:rPr>
          <w:rFonts w:ascii="IRNazanin" w:hAnsi="IRNazanin" w:eastAsia="IRNazanin"/>
          <w:color w:val="111111"/>
          <w:sz w:val="28"/>
          <w:sz w:val="28"/>
          <w:szCs w:val="28"/>
          <w:rtl w:val="true"/>
          <w:lang w:bidi="fa-IR"/>
        </w:rPr>
        <w:t>، ولا یخفی أنّ کلام الشیخ یخالف القول فی العصر أیضاً ، کما یعلم بالتأمّل الصادق ، ولم أر تحقیق الحال فی المقام</w:t>
      </w:r>
      <w:r>
        <w:rPr>
          <w:rFonts w:eastAsia="IRNazanin" w:cs="IRNazanin"/>
          <w:color w:val="111111"/>
          <w:sz w:val="28"/>
          <w:szCs w:val="28"/>
          <w:rtl w:val="true"/>
          <w:lang w:bidi="fa-IR"/>
        </w:rPr>
        <w:t xml:space="preserve">. </w:t>
      </w:r>
      <w:bookmarkStart w:id="1166" w:name="pg17122_169856"/>
    </w:p>
    <w:p>
      <w:pPr>
        <w:pStyle w:val="BookText"/>
        <w:rPr/>
      </w:pPr>
      <w:bookmarkEnd w:id="1166"/>
      <w:r>
        <w:rPr>
          <w:rFonts w:ascii="IRNazanin" w:hAnsi="IRNazanin" w:eastAsia="IRNazanin"/>
          <w:color w:val="111111"/>
          <w:sz w:val="28"/>
          <w:sz w:val="28"/>
          <w:szCs w:val="28"/>
          <w:rtl w:val="true"/>
          <w:lang w:bidi="fa-IR"/>
        </w:rPr>
        <w:t>والعلاّمة رحمه الله لم یلتفت إلی تحقیق أمثال هذه المواضع ، والظاهر أنّ سبب ذلک العجلة کما هی عادته فی مصنفاته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المرأة تحیض بعد أن دخل علیها وقت الصلاة</w:t>
      </w:r>
    </w:p>
    <w:p>
      <w:pPr>
        <w:pStyle w:val="BookText"/>
        <w:rPr/>
      </w:pPr>
      <w:r>
        <w:rPr>
          <w:rFonts w:ascii="IRNazanin" w:hAnsi="IRNazanin" w:eastAsia="IRNazanin"/>
          <w:color w:val="111111"/>
          <w:sz w:val="28"/>
          <w:sz w:val="28"/>
          <w:szCs w:val="28"/>
          <w:rtl w:val="true"/>
          <w:lang w:bidi="fa-IR"/>
        </w:rPr>
        <w:t xml:space="preserve">أخبرنی أحمد بن عبدون ، عن علی بن محمد بن الزبیر ، عن علی بن الحسن ، عن محمد بن الولید ، عن یونس بن یعقوب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امرأة دخل وقت الصلاة وهی طاهرة فأخّرت الصلاة حتی حاضت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تقضی إذا طهرت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 عن شاذان بن خلیل النیسابوری ، عن یونس بن عبد الرحمن ، عن عبد الرحمن 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المرأة تطمث بعد ما تزول الشمس ولم تصلّ الظهر هل علیها قضاء تلک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بیان رجاله ، وأمّا محمد بن الولید فهو الخزاز علی الظاهر ، لأنّ النجاشی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یروی عن یونس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یضر کون الراوی عنه فی النجاشی أحمد بن محمد بن خالد </w:t>
      </w:r>
      <w:r>
        <w:rPr>
          <w:rStyle w:val="FootnoteAnchor"/>
          <w:rtl w:val="true"/>
        </w:rPr>
        <w:footnoteReference w:id="1437"/>
      </w:r>
      <w:r>
        <w:rPr>
          <w:rFonts w:ascii="IRNazanin" w:hAnsi="IRNazanin" w:eastAsia="IRNazanin"/>
          <w:color w:val="111111"/>
          <w:sz w:val="28"/>
          <w:sz w:val="28"/>
          <w:szCs w:val="28"/>
          <w:rtl w:val="true"/>
          <w:lang w:bidi="fa-IR"/>
        </w:rPr>
        <w:t>، لأنّ مرتبة علی ابن الحسن لا تأبی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الکشی إنّه فطحی فی جملة آخرین </w:t>
      </w:r>
      <w:r>
        <w:rPr>
          <w:rStyle w:val="FootnoteAnchor"/>
          <w:rtl w:val="true"/>
        </w:rPr>
        <w:footnoteReference w:id="1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والنجاشی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ثقة عین </w:t>
      </w:r>
      <w:r>
        <w:rPr>
          <w:rStyle w:val="FootnoteAnchor"/>
          <w:rtl w:val="true"/>
        </w:rPr>
        <w:footnoteReference w:id="1439"/>
      </w:r>
      <w:r>
        <w:rPr>
          <w:rFonts w:ascii="IRNazanin" w:hAnsi="IRNazanin" w:eastAsia="IRNazanin"/>
          <w:color w:val="111111"/>
          <w:sz w:val="28"/>
          <w:sz w:val="28"/>
          <w:szCs w:val="28"/>
          <w:rtl w:val="true"/>
          <w:lang w:bidi="fa-IR"/>
        </w:rPr>
        <w:t>، ولم یذکر إنّه فطحی</w:t>
      </w:r>
      <w:r>
        <w:rPr>
          <w:rFonts w:eastAsia="IRNazanin" w:cs="IRNazanin"/>
          <w:color w:val="111111"/>
          <w:sz w:val="28"/>
          <w:szCs w:val="28"/>
          <w:rtl w:val="true"/>
          <w:lang w:bidi="fa-IR"/>
        </w:rPr>
        <w:t>.</w:t>
      </w:r>
    </w:p>
    <w:p>
      <w:pPr>
        <w:pStyle w:val="Heading3"/>
        <w:numPr>
          <w:ilvl w:val="2"/>
          <w:numId w:val="1"/>
        </w:numPr>
        <w:rPr/>
      </w:pPr>
      <w:bookmarkStart w:id="1167" w:name="__RefHeading___Toc39790_2142443653"/>
      <w:bookmarkStart w:id="1168" w:name="_Toc453"/>
      <w:bookmarkEnd w:id="1167"/>
      <w:r>
        <w:rPr>
          <w:rtl w:val="true"/>
        </w:rPr>
        <w:t>المرأة تحیض بعد أن دخل علیها وقت الصلاة</w:t>
      </w:r>
      <w:bookmarkEnd w:id="1168"/>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69" w:name="__RefHeading___Toc39792_2142443653"/>
      <w:bookmarkStart w:id="1170" w:name="_Toc454"/>
      <w:bookmarkEnd w:id="1169"/>
      <w:r>
        <w:rPr>
          <w:rtl w:val="true"/>
        </w:rPr>
        <w:t>بحث حول محمد بن الولید</w:t>
      </w:r>
      <w:bookmarkStart w:id="1171" w:name="pg17122_169857"/>
      <w:bookmarkEnd w:id="1170"/>
    </w:p>
    <w:p>
      <w:pPr>
        <w:pStyle w:val="BookText"/>
        <w:rPr/>
      </w:pPr>
      <w:bookmarkEnd w:id="1171"/>
      <w:r>
        <w:rPr>
          <w:rFonts w:ascii="IRNazanin" w:hAnsi="IRNazanin" w:eastAsia="IRNazanin"/>
          <w:color w:val="111111"/>
          <w:sz w:val="28"/>
          <w:sz w:val="28"/>
          <w:szCs w:val="28"/>
          <w:rtl w:val="true"/>
          <w:lang w:bidi="fa-IR"/>
        </w:rPr>
        <w:t xml:space="preserve">والعلاّمة فی الخلاصة قال بعد نقل کلام الکشی وکلام النجاشی </w:t>
      </w:r>
      <w:r>
        <w:rPr>
          <w:rStyle w:val="FootnoteAnchor"/>
          <w:rtl w:val="true"/>
        </w:rPr>
        <w:footnoteReference w:id="1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یظهر لی أنّه الذی ذکره الکشی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والشیخ فی الفهرست ذکره مرّتین من غیر ذکر التوثیق وأنّه فطحی </w:t>
      </w:r>
      <w:r>
        <w:rPr>
          <w:rStyle w:val="FootnoteAnchor"/>
          <w:rtl w:val="true"/>
        </w:rPr>
        <w:footnoteReference w:id="1441"/>
      </w:r>
      <w:r>
        <w:rPr>
          <w:rFonts w:ascii="IRNazanin" w:hAnsi="IRNazanin" w:eastAsia="IRNazanin"/>
          <w:color w:val="111111"/>
          <w:sz w:val="28"/>
          <w:sz w:val="28"/>
          <w:szCs w:val="28"/>
          <w:rtl w:val="true"/>
          <w:lang w:bidi="fa-IR"/>
        </w:rPr>
        <w:t xml:space="preserve">، وحینئذ یبقی الکلام فی ترجیح قول النجاشی علی کلام الکشی لما یعلم من شأن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وزیادة تثبّته </w:t>
      </w:r>
      <w:r>
        <w:rPr>
          <w:rFonts w:eastAsia="IRNazanin" w:cs="IRNazanin"/>
          <w:color w:val="111111"/>
          <w:sz w:val="28"/>
          <w:szCs w:val="28"/>
          <w:rtl w:val="true"/>
          <w:lang w:bidi="fa-IR"/>
        </w:rPr>
        <w:t xml:space="preserve">)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یوجد فی کلام جماعة من الأصحاب أنّ الترجیح هنا لا حاجة إلیه ، لإمکان الجمع بین الثقة وکونه فطحیا ، محل بحث لما ذکرناه ، والأمر هنا سهل ، لضعف الخبر بغیره أو عدم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شاذان بن الخلیل ، وهو مذکور فی رجال الجواد علیه السلام من کتاب الشیخ مهملاً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الخبرین لا یخلو من إجمال ، 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دخول وقت الصلاة یحتمل </w:t>
      </w:r>
      <w:r>
        <w:rPr>
          <w:rStyle w:val="FootnoteAnchor"/>
          <w:rtl w:val="true"/>
        </w:rPr>
        <w:footnoteReference w:id="1444"/>
      </w:r>
      <w:r>
        <w:rPr>
          <w:rFonts w:ascii="IRNazanin" w:hAnsi="IRNazanin" w:eastAsia="IRNazanin"/>
          <w:color w:val="111111"/>
          <w:sz w:val="28"/>
          <w:sz w:val="28"/>
          <w:szCs w:val="28"/>
          <w:rtl w:val="true"/>
          <w:lang w:bidi="fa-IR"/>
        </w:rPr>
        <w:t>أن یراد به المختص أو المشترک أو هما ، وقد تقدّم فی خبر الفضل بن یونس أن المرأة إذا رأت الدم بعد ما یمضی من زوال الشمس أربعة أقدام فلتمسک عن الصلاة ، فإذا طهرت من الدم فلتقض الظهر ، لأن وقت الظهر دخل علیها وهی طاهرة وخرج عنها وقت الظهر وهی طاهرة</w:t>
      </w:r>
    </w:p>
    <w:p>
      <w:pPr>
        <w:pStyle w:val="Heading4"/>
        <w:numPr>
          <w:ilvl w:val="3"/>
          <w:numId w:val="1"/>
        </w:numPr>
        <w:rPr/>
      </w:pPr>
      <w:bookmarkStart w:id="1172" w:name="__RefHeading___Toc39794_2142443653"/>
      <w:bookmarkStart w:id="1173" w:name="_Toc455"/>
      <w:bookmarkEnd w:id="1172"/>
      <w:r>
        <w:rPr>
          <w:rtl w:val="true"/>
        </w:rPr>
        <w:t>شاذان بن الخلیل مهمل</w:t>
      </w:r>
      <w:bookmarkEnd w:id="1173"/>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74" w:name="__RefHeading___Toc39796_2142443653"/>
      <w:bookmarkStart w:id="1175" w:name="_Toc456"/>
      <w:bookmarkEnd w:id="1174"/>
      <w:r>
        <w:rPr>
          <w:rtl w:val="true"/>
        </w:rPr>
        <w:t>وجوب قضاء الظهر إن حاضت بعد مضی أربعة أقدام</w:t>
      </w:r>
      <w:bookmarkEnd w:id="1175"/>
    </w:p>
    <w:p>
      <w:pPr>
        <w:pStyle w:val="BookText"/>
        <w:rPr/>
      </w:pPr>
      <w:r>
        <w:rPr>
          <w:rFonts w:ascii="IRNazanin" w:hAnsi="IRNazanin" w:eastAsia="IRNazanin"/>
          <w:color w:val="111111"/>
          <w:sz w:val="28"/>
          <w:sz w:val="28"/>
          <w:szCs w:val="28"/>
          <w:rtl w:val="true"/>
          <w:lang w:bidi="fa-IR"/>
        </w:rPr>
        <w:t xml:space="preserve">فضیّعت صلاة الظهر فوجب علیها قضاؤها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والمستفاد من الروایة أنّه إذا لم یمض مقدار أربعة أقدام ورأت الدم لا یجب علیها قضاء الظهر ، والأربعة أقدام لیست وقت الظهر المختص دائماً ، ولا المشترک علی الإطلاق ، وحینئذ بتقدیر العمل بالخبرین لا بدّ من تقیید أحدهما بالآخر ، ولا أدری الوجه فی عدم تعرض الشیخ لذلک مع کونه مهماً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خبر الفضل تضمن أنّ موجب القضاء کون المرأة ضیّعت ، والتضییع محتمل لأن یراد به عدم فعل الصلاة بمجرّده ، ویحتمل أن یراد به التخصیص بصورة التمکن من الشروط والأفعال المعتبرة ، إلاّ أنّ الأوّل له ظهور من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فیه إطلاق من حیث إنّ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تزول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یتناول مضی أربعة أقدام وعدمه ، فالتقیید بالخبر السابق کالأول لا بدّ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یستفاد من حدیث الفضل خروج وقت الظهر بالأربعة 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واحتمال الاختصاص بالحائض ممکن ، إلاّ أنّ الشیخ قائل فی بعض 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وقت الظهر یخرج بالأربعة أقدام لغیر المضطرّ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دلیله محل کلام ، وسیأتی إن شاء الله تعالی إمکان حمل ما دل علی خروج الوقت بذلک علی تقدیر سلامة سنده علی خروج الفضیلة فی الجملة</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خصوص الروایة المبحوث عنها فالأمر مشکل ، غیر أنّ عدم الصحة یخفّف الإشکال ، وعلی تقدیر الصحة یمکن القول بالاختصاص بموردها</w:t>
      </w:r>
      <w:r>
        <w:rPr>
          <w:rFonts w:eastAsia="IRNazanin" w:cs="IRNazanin"/>
          <w:color w:val="111111"/>
          <w:sz w:val="28"/>
          <w:szCs w:val="28"/>
          <w:rtl w:val="true"/>
          <w:lang w:bidi="fa-IR"/>
        </w:rPr>
        <w:t xml:space="preserve">. </w:t>
      </w:r>
      <w:bookmarkStart w:id="1176" w:name="pg17122_169859"/>
    </w:p>
    <w:p>
      <w:pPr>
        <w:pStyle w:val="BookText"/>
        <w:rPr/>
      </w:pPr>
      <w:bookmarkEnd w:id="1176"/>
      <w:r>
        <w:rPr>
          <w:rFonts w:ascii="IRNazanin" w:hAnsi="IRNazanin" w:eastAsia="IRNazanin"/>
          <w:color w:val="111111"/>
          <w:sz w:val="28"/>
          <w:sz w:val="28"/>
          <w:szCs w:val="28"/>
          <w:rtl w:val="true"/>
          <w:lang w:bidi="fa-IR"/>
        </w:rPr>
        <w:t xml:space="preserve">إذا عرفت هذا فاعلم أنّ شیخنا قدس سره قال فی المدارک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وجوب القضاء إذا حصل العذر المانع من الصلاة بعد أن یمضی من الوقت مقدار الصلاة وشرائطها المفقودة من الطهارة وغیرها مذهب الأصحاب لا نعلم فیه مخالفا ، ویدلُّ علیه عموم ما دل علی وجوب قضاء الفوائت ، وروایة عبد الرحمن بن الحجاج ، وذکر الروایة الثانیة ، وموثقة یونس بن یعقوب وذکر الاولی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سقوط القضاء إذا کان حصول العذر قبل أن یمضی من الوقت مقدار ذلک فهو مذهب الأکثر ، ونقل علیه الشیخ فی الخلاف الإجماع ، وحکی عن ظاهر المرتضی وابن بابویه وابن الجنید اعتبار خلوّ أوّل الوقت من العذر بمقدار أکثر الصلاة ، ولم نقف لهم علی مستند ، والأصح السقوط مطلقاً ، تمسکاً بمقتضی الأصل </w:t>
      </w:r>
      <w:r>
        <w:rPr>
          <w:rStyle w:val="FootnoteAnchor"/>
          <w:rtl w:val="true"/>
        </w:rPr>
        <w:footnoteReference w:id="1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ذکره أولاً من أنّ عموم ما دل علی وجوب قضاء الفوائت یقتضی وجوب قضاء الفرض الذی مضی مقداره مع شرائطه ، یتناول صورة عدم اتّساع الوقت ، لتحقق الفوات فی الجمیع ، فلا بد لإخراج الثانی من دلیل ، إلاّ أنّ الأصل یقتضی ما قاله ، واحتمال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المتبادر من الفوات ما کان مع التمکن من الفعل ، یشکل بأنه قدس سره استدل بعموم قضاء الفوائت علی وجوب قضاء عادم المطهِّر من الماء والتراب ، والحال أنّه غیر متمکن من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أمکن التسدید بأنّ استدلاله هناک محل بحث ، أمّا رفعه </w:t>
      </w:r>
      <w:r>
        <w:rPr>
          <w:rStyle w:val="FootnoteAnchor"/>
          <w:rtl w:val="true"/>
        </w:rPr>
        <w:footnoteReference w:id="1447"/>
      </w:r>
      <w:r>
        <w:rPr>
          <w:rFonts w:ascii="IRNazanin" w:hAnsi="IRNazanin" w:eastAsia="IRNazanin"/>
          <w:color w:val="111111"/>
          <w:sz w:val="28"/>
          <w:sz w:val="28"/>
          <w:szCs w:val="28"/>
          <w:rtl w:val="true"/>
          <w:lang w:bidi="fa-IR"/>
        </w:rPr>
        <w:t xml:space="preserve">للاستدلال هنا فلا ، أمکن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دعوی التبادر محل کلام أیضاً ، علی</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77" w:name="__RefHeading___Toc39798_2142443653"/>
      <w:bookmarkStart w:id="1178" w:name="_Toc457"/>
      <w:bookmarkEnd w:id="1177"/>
      <w:r>
        <w:rPr>
          <w:rtl w:val="true"/>
        </w:rPr>
        <w:t>کلام صاحب المدارک فی وجوب قضاء الفرض الذی مضی مقداره والمناقشة فیه</w:t>
      </w:r>
      <w:bookmarkEnd w:id="1178"/>
    </w:p>
    <w:p>
      <w:pPr>
        <w:pStyle w:val="BookText"/>
        <w:rPr/>
      </w:pPr>
      <w:r>
        <w:rPr>
          <w:rFonts w:ascii="IRNazanin" w:hAnsi="IRNazanin" w:eastAsia="IRNazanin"/>
          <w:color w:val="111111"/>
          <w:sz w:val="28"/>
          <w:sz w:val="28"/>
          <w:szCs w:val="28"/>
          <w:rtl w:val="true"/>
          <w:lang w:bidi="fa-IR"/>
        </w:rPr>
        <w:t>أنّه ربما یدّعی أنّ المتبادر من الفوات فوات جمیع الوقت لا الأعم من الجمیع والبعض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قدس سره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لم یقف لقول المذکورین علی 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یشکل بأنّ خبر الفضل بن یونس یدل علی ذلک فی الجملة عند من یعمل بالأخبار ، إلاّ أنّ التسدید هنا ممکن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استدلال العلاّمة فی المنتهی علی عدم وجوب القضاء إذا لم یمض مقدار الصلاة وشرائطها ، بأنّ وجوب القضاء تابع لوجوب الأداء ، وهو منتف ، لأنّ التکلیف یستدعی وقتاً وإلاّ لزم تکلیف ما لا یطاق </w:t>
      </w:r>
      <w:r>
        <w:rPr>
          <w:rStyle w:val="FootnoteAnchor"/>
          <w:rtl w:val="true"/>
        </w:rPr>
        <w:footnoteReference w:id="1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القضاء فرض مستأنف کما حقق فی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شیخنا قدس سره اعترض علی العلاّمة بما ذکرناه </w:t>
      </w:r>
      <w:r>
        <w:rPr>
          <w:rStyle w:val="FootnoteAnchor"/>
          <w:rtl w:val="true"/>
        </w:rPr>
        <w:footnoteReference w:id="1449"/>
      </w:r>
      <w:r>
        <w:rPr>
          <w:rFonts w:ascii="IRNazanin" w:hAnsi="IRNazanin" w:eastAsia="IRNazanin"/>
          <w:color w:val="111111"/>
          <w:sz w:val="28"/>
          <w:sz w:val="28"/>
          <w:szCs w:val="28"/>
          <w:rtl w:val="true"/>
          <w:lang w:bidi="fa-IR"/>
        </w:rPr>
        <w:t xml:space="preserve">مع أنّه متوجه علیه ، فإنّ القضاء إذا کان فرضاً مستأنفاً لا تعلّق له بالأداء ، فالعمومات الدالة علی وجوب قضاء الفوائت تتناول ما یمکن من أدائها وما لم یمکن ، فکیف لا یصلح العموم لإثبات ما یخرج عن الأصل ، ویمکن التسدید بأنّ الغرض من الجواب نفی ما قاله العلاّمة من ارتباط القضاء بالأداء إذا دل الدلیل علی القضاء والمقصود فی الاستدلال عدم الدلیل علی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فالجواب کافٍ فی المطلوب </w:t>
      </w:r>
      <w:r>
        <w:rPr>
          <w:rFonts w:eastAsia="IRNazanin" w:cs="IRNazanin"/>
          <w:color w:val="111111"/>
          <w:sz w:val="28"/>
          <w:szCs w:val="28"/>
          <w:rtl w:val="true"/>
          <w:lang w:bidi="fa-IR"/>
        </w:rPr>
        <w:t xml:space="preserve">) </w:t>
      </w:r>
      <w:r>
        <w:rPr>
          <w:rStyle w:val="FootnoteAnchor"/>
          <w:rtl w:val="true"/>
        </w:rPr>
        <w:footnoteReference w:id="1450"/>
      </w:r>
      <w:r>
        <w:rPr>
          <w:rFonts w:ascii="IRNazanin" w:hAnsi="IRNazanin" w:eastAsia="IRNazanin"/>
          <w:color w:val="111111"/>
          <w:sz w:val="28"/>
          <w:sz w:val="28"/>
          <w:szCs w:val="28"/>
          <w:rtl w:val="true"/>
          <w:lang w:bidi="fa-IR"/>
        </w:rPr>
        <w:t>وعدم تناول العموم بجهة اخری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ما رواه ابن محبوب ، عن علی بن رئاب ، عن أبی الورد </w:t>
      </w:r>
      <w:bookmarkStart w:id="1179" w:name="pg17122_169861"/>
    </w:p>
    <w:p>
      <w:pPr>
        <w:pStyle w:val="BookText"/>
        <w:rPr/>
      </w:pPr>
      <w:bookmarkEnd w:id="1179"/>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المرأة التی تکون فی صلاة الظهر وقد صلّت رکعتین ثم تری الدم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تقوم من مسجدها ولا تقضی الرکعتین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رأت الدم وهی فی صلاة المغرب وقد صلّت رکعتین فلتقم من مسجدها ، فإذا طهرت فلتقض الرکعة التی قد فاتتها من المغرب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یتضمن هذا الخبر من إسقاط قضاء الرکعتین من صلاة الظهر متوجه إلی من دخل فی الصلاة فی أوّل وقتها </w:t>
      </w:r>
      <w:r>
        <w:rPr>
          <w:rFonts w:eastAsia="IRNazanin" w:cs="IRNazanin"/>
          <w:color w:val="111111"/>
          <w:sz w:val="28"/>
          <w:szCs w:val="28"/>
          <w:rtl w:val="true"/>
          <w:lang w:bidi="fa-IR"/>
        </w:rPr>
        <w:t xml:space="preserve">) </w:t>
      </w:r>
      <w:r>
        <w:rPr>
          <w:rStyle w:val="FootnoteAnchor"/>
          <w:rtl w:val="true"/>
        </w:rPr>
        <w:footnoteReference w:id="1451"/>
      </w:r>
      <w:r>
        <w:rPr>
          <w:rFonts w:ascii="IRNazanin" w:hAnsi="IRNazanin" w:eastAsia="IRNazanin"/>
          <w:color w:val="111111"/>
          <w:sz w:val="28"/>
          <w:sz w:val="28"/>
          <w:szCs w:val="28"/>
          <w:rtl w:val="true"/>
          <w:lang w:bidi="fa-IR"/>
        </w:rPr>
        <w:t>لأنّ من ذلک حکمه لا یکون فرّط ، وإذا لم یفرّط لم یلزمه القضاء ، وما یتضمن من الأمر بإعادة الرکعة من المغرب متوجه إلی من دخل فی الصلاة عند تضیّق الوقت ثم حاضت ، فیلزمها حینئذ ما فاتها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یدل علی أنّ ذلک یتوجه إلی من فرّط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أخبرنی به الشیخ رحمه الله عن أبی القاسم جعفر بن محمد ، عن محمد بن یعقوب ، عن علی بن إبراهیم ، عن أبیه ، عن ابن محبوب ، عن علی بن رئاب ، عن أبی عبیدة ،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طهرت المرأة فی وقت وأخّرت الصلاة حتی یدخل وقت صلاة أُخری ثم رأت دماً کان علیها قضاء تلک الصلاة التی فرّطت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أبو الورد ، وهو مذکور فی رجال الباقر علیه السلام من کتاب الشیخ مهملاً </w:t>
      </w:r>
      <w:r>
        <w:rPr>
          <w:rStyle w:val="FootnoteAnchor"/>
          <w:rtl w:val="true"/>
        </w:rPr>
        <w:footnoteReference w:id="1452"/>
      </w:r>
      <w:r>
        <w:rPr>
          <w:rFonts w:ascii="IRNazanin" w:hAnsi="IRNazanin" w:eastAsia="IRNazanin"/>
          <w:color w:val="111111"/>
          <w:sz w:val="28"/>
          <w:sz w:val="28"/>
          <w:szCs w:val="28"/>
          <w:rtl w:val="true"/>
          <w:lang w:bidi="fa-IR"/>
        </w:rPr>
        <w:t>، وبقیة رجال السند قد تقدّم القول فیهم ؛ وعلی بن رئاب لیس فی جلالة قدره ارتیاب</w:t>
      </w:r>
      <w:r>
        <w:rPr>
          <w:rFonts w:eastAsia="IRNazanin" w:cs="IRNazanin"/>
          <w:color w:val="111111"/>
          <w:sz w:val="28"/>
          <w:szCs w:val="28"/>
          <w:rtl w:val="true"/>
          <w:lang w:bidi="fa-IR"/>
        </w:rPr>
        <w:t>.</w:t>
      </w:r>
    </w:p>
    <w:p>
      <w:pPr>
        <w:pStyle w:val="Heading4"/>
        <w:numPr>
          <w:ilvl w:val="3"/>
          <w:numId w:val="1"/>
        </w:numPr>
        <w:rPr/>
      </w:pPr>
      <w:bookmarkStart w:id="1180" w:name="__RefHeading___Toc39800_2142443653"/>
      <w:bookmarkStart w:id="1181" w:name="_Toc458"/>
      <w:bookmarkEnd w:id="1180"/>
      <w:r>
        <w:rPr>
          <w:rtl w:val="true"/>
        </w:rPr>
        <w:t>أبو الورد مهمل</w:t>
      </w:r>
      <w:bookmarkEnd w:id="1181"/>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82" w:name="__RefHeading___Toc39802_2142443653"/>
      <w:bookmarkStart w:id="1183" w:name="_Toc459"/>
      <w:bookmarkEnd w:id="1182"/>
      <w:r>
        <w:rPr>
          <w:rtl w:val="true"/>
        </w:rPr>
        <w:t>علی بن رئاب لیس فی جلالته ارتیاب</w:t>
      </w:r>
      <w:bookmarkStart w:id="1184" w:name="pg17122_169862"/>
      <w:bookmarkEnd w:id="1183"/>
    </w:p>
    <w:p>
      <w:pPr>
        <w:pStyle w:val="BookText"/>
        <w:rPr/>
      </w:pPr>
      <w:bookmarkEnd w:id="1184"/>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 وابن محبوب فیه هو الحسن ، وأبو عبیدة اسمه زیاد ، واختلف فی اسم أبیه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عیسی </w:t>
      </w:r>
      <w:r>
        <w:rPr>
          <w:rStyle w:val="FootnoteAnchor"/>
          <w:rtl w:val="true"/>
        </w:rPr>
        <w:footnoteReference w:id="1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رجاء </w:t>
      </w:r>
      <w:r>
        <w:rPr>
          <w:rStyle w:val="FootnoteAnchor"/>
          <w:rtl w:val="true"/>
        </w:rPr>
        <w:footnoteReference w:id="1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ثقته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یستغرب ما وقع فی النجاشی من حیث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عیسی أبو عبیدة کوفی ثقة ،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وأخته حمادة بنت رجاء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الحسن ، روت عن أبی عبد الله علیه السلام ، قاله ابن نوح عن ابن سعید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کما تری یقتضی أنّ أخته بنت رجاء ، وزیاداً ابن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التنبیه علی الوجه من مثل النجاشی هو الموجب للغرابة ، ولا یبعد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کلام النجاشی لا یقتضی تعین </w:t>
      </w:r>
      <w:r>
        <w:rPr>
          <w:rStyle w:val="FootnoteAnchor"/>
          <w:rtl w:val="true"/>
        </w:rPr>
        <w:footnoteReference w:id="1456"/>
      </w:r>
      <w:r>
        <w:rPr>
          <w:rFonts w:ascii="IRNazanin" w:hAnsi="IRNazanin" w:eastAsia="IRNazanin"/>
          <w:color w:val="111111"/>
          <w:sz w:val="28"/>
          <w:sz w:val="28"/>
          <w:szCs w:val="28"/>
          <w:rtl w:val="true"/>
          <w:lang w:bidi="fa-IR"/>
        </w:rPr>
        <w:t>کون الأخت من الأب بل یحتمل کونها من الأُم ، أو أنّ النجاشی اعتمد فی ترک البیان بمعلومیّة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رجال الباقر علیه السلام من کتاب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عیسی أبو عبیدة الحذّاء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رجاء </w:t>
      </w:r>
      <w:r>
        <w:rPr>
          <w:rStyle w:val="FootnoteAnchor"/>
          <w:rtl w:val="true"/>
        </w:rPr>
        <w:footnoteReference w:id="1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وأضنّ أنّ وجه القول ما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والعلاّمة فی الخلاصة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أبی رجاء ، واسم أبی رجاء منذر ، کوفی ثقة صحیح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رجال الصادق والباقر علیهماالسلام من کتاب الشیخ زیاد بن أبی رجاء الکوفی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5" w:name="__RefHeading___Toc39804_2142443653"/>
      <w:bookmarkStart w:id="1186" w:name="_Toc460"/>
      <w:bookmarkEnd w:id="1185"/>
      <w:r>
        <w:rPr>
          <w:rtl w:val="true"/>
        </w:rPr>
        <w:t>ابن محبوب الراوی عن علی بن رئاب هو الحسن</w:t>
      </w:r>
      <w:bookmarkEnd w:id="1186"/>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87" w:name="__RefHeading___Toc39806_2142443653"/>
      <w:bookmarkStart w:id="1188" w:name="_Toc461"/>
      <w:bookmarkEnd w:id="1187"/>
      <w:r>
        <w:rPr>
          <w:rtl w:val="true"/>
        </w:rPr>
        <w:t>بحث حول أبی عبیدة</w:t>
      </w:r>
      <w:bookmarkStart w:id="1189" w:name="pg17122_169863"/>
      <w:bookmarkEnd w:id="1188"/>
    </w:p>
    <w:p>
      <w:pPr>
        <w:pStyle w:val="BookText"/>
        <w:rPr/>
      </w:pPr>
      <w:bookmarkEnd w:id="1189"/>
      <w:r>
        <w:rPr>
          <w:rFonts w:ascii="IRNazanin" w:hAnsi="IRNazanin" w:eastAsia="IRNazanin"/>
          <w:color w:val="111111"/>
          <w:sz w:val="28"/>
          <w:sz w:val="28"/>
          <w:szCs w:val="28"/>
          <w:rtl w:val="true"/>
          <w:lang w:bidi="fa-IR"/>
        </w:rPr>
        <w:t xml:space="preserve">وذکر العلاّمة فی الخلاصة زیاد بن عیسی </w:t>
      </w:r>
      <w:r>
        <w:rPr>
          <w:rStyle w:val="FootnoteAnchor"/>
          <w:rtl w:val="true"/>
        </w:rPr>
        <w:footnoteReference w:id="1460"/>
      </w:r>
      <w:r>
        <w:rPr>
          <w:rFonts w:ascii="IRNazanin" w:hAnsi="IRNazanin" w:eastAsia="IRNazanin"/>
          <w:color w:val="111111"/>
          <w:sz w:val="28"/>
          <w:sz w:val="28"/>
          <w:szCs w:val="28"/>
          <w:rtl w:val="true"/>
          <w:lang w:bidi="fa-IR"/>
        </w:rPr>
        <w:t xml:space="preserve">، کما ذکر الشیخ ذلک فی رجال الصادق علیه السلام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والنجاشی فی ترجمة أبی عبیدة زاد عما قدمناه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سعد بن عبد الله 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أصحاب أبی جعفر أبو عبیدة وهو زیاد بن أبی رجاء کوفی ثقة صحیح ، واسم أبی رجاء منذر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أخزم ولم یصح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وأظن أنّ العلاّمة أخذ ما قاله فی زیاد بن أبی رجاء من هذا الکلام ، ولکن التغایر الموجب لذکر الرّجلین بعد ذکر النجاشی لکلام سعد بن عبد الله فی ترجمة زیاد بن عیسی لا وجه له ، إلاّ من حیث إنّ الشیخ ذکرهما ، وهذا کثیر الوقوع من الشیخ فی الرجل الواحد إذا اختلفت صفاته بوجه ما ، ولا یخفی أنّ الأمر هنا سهل ، غیر أن ما ذکرناه للتنبیه علی أمثاله وغرابة وقوعه من النجاشی مع العلم بکمال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الصدوق فی الفقیه العمل بمقتضاه المستفاد من ظاهره وهو قضاء الرکعة من المغرب دون جمیع الصلاة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صلّت المرأة من الظهر رکعتین ثم رأت الدم قامت من مجلسها ولیس علیها إذا طهرت قضاء الرکعتین ، فإن کانت فی صلاة المغرب وقد صلّت منها رکعتین قامت من مجلسها فإذا طهرت قضت الرکعة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90" w:name="__RefHeading___Toc39808_2142443653"/>
      <w:bookmarkStart w:id="1191" w:name="_Toc462"/>
      <w:bookmarkEnd w:id="1190"/>
      <w:r>
        <w:rPr>
          <w:rtl w:val="true"/>
        </w:rPr>
        <w:t>حکم المرأة التی صلّت من الظهر أو المغرب رکعتین ثمّ حاضت</w:t>
      </w:r>
      <w:bookmarkEnd w:id="1191"/>
    </w:p>
    <w:p>
      <w:pPr>
        <w:pStyle w:val="BookText"/>
        <w:rPr/>
      </w:pPr>
      <w:r>
        <w:rPr>
          <w:rFonts w:ascii="IRNazanin" w:hAnsi="IRNazanin" w:eastAsia="IRNazanin"/>
          <w:color w:val="111111"/>
          <w:sz w:val="28"/>
          <w:sz w:val="28"/>
          <w:szCs w:val="28"/>
          <w:rtl w:val="true"/>
          <w:lang w:bidi="fa-IR"/>
        </w:rPr>
        <w:t xml:space="preserve">وما قاله الشیخ فی توجیه الخبر لا یخلو من إجمال فی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مراده بقضاء الرکعة هل هو قضاء جمیع الصلاة والتعبیر بالرکعة مجاز ؛ کما ذکره العلاّمة فی المختلف جواباً عن الاستدلال بالروایة للصدوق </w:t>
      </w:r>
      <w:r>
        <w:rPr>
          <w:rStyle w:val="FootnoteAnchor"/>
          <w:rtl w:val="true"/>
        </w:rPr>
        <w:footnoteReference w:id="146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المراد قضاء الرکعة فقط بحصول التفریط ، فیکون موافقا للصدوق </w:t>
      </w:r>
      <w:r>
        <w:rPr>
          <w:rFonts w:eastAsia="IRNazanin" w:cs="IRNazanin"/>
          <w:color w:val="111111"/>
          <w:sz w:val="28"/>
          <w:szCs w:val="28"/>
          <w:rtl w:val="true"/>
          <w:lang w:bidi="fa-IR"/>
        </w:rPr>
        <w:t xml:space="preserve">)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یتوجه إلی من دخل فی الصلاة فی أوّل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إلی من دخل فی الصلاة عند تضیق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لأن یراد بالوقت المختص أو الأعم منه ومن المشترک ، أو یرید به ما تضمنه خبر الفضل بن یونس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یبعد أن یکون مراده فی الأوّل قضاء جمیع الصلاة ، وقول الصدوق إن لم یکن صرَّح به فی غیر الفقیه لا یخلو الجزم به من تأمّل ، لأنّ عبارته فی الفقیه لیست نصّاً فی قضاء الرکعة فقط ، بل أتی بمضمون الروایة ، والاحتمال فی الروایة واقع فی عبارته ، غایة الأمر أنّ العدول عن ظاهرها لا بدّ له من مقتض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والعلاّمة فی المختلف اقتصر علی نقل عبارة الفقیه ، وأنّ مؤلّفه عوّل فی الحکم علی روایة أبی الورد </w:t>
      </w:r>
      <w:r>
        <w:rPr>
          <w:rStyle w:val="FootnoteAnchor"/>
          <w:rtl w:val="true"/>
        </w:rPr>
        <w:footnoteReference w:id="1466"/>
      </w:r>
      <w:r>
        <w:rPr>
          <w:rFonts w:ascii="IRNazanin" w:hAnsi="IRNazanin" w:eastAsia="IRNazanin"/>
          <w:color w:val="111111"/>
          <w:sz w:val="28"/>
          <w:sz w:val="28"/>
          <w:szCs w:val="28"/>
          <w:rtl w:val="true"/>
          <w:lang w:bidi="fa-IR"/>
        </w:rPr>
        <w:t>، وأجاب بما قدّمناه ، ولم یذکر الدلیل علی خلاف مضمون الروایة المحوج إلی حملها علی التجوز ، ولعله اعتمد علی معلومیة ذلک</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الإجمال من الجهة الثانیة فلا یبعد أن یکون المراد فیه ما قدّمه ، </w:t>
      </w:r>
      <w:bookmarkStart w:id="1192" w:name="pg17122_169865"/>
    </w:p>
    <w:p>
      <w:pPr>
        <w:pStyle w:val="BookText"/>
        <w:rPr/>
      </w:pPr>
      <w:bookmarkEnd w:id="1192"/>
      <w:r>
        <w:rPr>
          <w:rFonts w:ascii="IRNazanin" w:hAnsi="IRNazanin" w:eastAsia="IRNazanin"/>
          <w:color w:val="111111"/>
          <w:sz w:val="28"/>
          <w:sz w:val="28"/>
          <w:szCs w:val="28"/>
          <w:rtl w:val="true"/>
          <w:lang w:bidi="fa-IR"/>
        </w:rPr>
        <w:t>والاعتماد علیه هو الموجب لعدم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الخبر الحسن دالّ علی أنّ تأخیر الصلاة عن وقتها إلی وقت اخری یوجب قضاء تلک الصلاة مع عدم فعلها ، فینافی ما سبق فی روایة الفضل من اعتبار مضی أربعة أقدام ، فإنّ وقت الصلاة الثانیة قد یدخل قبل مضی الأربعة ، فلا وجه لعدم تعرض الشیخ لذلک ، ولعلّه اعتمد علی تفصیله السابق ، وإن کان فی التحقیق أنّه لما ذکرناه غیر موافق ، والله تعالی أعلم بالحقائق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المرأة تحیض فی یوم من أیّام شهر رمضان</w:t>
      </w:r>
    </w:p>
    <w:p>
      <w:pPr>
        <w:pStyle w:val="BookText"/>
        <w:rPr/>
      </w:pPr>
      <w:r>
        <w:rPr>
          <w:rFonts w:ascii="IRNazanin" w:hAnsi="IRNazanin" w:eastAsia="IRNazanin"/>
          <w:color w:val="111111"/>
          <w:sz w:val="28"/>
          <w:sz w:val="28"/>
          <w:szCs w:val="28"/>
          <w:rtl w:val="true"/>
          <w:lang w:bidi="fa-IR"/>
        </w:rPr>
        <w:t xml:space="preserve">أخبرنی أحمد بن عبدون ، عن علی بن محمد بن الزبیر ، عن علی بن الحسن بن فضال ، عن أحمد بن الحسن ، عن عمرو بن سعید ، عن مصدق بن صدقة ، عن عمار بن موسی الساباطی ، عن أبی عبد الله علیه السلام فی المرأة یطلع الفجر وهی حائض فی شهر رمضان فإذا أصبحت طهرت وقد أکلت ثم صلّت الظهر والعصر کیف تصنع فی ذلک الیوم الذی طهرت فیه؟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تصوم ولا تعتد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 عن عبد الرحمن بن أبی نجران ، عن صفوان بن یحیی ، عن عیص بن القاسم البجلی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امرأة طمثت فی شهر رمضان قبل أن تغیب الشمس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تفطر حین تطمث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الحسن بن علی الوشاء ، عن جمیل بن دراج ومحمد ابن حمران ، عن منصور بن حازم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w:t>
      </w:r>
    </w:p>
    <w:p>
      <w:pPr>
        <w:pStyle w:val="Heading3"/>
        <w:numPr>
          <w:ilvl w:val="2"/>
          <w:numId w:val="1"/>
        </w:numPr>
        <w:rPr/>
      </w:pPr>
      <w:bookmarkStart w:id="1193" w:name="__RefHeading___Toc39810_2142443653"/>
      <w:bookmarkStart w:id="1194" w:name="_Toc463"/>
      <w:bookmarkEnd w:id="1193"/>
      <w:r>
        <w:rPr>
          <w:rtl w:val="true"/>
        </w:rPr>
        <w:t>المرأة تحیض فی یوم من أیّام شهر رمضان</w:t>
      </w:r>
      <w:bookmarkEnd w:id="1194"/>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95" w:name="__RefHeading___Toc39812_2142443653"/>
      <w:bookmarkStart w:id="1196" w:name="_Toc464"/>
      <w:bookmarkEnd w:id="1195"/>
      <w:r>
        <w:rPr>
          <w:rtl w:val="true"/>
        </w:rPr>
        <w:t>اشارة</w:t>
      </w:r>
      <w:bookmarkStart w:id="1197" w:name="pg17122_169866"/>
      <w:bookmarkEnd w:id="1196"/>
    </w:p>
    <w:p>
      <w:pPr>
        <w:pStyle w:val="BookText"/>
        <w:rPr/>
      </w:pPr>
      <w:bookmarkEnd w:id="1197"/>
      <w:r>
        <w:rPr>
          <w:rFonts w:ascii="IRNazanin" w:hAnsi="IRNazanin" w:eastAsia="IRNazanin"/>
          <w:color w:val="111111"/>
          <w:sz w:val="28"/>
          <w:sz w:val="28"/>
          <w:szCs w:val="28"/>
          <w:rtl w:val="true"/>
          <w:lang w:bidi="fa-IR"/>
        </w:rPr>
        <w:t xml:space="preserve">ساعة رأت المرأة الدم فهی تفطر الصائمة إذا طمثت ، وإذا </w:t>
      </w:r>
      <w:r>
        <w:rPr>
          <w:rStyle w:val="FootnoteAnchor"/>
          <w:rtl w:val="true"/>
        </w:rPr>
        <w:footnoteReference w:id="1467"/>
      </w:r>
      <w:r>
        <w:rPr>
          <w:rFonts w:ascii="IRNazanin" w:hAnsi="IRNazanin" w:eastAsia="IRNazanin"/>
          <w:color w:val="111111"/>
          <w:sz w:val="28"/>
          <w:sz w:val="28"/>
          <w:szCs w:val="28"/>
          <w:rtl w:val="true"/>
          <w:lang w:bidi="fa-IR"/>
        </w:rPr>
        <w:t xml:space="preserve">رأت الطهر فی ساعة من النهار قضت صلاة الیوم واللیل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معدود من الموثق عند بعض الأصحاب ، وفیه تأمّل قد قدّمنا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راجع إلی علی بن الحسن علی الظاهر من الممارسة ، وبقیة الرجال المذکورین لا ارتیاب فی ثقتهم وجلالة شأنهم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الثالث کالثانی ، ورجاله کذلک ، ومحمد بن حمران </w:t>
      </w:r>
      <w:r>
        <w:rPr>
          <w:rStyle w:val="FootnoteAnchor"/>
          <w:rtl w:val="true"/>
        </w:rPr>
        <w:footnoteReference w:id="1469"/>
      </w:r>
      <w:r>
        <w:rPr>
          <w:rFonts w:ascii="IRNazanin" w:hAnsi="IRNazanin" w:eastAsia="IRNazanin"/>
          <w:color w:val="111111"/>
          <w:sz w:val="28"/>
          <w:sz w:val="28"/>
          <w:szCs w:val="28"/>
          <w:rtl w:val="true"/>
          <w:lang w:bidi="fa-IR"/>
        </w:rPr>
        <w:t xml:space="preserve">لا یضرّ اشتراکه بین الثقة وغیره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الدلالة علی أن الحائض إذا طهرت بعد طلوع الفجر وقد مضی جزء من النهار فی الحیض وأکلت لا یعتدّ بصومها مع وجوب الإمساک ، 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صلت الظهر والعصر ، فلا مدخل له فی الحکم ، ولا یفید شیئاً لکونه من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أصبحت طهرت ، کأنّ المراد به إذا اتضح الفجر ، ویحتمل أن یراد به الفجر الأوّل من الطلوع والفجر الثانی</w:t>
      </w:r>
    </w:p>
    <w:p>
      <w:pPr>
        <w:pStyle w:val="Heading4"/>
        <w:numPr>
          <w:ilvl w:val="3"/>
          <w:numId w:val="1"/>
        </w:numPr>
        <w:rPr/>
      </w:pPr>
      <w:bookmarkStart w:id="1198" w:name="__RefHeading___Toc39814_2142443653"/>
      <w:bookmarkStart w:id="1199" w:name="_Toc465"/>
      <w:bookmarkEnd w:id="1198"/>
      <w:r>
        <w:rPr>
          <w:rtl w:val="true"/>
        </w:rPr>
        <w:t>فی عدّ السند المشتمل علی مصدق بن صدقة وعمار بن موسی من الموثق تأمّل</w:t>
      </w:r>
      <w:bookmarkEnd w:id="1199"/>
    </w:p>
    <w:p>
      <w:pPr>
        <w:pStyle w:val="Heading4"/>
        <w:numPr>
          <w:ilvl w:val="3"/>
          <w:numId w:val="1"/>
        </w:numPr>
        <w:rPr/>
      </w:pPr>
      <w:bookmarkStart w:id="1200" w:name="__RefHeading___Toc39816_2142443653"/>
      <w:bookmarkStart w:id="1201" w:name="_Toc466"/>
      <w:bookmarkEnd w:id="1200"/>
      <w:r>
        <w:rPr>
          <w:rtl w:val="true"/>
        </w:rPr>
        <w:t xml:space="preserve">عبدالرحمان بن أبی نجران وصفوان بن یحیی وعیص بن القاسم لا ارتیاب فی ثقتهم </w:t>
      </w:r>
      <w:r>
        <w:rPr>
          <w:rtl w:val="true"/>
        </w:rPr>
        <w:t xml:space="preserve">.. </w:t>
      </w:r>
      <w:r>
        <w:rPr/>
        <w:t>408</w:t>
      </w:r>
      <w:bookmarkEnd w:id="1201"/>
    </w:p>
    <w:p>
      <w:pPr>
        <w:pStyle w:val="Heading4"/>
        <w:numPr>
          <w:ilvl w:val="3"/>
          <w:numId w:val="1"/>
        </w:numPr>
        <w:rPr/>
      </w:pPr>
      <w:bookmarkStart w:id="1202" w:name="__RefHeading___Toc39818_2142443653"/>
      <w:bookmarkStart w:id="1203" w:name="_Toc467"/>
      <w:bookmarkEnd w:id="1202"/>
      <w:r>
        <w:rPr>
          <w:rtl w:val="true"/>
        </w:rPr>
        <w:t>محمد بن حمران مشترک بین الثقة وغیره</w:t>
      </w:r>
      <w:bookmarkEnd w:id="1203"/>
    </w:p>
    <w:p>
      <w:pPr>
        <w:pStyle w:val="Heading4"/>
        <w:numPr>
          <w:ilvl w:val="3"/>
          <w:numId w:val="1"/>
        </w:numPr>
        <w:rPr/>
      </w:pPr>
      <w:bookmarkStart w:id="1204" w:name="__RefHeading___Toc39820_2142443653"/>
      <w:bookmarkStart w:id="1205" w:name="_Toc468"/>
      <w:bookmarkEnd w:id="1204"/>
      <w:r>
        <w:rPr>
          <w:rtl w:val="true"/>
        </w:rPr>
        <w:t>حکم الحائض إذا طهرت بعد طلوع الفجر فی شهر رمضان</w:t>
      </w:r>
      <w:bookmarkEnd w:id="1205"/>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06" w:name="__RefHeading___Toc39822_2142443653"/>
      <w:bookmarkStart w:id="1207" w:name="_Toc469"/>
      <w:bookmarkEnd w:id="1206"/>
      <w:r>
        <w:rPr>
          <w:rtl w:val="true"/>
        </w:rPr>
        <w:t>حکم الصائمة إذا طمثت</w:t>
      </w:r>
      <w:bookmarkStart w:id="1208" w:name="pg17122_169867"/>
      <w:bookmarkEnd w:id="1207"/>
    </w:p>
    <w:p>
      <w:pPr>
        <w:pStyle w:val="BookText"/>
        <w:rPr/>
      </w:pPr>
      <w:bookmarkEnd w:id="1208"/>
      <w:r>
        <w:rPr>
          <w:rFonts w:ascii="IRNazanin" w:hAnsi="IRNazanin" w:eastAsia="IRNazanin"/>
          <w:color w:val="111111"/>
          <w:sz w:val="28"/>
          <w:sz w:val="28"/>
          <w:szCs w:val="28"/>
          <w:rtl w:val="true"/>
          <w:lang w:bidi="fa-IR"/>
        </w:rPr>
        <w:t>من الإصباح ، والسؤال حینئذ عن الأکل بعد الطهر ، وفیه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الدلالة علی أن الحیض موجب للإفطار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 إلاّ أن ألفاظه لا تخلو من حزازة والنقل بالمعنی ، ولعل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الصائمة إذا طمثت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للمرأة والدم ، یعنی إن المرأة إذا کانت صائمة وحصل الدم من الطمث وجب الإفطار ، لکن تقدیر الکلام حینئذ یحتاج إلی مزید تکلّف ، والأمر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الخبر الأوّل کما تری یدل علی أنّ وجود الدم فی الجزء الأوّل من النهار ثم زواله یقتضی وجوب الصوم وعدم الاعتداد به ، والخبر الثانی یدل علی أنّ حصول الطمث ابتداءً یوجب الإفطار ، وکذلک الثالث ، والتغایر فی المدلول موجود ، والعنوان مجمل ، لکن التسدید ممکن بأن یراد عدم صحة الصوم مع الحیض إجمالاً وإن کان العنوان یفید بظاهره غیر مدلول الخبر الأوّل ، ومثل هذا فی کلام الشیخ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الثالث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رأت الطهر فی ساعة من النهار قضت صلاة الیوم واللیلة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علی غیره من الأخبار المفصّلة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علی بن الحسن ، عن علی بن أسباط ، عن عمّه یعقوب الأحمر ، عن أبی بصیر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عرض للمرأة الطمث فی شهر رمضان قبل الزوال فهی فی سعة أن تأکل وتشرب ، وإن عرض لها بعد زوال الشمس فلتغتسل ولتعتد بصوم ذلک الیوم ما لم تأکل وتشرب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الخبر وهم من الراوی ، لأنّه إذا کان رؤیة الدم هو المفطر</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09" w:name="__RefHeading___Toc39824_2142443653"/>
      <w:bookmarkStart w:id="1210" w:name="_Toc470"/>
      <w:bookmarkEnd w:id="1209"/>
      <w:r>
        <w:rPr>
          <w:rtl w:val="true"/>
        </w:rPr>
        <w:t>محمد بن حمران الذی یروی عنه علی بن أسباط هو الثقة</w:t>
      </w:r>
      <w:bookmarkStart w:id="1211" w:name="pg17122_169868"/>
      <w:bookmarkEnd w:id="1210"/>
    </w:p>
    <w:p>
      <w:pPr>
        <w:pStyle w:val="BookText"/>
        <w:rPr/>
      </w:pPr>
      <w:bookmarkEnd w:id="1211"/>
      <w:r>
        <w:rPr>
          <w:rFonts w:ascii="IRNazanin" w:hAnsi="IRNazanin" w:eastAsia="IRNazanin"/>
          <w:color w:val="111111"/>
          <w:sz w:val="28"/>
          <w:sz w:val="28"/>
          <w:szCs w:val="28"/>
          <w:rtl w:val="true"/>
          <w:lang w:bidi="fa-IR"/>
        </w:rPr>
        <w:t xml:space="preserve">فلا یجوز لها أن تعتد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بصوم </w:t>
      </w:r>
      <w:r>
        <w:rPr>
          <w:rFonts w:eastAsia="IRNazanin" w:cs="IRNazanin"/>
          <w:color w:val="111111"/>
          <w:sz w:val="28"/>
          <w:szCs w:val="28"/>
          <w:rtl w:val="true"/>
          <w:lang w:bidi="fa-IR"/>
        </w:rPr>
        <w:t xml:space="preserve">) </w:t>
      </w:r>
      <w:r>
        <w:rPr>
          <w:rStyle w:val="FootnoteAnchor"/>
          <w:rtl w:val="true"/>
        </w:rPr>
        <w:footnoteReference w:id="1471"/>
      </w:r>
      <w:r>
        <w:rPr>
          <w:rFonts w:ascii="IRNazanin" w:hAnsi="IRNazanin" w:eastAsia="IRNazanin"/>
          <w:color w:val="111111"/>
          <w:sz w:val="28"/>
          <w:sz w:val="28"/>
          <w:szCs w:val="28"/>
          <w:rtl w:val="true"/>
          <w:lang w:bidi="fa-IR"/>
        </w:rPr>
        <w:t>ذلک الیوم ، وإنّما یستحب لها أن تمسک بقیة النهار تأدیباً إذا رأت الدم بعد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أخبرنی به أحمد بن عبدون ، عن علی بن محمد بن الزبیر ، عن علی بن الحسن بن فضال ، عن علی بن أسباط ، عن محمد بن حمران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المرأة تری الدم غدوة أو ارتفاع النهار أو عند الزوال؟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تفطر ، وإذا کان بعد العصر أو بعد الزوال فلتمض علی صومها ولتقض ذلک الیوم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تکرّر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محمد بن حمران فیه هو الثقة بقرینة روایة علی بن أسباط عنه کما یستفاد من النجاشی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الشیخ فیه لا یخلو من غرابة ،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الوهم من الراوی فی مثل هذا لا وجه له ، وإرادة غیر معنی الوهم مضر بحال الراوی ، فإن کان الالتفات من الشیخ لردّ الخبر توهّم الراوی لا بالقدح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محل کلام ، لأنّ اشتراط الضبط فی الراوی یخالف ما قاله ، إلاّ أن یراد</w:t>
      </w:r>
    </w:p>
    <w:p>
      <w:pPr>
        <w:pStyle w:val="Heading4"/>
        <w:numPr>
          <w:ilvl w:val="3"/>
          <w:numId w:val="1"/>
        </w:numPr>
        <w:rPr/>
      </w:pPr>
      <w:bookmarkStart w:id="1212" w:name="__RefHeading___Toc39826_2142443653"/>
      <w:bookmarkStart w:id="1213" w:name="_Toc471"/>
      <w:bookmarkEnd w:id="1212"/>
      <w:r>
        <w:rPr>
          <w:rtl w:val="true"/>
        </w:rPr>
        <w:t>توهّم الراوی ینافی ضبطه</w:t>
      </w:r>
      <w:bookmarkEnd w:id="1213"/>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14" w:name="__RefHeading___Toc39828_2142443653"/>
      <w:bookmarkStart w:id="1215" w:name="_Toc472"/>
      <w:bookmarkEnd w:id="1214"/>
      <w:r>
        <w:rPr>
          <w:rtl w:val="true"/>
        </w:rPr>
        <w:t>حکم الصائمة إذا طمثت بعد زوال الشمس</w:t>
      </w:r>
      <w:bookmarkEnd w:id="1215"/>
    </w:p>
    <w:p>
      <w:pPr>
        <w:pStyle w:val="BookText"/>
        <w:rPr/>
      </w:pPr>
      <w:r>
        <w:rPr>
          <w:rFonts w:ascii="IRNazanin" w:hAnsi="IRNazanin" w:eastAsia="IRNazanin"/>
          <w:color w:val="111111"/>
          <w:sz w:val="28"/>
          <w:sz w:val="28"/>
          <w:szCs w:val="28"/>
          <w:rtl w:val="true"/>
          <w:lang w:bidi="fa-IR"/>
        </w:rPr>
        <w:t xml:space="preserve">بالوهم نادراً فلا یقدح فی الضبط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مثل هذا الحکم المستفاد من الروایة لا یتصور من الوهم النادر کما یعلم بالتأمّل ؛ وإن کان التفات الشیخ إلی القدح فی الراوی ، فلیست عادة الشیخ فی الردّ إلاّ بعد العجز عن الحمل ؛ وإن کان فی الردّ بضعف السند تأمّل ، لما عرف من الشیخ وغیره من المتقدّمین أنّ الاعتماد علی الأخبار لیس من جهة الإسناد کما سلکه المتأخّرون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رؤیة الدم هو المفطر ، لا یصلح لإثبات وهم الراوی ، فإنّ تعارض الأخبار فی هذا الموضع وغیره لا یوجب احتمال الوهم ، لدلالة بعض الأخبار علی غیر مدلول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من أنّه یستحب الإمساک تأدیباً ، إلی آخره ، إن أراد به الجمع بین الأخبار أمکن ، إلاّ أن الظاهر إیراده لإثبات الوهم ، وإن أراد به إثبات الوهم مع أنّه وجه للجمع أشکل بأنّ الخبر المستدل به لا یدل علی الغسل الوارد فی الخبر الأوّل ، وقد یمکن تسدید هذا بما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تضمنه الخبر الأوّل من الاعتداد بصوم ذلک الیوم ما لم تأکل وتشرب فلا یخلو توجیهه من عسر ، ولعلّ المراد بالاعتداد حصول ثواب الصوم ،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لم تأکل وتشرب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 حینئذ أنّ ثواب الصوم الکامل ما لم تأکل وتشرب ، ومع الأکل والشرب لا یحصل الثواب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الروایة الأخیرة تدل علی المضیّ فی صومها والأمر للوجوب ، ومطلوب الشیخ الاستحباب ، فله وجه ، غیر أنّی لم أعلم الآن القائل بالوجوب</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یستفاد من الروایة الاولی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لم تأکل وتشرب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1216" w:name="pg17122_169870"/>
    </w:p>
    <w:p>
      <w:pPr>
        <w:pStyle w:val="BookText"/>
        <w:rPr/>
      </w:pPr>
      <w:bookmarkEnd w:id="1216"/>
      <w:r>
        <w:rPr>
          <w:rFonts w:ascii="IRNazanin" w:hAnsi="IRNazanin" w:eastAsia="IRNazanin"/>
          <w:color w:val="111111"/>
          <w:sz w:val="28"/>
          <w:sz w:val="28"/>
          <w:szCs w:val="28"/>
          <w:rtl w:val="true"/>
          <w:lang w:bidi="fa-IR"/>
        </w:rPr>
        <w:t xml:space="preserve">أن الأکل والشرب یقتضیان </w:t>
      </w:r>
      <w:r>
        <w:rPr>
          <w:rStyle w:val="FootnoteAnchor"/>
          <w:rtl w:val="true"/>
        </w:rPr>
        <w:footnoteReference w:id="1473"/>
      </w:r>
      <w:r>
        <w:rPr>
          <w:rFonts w:ascii="IRNazanin" w:hAnsi="IRNazanin" w:eastAsia="IRNazanin"/>
          <w:color w:val="111111"/>
          <w:sz w:val="28"/>
          <w:sz w:val="28"/>
          <w:szCs w:val="28"/>
          <w:rtl w:val="true"/>
          <w:lang w:bidi="fa-IR"/>
        </w:rPr>
        <w:t xml:space="preserve">عدم الاعتداد بالصوم فهو لا یخلو من إجمال ، لأن الأکل والشرب إن جاز فعلهما فلا وجه للاعتداد بالصوم ، وإن لم یجز فعلهما لم یتم التعبیر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لم تأکل وتشرب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ما لم تفطر ، وعلی کل حال لا ینافی الإجمال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وغیر بعید أن یستفاد إرادة الاستحباب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لم تأکل وتشرب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المرأة المبحوث عنها فی الروایة إذا اغتسلت ولم تأکل ولم تشرب حصل لها ثواب الصوم ، وإن أکلت وشربت لم یحصل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یشکل بأنّ ترک الأکل والشرب بعد فعلهما مستحب تأدیباً ، فیکون الثواب علیه حاصلا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لإمکان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الثواب الکامل مع عدم الأکل والشرب ، وکلام الشیخ کما تری غیر واف بتحقیق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ما فی الحدیث الأخیر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العصر أو بعد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الخفاء فی وجه ذکر الأمرین ، ولعلّه یتضح بأدنی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المرأة الجنب تحیض علیها غسل واحد أم غسلان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أحمد بن عبدون ، عن علی بن محمد بن الزبیر ، عن علی بن الحسن بن فضال ، عن محمد بن إسماعیل ، عن حماد بن عیسی ، عن حریز ، عن زرارة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حاضت المرأة وهی جنب أجزأها غسل واحد </w:t>
      </w:r>
      <w:r>
        <w:rPr>
          <w:rFonts w:eastAsia="IRNazanin" w:cs="IRNazanin"/>
          <w:color w:val="111111"/>
          <w:sz w:val="28"/>
          <w:szCs w:val="28"/>
          <w:rtl w:val="true"/>
          <w:lang w:bidi="fa-IR"/>
        </w:rPr>
        <w:t>».</w:t>
      </w:r>
    </w:p>
    <w:p>
      <w:pPr>
        <w:pStyle w:val="Heading3"/>
        <w:numPr>
          <w:ilvl w:val="2"/>
          <w:numId w:val="1"/>
        </w:numPr>
        <w:rPr/>
      </w:pPr>
      <w:bookmarkStart w:id="1217" w:name="__RefHeading___Toc39830_2142443653"/>
      <w:bookmarkStart w:id="1218" w:name="_Toc473"/>
      <w:bookmarkEnd w:id="1217"/>
      <w:r>
        <w:rPr>
          <w:rtl w:val="true"/>
        </w:rPr>
        <w:t>المرأة الجنب تحیض علیها غسل واحد أم غسلان؟</w:t>
      </w:r>
      <w:bookmarkEnd w:id="1218"/>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19" w:name="__RefHeading___Toc39832_2142443653"/>
      <w:bookmarkStart w:id="1220" w:name="_Toc474"/>
      <w:bookmarkEnd w:id="1219"/>
      <w:r>
        <w:rPr>
          <w:rtl w:val="true"/>
        </w:rPr>
        <w:t>اشارة</w:t>
      </w:r>
      <w:bookmarkStart w:id="1221" w:name="pg17122_169871"/>
      <w:bookmarkEnd w:id="1220"/>
    </w:p>
    <w:p>
      <w:pPr>
        <w:pStyle w:val="BookText"/>
        <w:rPr/>
      </w:pPr>
      <w:bookmarkEnd w:id="1221"/>
      <w:r>
        <w:rPr>
          <w:rFonts w:ascii="IRNazanin" w:hAnsi="IRNazanin" w:eastAsia="IRNazanin"/>
          <w:color w:val="111111"/>
          <w:sz w:val="28"/>
          <w:sz w:val="28"/>
          <w:szCs w:val="28"/>
          <w:rtl w:val="true"/>
          <w:lang w:bidi="fa-IR"/>
        </w:rPr>
        <w:t xml:space="preserve">عنه ، عن علی بن أسباط ، عن عمّه یعقوب الأحمر ، عن أبی بصیر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رجل أصاب من امرأته ثم حاضت قبل أن تغتسل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تجعله غسلاً واحداً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العباس بن عامر ، عن حجاج الخشاب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وقع علی امرأته فطمثت بعد ما فرغ أتجعله غسلاً واحداً إذا طهرت أو تغتسل مرّتین؟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تجعله غسلاً واحداً عند طهرها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الجمیع تکرّر القول فی رجاله ، غیر أنّ محمد بن إسماعیل فی الأوّل مشترک بین الثقة وغیره </w:t>
      </w:r>
      <w:r>
        <w:rPr>
          <w:rStyle w:val="FootnoteAnchor"/>
          <w:rtl w:val="true"/>
        </w:rPr>
        <w:footnoteReference w:id="1474"/>
      </w:r>
      <w:r>
        <w:rPr>
          <w:rFonts w:ascii="IRNazanin" w:hAnsi="IRNazanin" w:eastAsia="IRNazanin"/>
          <w:color w:val="111111"/>
          <w:sz w:val="28"/>
          <w:sz w:val="28"/>
          <w:szCs w:val="28"/>
          <w:rtl w:val="true"/>
          <w:lang w:bidi="fa-IR"/>
        </w:rPr>
        <w:t xml:space="preserve">، وإن کان لیس بالبعید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بزیع ، ولا فائدة هنا لتحقیق الأمر إلاّ بتقدیر کون الخبر من الموثّق وعمل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وضمیر عنه فی الثانی إلی علی بن الحسن ، فإنّه الراوی عن علی بن أسباط بعض کتبه کما فی النجاشی </w:t>
      </w:r>
      <w:r>
        <w:rPr>
          <w:rStyle w:val="FootnoteAnchor"/>
          <w:rtl w:val="true"/>
        </w:rPr>
        <w:footnoteReference w:id="1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یؤنس بما أسلفناه فی الباب السابق من رجوع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الرحمن بن أبی نجران إلی علی بن الحسن </w:t>
      </w:r>
      <w:r>
        <w:rPr>
          <w:rFonts w:eastAsia="IRNazanin" w:cs="IRNazanin"/>
          <w:color w:val="111111"/>
          <w:sz w:val="28"/>
          <w:szCs w:val="28"/>
          <w:rtl w:val="true"/>
          <w:lang w:bidi="fa-IR"/>
        </w:rPr>
        <w:t xml:space="preserve">) </w:t>
      </w:r>
      <w:r>
        <w:rPr>
          <w:rStyle w:val="FootnoteAnchor"/>
          <w:rtl w:val="true"/>
        </w:rPr>
        <w:footnoteReference w:id="1476"/>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وضمیر عنه فی الثالث کذلک</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22" w:name="__RefHeading___Toc39834_2142443653"/>
      <w:bookmarkStart w:id="1223" w:name="_Toc475"/>
      <w:bookmarkEnd w:id="1222"/>
      <w:r>
        <w:rPr>
          <w:rtl w:val="true"/>
        </w:rPr>
        <w:t>محمد بن اسماعیل مشترک بین الثقة وغیره</w:t>
      </w:r>
      <w:bookmarkStart w:id="1224" w:name="pg17122_169872"/>
      <w:bookmarkEnd w:id="1223"/>
    </w:p>
    <w:p>
      <w:pPr>
        <w:pStyle w:val="BookText"/>
        <w:rPr/>
      </w:pPr>
      <w:bookmarkEnd w:id="1224"/>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الأخبار الثلاثة صریح فی إجزاء غسل واحد ، إلاّ أنّ الواحد مجمل ، فیحتمل أن یراد به أحد الغسلین إذا قصد یجزئ عن الآخر ، ویحتمل أن یراد غسل واحد یکفی فیه القربة ویجزئ عنهما ، لأنّها قدر مشترک ، وفیه نوع تأمل یظهر ممّا نذکره ، ویحتمل أن یراد بالواحد السابق سببه فیتعین ویجزئ عن اللاحق ، وترجیح أحد الاحتمالات لا یخلو من إشکال ، والاستدلال بالإطلاق علی جواز الجمیع لأنّ مفاد مثل هذا الإطلاق العموم لا یخلو من وجه لو صلحت الأخبار للاعتماد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وقفت علیه فی غیر الکتاب من الروایات ما رواه الکلینی فی الحسن عن زرارة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اغتسلت بعد طلوع الفجر أجزأک غسلک ذلک للجنابة ، والجمعة ، وعرفة ، والنحر ، والحلق ، والذبح ، والزیارة ، وإذا اجتمعت لله علیک حقوق أجزأک عنها </w:t>
      </w:r>
      <w:r>
        <w:rPr>
          <w:rStyle w:val="FootnoteAnchor"/>
          <w:rtl w:val="true"/>
        </w:rPr>
        <w:footnoteReference w:id="1478"/>
      </w:r>
      <w:r>
        <w:rPr>
          <w:rFonts w:ascii="IRNazanin" w:hAnsi="IRNazanin" w:eastAsia="IRNazanin"/>
          <w:color w:val="111111"/>
          <w:sz w:val="28"/>
          <w:sz w:val="28"/>
          <w:szCs w:val="28"/>
          <w:rtl w:val="true"/>
          <w:lang w:bidi="fa-IR"/>
        </w:rPr>
        <w:t xml:space="preserve">غسل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وکذلک المرأة یجزیها غسل واحد لجنابتها ، وإحرامها ، وجمعتها ، وغسلها من حیضها وعیدها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رواها الشیخ فی التهذیب من غیر إضمار </w:t>
      </w:r>
      <w:r>
        <w:rPr>
          <w:rStyle w:val="FootnoteAnchor"/>
          <w:rtl w:val="true"/>
        </w:rPr>
        <w:footnoteReference w:id="1481"/>
      </w:r>
      <w:r>
        <w:rPr>
          <w:rFonts w:ascii="IRNazanin" w:hAnsi="IRNazanin" w:eastAsia="IRNazanin"/>
          <w:color w:val="111111"/>
          <w:sz w:val="28"/>
          <w:sz w:val="28"/>
          <w:szCs w:val="28"/>
          <w:rtl w:val="true"/>
          <w:lang w:bidi="fa-IR"/>
        </w:rPr>
        <w:t xml:space="preserve">، لکن فی الطریق علی بن السندی ، ولا ریب أنّ الإضمار لا یضر بالحال کما أسلفنا الوجه فیه </w:t>
      </w:r>
      <w:r>
        <w:rPr>
          <w:rStyle w:val="FootnoteAnchor"/>
          <w:rtl w:val="true"/>
        </w:rPr>
        <w:footnoteReference w:id="1482"/>
      </w:r>
      <w:r>
        <w:rPr>
          <w:rFonts w:ascii="IRNazanin" w:hAnsi="IRNazanin" w:eastAsia="IRNazanin"/>
          <w:color w:val="111111"/>
          <w:sz w:val="28"/>
          <w:sz w:val="28"/>
          <w:szCs w:val="28"/>
          <w:rtl w:val="true"/>
          <w:lang w:bidi="fa-IR"/>
        </w:rPr>
        <w:t>، غیر أنّ حسنها یمنع من العمل بها عند من یتوقف عمله علی الصحیح</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25" w:name="__RefHeading___Toc39836_2142443653"/>
      <w:bookmarkStart w:id="1226" w:name="_Toc476"/>
      <w:bookmarkEnd w:id="1225"/>
      <w:r>
        <w:rPr>
          <w:rtl w:val="true"/>
        </w:rPr>
        <w:t>تداخل الاغسال الواجبة والمندوبة والمختلفة وکیفیة النیّة فیها</w:t>
      </w:r>
      <w:bookmarkEnd w:id="1226"/>
    </w:p>
    <w:p>
      <w:pPr>
        <w:pStyle w:val="BookText"/>
        <w:rPr/>
      </w:pPr>
      <w:r>
        <w:rPr>
          <w:rFonts w:ascii="IRNazanin" w:hAnsi="IRNazanin" w:eastAsia="IRNazanin"/>
          <w:color w:val="111111"/>
          <w:sz w:val="28"/>
          <w:sz w:val="28"/>
          <w:szCs w:val="28"/>
          <w:rtl w:val="true"/>
          <w:lang w:bidi="fa-IR"/>
        </w:rPr>
        <w:t xml:space="preserve">وقد نقل شیخنا قدس سره عن ابن إدریس فی سرائره ، أنّه ذکرها فی جملة الأحادیث المنتزعة من کتب المشیخة ، فنقلها من کتاب حریز ، وقال نقلاً من الکتاب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زرارة عن أبی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اغتسلت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الروایة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ابن إدریس ذکر أنّ کتاب حریز أصل معتمد ، وهذا یقتضی صحة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ومفادها کما تری تداخل الأغسال مع الاختلاف فی الوجوب والندب ، والحقوق فی الخبر لا یبعد تناولها للمندوب ، بل الظاهر من الروایة ذلک ، واحتمال کونه کلاماً مستقلا لبیان تداخل الواجبة حیث إنّ السابق لتداخل الواجب والمندوب ممکن ، إلاّ أنّه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المراد بالواحد الوحدة النوعیة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فالسیاق یدفعه والاعتبار الصحیح یمنعه ، ولا یخفی أنّ المستفاد من الروایة الاجتزاء </w:t>
      </w:r>
      <w:r>
        <w:rPr>
          <w:rStyle w:val="FootnoteAnchor"/>
          <w:rtl w:val="true"/>
        </w:rPr>
        <w:footnoteReference w:id="1484"/>
      </w:r>
      <w:r>
        <w:rPr>
          <w:rFonts w:ascii="IRNazanin" w:hAnsi="IRNazanin" w:eastAsia="IRNazanin"/>
          <w:color w:val="111111"/>
          <w:sz w:val="28"/>
          <w:sz w:val="28"/>
          <w:szCs w:val="28"/>
          <w:rtl w:val="true"/>
          <w:lang w:bidi="fa-IR"/>
        </w:rPr>
        <w:t xml:space="preserve">بغسل واحد علی تقدیر الاختلاف فی الوجوب والندب </w:t>
      </w:r>
      <w:r>
        <w:rPr>
          <w:rStyle w:val="FootnoteAnchor"/>
          <w:rtl w:val="true"/>
        </w:rPr>
        <w:footnoteReference w:id="1485"/>
      </w:r>
      <w:r>
        <w:rPr>
          <w:rFonts w:ascii="IRNazanin" w:hAnsi="IRNazanin" w:eastAsia="IRNazanin"/>
          <w:color w:val="111111"/>
          <w:sz w:val="28"/>
          <w:sz w:val="28"/>
          <w:szCs w:val="28"/>
          <w:rtl w:val="true"/>
          <w:lang w:bidi="fa-IR"/>
        </w:rPr>
        <w:t>، لا أنّ جمیع المندوبات حاصلة مع غسل الجنابة ، فإنّ غسل النحر وعرفة لا یجتمعان ، وحینئذ فالمقصود فی الخبر الاکتفاء بغسل واحد علی تقدیر التعدّد بأیّ وجه اتفق</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ویستفاد منه أنّ الاکتفاء بالغسل الواحد علی تقدیر وجوب الأغسال مع الاختلاف بطریق أولی علی قاعدة الأصحاب فی مفهوم الموافقة ، إلاّ أنّ فیه بحثاً قدمناه ، ولعلّ الأولی الاستدلال علی ذلک بالخبر من حیث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اجتمعت لله علیک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واحتمال أن یکون المراد </w:t>
      </w:r>
    </w:p>
    <w:p>
      <w:pPr>
        <w:pStyle w:val="BookText"/>
        <w:rPr/>
      </w:pPr>
      <w:r>
        <w:rPr>
          <w:rFonts w:ascii="IRNazanin" w:hAnsi="IRNazanin" w:eastAsia="IRNazanin"/>
          <w:color w:val="111111"/>
          <w:sz w:val="28"/>
          <w:sz w:val="28"/>
          <w:szCs w:val="28"/>
          <w:rtl w:val="true"/>
          <w:lang w:bidi="fa-IR"/>
        </w:rPr>
        <w:t>بالحقوق المذکورة فی الروایة هی المجتمعة من الوجوب والندب علی تقدیر صدق الحقوق علی المندوبات کما یستفاد من ظاهر الخبر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یعلم أنّ قول شیخنا قدس سره بعد ذکر روایة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نصّ فی المطلوب </w:t>
      </w:r>
      <w:r>
        <w:rPr>
          <w:rStyle w:val="FootnoteAnchor"/>
          <w:rtl w:val="true"/>
        </w:rPr>
        <w:footnoteReference w:id="1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بحث ، فسیأتی إن شاء الله فی باب غسل الأموات ما یدل علی التداخل </w:t>
      </w:r>
      <w:r>
        <w:rPr>
          <w:rStyle w:val="FootnoteAnchor"/>
          <w:rtl w:val="true"/>
        </w:rPr>
        <w:footnoteReference w:id="1487"/>
      </w:r>
      <w:r>
        <w:rPr>
          <w:rFonts w:ascii="IRNazanin" w:hAnsi="IRNazanin" w:eastAsia="IRNazanin"/>
          <w:color w:val="111111"/>
          <w:sz w:val="28"/>
          <w:sz w:val="28"/>
          <w:szCs w:val="28"/>
          <w:rtl w:val="true"/>
          <w:lang w:bidi="fa-IR"/>
        </w:rPr>
        <w:t>، وإن کان فیه نوع کلام نذکره فی محله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الصدوق فی باب الصوم مرسلاً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جامع فی أوّل شهر رمضان ثم نسی الغسل حتی خرج من شهر رمضان علیه أن یغتسل ویقضی صومه وصلاته ، إلاّ أن یکون قد اغتسل للجمعة </w:t>
      </w:r>
      <w:r>
        <w:rPr>
          <w:rStyle w:val="FootnoteAnchor"/>
          <w:rtl w:val="true"/>
        </w:rPr>
        <w:footnoteReference w:id="1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تأییده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 للأصحاب اختلافاً فی مسألة التداخل ، واضطراباً فی الاستدلال ، حیث ضویقوا من جهة القول بنیّة الوجه فی العبادة ، فقال بعض بالتداخل مطلقا </w:t>
      </w:r>
      <w:r>
        <w:rPr>
          <w:rStyle w:val="FootnoteAnchor"/>
          <w:rtl w:val="true"/>
        </w:rPr>
        <w:footnoteReference w:id="1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نوی الجمیع أجزأ غسل واحد ، وإن نوی البعض اختص </w:t>
      </w:r>
      <w:r>
        <w:rPr>
          <w:rStyle w:val="FootnoteAnchor"/>
          <w:rtl w:val="true"/>
        </w:rPr>
        <w:footnoteReference w:id="1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قال برفع المندوب الحدث فلا إشکال عنده فی التداخل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کلام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الأغسال إذا کانت کلها واجبة فالمکتفی بالقربة قال بالتداخل ، إذ المقصود رفع الحدث أو الاستباحة وهو شی‌ء واحد ، ومن لم یکتف بالقربة وأوجب نیّة الرفع أو الاستباحة فصّل بأنّه إن نوی </w:t>
      </w:r>
    </w:p>
    <w:p>
      <w:pPr>
        <w:pStyle w:val="BookText"/>
        <w:rPr/>
      </w:pPr>
      <w:r>
        <w:rPr>
          <w:rFonts w:ascii="IRNazanin" w:hAnsi="IRNazanin" w:eastAsia="IRNazanin"/>
          <w:color w:val="111111"/>
          <w:sz w:val="28"/>
          <w:sz w:val="28"/>
          <w:szCs w:val="28"/>
          <w:rtl w:val="true"/>
          <w:lang w:bidi="fa-IR"/>
        </w:rPr>
        <w:t xml:space="preserve">أحدهما فلا یخلو إمّا أن لا یعیّن رفع أحد الأحداث أو یعیّن ، فإن کان الأوّل تداخلت ، وإن کان الثانی فإن لم یکن معها غسل الجنابة أو کان وساوی غیره فی عدم الوضوء کفی عن الباقی ، وإن اشترط الوضوء فی غیره وکان المعیّن هو الجنابة أجزأ عن غیره عند بعض ، وإن کان غیره هو المعیّن ففیه قولان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احتمالان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الإجزاء لأنّه غسل صحیح نوی به الاستباحة فیجزی ، والعدم ، لعدم تأثیر الوضوء فی غسل الجنابة ، وتوقف بعض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مدارک شیخنا قدس سره أنّ الأظهر التداخل مع الاقتصار علی نیة القربة ، وکذا مع ضم الرفع أو الاستباحة ، یعنی علی تقدیر أن تکون الأغسال کلها واجبة ، ثم قال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عیّن أحد الأحداث فإن کان المعیّن هو الجنابة فالمشهور إجزاؤه عن غیره ، بل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متفق علیه ، وإن کان غیره ففیه قولان </w:t>
      </w:r>
      <w:r>
        <w:rPr>
          <w:rStyle w:val="FootnoteAnchor"/>
          <w:rtl w:val="true"/>
        </w:rPr>
        <w:footnoteReference w:id="1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علی تقدیر الاختلاف بالوجوب والندب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نوی الواجب ارتفع حدثه ، وفی الإجزاء عن المندوب 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بالإجزاء للروایة ، وقول بالعدم لاشتراط نیّة الوجه ؛ وقرّب بعض صحة المندوب ، لعدم اشتراط خلوّ المکلّف من الحدث الأکبر کما فی غسل الإحرام للحائض </w:t>
      </w:r>
      <w:r>
        <w:rPr>
          <w:rStyle w:val="FootnoteAnchor"/>
          <w:rtl w:val="true"/>
        </w:rPr>
        <w:footnoteReference w:id="1494"/>
      </w:r>
      <w:r>
        <w:rPr>
          <w:rFonts w:ascii="IRNazanin" w:hAnsi="IRNazanin" w:eastAsia="IRNazanin"/>
          <w:color w:val="111111"/>
          <w:sz w:val="28"/>
          <w:sz w:val="28"/>
          <w:szCs w:val="28"/>
          <w:rtl w:val="true"/>
          <w:lang w:bidi="fa-IR"/>
        </w:rPr>
        <w:t xml:space="preserve">، وفی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الأقرب تفریعاً علی القول بأنّ المندوب لا یرفع الحدث صحّته من کل محدث لحصول الغایة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ونقل عن المبسوط القول بعدم الإجزاء عن أحدهما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تقدیر نیّة الجمیع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الإجزاء ، لاعتبار نیّة السبب ، وتضادّ وجهی الوجوب والندب ، فإن نوی الندب لزم عدم ارتفاع الحدث لعدم رفعه بالمندوب ، وإن نوی الوجوب لزم نیّة وجوب ما لیس بواجب ، وإن نواهما لزم الجمع بین الضدّین وترجّح أحدهما من غیر مرجّح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ویظهر من البعض إجزاء نیّة الوجوب عن الندب ، لأنّ نیّة الوجوب تستلزم نیّة الندب ، لاشتراکهما فی رجحان الفعل ، ولا یضر اعتقاد منع الترک لأنّه مؤکِّد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نهایة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نوی المجنب رفع الحدث أو الاستباحة ترتفع جمیع الأحداث ویجزئ عن جمیع الأغسال الواجبة ، وکذا لو نوی الجنابة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والأقوی عدم رفع الجنابة مع نیّة الحیض ، لأنه أدون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قوة الحیض لاحتیاجه إلی الطهارتین ؛ وفی النهایة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اجتمعت الأغسال المندوبة احتمل التداخل لقول ، أحدهما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اجتمعت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 فحینئذ یکتفی بنیّة مطلقة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المنتهی قال بتداخل الأغسال المندوبة </w:t>
      </w:r>
      <w:r>
        <w:rPr>
          <w:rStyle w:val="FootnoteAnchor"/>
          <w:rtl w:val="true"/>
        </w:rPr>
        <w:footnoteReference w:id="1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الإرشاد نفی التداخل </w:t>
      </w:r>
      <w:r>
        <w:rPr>
          <w:rStyle w:val="FootnoteAnchor"/>
          <w:rtl w:val="true"/>
        </w:rPr>
        <w:footnoteReference w:id="1501"/>
      </w:r>
      <w:r>
        <w:rPr>
          <w:rFonts w:ascii="IRNazanin" w:hAnsi="IRNazanin" w:eastAsia="IRNazanin"/>
          <w:color w:val="111111"/>
          <w:sz w:val="28"/>
          <w:sz w:val="28"/>
          <w:szCs w:val="28"/>
          <w:rtl w:val="true"/>
          <w:lang w:bidi="fa-IR"/>
        </w:rPr>
        <w:t>، وظاهره الإطلاق ، إلاّ أنّ فیه احتمالاً یعرف من مراجعة عبارته</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فالأقوال متکثرة فی المسألة ، والتوجیهات المنقولة إجمالاً </w:t>
      </w:r>
    </w:p>
    <w:p>
      <w:pPr>
        <w:pStyle w:val="BookText"/>
        <w:rPr/>
      </w:pPr>
      <w:r>
        <w:rPr>
          <w:rFonts w:ascii="IRNazanin" w:hAnsi="IRNazanin" w:eastAsia="IRNazanin"/>
          <w:color w:val="111111"/>
          <w:sz w:val="28"/>
          <w:sz w:val="28"/>
          <w:szCs w:val="28"/>
          <w:rtl w:val="true"/>
          <w:lang w:bidi="fa-IR"/>
        </w:rPr>
        <w:t>لا تخلو من نظر فی مواضع ، وأظن أنّ الوجه فی النظر منکشف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یخطر فی البال بعد ما قدمناه من جهة دلالة روایة زرارة أنّ التوقف فی التداخل مطلقا لا وجه له ، والشک الذی حصل للبعض من جهة نیّة الوجه </w:t>
      </w:r>
      <w:r>
        <w:rPr>
          <w:rStyle w:val="FootnoteAnchor"/>
          <w:rtl w:val="true"/>
        </w:rPr>
        <w:footnoteReference w:id="1502"/>
      </w:r>
      <w:r>
        <w:rPr>
          <w:rFonts w:ascii="IRNazanin" w:hAnsi="IRNazanin" w:eastAsia="IRNazanin"/>
          <w:color w:val="111111"/>
          <w:sz w:val="28"/>
          <w:sz w:val="28"/>
          <w:szCs w:val="28"/>
          <w:rtl w:val="true"/>
          <w:lang w:bidi="fa-IR"/>
        </w:rPr>
        <w:t>یمکن دفعه بأنّ دلیل وجوب نیّة الوجه الذی ذکره القائلون بذلک علی تقدیر تمامیّته لا یمنع التخصیص بما دلّت علیه الروایة ، والعقل لا یدفع مدلول الروایة لتکون مخالفة لدلیل العقل فتطرح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اجتماع الضدّین إذا کان محالاً فلا بدّ من عدم العمل بالروایة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التضادّ إنّما یتحقق لو اعتبرنا نیّة الوجه ، وقد نفینا ذلک فی الذی نحن فیه ، فالإشکال من حیث نیّة الوجه أمره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إنّ الحکم بالتداخل مع ثبوت أن کل سبب یقتضی وجوب مسبّبه ، والتداخل خلاف الأصل محل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ثبت فی الأحکام الشرعیة تعدّد الأسباب مع الاکتفاء بالمسبّب الواحد کالوضوء والغسل إذا تعدّد سببهما مع الاتحاد نوعاً فی الثانی کالجنابة مثلاً ، والأعم من ذلک کأسباب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فیما ذکرت ، إلاّ أنّ الإجماع وغیره قد ثبت فیما ذکرت ، والکلام فیما فیه الخلاف</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 لأحد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المقصود من الشارع فعل الغسل بإجراء الماء علی البدن بالنحو المقرّر ، وهو حاصل بالغسل الواحد ، کالوضوء علی تقدیر تعدّد السبب ، والغسل علی تقدیر الاتحاد النوعی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لإمکان الجواب بأنّ العلم بکون ما ذکر هو المقصود غیر حاصل ، ومجرّد الاحتمال لا یکفی فی إثبات الحکم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یعلم أنّ ما قاله شیخنا قدس سره فی الاستدلال علی التداخل مع کون الأغسال کلّها واجبة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بصدق الامتثال بالفعل ، مضافاً إلی روایة زرارة </w:t>
      </w:r>
      <w:r>
        <w:rPr>
          <w:rStyle w:val="FootnoteAnchor"/>
          <w:rtl w:val="true"/>
        </w:rPr>
        <w:footnoteReference w:id="1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تحقق الامتثال أصل المدّعی ، مضافاً إلی معارضة أصالة عدم التداخل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الروایة فیها احتمال </w:t>
      </w:r>
      <w:r>
        <w:rPr>
          <w:rStyle w:val="FootnoteAnchor"/>
          <w:rtl w:val="true"/>
        </w:rPr>
        <w:footnoteReference w:id="1504"/>
      </w:r>
      <w:r>
        <w:rPr>
          <w:rFonts w:ascii="IRNazanin" w:hAnsi="IRNazanin" w:eastAsia="IRNazanin"/>
          <w:color w:val="111111"/>
          <w:sz w:val="28"/>
          <w:sz w:val="28"/>
          <w:szCs w:val="28"/>
          <w:rtl w:val="true"/>
          <w:lang w:bidi="fa-IR"/>
        </w:rPr>
        <w:t xml:space="preserve">أسلفناه لا تخلو معه من إشکال فی الدلالة ، مضافاً إلی أن مورد الاستدلال علی تقدیر الاکتفاء بالقربة ، وکذا مع ضم الرفع أو الاستباحة والحکم فی الروایة من جهة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اجتمعت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 لا یختص</w:t>
      </w:r>
    </w:p>
    <w:p>
      <w:pPr>
        <w:pStyle w:val="BookText"/>
        <w:rPr/>
      </w:pPr>
      <w:r>
        <w:rPr>
          <w:rFonts w:ascii="IRNazanin" w:hAnsi="IRNazanin" w:eastAsia="IRNazanin"/>
          <w:color w:val="111111"/>
          <w:sz w:val="28"/>
          <w:sz w:val="28"/>
          <w:szCs w:val="28"/>
          <w:rtl w:val="true"/>
          <w:lang w:bidi="fa-IR"/>
        </w:rPr>
        <w:t>بحالة القربة والرفع أو الاستباحة ، بل لو قلنا بنیّة الوجه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علی تقدیر اعتبار التعیین للسبب قد یتوقف فی التداخل ، وإن کان مدلول الروایة یتناوله أیضاً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الغسل الواحد فی الروایة مجمل ، فلا یتم الاستدلال بها مع الإجمال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الإجمال هنا لا یضرّ بالحال ، لأنّه من قبیل المطلق المفید فائدة العموم ، فیتناول الغسل الواحد الحاصل فی ضمن الأغسال وغیره بأن یقصد به مجرّد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فرق بین الغسل الحاصل فی الضمن وبین غیره؟</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من حیث إنّ الحاصل فی الضمن یقصد فیه التعیین </w:t>
      </w:r>
      <w:r>
        <w:rPr>
          <w:rStyle w:val="FootnoteAnchor"/>
          <w:rtl w:val="true"/>
        </w:rPr>
        <w:footnoteReference w:id="1505"/>
      </w:r>
    </w:p>
    <w:p>
      <w:pPr>
        <w:pStyle w:val="BookText"/>
        <w:rPr/>
      </w:pPr>
      <w:r>
        <w:rPr>
          <w:rFonts w:ascii="IRNazanin" w:hAnsi="IRNazanin" w:eastAsia="IRNazanin"/>
          <w:color w:val="111111"/>
          <w:sz w:val="28"/>
          <w:sz w:val="28"/>
          <w:szCs w:val="28"/>
          <w:rtl w:val="true"/>
          <w:lang w:bidi="fa-IR"/>
        </w:rPr>
        <w:t>بسبب السبب الخاص ، وغیره لا یقصد فیه ذلک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یؤیّد التداخل مرسلة جمیل بن دراج ، عن بعض أصحابنا ، عن أحدهما علیهماالسلام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اغتسل الجنب بعد طلوع الفجر أجزأ عنه ذلک الغسل من کل غسل یلزمه ذلک الیوم </w:t>
      </w:r>
      <w:r>
        <w:rPr>
          <w:rFonts w:eastAsia="IRNazanin" w:cs="IRNazanin"/>
          <w:color w:val="111111"/>
          <w:sz w:val="28"/>
          <w:szCs w:val="28"/>
          <w:rtl w:val="true"/>
          <w:lang w:bidi="fa-IR"/>
        </w:rPr>
        <w:t xml:space="preserve">» </w:t>
      </w:r>
      <w:r>
        <w:rPr>
          <w:rStyle w:val="FootnoteAnchor"/>
          <w:rtl w:val="true"/>
        </w:rPr>
        <w:footnoteReference w:id="1506"/>
      </w:r>
      <w:r>
        <w:rPr>
          <w:rFonts w:ascii="IRNazanin" w:hAnsi="IRNazanin" w:eastAsia="IRNazanin"/>
          <w:color w:val="111111"/>
          <w:sz w:val="28"/>
          <w:sz w:val="28"/>
          <w:szCs w:val="28"/>
          <w:rtl w:val="true"/>
          <w:lang w:bidi="fa-IR"/>
        </w:rPr>
        <w:t>ولا یبعد أن یکون المراد باللزوم فی الخبر ما یتناول المندوب ، بل ربما یدّعی اختصاصه بالمندوب ، کما یعرف من تأمّل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الاستدلال علی التداخل بما دل من الأخبار علی أنّ غسل الجنابة والحیض واحد فلا وجه له ، لأنّ الظاهر من الأخبار الاتحاد فی الکیفیة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یوجد فی کلام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الأغسال علی تقدیر الاجتماع لا تصیر من قبیل تعدّد الأسباب بل هو سبب واحد ، فالظاهر أنّ المراد به علی تقدیر العمل بالروایة الدالة علی التداخل ، وحاصل التوجیه أنّ ما یظن من تعدّد الأسباب یندفع باحتمال کون السبب واحداً ، وأثر هذا هیّن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مراد القائل کون التداخل یجعل ثواب فعلین فی فعل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غایة ما تدل علیه الروایة حصول الامتثال بغسل واحد ، أمّا حصول ثواب فعلین بفعل واحد فإثباته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علی تقدیر اجتماع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والندب کما هو مفاد الروایة صریحا فی صدرها ، یمکن أن یوجّه ما قیل ، ولا یبعد أن یتکلّف التوجیه مع تعدد الواجب </w:t>
      </w:r>
      <w:r>
        <w:rPr>
          <w:rFonts w:eastAsia="IRNazanin" w:cs="IRNazanin"/>
          <w:color w:val="111111"/>
          <w:sz w:val="28"/>
          <w:szCs w:val="28"/>
          <w:rtl w:val="true"/>
          <w:lang w:bidi="fa-IR"/>
        </w:rPr>
        <w:t xml:space="preserve">) </w:t>
      </w:r>
      <w:r>
        <w:rPr>
          <w:rStyle w:val="FootnoteAnchor"/>
          <w:rtl w:val="true"/>
        </w:rPr>
        <w:footnoteReference w:id="1507"/>
      </w:r>
      <w:r>
        <w:rPr>
          <w:rFonts w:ascii="Amiri" w:hAnsi="Amiri" w:eastAsia="Amiri" w:cs="Amiri"/>
          <w:color w:val="111111"/>
          <w:sz w:val="28"/>
          <w:sz w:val="28"/>
          <w:szCs w:val="28"/>
          <w:rtl w:val="true"/>
          <w:lang w:bidi="ar-SA"/>
        </w:rPr>
        <w:t>إلاّ أنّ الفائدة قلیلة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من الروایة إجزاء غسل واحد عن المأمور به ، وإثبات ما عدا ذلک لا یخرج عن ربقة التکلّف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هنا یعلم أن ما قاله شیخنا قدس سره من أنّ معنی تداخل الواجب والمستحب تأدّی إحدی الوظیفتین بفعل الأُخری ، کما تتأدّی صلاة التحیة بقضاء الفریضة ، وصوم الأیّام المسنون صومها بقضاء الواجب </w:t>
      </w:r>
      <w:r>
        <w:rPr>
          <w:rStyle w:val="FootnoteAnchor"/>
          <w:rtl w:val="true"/>
        </w:rPr>
        <w:footnoteReference w:id="1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 لأنّ مفاد الکلام یعطی فهم إرادة الغسل الواحد من أحد الأغسال ، وقد عرفت إجمال الروایة عن إفادة هذا ، بل فیها احتمال ظهور إرادة الإتیان بکیفیّة الغسل متقرّباً من دون التفات إلی إحدی الوظیفتین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أنّه قدس سره قال بعد ما قدمناه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لظهور تعلّق الغرض بمجرّد إیجاد الماهیّة علی أیّ وجه اتفق </w:t>
      </w:r>
      <w:r>
        <w:rPr>
          <w:rStyle w:val="FootnoteAnchor"/>
          <w:rtl w:val="true"/>
        </w:rPr>
        <w:footnoteReference w:id="1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الکلام لا یوافق أوّل الکلام من تأدّی إحدی الوظیفتین بالأُخری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المقام أبحاث سیأتی بعضها إن شاء الله فی باب تغسیل المیت ، حیث إنّ فی أخبار الباب ما یتضمن التداخل فی الجملة ، فمن ثَم کان الأولی التأخیر إلی بابه ، والله تعالی أعلم بحقائق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فاما ما رواه علی بن الحسن ، عن عثمان بن عیسی ، عن سماعة بن مهران ،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الحسن </w:t>
      </w:r>
      <w:r>
        <w:rPr>
          <w:rFonts w:eastAsia="IRNazanin" w:cs="IRNazanin"/>
          <w:color w:val="111111"/>
          <w:sz w:val="28"/>
          <w:szCs w:val="28"/>
          <w:rtl w:val="true"/>
          <w:lang w:bidi="fa-IR"/>
        </w:rPr>
        <w:t xml:space="preserve">) </w:t>
      </w:r>
      <w:r>
        <w:rPr>
          <w:rStyle w:val="FootnoteAnchor"/>
          <w:rtl w:val="true"/>
        </w:rPr>
        <w:footnoteReference w:id="1510"/>
      </w:r>
      <w:r>
        <w:rPr>
          <w:rFonts w:ascii="IRNazanin" w:hAnsi="IRNazanin" w:eastAsia="IRNazanin"/>
          <w:color w:val="111111"/>
          <w:sz w:val="28"/>
          <w:sz w:val="28"/>
          <w:szCs w:val="28"/>
          <w:rtl w:val="true"/>
          <w:lang w:bidi="fa-IR"/>
        </w:rPr>
        <w:t xml:space="preserve">علیهماالسلام قالا فی الرجل یجامع المرأة فتحیض قبل أن تغتسل من الجنابة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 الجنابة علیها واجب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فالوجه فی هذا الخبر أحد شیئین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نحمله علی </w:t>
      </w:r>
      <w:bookmarkStart w:id="1227" w:name="pg17122_169881"/>
    </w:p>
    <w:p>
      <w:pPr>
        <w:pStyle w:val="BookText"/>
        <w:rPr/>
      </w:pPr>
      <w:bookmarkEnd w:id="1227"/>
      <w:r>
        <w:rPr>
          <w:rFonts w:ascii="IRNazanin" w:hAnsi="IRNazanin" w:eastAsia="IRNazanin"/>
          <w:color w:val="111111"/>
          <w:sz w:val="28"/>
          <w:sz w:val="28"/>
          <w:szCs w:val="28"/>
          <w:rtl w:val="true"/>
          <w:lang w:bidi="fa-IR"/>
        </w:rPr>
        <w:t>ضرب من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ذلک إخباراً عن کیفیّة الغسل ، لأنّ غسل الحائض مثل غسل الجنابة علی السواء ، فکأنّه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یجب علیها أن تغتسل مثل غسل الجنابة ، ولم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غسل الجنابة واجب ویلزمها مع ذلک غسل الحیض ، والذی یکشف عمّا ذکرناه أوّلاً من الاستحباب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علی بن الحسن ، عن أحمد بن الحسن ، عن عمرو بن سعید ، عن مصدق بن صدقة ، عن عمار الساباطی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المرأة یواقعها زوجها ثم تحیض قبل أن تغتسل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شاءت أن تغتسل فعلت ، وإن لم تفعل فلیس علیها شی‌ء ، فإذا طهرت اغتسلت غسلاً واحداً للحیض والجنابة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عثمان بن عیسی وقد قدّمنا حاله </w:t>
      </w:r>
      <w:r>
        <w:rPr>
          <w:rStyle w:val="FootnoteAnchor"/>
          <w:rtl w:val="true"/>
        </w:rPr>
        <w:footnoteReference w:id="1511"/>
      </w:r>
      <w:r>
        <w:rPr>
          <w:rFonts w:ascii="IRNazanin" w:hAnsi="IRNazanin" w:eastAsia="IRNazanin"/>
          <w:color w:val="111111"/>
          <w:sz w:val="28"/>
          <w:sz w:val="28"/>
          <w:szCs w:val="28"/>
          <w:rtl w:val="true"/>
          <w:lang w:bidi="fa-IR"/>
        </w:rPr>
        <w:t>، وأنّه لا وجه لعدّ حدیثه من الموثّق إذا سلم غیره من رجال السند من منافیات الوصف بالموثق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تکرّر القول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الظاهر من الأوّل کون الغسل من الجنابة واجب علی الحائض ، وهذا لا ینافی الاکتفاء بغسل واحد عن الجنابة والحیض ، إذ مفاد</w:t>
      </w:r>
    </w:p>
    <w:p>
      <w:pPr>
        <w:pStyle w:val="Heading4"/>
        <w:numPr>
          <w:ilvl w:val="3"/>
          <w:numId w:val="1"/>
        </w:numPr>
        <w:rPr/>
      </w:pPr>
      <w:bookmarkStart w:id="1228" w:name="__RefHeading___Toc39838_2142443653"/>
      <w:bookmarkStart w:id="1229" w:name="_Toc477"/>
      <w:bookmarkEnd w:id="1228"/>
      <w:r>
        <w:rPr>
          <w:rtl w:val="true"/>
        </w:rPr>
        <w:t>إشارة إلی حال عثمان بن عیسی</w:t>
      </w:r>
      <w:bookmarkEnd w:id="1229"/>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30" w:name="__RefHeading___Toc39840_2142443653"/>
      <w:bookmarkStart w:id="1231" w:name="_Toc478"/>
      <w:bookmarkEnd w:id="1230"/>
      <w:r>
        <w:rPr>
          <w:rtl w:val="true"/>
        </w:rPr>
        <w:t>عدم التنافی بین خبر سماعة والاخبار الدالّة علی تداخل الأغسال</w:t>
      </w:r>
      <w:bookmarkStart w:id="1232" w:name="pg17122_169882"/>
      <w:bookmarkEnd w:id="1231"/>
    </w:p>
    <w:p>
      <w:pPr>
        <w:pStyle w:val="BookText"/>
        <w:rPr/>
      </w:pPr>
      <w:bookmarkEnd w:id="1232"/>
      <w:r>
        <w:rPr>
          <w:rFonts w:ascii="IRNazanin" w:hAnsi="IRNazanin" w:eastAsia="IRNazanin"/>
          <w:color w:val="111111"/>
          <w:sz w:val="28"/>
          <w:sz w:val="28"/>
          <w:szCs w:val="28"/>
          <w:rtl w:val="true"/>
          <w:lang w:bidi="fa-IR"/>
        </w:rPr>
        <w:t>الأخبار الأوّلة الاکتفاء بغسل واحد لا عدم وجوب الأغسال جمیعها ، وحینئذ لا مانع من وجوب الجمیع وسقوط الواجب بفعل غسل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قاله الشیخ من الجمع ، محل بحث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الاستحباب لا وجه له بعد التصریح بالوجوب ، وإمکان حمله علی ظاهره بما قلناه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ثانیا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w:t>
      </w:r>
      <w:r>
        <w:rPr>
          <w:rStyle w:val="FootnoteAnchor"/>
          <w:rtl w:val="true"/>
        </w:rPr>
        <w:footnoteReference w:id="1512"/>
      </w:r>
      <w:r>
        <w:rPr>
          <w:rFonts w:ascii="IRNazanin" w:hAnsi="IRNazanin" w:eastAsia="IRNazanin"/>
          <w:color w:val="111111"/>
          <w:sz w:val="28"/>
          <w:sz w:val="28"/>
          <w:szCs w:val="28"/>
          <w:rtl w:val="true"/>
          <w:lang w:bidi="fa-IR"/>
        </w:rPr>
        <w:t>الاستحباب علی ما یأتی من الروایة المستدلّ بها یراد به استحباب غسل الجنابة حال الحیض ، وکلام الشیخ أوّلاً یفید استحباب غسل الجنابة مع غسل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الروایة الأخیرة لا تأبی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إرادة ما یفیده </w:t>
      </w:r>
      <w:r>
        <w:rPr>
          <w:rFonts w:eastAsia="IRNazanin" w:cs="IRNazanin"/>
          <w:color w:val="111111"/>
          <w:sz w:val="28"/>
          <w:szCs w:val="28"/>
          <w:rtl w:val="true"/>
          <w:lang w:bidi="fa-IR"/>
        </w:rPr>
        <w:t xml:space="preserve">) </w:t>
      </w:r>
      <w:r>
        <w:rPr>
          <w:rStyle w:val="FootnoteAnchor"/>
          <w:rtl w:val="true"/>
        </w:rPr>
        <w:footnoteReference w:id="1513"/>
      </w:r>
      <w:r>
        <w:rPr>
          <w:rFonts w:ascii="IRNazanin" w:hAnsi="IRNazanin" w:eastAsia="IRNazanin"/>
          <w:color w:val="111111"/>
          <w:sz w:val="28"/>
          <w:sz w:val="28"/>
          <w:szCs w:val="28"/>
          <w:rtl w:val="true"/>
          <w:lang w:bidi="fa-IR"/>
        </w:rPr>
        <w:t xml:space="preserve">أوّل الکلام ، إذ یجوز أن یکون المقصود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شاءت أن تغتسل 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الطهر ، وفعل غسل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الظاهر من قوله علیه السلام فی الروایة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طهرت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 کلام الشیخ أوّلاً مجمل ، وإرادة مفاد الروایة غیر بعیدة ، فلا إشکال من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الإشکال بأنّ مفاد الأخبار السابقة الاجتزاء بغسل واحد ، فعلی تقدیر أن یراد أحد الأغسال أو غیرها بأن یوقع لا بقصد أحدها بل </w:t>
      </w:r>
      <w:r>
        <w:rPr>
          <w:rStyle w:val="FootnoteAnchor"/>
          <w:rtl w:val="true"/>
        </w:rPr>
        <w:footnoteReference w:id="1514"/>
      </w:r>
      <w:r>
        <w:rPr>
          <w:rFonts w:ascii="IRNazanin" w:hAnsi="IRNazanin" w:eastAsia="IRNazanin"/>
          <w:color w:val="111111"/>
          <w:sz w:val="28"/>
          <w:sz w:val="28"/>
          <w:szCs w:val="28"/>
          <w:rtl w:val="true"/>
          <w:lang w:bidi="fa-IR"/>
        </w:rPr>
        <w:t>لمجرّد الامتثال یحتمل الاستحباب فی فعل غسل الحیض علی تقدیر قصد الجنابة بالغسل أوّلاً ، ویحتمل الاستحباب فی الجنابة علی تقدیر قصد غسل</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33" w:name="__RefHeading___Toc39842_2142443653"/>
      <w:bookmarkStart w:id="1234" w:name="_Toc479"/>
      <w:bookmarkEnd w:id="1233"/>
      <w:r>
        <w:rPr>
          <w:rtl w:val="true"/>
        </w:rPr>
        <w:t>المناقشة فی توجیه الشیخ لخبر سماعة</w:t>
      </w:r>
      <w:bookmarkStart w:id="1235" w:name="pg17122_169883"/>
      <w:bookmarkEnd w:id="1234"/>
    </w:p>
    <w:p>
      <w:pPr>
        <w:pStyle w:val="BookText"/>
        <w:rPr/>
      </w:pPr>
      <w:bookmarkEnd w:id="1235"/>
      <w:r>
        <w:rPr>
          <w:rFonts w:ascii="IRNazanin" w:hAnsi="IRNazanin" w:eastAsia="IRNazanin"/>
          <w:color w:val="111111"/>
          <w:sz w:val="28"/>
          <w:sz w:val="28"/>
          <w:szCs w:val="28"/>
          <w:rtl w:val="true"/>
          <w:lang w:bidi="fa-IR"/>
        </w:rPr>
        <w:t>الحیض ، إذ احتمال إرادة قصد غسل الحیض أوّلاً بخصوصه لا دلیل علیه فی المقام ، والروایة المستدل بها إنّما یقتضی ظاهرها ما قدّمناه ، والقول به استحبابا لم أعلم مشارک الشیخ فیه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الوجه الثانی من توجیه الشیخ فهو من الغرابة بمکان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 مفاد الخبر الأوّل بظاهره أنّ غسل الجنابة واجب مع الحیض وقد عرفت ما ذکرناه ، لکن إذا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غسل الجنابة واجب لنفسه ، فالمانع من إیقاعه حال الحیض غیر معلوم إلاّ من جهة عدم الصلاحیة للرفع أو الاستباحة ، والمطلوب منه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خبیر بأنّ ملاحظة الأمرین تقتضی الخروج عن الوجوب لنفسه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معنی الوجوب لنفسه عدم اختصاصه بحالة وجوب المشروط بالطهارة ، وهذا لا ینافی اعتبار الصلاحیة للدخول به فی العبادة ، ولم أقف علی شی‌ء شافٍ فی تحقیق الحال بالنسبة إلی تفسیر الوجوب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الاحتمال الذی ذکرناه فالخبر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الأخیر </w:t>
      </w:r>
      <w:r>
        <w:rPr>
          <w:rFonts w:eastAsia="IRNazanin" w:cs="IRNazanin"/>
          <w:color w:val="111111"/>
          <w:sz w:val="28"/>
          <w:szCs w:val="28"/>
          <w:rtl w:val="true"/>
          <w:lang w:bidi="fa-IR"/>
        </w:rPr>
        <w:t xml:space="preserve">) </w:t>
      </w:r>
      <w:r>
        <w:rPr>
          <w:rStyle w:val="FootnoteAnchor"/>
          <w:rtl w:val="true"/>
        </w:rPr>
        <w:footnoteReference w:id="1515"/>
      </w:r>
      <w:r>
        <w:rPr>
          <w:rFonts w:ascii="IRNazanin" w:hAnsi="IRNazanin" w:eastAsia="IRNazanin"/>
          <w:color w:val="111111"/>
          <w:sz w:val="28"/>
          <w:sz w:val="28"/>
          <w:szCs w:val="28"/>
          <w:rtl w:val="true"/>
          <w:lang w:bidi="fa-IR"/>
        </w:rPr>
        <w:t xml:space="preserve">لا یخلو من دلالة علی أن الغسل من الجنابة بتقدیر الوجوب لنفسه موسّع حیث قال فیه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شاءت أن تغتسل فعلت ، وإن لم تفعل فلیس علیها شی‌ء ، فإذا طهرت اغتسلت غسلاً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یعطی لمن تأمّله أن غسل الجنابة لو قدّمته حال الحیض کفاها ویکون الغسل بعد الطهر للحیض ، ولو لم تغتسل کفاها الغسل الواحد عن الأمرین ، فینبغی تأمّل جمیع ذلک ، وإن کانت الثمرة بالنسبة إلی عدم صحّة الروایتین قلیلة ، إلاّ أن کلامنا علی تقدیر العمل</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36" w:name="__RefHeading___Toc39844_2142443653"/>
      <w:bookmarkStart w:id="1237" w:name="_Toc480"/>
      <w:bookmarkEnd w:id="1236"/>
      <w:r>
        <w:rPr>
          <w:rtl w:val="true"/>
        </w:rPr>
        <w:t>یستفاد من خبر عمار أنّ غسل الجنابة بتقدیر الوجوب النفسی موسّع</w:t>
      </w:r>
      <w:bookmarkStart w:id="1238" w:name="pg17122_169884"/>
      <w:bookmarkEnd w:id="1237"/>
    </w:p>
    <w:p>
      <w:pPr>
        <w:pStyle w:val="BookText"/>
        <w:rPr/>
      </w:pPr>
      <w:bookmarkEnd w:id="1238"/>
      <w:r>
        <w:rPr>
          <w:rFonts w:ascii="IRNazanin" w:hAnsi="IRNazanin" w:eastAsia="IRNazanin"/>
          <w:color w:val="111111"/>
          <w:sz w:val="28"/>
          <w:sz w:val="28"/>
          <w:szCs w:val="28"/>
          <w:rtl w:val="true"/>
          <w:lang w:bidi="fa-IR"/>
        </w:rPr>
        <w:t xml:space="preserve">وقد نقل العلاّمة فی المختلف عن الشیخ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اغتسل ونوی به غسل الجنابة دون غسل الجمعة أجزأه عنهما ، ولو لم ینوِ غسل الجنابة ولا الجمعة لم یجز عن واحد منهما ، ولو نوی غسل الجمعة دون الجنابة لم یجز عن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عندی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نیّة السبب شرطاً فی الغسل لم یجزه غسل الجنابة عن الجمعة ، لأنّه نوی الجنابة خاصّة فلا یقع عن غیره فیبقی فی العهدة ، وإن لم تکن شرطاً فإذا نوی غسلاً مطلقاً ونوی الوجوب أو الندب أجزأ عن الجنابة إن نوی الوجوب ، وعن الجمعة إن نوی الندب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لا یجزیه عن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معتمد ، بل الوجه أنّه یقع عن الجمعة ، لنا أنّه نوی غسلاً مندوباً ویصح منه إیقاعه ، فیکون صحیحا کغیره من العبادات الواقعة علی الوجه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العلامة احتجاج الشیخ لما قاله بأنّ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الجمعة </w:t>
      </w:r>
      <w:r>
        <w:rPr>
          <w:rStyle w:val="FootnoteAnchor"/>
          <w:rtl w:val="true"/>
        </w:rPr>
        <w:footnoteReference w:id="1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یراد للتنظیف وزیادة التطهیر ، ومن حیث هو جنب لا یصح منه ذلک ، وأجاب بالمنع من الغایة التی ذکرها وهی زیادة التطهیر إن عنی به رفع الحدث ، وإن أراد به النظافة فهو مسلّم ، لکنه یصحّ من الجنب کما یصحّ غسل الإحرام من الحائض </w:t>
      </w:r>
      <w:r>
        <w:rPr>
          <w:rStyle w:val="FootnoteAnchor"/>
          <w:rtl w:val="true"/>
        </w:rPr>
        <w:footnoteReference w:id="1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الکلام من الشیخ والعلاّمة بعد ورود خبر زرارة لا یخلو من غرابة ، وکذلک </w:t>
      </w:r>
      <w:r>
        <w:rPr>
          <w:rStyle w:val="FootnoteAnchor"/>
          <w:rtl w:val="true"/>
        </w:rPr>
        <w:footnoteReference w:id="1518"/>
      </w:r>
      <w:r>
        <w:rPr>
          <w:rFonts w:ascii="IRNazanin" w:hAnsi="IRNazanin" w:eastAsia="IRNazanin"/>
          <w:color w:val="111111"/>
          <w:sz w:val="28"/>
          <w:sz w:val="28"/>
          <w:szCs w:val="28"/>
          <w:rtl w:val="true"/>
          <w:lang w:bidi="fa-IR"/>
        </w:rPr>
        <w:t>عدم التفات العلاّمة إلی نقله فی المسألة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39" w:name="__RefHeading___Toc39846_2142443653"/>
      <w:bookmarkStart w:id="1240" w:name="_Toc481"/>
      <w:bookmarkEnd w:id="1239"/>
      <w:r>
        <w:rPr>
          <w:rtl w:val="true"/>
        </w:rPr>
        <w:t>کلام العلّامة حول إجزاء غسل الجنابة والجمعة أحدهما عن الآخر والمناقشة فیه</w:t>
      </w:r>
      <w:bookmarkStart w:id="1241" w:name="pg17122_169885"/>
      <w:bookmarkEnd w:id="1240"/>
    </w:p>
    <w:p>
      <w:pPr>
        <w:pStyle w:val="BookText"/>
        <w:rPr/>
      </w:pPr>
      <w:bookmarkEnd w:id="1241"/>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نیّة السبب شرطاً ، إلی آخره ،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نیّة السبب </w:t>
      </w:r>
      <w:r>
        <w:rPr>
          <w:rStyle w:val="FootnoteAnchor"/>
          <w:rtl w:val="true"/>
        </w:rPr>
        <w:footnoteReference w:id="1519"/>
      </w:r>
      <w:r>
        <w:rPr>
          <w:rFonts w:ascii="IRNazanin" w:hAnsi="IRNazanin" w:eastAsia="IRNazanin"/>
          <w:color w:val="111111"/>
          <w:sz w:val="28"/>
          <w:sz w:val="28"/>
          <w:szCs w:val="28"/>
          <w:rtl w:val="true"/>
          <w:lang w:bidi="fa-IR"/>
        </w:rPr>
        <w:t>قد دلّ الدلیل وهو الخبر الدال علی التداخل بإطلاقه علی عدم ضرورتها بالحال لو وقعت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قاله من جهة غسل الجمعة فی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نوی غسلاً مندوباً ، إلی آخره ، لیس علی ما ینبغی ، فإنّ ثبوت الندبیّة فی حال الحیض مصادرة ، بل الأولی الاستدلال بالعمومات الدالّة علی استحباب غسل الجمعة المتناولة لحالة الحیض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أجاب به عن حجة الشیخ فهو موجّه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مقدار الماء الذی تغتسل به الحائض</w:t>
      </w:r>
    </w:p>
    <w:p>
      <w:pPr>
        <w:pStyle w:val="BookText"/>
        <w:rPr/>
      </w:pPr>
      <w:r>
        <w:rPr>
          <w:rFonts w:ascii="IRNazanin" w:hAnsi="IRNazanin" w:eastAsia="IRNazanin"/>
          <w:color w:val="111111"/>
          <w:sz w:val="28"/>
          <w:sz w:val="28"/>
          <w:szCs w:val="28"/>
          <w:rtl w:val="true"/>
          <w:lang w:bidi="fa-IR"/>
        </w:rPr>
        <w:t xml:space="preserve">أخبرنی الشیخ رحمه الله عن أحمد بن محمد ، عن أبیه ، عن محمد بن یحیی ، عن محمد بن أحمد بن یحیی ، عن أحمد بن محمد بن أبی نصر ، عن المثنی الحناط </w:t>
      </w:r>
      <w:r>
        <w:rPr>
          <w:rStyle w:val="FootnoteAnchor"/>
          <w:rtl w:val="true"/>
        </w:rPr>
        <w:footnoteReference w:id="1520"/>
      </w:r>
      <w:r>
        <w:rPr>
          <w:rFonts w:ascii="IRNazanin" w:hAnsi="IRNazanin" w:eastAsia="IRNazanin"/>
          <w:color w:val="111111"/>
          <w:sz w:val="28"/>
          <w:sz w:val="28"/>
          <w:szCs w:val="28"/>
          <w:rtl w:val="true"/>
          <w:lang w:bidi="fa-IR"/>
        </w:rPr>
        <w:t xml:space="preserve">، عن الحسن الصیقل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الطامث تغتسل بتسعة أرطال من 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الاسناد عن أحمد بن محمد ، عن ابن محبوب ، عن أبی أیوب الخزاز ، عن محمد بن مسلم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الحائض ما بلغ من </w:t>
      </w:r>
      <w:r>
        <w:rPr>
          <w:rStyle w:val="FootnoteAnchor"/>
          <w:rtl w:val="true"/>
        </w:rPr>
        <w:footnoteReference w:id="1521"/>
      </w:r>
      <w:r>
        <w:rPr>
          <w:rFonts w:ascii="IRNazanin" w:hAnsi="IRNazanin" w:eastAsia="IRNazanin"/>
          <w:color w:val="111111"/>
          <w:sz w:val="28"/>
          <w:sz w:val="28"/>
          <w:szCs w:val="28"/>
          <w:rtl w:val="true"/>
          <w:lang w:bidi="fa-IR"/>
        </w:rPr>
        <w:t xml:space="preserve">بلل الماء من شعرها أجزأها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رواه محمد بن علی بن محبوب ، عن یعقوب بن یزید ،</w:t>
      </w:r>
    </w:p>
    <w:p>
      <w:pPr>
        <w:pStyle w:val="Heading3"/>
        <w:numPr>
          <w:ilvl w:val="2"/>
          <w:numId w:val="1"/>
        </w:numPr>
        <w:rPr/>
      </w:pPr>
      <w:bookmarkStart w:id="1242" w:name="__RefHeading___Toc39848_2142443653"/>
      <w:bookmarkStart w:id="1243" w:name="_Toc482"/>
      <w:bookmarkEnd w:id="1242"/>
      <w:r>
        <w:rPr>
          <w:rtl w:val="true"/>
        </w:rPr>
        <w:t>مقدار الماء الذی تغتسل به الحائض</w:t>
      </w:r>
      <w:bookmarkEnd w:id="1243"/>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44" w:name="__RefHeading___Toc39850_2142443653"/>
      <w:bookmarkStart w:id="1245" w:name="_Toc483"/>
      <w:bookmarkEnd w:id="1244"/>
      <w:r>
        <w:rPr>
          <w:rtl w:val="true"/>
        </w:rPr>
        <w:t>اشارة</w:t>
      </w:r>
      <w:bookmarkStart w:id="1246" w:name="pg17122_169886"/>
      <w:bookmarkEnd w:id="1245"/>
    </w:p>
    <w:p>
      <w:pPr>
        <w:pStyle w:val="BookText"/>
        <w:rPr/>
      </w:pPr>
      <w:bookmarkEnd w:id="1246"/>
      <w:r>
        <w:rPr>
          <w:rFonts w:ascii="IRNazanin" w:hAnsi="IRNazanin" w:eastAsia="IRNazanin"/>
          <w:color w:val="111111"/>
          <w:sz w:val="28"/>
          <w:sz w:val="28"/>
          <w:szCs w:val="28"/>
          <w:rtl w:val="true"/>
          <w:lang w:bidi="fa-IR"/>
        </w:rPr>
        <w:t xml:space="preserve">عن محمد بن الفضیل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الحائض کم یکفیها من الماء؟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الخبر والخبر الأوّل محمولان علی الإسباغ والفضل ، والخبر الثانی علی الإجزاء دون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المثنی الحنّاط ، والموجود فی الرجال المثنی </w:t>
      </w:r>
      <w:r>
        <w:rPr>
          <w:rStyle w:val="FootnoteAnchor"/>
          <w:rtl w:val="true"/>
        </w:rPr>
        <w:footnoteReference w:id="1522"/>
      </w:r>
      <w:r>
        <w:rPr>
          <w:rFonts w:ascii="IRNazanin" w:hAnsi="IRNazanin" w:eastAsia="IRNazanin"/>
          <w:color w:val="111111"/>
          <w:sz w:val="28"/>
          <w:sz w:val="28"/>
          <w:szCs w:val="28"/>
          <w:rtl w:val="true"/>
          <w:lang w:bidi="fa-IR"/>
        </w:rPr>
        <w:t xml:space="preserve">بن عبد السلام ، وقد نقل الکشی عن محمد بن مسعود عن علی بن الحسن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المثنی بن عبد السلام حنّاط لا بأس به </w:t>
      </w:r>
      <w:r>
        <w:rPr>
          <w:rStyle w:val="FootnoteAnchor"/>
          <w:rtl w:val="true"/>
        </w:rPr>
        <w:footnoteReference w:id="1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الرجال أیضا المثنی ابن الولید الحنّاط ذکره النجاشی </w:t>
      </w:r>
      <w:r>
        <w:rPr>
          <w:rStyle w:val="FootnoteAnchor"/>
          <w:rtl w:val="true"/>
        </w:rPr>
        <w:footnoteReference w:id="1524"/>
      </w:r>
      <w:r>
        <w:rPr>
          <w:rFonts w:ascii="IRNazanin" w:hAnsi="IRNazanin" w:eastAsia="IRNazanin"/>
          <w:color w:val="111111"/>
          <w:sz w:val="28"/>
          <w:sz w:val="28"/>
          <w:szCs w:val="28"/>
          <w:rtl w:val="true"/>
          <w:lang w:bidi="fa-IR"/>
        </w:rPr>
        <w:t xml:space="preserve">، والشیخ فی الفهرست من غیر توثیق ولا مدح </w:t>
      </w:r>
      <w:r>
        <w:rPr>
          <w:rStyle w:val="FootnoteAnchor"/>
          <w:rtl w:val="true"/>
        </w:rPr>
        <w:footnoteReference w:id="1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فی الخلاصة ذکر المثنی بن الولید ، وقال عن الکشی ما نقلناه فی ابن عبد السلام </w:t>
      </w:r>
      <w:r>
        <w:rPr>
          <w:rStyle w:val="FootnoteAnchor"/>
          <w:rtl w:val="true"/>
        </w:rPr>
        <w:footnoteReference w:id="1526"/>
      </w:r>
      <w:r>
        <w:rPr>
          <w:rFonts w:ascii="IRNazanin" w:hAnsi="IRNazanin" w:eastAsia="IRNazanin"/>
          <w:color w:val="111111"/>
          <w:sz w:val="28"/>
          <w:sz w:val="28"/>
          <w:szCs w:val="28"/>
          <w:rtl w:val="true"/>
          <w:lang w:bidi="fa-IR"/>
        </w:rPr>
        <w:t>، ولا یخلو من غرابة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العلاّمة ظن الاتحاد فی ابن عبد السلام وابن الولید </w:t>
      </w:r>
      <w:r>
        <w:rPr>
          <w:rStyle w:val="FootnoteAnchor"/>
          <w:rtl w:val="true"/>
        </w:rPr>
        <w:footnoteReference w:id="1527"/>
      </w:r>
      <w:r>
        <w:rPr>
          <w:rFonts w:ascii="IRNazanin" w:hAnsi="IRNazanin" w:eastAsia="IRNazanin"/>
          <w:color w:val="111111"/>
          <w:sz w:val="28"/>
          <w:sz w:val="28"/>
          <w:szCs w:val="28"/>
          <w:rtl w:val="true"/>
          <w:lang w:bidi="fa-IR"/>
        </w:rPr>
        <w:t xml:space="preserve">، والحال أنّ النجاشی ذکرهما </w:t>
      </w:r>
      <w:r>
        <w:rPr>
          <w:rStyle w:val="FootnoteAnchor"/>
          <w:rtl w:val="true"/>
        </w:rPr>
        <w:footnoteReference w:id="1528"/>
      </w:r>
      <w:r>
        <w:rPr>
          <w:rFonts w:ascii="IRNazanin" w:hAnsi="IRNazanin" w:eastAsia="IRNazanin"/>
          <w:color w:val="111111"/>
          <w:sz w:val="28"/>
          <w:sz w:val="28"/>
          <w:szCs w:val="28"/>
          <w:rtl w:val="true"/>
          <w:lang w:bidi="fa-IR"/>
        </w:rPr>
        <w:t>، واعتماد العلاّمة علی النجاشی فی الخلاصة کما یظهر من الملاحظة ، وعلی کل حال فالمثنّی قد عرفت حقیقته</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47" w:name="__RefHeading___Toc39852_2142443653"/>
      <w:bookmarkStart w:id="1248" w:name="_Toc484"/>
      <w:bookmarkEnd w:id="1247"/>
      <w:r>
        <w:rPr>
          <w:rtl w:val="true"/>
        </w:rPr>
        <w:t>بحث حول المثنی الحنّاط</w:t>
      </w:r>
      <w:bookmarkStart w:id="1249" w:name="pg17122_169887"/>
      <w:bookmarkEnd w:id="1248"/>
    </w:p>
    <w:p>
      <w:pPr>
        <w:pStyle w:val="BookText"/>
        <w:rPr/>
      </w:pPr>
      <w:bookmarkEnd w:id="1249"/>
      <w:r>
        <w:rPr>
          <w:rFonts w:ascii="IRNazanin" w:hAnsi="IRNazanin" w:eastAsia="IRNazanin"/>
          <w:color w:val="111111"/>
          <w:sz w:val="28"/>
          <w:sz w:val="28"/>
          <w:szCs w:val="28"/>
          <w:rtl w:val="true"/>
          <w:lang w:bidi="fa-IR"/>
        </w:rPr>
        <w:t xml:space="preserve">وأمّا الحسن الصیقل فالموجود فی الرجال الحسن بن زیاد الصیقل ذکره الشیخ فی أصحاب الباقر علیه السلام ، وکذلک ذکره فی أصحاب الصادق علیه السلام </w:t>
      </w:r>
      <w:r>
        <w:rPr>
          <w:rStyle w:val="FootnoteAnchor"/>
          <w:rtl w:val="true"/>
        </w:rPr>
        <w:footnoteReference w:id="1529"/>
      </w:r>
      <w:r>
        <w:rPr>
          <w:rFonts w:ascii="IRNazanin" w:hAnsi="IRNazanin" w:eastAsia="IRNazanin"/>
          <w:color w:val="111111"/>
          <w:sz w:val="28"/>
          <w:sz w:val="28"/>
          <w:szCs w:val="28"/>
          <w:rtl w:val="true"/>
          <w:lang w:bidi="fa-IR"/>
        </w:rPr>
        <w:t>، وهو مهمل فی الموضعین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یوجد فی کلام 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الحسن بن زیاد العطار الثقة هو الصیقل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وجهه ، وفی بعض الأسانید أبو القاسم الصیقل ، وفی بعضها أبو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شیخنا المحقق أیّده الله فی کتاب الرجال أنّ هذا یؤیّد عدم الاتحاد مع العطّار </w:t>
      </w:r>
      <w:r>
        <w:rPr>
          <w:rStyle w:val="FootnoteAnchor"/>
          <w:rtl w:val="true"/>
        </w:rPr>
        <w:footnoteReference w:id="1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یظهر لی وجه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ذکر الشیخ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کنیة الحسن بن زیاد الصیقل أبو الولید </w:t>
      </w:r>
      <w:r>
        <w:rPr>
          <w:rStyle w:val="FootnoteAnchor"/>
          <w:rtl w:val="true"/>
        </w:rPr>
        <w:footnoteReference w:id="1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ربما یقتضی المغایرة للموجود فی الأسانید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 ارتیاب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 إلاّ من جهة محمد بن الفضیل ، فإنّه مشترک بین الثقة وغیره </w:t>
      </w:r>
      <w:r>
        <w:rPr>
          <w:rStyle w:val="FootnoteAnchor"/>
          <w:rtl w:val="true"/>
        </w:rPr>
        <w:footnoteReference w:id="1532"/>
      </w:r>
      <w:r>
        <w:rPr>
          <w:rFonts w:ascii="IRNazanin" w:hAnsi="IRNazanin" w:eastAsia="IRNazanin"/>
          <w:color w:val="111111"/>
          <w:sz w:val="28"/>
          <w:sz w:val="28"/>
          <w:szCs w:val="28"/>
          <w:rtl w:val="true"/>
          <w:lang w:bidi="fa-IR"/>
        </w:rPr>
        <w:t xml:space="preserve">، وربما یظن عدم الاشتراک ، بل هو من المهملین أو ضعیف ، لأنّ الثقة من أصحاب الصادق علیه السلام ، ویعقوب بن یزید من أصحاب الرضا والجواد </w:t>
      </w:r>
      <w:r>
        <w:rPr>
          <w:rStyle w:val="FootnoteAnchor"/>
          <w:rtl w:val="true"/>
        </w:rPr>
        <w:footnoteReference w:id="1533"/>
      </w:r>
      <w:r>
        <w:rPr>
          <w:rFonts w:ascii="IRNazanin" w:hAnsi="IRNazanin" w:eastAsia="IRNazanin"/>
          <w:color w:val="111111"/>
          <w:sz w:val="28"/>
          <w:sz w:val="28"/>
          <w:szCs w:val="28"/>
          <w:rtl w:val="true"/>
          <w:lang w:bidi="fa-IR"/>
        </w:rPr>
        <w:t>علیهماالسلام والأمر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تأیید السند لما قدّمناه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یعقوب بن یزید یروی عنه محمد بن علی بن محبوب ، فالإطلاق فی الاسم ینصرف إلیه فی الظاهر</w:t>
      </w:r>
      <w:r>
        <w:rPr>
          <w:rFonts w:eastAsia="IRNazanin" w:cs="IRNazanin"/>
          <w:color w:val="111111"/>
          <w:sz w:val="28"/>
          <w:szCs w:val="28"/>
          <w:rtl w:val="true"/>
          <w:lang w:bidi="fa-IR"/>
        </w:rPr>
        <w:t>.</w:t>
      </w:r>
    </w:p>
    <w:p>
      <w:pPr>
        <w:pStyle w:val="Heading4"/>
        <w:numPr>
          <w:ilvl w:val="3"/>
          <w:numId w:val="1"/>
        </w:numPr>
        <w:rPr/>
      </w:pPr>
      <w:bookmarkStart w:id="1250" w:name="__RefHeading___Toc39854_2142443653"/>
      <w:bookmarkStart w:id="1251" w:name="_Toc485"/>
      <w:bookmarkEnd w:id="1250"/>
      <w:r>
        <w:rPr>
          <w:rtl w:val="true"/>
        </w:rPr>
        <w:t>بحث حول الحسن الصیقل</w:t>
      </w:r>
      <w:bookmarkEnd w:id="1251"/>
    </w:p>
    <w:p>
      <w:pPr>
        <w:pStyle w:val="Heading4"/>
        <w:numPr>
          <w:ilvl w:val="3"/>
          <w:numId w:val="1"/>
        </w:numPr>
        <w:rPr/>
      </w:pPr>
      <w:bookmarkStart w:id="1252" w:name="__RefHeading___Toc39856_2142443653"/>
      <w:bookmarkStart w:id="1253" w:name="_Toc486"/>
      <w:bookmarkEnd w:id="1252"/>
      <w:r>
        <w:rPr>
          <w:rtl w:val="true"/>
        </w:rPr>
        <w:t>محمد بن الفضیل مشترک بین الثقة والضعیف</w:t>
      </w:r>
      <w:bookmarkEnd w:id="1253"/>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54" w:name="__RefHeading___Toc39858_2142443653"/>
      <w:bookmarkStart w:id="1255" w:name="_Toc487"/>
      <w:bookmarkEnd w:id="1254"/>
      <w:r>
        <w:rPr>
          <w:rtl w:val="true"/>
        </w:rPr>
        <w:t>بحث فی یعقوب بن یزید</w:t>
      </w:r>
      <w:bookmarkStart w:id="1256" w:name="pg17122_169888"/>
      <w:bookmarkEnd w:id="1255"/>
    </w:p>
    <w:p>
      <w:pPr>
        <w:pStyle w:val="BookText"/>
        <w:rPr/>
      </w:pPr>
      <w:bookmarkEnd w:id="1256"/>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ذکره الشیخ من أنّ الخبر الثانی محمول علی الإجزاء کأنّه لظنّ المنافاة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ینافی مضمون الخبرین ، لأنّ مورده بیان الاکتفاء فی غَسل الشعر بوصول البلل من الماء إلیه ، وهذا یجامع کثرة الماء وقلّته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الظاهر من الخبر ما ظنّه الشیخ ، غیر أنّه کان علیه أن یبیّن الوجه فی مدلول الأوّل والأخیر لما تسمعه من تفسیر الفرق ، ولعلّ التفسیر لو تحقق لحمل علی الأکمل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یشکل بأنّ الظاهر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یکفیها؟ أنّه لبیان أقلّ المجزی ، ومقام الاستحباب واسع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مکیال المدینة یسع ثلاثة آصُعٍ ، ویحرّک وهو أفصح ، أو یسع ستّة عشر رطلاً أو أربعة أرباع ، والجمع فُرقان </w:t>
      </w:r>
      <w:r>
        <w:rPr>
          <w:rStyle w:val="FootnoteAnchor"/>
          <w:rtl w:val="true"/>
        </w:rPr>
        <w:footnoteReference w:id="1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بالتحریک مکیال یسع ستّة عشر رطلاً ، وهی اثنی عشر مدّاً ، أو ثلاثة آصُع عند أهل الحجاز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خمسة أقساط ، والقسط نصف صاع ، فأمّا الفَرْق بالسکون فمائة وعشرون رطلاً </w:t>
      </w:r>
      <w:r>
        <w:rPr>
          <w:rStyle w:val="FootnoteAnchor"/>
          <w:rtl w:val="true"/>
        </w:rPr>
        <w:footnoteReference w:id="1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أن التفسیر بالنصف صاع أقرب إلی مدلول الخبر ، نظراً إلی ما قدّمناه من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یکفیها ، وعلی هذا لا یتمّ إطلاق الشیخ إلاّ علی أنّ النصف صاع زائد علی</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57" w:name="__RefHeading___Toc39860_2142443653"/>
      <w:bookmarkStart w:id="1258" w:name="_Toc488"/>
      <w:bookmarkEnd w:id="1257"/>
      <w:r>
        <w:rPr>
          <w:rtl w:val="true"/>
        </w:rPr>
        <w:t>معنی الفَرَق والفَرق</w:t>
      </w:r>
      <w:bookmarkStart w:id="1259" w:name="pg17122_169889"/>
      <w:bookmarkEnd w:id="1258"/>
    </w:p>
    <w:p>
      <w:pPr>
        <w:pStyle w:val="BookText"/>
        <w:rPr/>
      </w:pPr>
      <w:bookmarkEnd w:id="1259"/>
      <w:r>
        <w:rPr>
          <w:rFonts w:ascii="IRNazanin" w:hAnsi="IRNazanin" w:eastAsia="IRNazanin"/>
          <w:color w:val="111111"/>
          <w:sz w:val="28"/>
          <w:sz w:val="28"/>
          <w:szCs w:val="28"/>
          <w:rtl w:val="true"/>
          <w:lang w:bidi="fa-IR"/>
        </w:rPr>
        <w:t>ما یجزئ فی الغسل ، وحینئذ یکون الصاع أکمل ، بعکس التفسیر الآخر للفرق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فی أنّ </w:t>
      </w:r>
      <w:r>
        <w:rPr>
          <w:rStyle w:val="FootnoteAnchor"/>
          <w:rtl w:val="true"/>
        </w:rPr>
        <w:footnoteReference w:id="1536"/>
      </w:r>
      <w:r>
        <w:rPr>
          <w:rFonts w:ascii="IRNazanin" w:hAnsi="IRNazanin" w:eastAsia="IRNazanin"/>
          <w:color w:val="111111"/>
          <w:sz w:val="28"/>
          <w:sz w:val="28"/>
          <w:szCs w:val="28"/>
          <w:rtl w:val="true"/>
          <w:lang w:bidi="fa-IR"/>
        </w:rPr>
        <w:t>الحیض والعدّة إلی النساء</w:t>
      </w:r>
    </w:p>
    <w:p>
      <w:pPr>
        <w:pStyle w:val="BookText"/>
        <w:rPr/>
      </w:pPr>
      <w:r>
        <w:rPr>
          <w:rFonts w:ascii="IRNazanin" w:hAnsi="IRNazanin" w:eastAsia="IRNazanin"/>
          <w:color w:val="111111"/>
          <w:sz w:val="28"/>
          <w:sz w:val="28"/>
          <w:szCs w:val="28"/>
          <w:rtl w:val="true"/>
          <w:lang w:bidi="fa-IR"/>
        </w:rPr>
        <w:t xml:space="preserve">أخبرنی الشیخ رحمه الله عن أحمد بن محمد ، عن أبیه ، عن الحسین ابن الحسن بن أبان ، عن الحسین بن سعید ، عن جمیل بن دراج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العدّة والحیض إلی النساء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أحمد بن محمد ، عن محمد بن عیسی ، عن عبد الله بن المغیرة ، عن إسماعیل بن أبی زیاد ، عن جعفر ، عن أبیه أنّ أمیر المؤمنین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امرأة ادّعت أنّها حاضت فی شهر واحد ثلاث حیض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کلّفوا نسوة من بطانتها أنّ حیضها کان فیما مضی علی ما ادّعت ، فإن شهدن فصدّقت وإلاّ فهی کاذبة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الجمع بینهما أنّ المرأة إذا کانت مأمونة قُبِل قولها فی الحیض والعدّة ، وإذا کانت متّهمة کلّف نسوة غیرها علی ما تضمنه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بعد ما قدّمناه</w:t>
      </w:r>
      <w:r>
        <w:rPr>
          <w:rFonts w:eastAsia="IRNazanin" w:cs="IRNazanin"/>
          <w:color w:val="111111"/>
          <w:sz w:val="28"/>
          <w:szCs w:val="28"/>
          <w:rtl w:val="true"/>
          <w:lang w:bidi="fa-IR"/>
        </w:rPr>
        <w:t>.</w:t>
      </w:r>
    </w:p>
    <w:p>
      <w:pPr>
        <w:pStyle w:val="Heading3"/>
        <w:numPr>
          <w:ilvl w:val="2"/>
          <w:numId w:val="1"/>
        </w:numPr>
        <w:rPr/>
      </w:pPr>
      <w:bookmarkStart w:id="1260" w:name="__RefHeading___Toc39862_2142443653"/>
      <w:bookmarkStart w:id="1261" w:name="_Toc489"/>
      <w:bookmarkEnd w:id="1260"/>
      <w:r>
        <w:rPr>
          <w:rtl w:val="true"/>
        </w:rPr>
        <w:t>الحیض والعدّة إلی النساء</w:t>
      </w:r>
      <w:bookmarkEnd w:id="1261"/>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62" w:name="__RefHeading___Toc39864_2142443653"/>
      <w:bookmarkStart w:id="1263" w:name="_Toc490"/>
      <w:bookmarkEnd w:id="1262"/>
      <w:r>
        <w:rPr>
          <w:rtl w:val="true"/>
        </w:rPr>
        <w:t>اشارة</w:t>
      </w:r>
      <w:bookmarkStart w:id="1264" w:name="pg17122_169890"/>
      <w:bookmarkEnd w:id="1263"/>
    </w:p>
    <w:p>
      <w:pPr>
        <w:pStyle w:val="BookText"/>
        <w:rPr/>
      </w:pPr>
      <w:bookmarkEnd w:id="1264"/>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إسماعیل بن أبی زیاد ، وهو مشترک بین العامی المشهور وبین ثقة </w:t>
      </w:r>
      <w:r>
        <w:rPr>
          <w:rStyle w:val="FootnoteAnchor"/>
          <w:rtl w:val="true"/>
        </w:rPr>
        <w:footnoteReference w:id="1537"/>
      </w:r>
      <w:r>
        <w:rPr>
          <w:rFonts w:ascii="IRNazanin" w:hAnsi="IRNazanin" w:eastAsia="IRNazanin"/>
          <w:color w:val="111111"/>
          <w:sz w:val="28"/>
          <w:sz w:val="28"/>
          <w:szCs w:val="28"/>
          <w:rtl w:val="true"/>
          <w:lang w:bidi="fa-IR"/>
        </w:rPr>
        <w:t>، ولا یبعد أن یکون هو العامی ، لظاهر الروایة عن علی بهذا النحو ، وقد یوجد روایة الثقة بهذا النحو أیضاً ، لکنه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بظاهره علی قبول قول المرأة فی العدّة سواء فی ذلک الحیض والأشهر ، وکذلک فی الحیض فیحرم علی الزوج وطؤها بمجرّد قولها ، وکذلک سائر ما یتوقف علی الطهر ، وقد استدل بعض الأصحاب علی ما قلناه بالروایة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متنها المذکور هو الموجود فی التهذیب والکتاب ، وفی التهذیب أسنادها عن أحمد بن محمد ، عن الحسین بن سعید ، عن جمیل ابن دراج ، عن زرارة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الشیخ فی کتاب الطلاق من التهذیب عن محمد بن یعقوب ، عن علی ، عن أبیه ، عن ابن أبی عمیر ، عن جمیل ، عن زرارة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العدة والحیض للنساء إذا ادّعت صدّقت </w:t>
      </w:r>
      <w:r>
        <w:rPr>
          <w:rFonts w:eastAsia="IRNazanin" w:cs="IRNazanin"/>
          <w:color w:val="111111"/>
          <w:sz w:val="28"/>
          <w:szCs w:val="28"/>
          <w:rtl w:val="true"/>
          <w:lang w:bidi="fa-IR"/>
        </w:rPr>
        <w:t xml:space="preserve">» </w:t>
      </w:r>
      <w:r>
        <w:rPr>
          <w:rStyle w:val="FootnoteAnchor"/>
          <w:rtl w:val="true"/>
        </w:rPr>
        <w:footnoteReference w:id="1539"/>
      </w:r>
      <w:r>
        <w:rPr>
          <w:rFonts w:ascii="IRNazanin" w:hAnsi="IRNazanin" w:eastAsia="IRNazanin"/>
          <w:color w:val="111111"/>
          <w:sz w:val="28"/>
          <w:sz w:val="28"/>
          <w:szCs w:val="28"/>
          <w:rtl w:val="true"/>
          <w:lang w:bidi="fa-IR"/>
        </w:rPr>
        <w:t xml:space="preserve">ولا یبعد أن یکون الروایة واحدة ، ولفظ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ادّعت صدّقت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منها ، ولا ریب فی وضوح الدلالة مع الزیادة علی قبول قول المرأة فی الحیض والعدّة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یظهر منه أنّ الوجه فی عدم قبول قولها بمجرّد ادّعاء خلاف الغالب من النساء ، وحینئذ یقیّد إطلاق الأُولی علی تقدیر</w:t>
      </w:r>
    </w:p>
    <w:p>
      <w:pPr>
        <w:pStyle w:val="Heading4"/>
        <w:numPr>
          <w:ilvl w:val="3"/>
          <w:numId w:val="1"/>
        </w:numPr>
        <w:rPr/>
      </w:pPr>
      <w:bookmarkStart w:id="1265" w:name="__RefHeading___Toc39866_2142443653"/>
      <w:bookmarkStart w:id="1266" w:name="_Toc491"/>
      <w:bookmarkEnd w:id="1265"/>
      <w:r>
        <w:rPr>
          <w:rtl w:val="true"/>
        </w:rPr>
        <w:t>بحث حول إسماعیل بن أبی زیاد</w:t>
      </w:r>
      <w:bookmarkEnd w:id="1266"/>
    </w:p>
    <w:p>
      <w:pPr>
        <w:pStyle w:val="Heading4"/>
        <w:numPr>
          <w:ilvl w:val="3"/>
          <w:numId w:val="1"/>
        </w:numPr>
        <w:rPr/>
      </w:pPr>
      <w:bookmarkStart w:id="1267" w:name="__RefHeading___Toc39868_2142443653"/>
      <w:bookmarkStart w:id="1268" w:name="_Toc492"/>
      <w:bookmarkEnd w:id="1267"/>
      <w:r>
        <w:rPr>
          <w:rtl w:val="true"/>
        </w:rPr>
        <w:t>ظهور حدیث زرارة علی قبول قول المرأة فی العدّة والحیض</w:t>
      </w:r>
      <w:bookmarkEnd w:id="1268"/>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69" w:name="__RefHeading___Toc39870_2142443653"/>
      <w:bookmarkStart w:id="1270" w:name="_Toc493"/>
      <w:bookmarkEnd w:id="1269"/>
      <w:r>
        <w:rPr>
          <w:rtl w:val="true"/>
        </w:rPr>
        <w:t>توجیه ما دل علی عدم قبول قول المرأة فی العدّة والحیض</w:t>
      </w:r>
      <w:bookmarkStart w:id="1271" w:name="pg17122_169891"/>
      <w:bookmarkEnd w:id="1270"/>
    </w:p>
    <w:p>
      <w:pPr>
        <w:pStyle w:val="BookText"/>
        <w:rPr/>
      </w:pPr>
      <w:bookmarkEnd w:id="1271"/>
      <w:r>
        <w:rPr>
          <w:rFonts w:ascii="IRNazanin" w:hAnsi="IRNazanin" w:eastAsia="IRNazanin"/>
          <w:color w:val="111111"/>
          <w:sz w:val="28"/>
          <w:sz w:val="28"/>
          <w:szCs w:val="28"/>
          <w:rtl w:val="true"/>
          <w:lang w:bidi="fa-IR"/>
        </w:rPr>
        <w:t>العمل بالثانیة بما لا ینافی الغالب من عادات النساء ، فما ذکره الشیخ من التهمة وکونها مأمونة لا یخلو من نظر بعد احتمال ما ذکرناه وإن أمکن إرجاعه إلی ما قلناه بتقریبٍ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بعض الأصحاب أنّ قبول قول المرأة فی العدّة والحیض إنّما یقبل فی الزمان المحتمل وإن بعد </w:t>
      </w:r>
      <w:r>
        <w:rPr>
          <w:rStyle w:val="FootnoteAnchor"/>
          <w:rtl w:val="true"/>
        </w:rPr>
        <w:footnoteReference w:id="1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 الوجه فیه ما ذکرناه ، إلاّ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یلائمه ، وسیأتی إن شاء الله القول فی ذلک فی بابه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وینبغی أن یعلم أن بعض الأصحاب استدل علی قبول قول المرأة فی الحیض 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یَحِلُّ لَهُنَّ أَنْ یَکْتُمْنَ ما خَلَقَ اللهُ فِی أَرْحامِهِنَّ </w:t>
      </w:r>
      <w:r>
        <w:rPr>
          <w:rFonts w:eastAsia="Amiri" w:cs="Amiri" w:ascii="Amiri" w:hAnsi="Amiri"/>
          <w:color w:val="111111"/>
          <w:sz w:val="28"/>
          <w:szCs w:val="28"/>
          <w:rtl w:val="true"/>
          <w:lang w:bidi="ar-SA"/>
        </w:rPr>
        <w:t xml:space="preserve">) </w:t>
      </w:r>
      <w:r>
        <w:rPr>
          <w:rStyle w:val="FootnoteAnchor"/>
          <w:rtl w:val="true"/>
        </w:rPr>
        <w:footnoteReference w:id="1541"/>
      </w:r>
      <w:r>
        <w:rPr>
          <w:rFonts w:ascii="IRNazanin" w:hAnsi="IRNazanin" w:eastAsia="IRNazanin"/>
          <w:color w:val="111111"/>
          <w:sz w:val="28"/>
          <w:sz w:val="28"/>
          <w:szCs w:val="28"/>
          <w:rtl w:val="true"/>
          <w:lang w:bidi="fa-IR"/>
        </w:rPr>
        <w:t xml:space="preserve">ووجّه الاستدلال بأنّه لولا وجوب القبول لما حرم الکتمان ؛ واعترض علیه بالمنع من الملازمة ، ولعلّ لتکلیفها بإظهار ذلک ثمرة لا نعلمها ، کما یجب علی الشاهد عدم کتمان الشهادة وإن علم عدم قبول الحاکم لها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نظری القاصر أنّ الآیة تحتمل احتمالاً ظاهراً أن یراد بما خلق الله فی أرحامهنّ من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الاستظهار للمستحاضة</w:t>
      </w:r>
    </w:p>
    <w:p>
      <w:pPr>
        <w:pStyle w:val="BookText"/>
        <w:rPr/>
      </w:pPr>
      <w:r>
        <w:rPr>
          <w:rFonts w:ascii="IRNazanin" w:hAnsi="IRNazanin" w:eastAsia="IRNazanin"/>
          <w:color w:val="111111"/>
          <w:sz w:val="28"/>
          <w:sz w:val="28"/>
          <w:szCs w:val="28"/>
          <w:rtl w:val="true"/>
          <w:lang w:bidi="fa-IR"/>
        </w:rPr>
        <w:t xml:space="preserve">أخبرنی الشیخ رحمه الله عن أحمد بن محمد ، عن أبیه ، عن الحسین ابن الحسن بن أبان ، عن الحسین بن سعید ، عن القاسم ، عن أبان ، عن إسماعیل الجعفی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المستحاضة تقعد أیّام</w:t>
      </w:r>
    </w:p>
    <w:p>
      <w:pPr>
        <w:pStyle w:val="Heading3"/>
        <w:numPr>
          <w:ilvl w:val="2"/>
          <w:numId w:val="1"/>
        </w:numPr>
        <w:rPr/>
      </w:pPr>
      <w:bookmarkStart w:id="1272" w:name="__RefHeading___Toc39872_2142443653"/>
      <w:bookmarkStart w:id="1273" w:name="_Toc494"/>
      <w:bookmarkEnd w:id="1272"/>
      <w:r>
        <w:rPr>
          <w:rtl w:val="true"/>
        </w:rPr>
        <w:t>الاستظهار للمستحاضة</w:t>
      </w:r>
      <w:bookmarkEnd w:id="1273"/>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74" w:name="__RefHeading___Toc39874_2142443653"/>
      <w:bookmarkStart w:id="1275" w:name="_Toc495"/>
      <w:bookmarkEnd w:id="1274"/>
      <w:r>
        <w:rPr>
          <w:rtl w:val="true"/>
        </w:rPr>
        <w:t>اشارة</w:t>
      </w:r>
      <w:bookmarkEnd w:id="1275"/>
    </w:p>
    <w:p>
      <w:pPr>
        <w:pStyle w:val="BookText"/>
        <w:rPr/>
      </w:pPr>
      <w:r>
        <w:rPr>
          <w:rFonts w:ascii="IRNazanin" w:hAnsi="IRNazanin" w:eastAsia="IRNazanin"/>
          <w:color w:val="111111"/>
          <w:sz w:val="28"/>
          <w:sz w:val="28"/>
          <w:szCs w:val="28"/>
          <w:rtl w:val="true"/>
          <w:lang w:bidi="fa-IR"/>
        </w:rPr>
        <w:t xml:space="preserve">قرئها ثم تحتاط بیوم أو یومین فإن هی رأت طهراً اغتسلت ، وإن هی لم تَرَ طهراً اغتسلت واحتشت فلا تزال تصلّی بذلک الغسل حتی یظهر الدم علی الکرسف ، فإذا </w:t>
      </w:r>
      <w:r>
        <w:rPr>
          <w:rStyle w:val="FootnoteAnchor"/>
          <w:rtl w:val="true"/>
        </w:rPr>
        <w:footnoteReference w:id="1543"/>
      </w:r>
      <w:r>
        <w:rPr>
          <w:rFonts w:ascii="IRNazanin" w:hAnsi="IRNazanin" w:eastAsia="IRNazanin"/>
          <w:color w:val="111111"/>
          <w:sz w:val="28"/>
          <w:sz w:val="28"/>
          <w:szCs w:val="28"/>
          <w:rtl w:val="true"/>
          <w:lang w:bidi="fa-IR"/>
        </w:rPr>
        <w:t xml:space="preserve">ظهر </w:t>
      </w:r>
      <w:r>
        <w:rPr>
          <w:rStyle w:val="FootnoteAnchor"/>
          <w:rtl w:val="true"/>
        </w:rPr>
        <w:footnoteReference w:id="1544"/>
      </w:r>
      <w:r>
        <w:rPr>
          <w:rFonts w:ascii="IRNazanin" w:hAnsi="IRNazanin" w:eastAsia="IRNazanin"/>
          <w:color w:val="111111"/>
          <w:sz w:val="28"/>
          <w:sz w:val="28"/>
          <w:szCs w:val="28"/>
          <w:rtl w:val="true"/>
          <w:lang w:bidi="fa-IR"/>
        </w:rPr>
        <w:t xml:space="preserve">أعادت الغسل وأعادت الکرسف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عثمان بن عیسی ، عن سعید بن یسار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المرأة تحیض ثم تطهر وربما رأت بعد ذلک الشی‌ء </w:t>
      </w:r>
      <w:r>
        <w:rPr>
          <w:rStyle w:val="FootnoteAnchor"/>
          <w:rtl w:val="true"/>
        </w:rPr>
        <w:footnoteReference w:id="1545"/>
      </w:r>
      <w:r>
        <w:rPr>
          <w:rFonts w:ascii="IRNazanin" w:hAnsi="IRNazanin" w:eastAsia="IRNazanin"/>
          <w:color w:val="111111"/>
          <w:sz w:val="28"/>
          <w:sz w:val="28"/>
          <w:szCs w:val="28"/>
          <w:rtl w:val="true"/>
          <w:lang w:bidi="fa-IR"/>
        </w:rPr>
        <w:t xml:space="preserve">من الدم الرقیق بعد اغتسالها من طهرها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تستظهر بعد أیّامها بیوم أو یومین أو ثلاثة ثم تصلّی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عیسی </w:t>
      </w:r>
      <w:r>
        <w:rPr>
          <w:rFonts w:eastAsia="IRNazanin" w:cs="IRNazanin"/>
          <w:color w:val="111111"/>
          <w:sz w:val="28"/>
          <w:szCs w:val="28"/>
          <w:rtl w:val="true"/>
          <w:lang w:bidi="fa-IR"/>
        </w:rPr>
        <w:t xml:space="preserve">) </w:t>
      </w:r>
      <w:r>
        <w:rPr>
          <w:rStyle w:val="FootnoteAnchor"/>
          <w:rtl w:val="true"/>
        </w:rPr>
        <w:footnoteReference w:id="1546"/>
      </w:r>
      <w:r>
        <w:rPr>
          <w:rFonts w:ascii="IRNazanin" w:hAnsi="IRNazanin" w:eastAsia="IRNazanin"/>
          <w:color w:val="111111"/>
          <w:sz w:val="28"/>
          <w:sz w:val="28"/>
          <w:szCs w:val="28"/>
          <w:rtl w:val="true"/>
          <w:lang w:bidi="fa-IR"/>
        </w:rPr>
        <w:t xml:space="preserve">عن أبی جعفر ، عن ابن أبی نصر ، عن أبی الحسن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الحائض کم تستظهر؟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تستظهر بیوم أو یومین أو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أحمد بن محمد ، عن محمد بن خالد ، عن محمد بن عمرو بن سعید ، عن أبی الحسن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الطامث کم حدّ جلوسها؟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تنتظر عدّة ما کانت تحیض ثم تستظهر بثلاثة أیّام ثم هی مستحاضة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 وهو علی الظاهر أنّه ابن محمد الجوهری ، وقد تکرر القول فیه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 xml:space="preserve">. </w:t>
      </w:r>
      <w:bookmarkStart w:id="1276" w:name="pg17122_169893"/>
    </w:p>
    <w:p>
      <w:pPr>
        <w:pStyle w:val="BookText"/>
        <w:rPr/>
      </w:pPr>
      <w:bookmarkEnd w:id="1276"/>
      <w:r>
        <w:rPr>
          <w:rFonts w:ascii="IRNazanin" w:hAnsi="IRNazanin" w:eastAsia="IRNazanin"/>
          <w:color w:val="111111"/>
          <w:sz w:val="28"/>
          <w:sz w:val="28"/>
          <w:szCs w:val="28"/>
          <w:rtl w:val="true"/>
          <w:lang w:bidi="fa-IR"/>
        </w:rPr>
        <w:t xml:space="preserve">وإسماعیل الجعفی یحتمل أن یکون ابن جابر ، وفی رجال الصادق علیه السلام من کتاب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حازم </w:t>
      </w:r>
      <w:r>
        <w:rPr>
          <w:rStyle w:val="FootnoteAnchor"/>
          <w:rtl w:val="true"/>
        </w:rPr>
        <w:footnoteReference w:id="1548"/>
      </w:r>
      <w:r>
        <w:rPr>
          <w:rFonts w:ascii="IRNazanin" w:hAnsi="IRNazanin" w:eastAsia="IRNazanin"/>
          <w:color w:val="111111"/>
          <w:sz w:val="28"/>
          <w:sz w:val="28"/>
          <w:szCs w:val="28"/>
          <w:rtl w:val="true"/>
          <w:lang w:bidi="fa-IR"/>
        </w:rPr>
        <w:t xml:space="preserve">الجعفی </w:t>
      </w:r>
      <w:r>
        <w:rPr>
          <w:rStyle w:val="FootnoteAnchor"/>
          <w:rtl w:val="true"/>
        </w:rPr>
        <w:footnoteReference w:id="1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الروایة کما تری عن أبی جعفر علیه السلام فاحتماله منتف ، نعم فی رجال الباقر علیه السلام من کتاب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عبد الرحمن الجعفی </w:t>
      </w:r>
      <w:r>
        <w:rPr>
          <w:rStyle w:val="FootnoteAnchor"/>
          <w:rtl w:val="true"/>
        </w:rPr>
        <w:footnoteReference w:id="1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بثقة ، واحتماله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إسماعیل بن جابر وثّقه الشیخ فی کتاب الرجال </w:t>
      </w:r>
      <w:r>
        <w:rPr>
          <w:rStyle w:val="FootnoteAnchor"/>
          <w:rtl w:val="true"/>
        </w:rPr>
        <w:footnoteReference w:id="1551"/>
      </w:r>
      <w:r>
        <w:rPr>
          <w:rFonts w:ascii="IRNazanin" w:hAnsi="IRNazanin" w:eastAsia="IRNazanin"/>
          <w:color w:val="111111"/>
          <w:sz w:val="28"/>
          <w:sz w:val="28"/>
          <w:szCs w:val="28"/>
          <w:rtl w:val="true"/>
          <w:lang w:bidi="fa-IR"/>
        </w:rPr>
        <w:t xml:space="preserve">، والنجاشی ذکره من غیر توثیق </w:t>
      </w:r>
      <w:r>
        <w:rPr>
          <w:rStyle w:val="FootnoteAnchor"/>
          <w:rtl w:val="true"/>
        </w:rPr>
        <w:footnoteReference w:id="1552"/>
      </w:r>
      <w:r>
        <w:rPr>
          <w:rFonts w:ascii="IRNazanin" w:hAnsi="IRNazanin" w:eastAsia="IRNazanin"/>
          <w:color w:val="111111"/>
          <w:sz w:val="28"/>
          <w:sz w:val="28"/>
          <w:szCs w:val="28"/>
          <w:rtl w:val="true"/>
          <w:lang w:bidi="fa-IR"/>
        </w:rPr>
        <w:t xml:space="preserve">، والکشی ذکر فیه ما یقتضی الذم </w:t>
      </w:r>
      <w:r>
        <w:rPr>
          <w:rStyle w:val="FootnoteAnchor"/>
          <w:rtl w:val="true"/>
        </w:rPr>
        <w:footnoteReference w:id="1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أنّها مدفوعة بما ذکره شیخنا أیّده الله فی کتاب الرجال </w:t>
      </w:r>
      <w:r>
        <w:rPr>
          <w:rStyle w:val="FootnoteAnchor"/>
          <w:rtl w:val="true"/>
        </w:rPr>
        <w:footnoteReference w:id="1554"/>
      </w:r>
      <w:r>
        <w:rPr>
          <w:rFonts w:ascii="IRNazanin" w:hAnsi="IRNazanin" w:eastAsia="IRNazanin"/>
          <w:color w:val="111111"/>
          <w:sz w:val="28"/>
          <w:sz w:val="28"/>
          <w:szCs w:val="28"/>
          <w:rtl w:val="true"/>
          <w:lang w:bidi="fa-IR"/>
        </w:rPr>
        <w:t xml:space="preserve">، أما ما فی بعض نسخ کتاب الشیخ من الخثعمی بدل الجعفی </w:t>
      </w:r>
      <w:r>
        <w:rPr>
          <w:rStyle w:val="FootnoteAnchor"/>
          <w:rtl w:val="true"/>
        </w:rPr>
        <w:footnoteReference w:id="1555"/>
      </w:r>
      <w:r>
        <w:rPr>
          <w:rFonts w:ascii="IRNazanin" w:hAnsi="IRNazanin" w:eastAsia="IRNazanin"/>
          <w:color w:val="111111"/>
          <w:sz w:val="28"/>
          <w:sz w:val="28"/>
          <w:szCs w:val="28"/>
          <w:rtl w:val="true"/>
          <w:lang w:bidi="fa-IR"/>
        </w:rPr>
        <w:t xml:space="preserve">، وکذلک نقله ابن داود عن کتاب الشیخ </w:t>
      </w:r>
      <w:r>
        <w:rPr>
          <w:rStyle w:val="FootnoteAnchor"/>
          <w:rtl w:val="true"/>
        </w:rPr>
        <w:footnoteReference w:id="1556"/>
      </w:r>
      <w:r>
        <w:rPr>
          <w:rFonts w:ascii="IRNazanin" w:hAnsi="IRNazanin" w:eastAsia="IRNazanin"/>
          <w:color w:val="111111"/>
          <w:sz w:val="28"/>
          <w:sz w:val="28"/>
          <w:szCs w:val="28"/>
          <w:rtl w:val="true"/>
          <w:lang w:bidi="fa-IR"/>
        </w:rPr>
        <w:t>فالاعتبار یقتضی أنّ الصحیح الجعفی ، والخثعمی تصحیف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عثمان بن عیسی ، وضمیر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إلی الحسین بن سعید ، کما صرح به فی التهذیب </w:t>
      </w:r>
      <w:r>
        <w:rPr>
          <w:rStyle w:val="FootnoteAnchor"/>
          <w:rtl w:val="true"/>
        </w:rPr>
        <w:footnoteReference w:id="1557"/>
      </w:r>
      <w:r>
        <w:rPr>
          <w:rStyle w:val="FootnoteAnchor"/>
          <w:rtl w:val="true"/>
        </w:rPr>
        <w:footnoteReference w:id="1558"/>
      </w:r>
      <w:r>
        <w:rPr>
          <w:rFonts w:ascii="IRNazanin" w:hAnsi="IRNazanin" w:eastAsia="IRNazanin"/>
          <w:color w:val="111111"/>
          <w:sz w:val="28"/>
          <w:sz w:val="28"/>
          <w:szCs w:val="28"/>
          <w:rtl w:val="true"/>
          <w:lang w:bidi="fa-IR"/>
        </w:rPr>
        <w:t xml:space="preserve">، وسعید بن یسار ثقة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یخلو من تشویش علی ما رأیناه من النسخ ، ولا یبعد أن یکون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w:t>
      </w:r>
    </w:p>
    <w:p>
      <w:pPr>
        <w:pStyle w:val="Heading4"/>
        <w:numPr>
          <w:ilvl w:val="3"/>
          <w:numId w:val="1"/>
        </w:numPr>
        <w:rPr/>
      </w:pPr>
      <w:bookmarkStart w:id="1277" w:name="__RefHeading___Toc39876_2142443653"/>
      <w:bookmarkStart w:id="1278" w:name="_Toc496"/>
      <w:bookmarkEnd w:id="1277"/>
      <w:r>
        <w:rPr>
          <w:rtl w:val="true"/>
        </w:rPr>
        <w:t>بحث حول إسماعیل الجعفی</w:t>
      </w:r>
      <w:bookmarkEnd w:id="1278"/>
    </w:p>
    <w:p>
      <w:pPr>
        <w:pStyle w:val="Heading4"/>
        <w:numPr>
          <w:ilvl w:val="3"/>
          <w:numId w:val="1"/>
        </w:numPr>
        <w:rPr/>
      </w:pPr>
      <w:bookmarkStart w:id="1279" w:name="__RefHeading___Toc39878_2142443653"/>
      <w:bookmarkStart w:id="1280" w:name="_Toc497"/>
      <w:bookmarkEnd w:id="1279"/>
      <w:r>
        <w:rPr>
          <w:rtl w:val="true"/>
        </w:rPr>
        <w:t>سعید بن یسار ثقة</w:t>
      </w:r>
      <w:bookmarkEnd w:id="1280"/>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81" w:name="__RefHeading___Toc39880_2142443653"/>
      <w:bookmarkStart w:id="1282" w:name="_Toc498"/>
      <w:bookmarkEnd w:id="1281"/>
      <w:r>
        <w:rPr>
          <w:rtl w:val="true"/>
        </w:rPr>
        <w:t>السند المشتمل علی أحمد بن محمد بن عیسی عن أبی جعفر عن ابن أبی نصر لا یخلو من تشویش</w:t>
      </w:r>
      <w:bookmarkStart w:id="1283" w:name="pg17122_169894"/>
      <w:bookmarkEnd w:id="1282"/>
    </w:p>
    <w:p>
      <w:pPr>
        <w:pStyle w:val="BookText"/>
        <w:rPr/>
      </w:pPr>
      <w:bookmarkEnd w:id="1283"/>
      <w:r>
        <w:rPr>
          <w:rFonts w:ascii="IRNazanin" w:hAnsi="IRNazanin" w:eastAsia="IRNazanin"/>
          <w:color w:val="111111"/>
          <w:sz w:val="28"/>
          <w:sz w:val="28"/>
          <w:szCs w:val="28"/>
          <w:rtl w:val="true"/>
          <w:lang w:bidi="fa-IR"/>
        </w:rPr>
        <w:t>والصحیح عن أبی جعفر ابن أبی نصر ، أو أنّ الأصل عن أحمد بن محمد ابن عیسی أبی جعفر ، ویحتمل أن یکون المراد بأبی جعفر الجواد علیه السلام ، والواو ساقطة قبل عن ابن أبی نصر ، ولا یخلو من بُعدٍ بَعد التأمّل فی مساق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خالد وأظنه البرقی ، وفیه کلام </w:t>
      </w:r>
      <w:r>
        <w:rPr>
          <w:rStyle w:val="FootnoteAnchor"/>
          <w:rtl w:val="true"/>
        </w:rPr>
        <w:footnoteReference w:id="1560"/>
      </w:r>
      <w:r>
        <w:rPr>
          <w:rFonts w:ascii="IRNazanin" w:hAnsi="IRNazanin" w:eastAsia="IRNazanin"/>
          <w:color w:val="111111"/>
          <w:sz w:val="28"/>
          <w:sz w:val="28"/>
          <w:szCs w:val="28"/>
          <w:rtl w:val="true"/>
          <w:lang w:bidi="fa-IR"/>
        </w:rPr>
        <w:t>، واحتمال غیره بعید ؛ ومحمد بن عمرو بن سعید هو ابن الزیّات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أنّ المراد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هی رأت طهراً اغتسلت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یراد بالطهر النقاء من الدم بالکلیة ، کما یدل علیه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لم تر طهراً اغتسلت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 فإنّ هذا یقتضی وجود الدم ، ویحتمل أن یراد بالطهر عدم دم الحیض إلاّ أنّ التأمّل فیما ذکرناه یدفعه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هی لم تر طهراً اغتسلت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 المراد بالغسل غسل الحیض ، کما یدل علیه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تزال تصلّی حتی یظهر الدم علی الکرسف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یدل أیضاً علی أنّ مجرّد الظهور علی الکرسف یوجب الغسل ، لکنه مجمل بالنسبة إلی أنّ إعادة الغسل محتملة لما یقوله القائلون بالمتوسطة ، ولما یقوله النافون لها وجعل هذا النوع من الکثیرة ، إلاّ أنّه لا یخفی عدم الانطباق علی القولین فی ظاهر الحال ، لأنّ المتوسطة فی کلام القائلین وقع التعبیر بغسل الغداة لها ، والکثیرة وقع التعبیر بثلاثة أغسال</w:t>
      </w:r>
      <w:r>
        <w:rPr>
          <w:rFonts w:eastAsia="IRNazanin" w:cs="IRNazanin"/>
          <w:color w:val="111111"/>
          <w:sz w:val="28"/>
          <w:szCs w:val="28"/>
          <w:rtl w:val="true"/>
          <w:lang w:bidi="fa-IR"/>
        </w:rPr>
        <w:t>.</w:t>
      </w:r>
    </w:p>
    <w:p>
      <w:pPr>
        <w:pStyle w:val="Heading4"/>
        <w:numPr>
          <w:ilvl w:val="3"/>
          <w:numId w:val="1"/>
        </w:numPr>
        <w:rPr/>
      </w:pPr>
      <w:bookmarkStart w:id="1284" w:name="__RefHeading___Toc39882_2142443653"/>
      <w:bookmarkStart w:id="1285" w:name="_Toc499"/>
      <w:bookmarkEnd w:id="1284"/>
      <w:r>
        <w:rPr>
          <w:rtl w:val="true"/>
        </w:rPr>
        <w:t>محمد بن خالد البرقی فیه کلام</w:t>
      </w:r>
      <w:bookmarkEnd w:id="1285"/>
    </w:p>
    <w:p>
      <w:pPr>
        <w:pStyle w:val="Heading4"/>
        <w:numPr>
          <w:ilvl w:val="3"/>
          <w:numId w:val="1"/>
        </w:numPr>
        <w:rPr/>
      </w:pPr>
      <w:bookmarkStart w:id="1286" w:name="__RefHeading___Toc39884_2142443653"/>
      <w:bookmarkStart w:id="1287" w:name="_Toc500"/>
      <w:bookmarkEnd w:id="1286"/>
      <w:r>
        <w:rPr>
          <w:rtl w:val="true"/>
        </w:rPr>
        <w:t>محمد بن عمرو بن سعید هو ابن الزیّات الثقة</w:t>
      </w:r>
      <w:bookmarkEnd w:id="1287"/>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88" w:name="__RefHeading___Toc39886_2142443653"/>
      <w:bookmarkStart w:id="1289" w:name="_Toc501"/>
      <w:bookmarkEnd w:id="1288"/>
      <w:r>
        <w:rPr>
          <w:rtl w:val="true"/>
        </w:rPr>
        <w:t>ما یستفاد من خبر إسماعیل الجعفی وسعید بن یسار</w:t>
      </w:r>
      <w:bookmarkEnd w:id="1289"/>
    </w:p>
    <w:p>
      <w:pPr>
        <w:pStyle w:val="BookText"/>
        <w:rPr/>
      </w:pPr>
      <w:r>
        <w:rPr>
          <w:rFonts w:ascii="IRNazanin" w:hAnsi="IRNazanin" w:eastAsia="IRNazanin"/>
          <w:color w:val="111111"/>
          <w:sz w:val="28"/>
          <w:sz w:val="28"/>
          <w:szCs w:val="28"/>
          <w:rtl w:val="true"/>
          <w:lang w:bidi="fa-IR"/>
        </w:rPr>
        <w:t>والحق ما قدّمناه من جهة المتوسطة ، وأمّا الکثیرة فعلی تقدیر إرادة وقت الصلاة کما قدّمنا إلیه الإشارة ، فالحدیث لا یأبی الرجوع إلی ذلک ، غایة الأمر أنّه مطلق بالنسبة إلی عدم ذکر أوقات الصلاة ، ولو لا ضعف الحدیث لأمکن زیادة القول فیه ، والمهمّ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بتقدیر العمل به علی أن وجود الدم الرقیق بعد الاغتسال یقتضی الاستظهار ، لکنّه من کلام السائل ، فلا یفید حکماً ، وتوهّم تقریر الإمام علیه السلام واضح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صحیح الأخبار فی التهذیب ما رواه محمد بن مسلم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أرادت الحائض أن تغتسل فلتستدخل قطنة فإن خرج فیها شی‌ء من الدم فلا تغتسل ، وإن لم تر شیئاً فلتغتسل ، وإن رأت بعد ذلک صفرة فلتتوضّأ ولتصلّ </w:t>
      </w:r>
      <w:r>
        <w:rPr>
          <w:rFonts w:eastAsia="IRNazanin" w:cs="IRNazanin"/>
          <w:color w:val="111111"/>
          <w:sz w:val="28"/>
          <w:szCs w:val="28"/>
          <w:rtl w:val="true"/>
          <w:lang w:bidi="fa-IR"/>
        </w:rPr>
        <w:t xml:space="preserve">»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ذکرت فی حاشیة التهذیب کلاماً فی الحدیث ، والملخّص منه أنّ الظاهر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لم تر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إرادة الدم بقرینة قوله أوّلاً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شی‌ء من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قوله بعد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رأت بعد ذلک صفرة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لا حاجة إلی تکلّف الجمع بینه وبین ما دل علی الاستظهار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ما ذکرت أن المرأة إذا رأت دم الحیض فلا تغتسل ، وإن لم تر دم الحیض اغتسلت ، وهذا ینافی ما دل علی الاستظهار ، فإنّه لا یشترط فیه عدم دم الحیض ، کما یستفاد من خبر ابن نعیم السابق وغیره من الأخبار ، کما یعلم من مراجعة التهذیب</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الأمر کما ذکرت ، بل </w:t>
      </w:r>
      <w:r>
        <w:rPr>
          <w:rStyle w:val="FootnoteAnchor"/>
          <w:rtl w:val="true"/>
        </w:rPr>
        <w:footnoteReference w:id="1562"/>
      </w:r>
      <w:r>
        <w:rPr>
          <w:rFonts w:ascii="IRNazanin" w:hAnsi="IRNazanin" w:eastAsia="IRNazanin"/>
          <w:color w:val="111111"/>
          <w:sz w:val="28"/>
          <w:sz w:val="28"/>
          <w:szCs w:val="28"/>
          <w:rtl w:val="true"/>
          <w:lang w:bidi="fa-IR"/>
        </w:rPr>
        <w:t xml:space="preserve">المقصود هنا إمکان حمل </w:t>
      </w:r>
      <w:bookmarkStart w:id="1290" w:name="pg17122_169896"/>
    </w:p>
    <w:p>
      <w:pPr>
        <w:pStyle w:val="BookText"/>
        <w:rPr/>
      </w:pPr>
      <w:bookmarkEnd w:id="1290"/>
      <w:r>
        <w:rPr>
          <w:rFonts w:ascii="IRNazanin" w:hAnsi="IRNazanin" w:eastAsia="IRNazanin"/>
          <w:color w:val="111111"/>
          <w:sz w:val="28"/>
          <w:sz w:val="28"/>
          <w:szCs w:val="28"/>
          <w:rtl w:val="true"/>
          <w:lang w:bidi="fa-IR"/>
        </w:rPr>
        <w:t>الحدیث علی ما لا ینافی جواز الاستظهار ، فإنّ الأمر بالغسل فی الحدیث یقتضی عدمه ، وإذا حمل علی عدم الدم تم الحدیث فی عدم المنافاة للاستظهار ، لا أنّ عدم الدم یوجب الغسل من غیر استظهار ، وما قلته من أنّ المراد دم الحیض هو الموجب للإشکال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حکی العلاّمة فی المختلف عن الشیخ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انقطع الدم عن ذات العادة وکانت عادتها دون عشرة أیّام أدخلت قطنة ، فإن خرجت نقیّة فقد طهرت ووجب علیها الغسل ، وإن خرجت ملوّثة بالدم استظهرت بیوم أو یومین فی ترک العبادة ، ونقل عن ابن إدریس أنّه لا استظهار مع الانقطاع ، بل إنّما یکون مع وجود الصفرة والکدرة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العلاّمة استدل علی مختاره وهو قول الشیخ بروایة محمد ابن مسلم المنقولة هنا من التهذیب ، وروایة ابن أبی نصر المذکورة فی الکتاب ، وحکی عن ابن إدریس الاحتجاج لقوله بأن الأصل وجوب العبادة ، وأجاب العلاّمة بأنّ الأصل براءة الذمة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نظری القاصر أنّ الکلام أوّلاً وآخراً لا یخلو من نظر ، 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الظاهر من کلام الشیخ المنقول أنّ خروج القطنة ملوّثة بالدم یقتضی الاستظهار ، وکلام ابن إدریس مفاده أنّه لا استظهار مع الانقطاع ، بل مع وجود الصفرة والکدرة ، وهذا کما تری لا یقتضی المخالفة بین الکلامین إلاّ من حیث ذکر ابن إدریس الصفرة ، فکأن العلاّمة ظنّ أن قول الشیخ یفید کون الاستظهار مع الدم ، وبدونه لا استظهار ، ومع الصفرة لا دم فلا استظهار</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91" w:name="__RefHeading___Toc39888_2142443653"/>
      <w:bookmarkStart w:id="1292" w:name="_Toc502"/>
      <w:bookmarkEnd w:id="1291"/>
      <w:r>
        <w:rPr>
          <w:rtl w:val="true"/>
        </w:rPr>
        <w:t>کلام العلّامة فی الاستظهار والمناقشة فیه</w:t>
      </w:r>
      <w:bookmarkEnd w:id="1292"/>
    </w:p>
    <w:p>
      <w:pPr>
        <w:pStyle w:val="BookText"/>
        <w:rPr/>
      </w:pPr>
      <w:r>
        <w:rPr>
          <w:rFonts w:ascii="IRNazanin" w:hAnsi="IRNazanin" w:eastAsia="IRNazanin"/>
          <w:color w:val="111111"/>
          <w:sz w:val="28"/>
          <w:sz w:val="28"/>
          <w:szCs w:val="28"/>
          <w:rtl w:val="true"/>
          <w:lang w:bidi="fa-IR"/>
        </w:rPr>
        <w:t xml:space="preserve">وأنت خبیر بأنّ الصفرة لا تنافی الدم ، بل الدم ینقسم إلی الأصفر وغیره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إطلاق الدم إنّما یراد غیر الأصفر ، وفیه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استدلال العلاّمة بالروایة إن کان المراد إثبات الاستظهار مع وجود الدم فالروایة غیر مقیّدة بالدم ، بل الظاهر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لم تر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الدم بجمیع صفاته ، ولو حملت الروایة علی أنّ الدم إذا وجد اقتضی الاستظهار ، وإن لم یوجد انتفی ، سواء کانت الصفرة أو لا زاد الإشکال بأنّ الظاهر من الدم دم الحیض ، واللازم حینئذ أنّه مع وجود دم الحیض تحقق الاستظهار ، ومع عدم دم الحیض لا استظهار ، والحال أنّ القائل بهذا غیر معلوم ، والأخبار المعتبرة لا تساعد علیه ، بل تدل علی 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فاعلم أنّ احتجاج ابن إدریس لا أدری موافقته لدعواه ، فإن الظاهر منها أنّه لا استظهار مع انقطاع الدم أصلاً ، بل هو مع الصفرة والکدرة ، والاستدلال حینئذ بأنّ الأصل وجوب العبادة إن أراد به مع عدم الصفرة والکدرة کما هو ظاهر دعواه فالجواب من العلاّمة بأنّ الأصل براءة الذمّة غیر تامّ ، لأن العلاّمة قائل بعدم الاستظهار ، فکیف یقول بالأصل المذکور؟ وإن أراد ابن إدریس غیر ما ذکرناه فلا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فکلام العلاّمة مجمل المرام علی ما أظنّه ، ولا یبعد أن یکون التفات العلاّمة إلی ما تضمنه الروایة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رأت بعد ذلک صفرة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 هذا أنّ ما سبق إنّما کان دماً ولا یکون الصفرة دماً ، وأنت خبیر بما فی هذا من التأمّل ، علی أنه یبقی الإشکال فی الاستدلال منه ومن ابن إدریس ، فلیتأمّل</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وینبغی أن یعلم أنّ الخبر الأخیر دال علی أنّ المرأة بعد الاستظهار </w:t>
      </w:r>
      <w:bookmarkStart w:id="1293" w:name="pg17122_169898"/>
    </w:p>
    <w:p>
      <w:pPr>
        <w:pStyle w:val="BookText"/>
        <w:rPr/>
      </w:pPr>
      <w:bookmarkEnd w:id="1293"/>
      <w:r>
        <w:rPr>
          <w:rFonts w:ascii="IRNazanin" w:hAnsi="IRNazanin" w:eastAsia="IRNazanin"/>
          <w:color w:val="111111"/>
          <w:sz w:val="28"/>
          <w:sz w:val="28"/>
          <w:szCs w:val="28"/>
          <w:rtl w:val="true"/>
          <w:lang w:bidi="fa-IR"/>
        </w:rPr>
        <w:t xml:space="preserve">مستحاضة ، والخبر وإن لم یکن صالحاً للاعتماد عند بعض ، إلاّ أنّ له مؤیّدات دالّة علی مدلوله ، متطابقة الدلالة علی أنّ ما بعد أیّام الاستظهار استحاضة ، وما یوجد فی کلام 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الدم إن انقطع علی العشرة فالجمیع حیض ، وإن تجاوز فالعادة حیض فقط </w:t>
      </w:r>
      <w:r>
        <w:rPr>
          <w:rStyle w:val="FootnoteAnchor"/>
          <w:rtl w:val="true"/>
        </w:rPr>
        <w:footnoteReference w:id="1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أقف الآن علی خبر صحیح یتضمنه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والوالد قدس سره کثیراً ما کان یقول ذلک ، ویبنی علیه إشکالات فی مواضع أهمّها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 وسیأتی إن شاء الله ذکر ما لا بدّ منه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تمهّد جمیع ما ذکرناه ، فلیعلم أنّ للأصحاب اختلافاً فی أن الاستظهار هل هو علی سبیل الوجوب أو الاستحباب؟ فالموجبون </w:t>
      </w:r>
      <w:r>
        <w:rPr>
          <w:rStyle w:val="FootnoteAnchor"/>
          <w:rtl w:val="true"/>
        </w:rPr>
        <w:footnoteReference w:id="1565"/>
      </w:r>
      <w:r>
        <w:rPr>
          <w:rFonts w:ascii="IRNazanin" w:hAnsi="IRNazanin" w:eastAsia="IRNazanin"/>
          <w:color w:val="111111"/>
          <w:sz w:val="28"/>
          <w:sz w:val="28"/>
          <w:szCs w:val="28"/>
          <w:rtl w:val="true"/>
          <w:lang w:bidi="fa-IR"/>
        </w:rPr>
        <w:t xml:space="preserve">استدلوا بظواهر الأخبار الوارد فیها الأمر کصحیح محمد بن مسلم </w:t>
      </w:r>
      <w:r>
        <w:rPr>
          <w:rStyle w:val="FootnoteAnchor"/>
          <w:rtl w:val="true"/>
        </w:rPr>
        <w:footnoteReference w:id="1566"/>
      </w:r>
      <w:r>
        <w:rPr>
          <w:rFonts w:ascii="IRNazanin" w:hAnsi="IRNazanin" w:eastAsia="IRNazanin"/>
          <w:color w:val="111111"/>
          <w:sz w:val="28"/>
          <w:sz w:val="28"/>
          <w:szCs w:val="28"/>
          <w:rtl w:val="true"/>
          <w:lang w:bidi="fa-IR"/>
        </w:rPr>
        <w:t xml:space="preserve">، والقائلون بالاستحباب جمعوا بین الأخبار المشار إلیها وغیرها مثل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تحیّضی أیّام أقرائک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بالحمل علی الاستحباب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دلّ علی أنّ التحیّض لا یکون إلاّ أیّام الأقراء غیر موجود ، والأمر بالتحیّض أیّام الأقراء لا ینافی التحیّض فی غیرها بدلیل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التحیّض أیّام الأقراء علی الإطلاق ، وأمّا غیرها فله شروط ، ومثل هذا یصلح وجهاً للجمع</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94" w:name="__RefHeading___Toc39890_2142443653"/>
      <w:bookmarkStart w:id="1295" w:name="_Toc503"/>
      <w:bookmarkEnd w:id="1294"/>
      <w:r>
        <w:rPr>
          <w:rtl w:val="true"/>
        </w:rPr>
        <w:t>هل الاستظهار علی سبیل الوجوب أو الاستحباب؟</w:t>
      </w:r>
      <w:bookmarkStart w:id="1296" w:name="pg17122_169899"/>
      <w:bookmarkEnd w:id="1295"/>
    </w:p>
    <w:p>
      <w:pPr>
        <w:pStyle w:val="BookText"/>
        <w:rPr/>
      </w:pPr>
      <w:bookmarkEnd w:id="1296"/>
      <w:r>
        <w:rPr>
          <w:rFonts w:ascii="IRNazanin" w:hAnsi="IRNazanin" w:eastAsia="IRNazanin"/>
          <w:color w:val="111111"/>
          <w:sz w:val="28"/>
          <w:sz w:val="28"/>
          <w:szCs w:val="28"/>
          <w:rtl w:val="true"/>
          <w:lang w:bidi="fa-IR"/>
        </w:rPr>
        <w:t xml:space="preserve">نعم فی صحیح معاویة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المستحاضة تنتظر أیّامها فلا تصلّ فیها ولا یقربها بعلها ، فإذا جازت أیّامها ورأت دماً یثقب الکرسف اغتسلت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1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له نوع دلالة علی عدم الوجوب ، واحتمال القول فیه واسع المجال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یؤیّد الوجوب النهی عن الاغتسال فی خبر محمد بن مسلم السابق نقله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أنّ الحقّ رجحان الاستحباب ، لثبوت التعارض ، وقد ذکرت ما لا بد منه فی حاشیة التهذیب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یوجد فی کلام بعض الأصحاب من أنّا إذا قلنا باستحباب الاستظهار ، واختارت فعل العبادة ، ففی وصفها بالوجوب إشکال ، لجواز ترکها لا إلی بدل ، ولا شی‌ء من الواجب کذلک </w:t>
      </w:r>
      <w:r>
        <w:rPr>
          <w:rStyle w:val="FootnoteAnchor"/>
          <w:rtl w:val="true"/>
        </w:rPr>
        <w:footnoteReference w:id="1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قدمنا فی هذا الکتاب کلاماً یصلح أن یکون جوابا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هذا </w:t>
      </w:r>
      <w:r>
        <w:rPr>
          <w:rFonts w:eastAsia="IRNazanin" w:cs="IRNazanin"/>
          <w:color w:val="111111"/>
          <w:sz w:val="28"/>
          <w:szCs w:val="28"/>
          <w:rtl w:val="true"/>
          <w:lang w:bidi="fa-IR"/>
        </w:rPr>
        <w:t xml:space="preserve">) </w:t>
      </w:r>
      <w:r>
        <w:rPr>
          <w:rStyle w:val="FootnoteAnchor"/>
          <w:rtl w:val="true"/>
        </w:rPr>
        <w:footnoteReference w:id="1572"/>
      </w:r>
      <w:r>
        <w:rPr>
          <w:rFonts w:ascii="IRNazanin" w:hAnsi="IRNazanin" w:eastAsia="IRNazanin"/>
          <w:color w:val="111111"/>
          <w:sz w:val="28"/>
          <w:sz w:val="28"/>
          <w:szCs w:val="28"/>
          <w:rtl w:val="true"/>
          <w:lang w:bidi="fa-IR"/>
        </w:rPr>
        <w:t xml:space="preserve">وهو أنّ المستحب فی الاختیار ، فلو اختارت الطهر کانت العبادة </w:t>
      </w:r>
      <w:r>
        <w:rPr>
          <w:rStyle w:val="FootnoteAnchor"/>
          <w:rtl w:val="true"/>
        </w:rPr>
        <w:footnoteReference w:id="1573"/>
      </w:r>
      <w:r>
        <w:rPr>
          <w:rFonts w:ascii="IRNazanin" w:hAnsi="IRNazanin" w:eastAsia="IRNazanin"/>
          <w:color w:val="111111"/>
          <w:sz w:val="28"/>
          <w:sz w:val="28"/>
          <w:szCs w:val="28"/>
          <w:rtl w:val="true"/>
          <w:lang w:bidi="fa-IR"/>
        </w:rPr>
        <w:t>واجبة ، ولا بعد فیه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مفاد الأخبار المبحوث عنها کون الاستظهار بیوم أو یومین کما فی الأوّل ، وبیوم أو یومین أو ثلاثة کما فی الثانی والثالث ، وبثلاثة کما فی الرابع ، والمنقول عن الشیخ فی النهایة الاستظهار بیوم أو</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97" w:name="__RefHeading___Toc39892_2142443653"/>
      <w:bookmarkStart w:id="1298" w:name="_Toc504"/>
      <w:bookmarkEnd w:id="1297"/>
      <w:r>
        <w:rPr>
          <w:rtl w:val="true"/>
        </w:rPr>
        <w:t>عدد أیّام الاستظهار</w:t>
      </w:r>
      <w:bookmarkStart w:id="1299" w:name="pg17122_169900"/>
      <w:bookmarkEnd w:id="1298"/>
    </w:p>
    <w:p>
      <w:pPr>
        <w:pStyle w:val="BookText"/>
        <w:rPr/>
      </w:pPr>
      <w:bookmarkEnd w:id="1299"/>
      <w:r>
        <w:rPr>
          <w:rFonts w:ascii="IRNazanin" w:hAnsi="IRNazanin" w:eastAsia="IRNazanin"/>
          <w:color w:val="111111"/>
          <w:sz w:val="28"/>
          <w:sz w:val="28"/>
          <w:szCs w:val="28"/>
          <w:rtl w:val="true"/>
          <w:lang w:bidi="fa-IR"/>
        </w:rPr>
        <w:t xml:space="preserve">یومین </w:t>
      </w:r>
      <w:r>
        <w:rPr>
          <w:rStyle w:val="FootnoteAnchor"/>
          <w:rtl w:val="true"/>
        </w:rPr>
        <w:footnoteReference w:id="1574"/>
      </w:r>
      <w:r>
        <w:rPr>
          <w:rFonts w:ascii="IRNazanin" w:hAnsi="IRNazanin" w:eastAsia="IRNazanin"/>
          <w:color w:val="111111"/>
          <w:sz w:val="28"/>
          <w:sz w:val="28"/>
          <w:szCs w:val="28"/>
          <w:rtl w:val="true"/>
          <w:lang w:bidi="fa-IR"/>
        </w:rPr>
        <w:t xml:space="preserve">، وکذلک عن ابن بابویه </w:t>
      </w:r>
      <w:r>
        <w:rPr>
          <w:rStyle w:val="FootnoteAnchor"/>
          <w:rtl w:val="true"/>
        </w:rPr>
        <w:footnoteReference w:id="1575"/>
      </w:r>
      <w:r>
        <w:rPr>
          <w:rFonts w:ascii="IRNazanin" w:hAnsi="IRNazanin" w:eastAsia="IRNazanin"/>
          <w:color w:val="111111"/>
          <w:sz w:val="28"/>
          <w:sz w:val="28"/>
          <w:szCs w:val="28"/>
          <w:rtl w:val="true"/>
          <w:lang w:bidi="fa-IR"/>
        </w:rPr>
        <w:t xml:space="preserve">والمفید </w:t>
      </w:r>
      <w:r>
        <w:rPr>
          <w:rStyle w:val="FootnoteAnchor"/>
          <w:rtl w:val="true"/>
        </w:rPr>
        <w:footnoteReference w:id="1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القطنة إذا خرجت فهی بعد حائض تصبر حتی تنقی </w:t>
      </w:r>
      <w:r>
        <w:rPr>
          <w:rStyle w:val="FootnoteAnchor"/>
          <w:rtl w:val="true"/>
        </w:rPr>
        <w:footnoteReference w:id="1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المرتضی فی المصباح إلی عشرة أیام </w:t>
      </w:r>
      <w:r>
        <w:rPr>
          <w:rStyle w:val="FootnoteAnchor"/>
          <w:rtl w:val="true"/>
        </w:rPr>
        <w:footnoteReference w:id="1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دلالة الأخبار وصحة بعضها لا یخفی بعد الاعتبار ، وسیأتی ما یصلح دلیلاً لبعض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الله سبحانه الاتکال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الاستظهار 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طلب ظهور الحال فی کون الدم حیضاً أو طهراً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سعد بن عبد الله ، عن أحمد بن محمد ، عن محمد ابن عمرو بن سعید الزیات ، عن یونس بن یعقوب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رأت الدم فی حیضها حتی جاوز وقتها متی ینبغی لها أن تصلّی؟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تنتظر عدّتها التی کانت تجلس ثم تستظهر بعشرة أیّام ، فإن رأت الدم دماً صبیباً فلتغتسل فی کل وقت 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تستظهر بعشرة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نحمله علی أنّ المعنی إلی عشرة أیّام ، لأنّ ذلک أکثر أیّام الحیض ، وإنّما یجب</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00" w:name="__RefHeading___Toc39894_2142443653"/>
      <w:bookmarkStart w:id="1301" w:name="_Toc505"/>
      <w:bookmarkEnd w:id="1300"/>
      <w:r>
        <w:rPr>
          <w:rtl w:val="true"/>
        </w:rPr>
        <w:t>معنی الاستظهار</w:t>
      </w:r>
      <w:bookmarkStart w:id="1302" w:name="pg17122_169901"/>
      <w:bookmarkEnd w:id="1301"/>
    </w:p>
    <w:p>
      <w:pPr>
        <w:pStyle w:val="BookText"/>
        <w:rPr/>
      </w:pPr>
      <w:bookmarkEnd w:id="1302"/>
      <w:r>
        <w:rPr>
          <w:rFonts w:ascii="IRNazanin" w:hAnsi="IRNazanin" w:eastAsia="IRNazanin"/>
          <w:color w:val="111111"/>
          <w:sz w:val="28"/>
          <w:sz w:val="28"/>
          <w:szCs w:val="28"/>
          <w:rtl w:val="true"/>
          <w:lang w:bidi="fa-IR"/>
        </w:rPr>
        <w:t>الاستظهار بیوم أو یومین إذا کانت العادة دون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أخبرنی به الشیخ رحمه الله عن أبی القاسم جعفر بن محمد ، عن أبیه ، عن سعد بن عبد الله ، عن موسی بن الحسین </w:t>
      </w:r>
      <w:r>
        <w:rPr>
          <w:rStyle w:val="FootnoteAnchor"/>
          <w:rtl w:val="true"/>
        </w:rPr>
        <w:footnoteReference w:id="1580"/>
      </w:r>
      <w:r>
        <w:rPr>
          <w:rFonts w:ascii="IRNazanin" w:hAnsi="IRNazanin" w:eastAsia="IRNazanin"/>
          <w:color w:val="111111"/>
          <w:sz w:val="28"/>
          <w:sz w:val="28"/>
          <w:szCs w:val="28"/>
          <w:rtl w:val="true"/>
          <w:lang w:bidi="fa-IR"/>
        </w:rPr>
        <w:t xml:space="preserve">، عن أحمد ابن هلال ، عن محمد بن أبی عمیر ، عن عبد الله بن المغیرة ، عن رجل ، عن أبی عبد الله علیه السلام فی المرأة تری الدم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قرؤها دون العشرة انتظرت العشرة ، وإن کانت أیّامها عشرة لم تستظهر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الشیخ رحمه الله عن أحمد بن محمد ، عن أبیه ، عن الصفار ، عن أحمد بن محمد ، عن علی بن الحکم ، عن داود مولی أبی المغراء ، عمّن أخبره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المرأة تحیض ثم یمضی وقت طهرها وهی تری الدم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تستظهر بیوم إن کان حیضها دون عشرة </w:t>
      </w:r>
      <w:r>
        <w:rPr>
          <w:rFonts w:eastAsia="IRNazanin" w:cs="IRNazanin"/>
          <w:color w:val="111111"/>
          <w:sz w:val="28"/>
          <w:szCs w:val="28"/>
          <w:rtl w:val="true"/>
          <w:lang w:bidi="fa-IR"/>
        </w:rPr>
        <w:t xml:space="preserve">] </w:t>
      </w:r>
      <w:r>
        <w:rPr>
          <w:rStyle w:val="FootnoteAnchor"/>
          <w:rtl w:val="true"/>
        </w:rPr>
        <w:footnoteReference w:id="1581"/>
      </w:r>
      <w:r>
        <w:rPr>
          <w:rFonts w:ascii="IRNazanin" w:hAnsi="IRNazanin" w:eastAsia="IRNazanin"/>
          <w:color w:val="111111"/>
          <w:sz w:val="28"/>
          <w:sz w:val="28"/>
          <w:szCs w:val="28"/>
          <w:rtl w:val="true"/>
          <w:lang w:bidi="fa-IR"/>
        </w:rPr>
        <w:t xml:space="preserve">أیّام ، وإن استمرّ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العشرة </w:t>
      </w:r>
      <w:r>
        <w:rPr>
          <w:rStyle w:val="FootnoteAnchor"/>
          <w:rtl w:val="true"/>
        </w:rPr>
        <w:footnoteReference w:id="1582"/>
      </w:r>
      <w:r>
        <w:rPr>
          <w:rFonts w:ascii="IRNazanin" w:hAnsi="IRNazanin" w:eastAsia="IRNazanin"/>
          <w:color w:val="111111"/>
          <w:sz w:val="28"/>
          <w:sz w:val="28"/>
          <w:szCs w:val="28"/>
          <w:rtl w:val="true"/>
          <w:lang w:bidi="fa-IR"/>
        </w:rPr>
        <w:t xml:space="preserve">فهی مستحاضة ، فإن </w:t>
      </w:r>
      <w:r>
        <w:rPr>
          <w:rStyle w:val="FootnoteAnchor"/>
          <w:rtl w:val="true"/>
        </w:rPr>
        <w:footnoteReference w:id="1583"/>
      </w:r>
      <w:r>
        <w:rPr>
          <w:rFonts w:ascii="IRNazanin" w:hAnsi="IRNazanin" w:eastAsia="IRNazanin"/>
          <w:color w:val="111111"/>
          <w:sz w:val="28"/>
          <w:sz w:val="28"/>
          <w:szCs w:val="28"/>
          <w:rtl w:val="true"/>
          <w:lang w:bidi="fa-IR"/>
        </w:rPr>
        <w:t xml:space="preserve">انقطع الدم اغتسلت وصلّت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بیونس بن یعقوب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موسی بن الحسین کما تری ، وفی التهذیب موسی بن</w:t>
      </w:r>
    </w:p>
    <w:p>
      <w:pPr>
        <w:pStyle w:val="Heading4"/>
        <w:numPr>
          <w:ilvl w:val="3"/>
          <w:numId w:val="1"/>
        </w:numPr>
        <w:rPr/>
      </w:pPr>
      <w:bookmarkStart w:id="1303" w:name="__RefHeading___Toc39896_2142443653"/>
      <w:bookmarkStart w:id="1304" w:name="_Toc506"/>
      <w:bookmarkEnd w:id="1303"/>
      <w:r>
        <w:rPr>
          <w:rtl w:val="true"/>
        </w:rPr>
        <w:t>إشارة إلی أنّ یونس بن یعقوب فطحی ثقة</w:t>
      </w:r>
      <w:bookmarkEnd w:id="1304"/>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05" w:name="__RefHeading___Toc39898_2142443653"/>
      <w:bookmarkStart w:id="1306" w:name="_Toc507"/>
      <w:bookmarkEnd w:id="1305"/>
      <w:r>
        <w:rPr>
          <w:rtl w:val="true"/>
        </w:rPr>
        <w:t>بحث حول موسی بن الحسن</w:t>
      </w:r>
      <w:bookmarkStart w:id="1307" w:name="pg17122_169902"/>
      <w:bookmarkEnd w:id="1306"/>
    </w:p>
    <w:p>
      <w:pPr>
        <w:pStyle w:val="BookText"/>
        <w:rPr/>
      </w:pPr>
      <w:bookmarkEnd w:id="1307"/>
      <w:r>
        <w:rPr>
          <w:rFonts w:ascii="IRNazanin" w:hAnsi="IRNazanin" w:eastAsia="IRNazanin"/>
          <w:color w:val="111111"/>
          <w:sz w:val="28"/>
          <w:sz w:val="28"/>
          <w:szCs w:val="28"/>
          <w:rtl w:val="true"/>
          <w:lang w:bidi="fa-IR"/>
        </w:rPr>
        <w:t xml:space="preserve">الحسن </w:t>
      </w:r>
      <w:r>
        <w:rPr>
          <w:rStyle w:val="FootnoteAnchor"/>
          <w:rtl w:val="true"/>
        </w:rPr>
        <w:footnoteReference w:id="1585"/>
      </w:r>
      <w:r>
        <w:rPr>
          <w:rFonts w:ascii="IRNazanin" w:hAnsi="IRNazanin" w:eastAsia="IRNazanin"/>
          <w:color w:val="111111"/>
          <w:sz w:val="28"/>
          <w:sz w:val="28"/>
          <w:szCs w:val="28"/>
          <w:rtl w:val="true"/>
          <w:lang w:bidi="fa-IR"/>
        </w:rPr>
        <w:t>وهو الظاهر ، لأنّ موسی بن الحسین غیر موجود فی الرجال ، وإن کان هذا لا یضرّ بالحال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موسی بن الحسن مشترک بین رجلین ، أحدهما ثقة والراوی عنه الحمیری ، وهو فی مرتبة سعد بن عبد الله ، والآخر لم أعلم زمانه ولیس بثقة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وأحمد بن هلال قد تقدم القول فیه </w:t>
      </w:r>
      <w:r>
        <w:rPr>
          <w:rStyle w:val="FootnoteAnchor"/>
          <w:rtl w:val="true"/>
        </w:rPr>
        <w:footnoteReference w:id="1587"/>
      </w:r>
      <w:r>
        <w:rPr>
          <w:rFonts w:ascii="Amiri" w:hAnsi="Amiri" w:eastAsia="Amiri" w:cs="Amiri"/>
          <w:color w:val="111111"/>
          <w:sz w:val="28"/>
          <w:sz w:val="28"/>
          <w:szCs w:val="28"/>
          <w:rtl w:val="true"/>
          <w:lang w:bidi="ar-SA"/>
        </w:rPr>
        <w:t xml:space="preserve">، وأنّ الشیخ ضعّفه </w:t>
      </w:r>
      <w:r>
        <w:rPr>
          <w:rStyle w:val="FootnoteAnchor"/>
          <w:rtl w:val="true"/>
        </w:rPr>
        <w:footnoteReference w:id="1588"/>
      </w:r>
      <w:r>
        <w:rPr>
          <w:rFonts w:ascii="IRNazanin" w:hAnsi="IRNazanin" w:eastAsia="IRNazanin"/>
          <w:color w:val="111111"/>
          <w:sz w:val="28"/>
          <w:sz w:val="28"/>
          <w:szCs w:val="28"/>
          <w:rtl w:val="true"/>
          <w:lang w:bidi="fa-IR"/>
        </w:rPr>
        <w:t>وفیه مع ما ذکر 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مع الإرسال داود مولی أبی المغراء ، ولم أره الآن فی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الدلالة علی ما یقوله المرتضی رضی الله عنه بعد إرادة الاستظهار إلی عشرة </w:t>
      </w:r>
      <w:r>
        <w:rPr>
          <w:rStyle w:val="FootnoteAnchor"/>
          <w:rtl w:val="true"/>
        </w:rPr>
        <w:footnoteReference w:id="1589"/>
      </w:r>
      <w:r>
        <w:rPr>
          <w:rFonts w:ascii="IRNazanin" w:hAnsi="IRNazanin" w:eastAsia="IRNazanin"/>
          <w:color w:val="111111"/>
          <w:sz w:val="28"/>
          <w:sz w:val="28"/>
          <w:szCs w:val="28"/>
          <w:rtl w:val="true"/>
          <w:lang w:bidi="fa-IR"/>
        </w:rPr>
        <w:t>کما ذکره الشیخ ، وإن کان فی کلام الشیخ نظر ، لأنّ الأخبار السابقة قد عرفت مفادها ، وعلی تقدیر حمل هذا الخبر کما ذکره لا تزول المعارضة للأخبار السابقة ، من حیث إنّ الاستظهار إلی العشرة قد یزید علی الثلاثة فیما إذا کانت العادة ستّة أیّام ، فلا بد من البیان فی دفع هذا التنافی ، وعدمه من الشیخ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یبعد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الغالب فی عادة النساء لمّا کان السبعة والثمانیة</w:t>
      </w:r>
    </w:p>
    <w:p>
      <w:pPr>
        <w:pStyle w:val="Heading4"/>
        <w:numPr>
          <w:ilvl w:val="3"/>
          <w:numId w:val="1"/>
        </w:numPr>
        <w:rPr/>
      </w:pPr>
      <w:bookmarkStart w:id="1308" w:name="__RefHeading___Toc39900_2142443653"/>
      <w:bookmarkStart w:id="1309" w:name="_Toc508"/>
      <w:bookmarkEnd w:id="1308"/>
      <w:r>
        <w:rPr>
          <w:rtl w:val="true"/>
        </w:rPr>
        <w:t>أحمد بن هلال ضعیف</w:t>
      </w:r>
      <w:bookmarkEnd w:id="1309"/>
    </w:p>
    <w:p>
      <w:pPr>
        <w:pStyle w:val="Heading4"/>
        <w:numPr>
          <w:ilvl w:val="3"/>
          <w:numId w:val="1"/>
        </w:numPr>
        <w:rPr/>
      </w:pPr>
      <w:bookmarkStart w:id="1310" w:name="__RefHeading___Toc39902_2142443653"/>
      <w:bookmarkStart w:id="1311" w:name="_Toc509"/>
      <w:bookmarkEnd w:id="1310"/>
      <w:r>
        <w:rPr>
          <w:rtl w:val="true"/>
        </w:rPr>
        <w:t>داود مولی أبی المغرا غیر مذکور فی الرجال</w:t>
      </w:r>
      <w:bookmarkEnd w:id="1311"/>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12" w:name="__RefHeading___Toc39904_2142443653"/>
      <w:bookmarkStart w:id="1313" w:name="_Toc510"/>
      <w:bookmarkEnd w:id="1312"/>
      <w:r>
        <w:rPr>
          <w:rtl w:val="true"/>
        </w:rPr>
        <w:t>توجیه ما دلّ علی الاستظهار بعشرة أیّام</w:t>
      </w:r>
      <w:bookmarkEnd w:id="1313"/>
    </w:p>
    <w:p>
      <w:pPr>
        <w:pStyle w:val="BookText"/>
        <w:rPr/>
      </w:pPr>
      <w:r>
        <w:rPr>
          <w:rFonts w:ascii="IRNazanin" w:hAnsi="IRNazanin" w:eastAsia="IRNazanin"/>
          <w:color w:val="111111"/>
          <w:sz w:val="28"/>
          <w:sz w:val="28"/>
          <w:szCs w:val="28"/>
          <w:rtl w:val="true"/>
          <w:lang w:bidi="fa-IR"/>
        </w:rPr>
        <w:t>اقتضی الإطلاق فی الخبر الانصراف إلی الغالب ، وإن کان الحق إمکان المناقشة فی هذا ، ولو صحّ الخبر أمکن القول بمضمونه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یونس بن یعقوب ما وجه التوقف فیه؟ مع أنّه لیس الارتیاب إلاّ من جهة یونس ، حیث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فطحیا </w:t>
      </w:r>
      <w:r>
        <w:rPr>
          <w:rStyle w:val="FootnoteAnchor"/>
          <w:rtl w:val="true"/>
        </w:rPr>
        <w:footnoteReference w:id="1590"/>
      </w:r>
      <w:r>
        <w:rPr>
          <w:rFonts w:ascii="IRNazanin" w:hAnsi="IRNazanin" w:eastAsia="IRNazanin"/>
          <w:color w:val="111111"/>
          <w:sz w:val="28"/>
          <w:sz w:val="28"/>
          <w:szCs w:val="28"/>
          <w:rtl w:val="true"/>
          <w:lang w:bidi="fa-IR"/>
        </w:rPr>
        <w:t xml:space="preserve">، والحال أنّه رجع عن ذلک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التوقف ممّا ذکرت ، إذ لم یعلم الروایة قبل الرجوع أم بعده ، وقد ذکر شیخنا قدس سره روایة یونس من غیر وصف بالموثق </w:t>
      </w:r>
      <w:r>
        <w:rPr>
          <w:rStyle w:val="FootnoteAnchor"/>
          <w:rtl w:val="true"/>
        </w:rPr>
        <w:footnoteReference w:id="1592"/>
      </w:r>
      <w:r>
        <w:rPr>
          <w:rFonts w:ascii="IRNazanin" w:hAnsi="IRNazanin" w:eastAsia="IRNazanin"/>
          <w:color w:val="111111"/>
          <w:sz w:val="28"/>
          <w:sz w:val="28"/>
          <w:szCs w:val="28"/>
          <w:rtl w:val="true"/>
          <w:lang w:bidi="fa-IR"/>
        </w:rPr>
        <w:t>، مع أنّ الظاهر کونها من الموثق فلا أدری الوجه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والخبر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کلامنا فیه کالأول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الثالث ، غیر أنّ قوله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استمر الدم فهی مستحاضة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إجمال ، ولعلّ المراد أن الدم إذا استمر بعد الاستظهار فهی مستحاضة کما یفیده غیره من الأخبار ، وقد قدّمنا ما فیه من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أن یراد أنّها تستظهر بیوم إن کان حیضها دون العشرة وإن استمرّ الدم بعد الاستظهار ، فیکون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وصلیاً ،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فهی مستحاضة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مستأنف لبیان أنّ المستمرّ بها الدم مستحاضة لا أنّها حائض ، بعید عن ظاهر الروایة ، بل لا وجه له عند التأمّل</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یؤیّد الأوّل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انقطع الدم اغتسلت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أنّ هذا القول لا یخلو من إجمال أیضاً ، إذ یحتمل أن یراد به إن انقطع الدم من أوّل الأمر فلا استظهار ، ویحتمل أن یراد به أنّ الدم إذا انقطع بعد الاستمرار </w:t>
      </w:r>
      <w:bookmarkStart w:id="1314" w:name="pg17122_169904"/>
    </w:p>
    <w:p>
      <w:pPr>
        <w:pStyle w:val="BookText"/>
        <w:rPr/>
      </w:pPr>
      <w:bookmarkEnd w:id="1314"/>
      <w:r>
        <w:rPr>
          <w:rFonts w:ascii="IRNazanin" w:hAnsi="IRNazanin" w:eastAsia="IRNazanin"/>
          <w:color w:val="111111"/>
          <w:sz w:val="28"/>
          <w:sz w:val="28"/>
          <w:szCs w:val="28"/>
          <w:rtl w:val="true"/>
          <w:lang w:bidi="fa-IR"/>
        </w:rPr>
        <w:t>وتجاوز العادة اغتسلت وصلّت بعد الاستظهار ، ولا یخفی قرب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یتوجه علی ما قلناه من التأیید أنّه لا یتمّ علی الاحتمالین ، بل علی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لإمکان الجواب بجریانه علی الاحتمالین ، کما یعرف بأدنی ملاحظة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أکثر أیّام النفاس</w:t>
      </w:r>
    </w:p>
    <w:p>
      <w:pPr>
        <w:pStyle w:val="BookText"/>
        <w:rPr/>
      </w:pPr>
      <w:r>
        <w:rPr>
          <w:rFonts w:ascii="IRNazanin" w:hAnsi="IRNazanin" w:eastAsia="IRNazanin"/>
          <w:color w:val="111111"/>
          <w:sz w:val="28"/>
          <w:sz w:val="28"/>
          <w:szCs w:val="28"/>
          <w:rtl w:val="true"/>
          <w:lang w:bidi="fa-IR"/>
        </w:rPr>
        <w:t xml:space="preserve">أخبرنی الشیخ رحمه الله عن أبی القاسم جعفر بن محمد ، عن محمد بن یعقوب ، عن علی بن إبراهیم ، عن أبیه ، عن ابن أبی عمیر ، عن عمر بن أذینة ، عن الفضیل بن یسار وزرارة ، عن أحدهما علیهماالسلام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النفساء تکفّ عن الصلاة أیّام أقرائها التی کانت تمکث فیها ، ثم تغتسل وتعمل کما تعمل المستحاضة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الاسناد عن محمد بن یعقوب ، عن عدّة من أصحابنا ، عن أحمد بن محمد ، عن الحسین بن سعید ، عن النضر بن سوید ، عن محمد ابن أبی حمزة ، عن یونس بن یعقوب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النفساء تجلس أیّام حیضها التی کانت تحیض ثم تستظهر وتغتسل وتصلّی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الاسناد عن محمد بن یعقوب ، عن محمد بن یحیی ، عن أحمد ابن محمد ، عن ابن فضال ، عن ابن بکیر ، عن زرارة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تقعد النفساء أیّامها التی کانت تقعد فی الحیض وتستظهر بیومین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وأخبرنی الشیخ رحمه الله عن أحمد بن محمد ، عن أبیه ، عن</w:t>
      </w:r>
    </w:p>
    <w:p>
      <w:pPr>
        <w:pStyle w:val="Heading3"/>
        <w:numPr>
          <w:ilvl w:val="2"/>
          <w:numId w:val="1"/>
        </w:numPr>
        <w:rPr/>
      </w:pPr>
      <w:bookmarkStart w:id="1315" w:name="__RefHeading___Toc39906_2142443653"/>
      <w:bookmarkStart w:id="1316" w:name="_Toc511"/>
      <w:bookmarkEnd w:id="1315"/>
      <w:r>
        <w:rPr>
          <w:rtl w:val="true"/>
        </w:rPr>
        <w:t>أکثر أیّام النفاس</w:t>
      </w:r>
      <w:bookmarkEnd w:id="1316"/>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17" w:name="__RefHeading___Toc39908_2142443653"/>
      <w:bookmarkStart w:id="1318" w:name="_Toc512"/>
      <w:bookmarkEnd w:id="1317"/>
      <w:r>
        <w:rPr>
          <w:rtl w:val="true"/>
        </w:rPr>
        <w:t>اشارة</w:t>
      </w:r>
      <w:bookmarkEnd w:id="1318"/>
    </w:p>
    <w:p>
      <w:pPr>
        <w:pStyle w:val="BookText"/>
        <w:rPr/>
      </w:pPr>
      <w:r>
        <w:rPr>
          <w:rFonts w:ascii="IRNazanin" w:hAnsi="IRNazanin" w:eastAsia="IRNazanin"/>
          <w:color w:val="111111"/>
          <w:sz w:val="28"/>
          <w:sz w:val="28"/>
          <w:szCs w:val="28"/>
          <w:rtl w:val="true"/>
          <w:lang w:bidi="fa-IR"/>
        </w:rPr>
        <w:t xml:space="preserve">سعد بن عبد الله ، عن أحمد بن محمد بن عیسی ، عن محمد بن عمرو ، عن </w:t>
      </w:r>
      <w:r>
        <w:rPr>
          <w:rStyle w:val="FootnoteAnchor"/>
          <w:rtl w:val="true"/>
        </w:rPr>
        <w:footnoteReference w:id="1593"/>
      </w:r>
      <w:r>
        <w:rPr>
          <w:rFonts w:ascii="IRNazanin" w:hAnsi="IRNazanin" w:eastAsia="IRNazanin"/>
          <w:color w:val="111111"/>
          <w:sz w:val="28"/>
          <w:sz w:val="28"/>
          <w:szCs w:val="28"/>
          <w:rtl w:val="true"/>
          <w:lang w:bidi="fa-IR"/>
        </w:rPr>
        <w:t xml:space="preserve">یونس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امرأة ولدت فرأت الدم أکثر ممّا کانت تری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فلتقعد أیّام قرئها التی کانت تجلس ، ثم تستظهر بعشرة أیّام ، فإن رأت دماً صبیباً فلتغتسل عند وقت کل صلاة ، وإن رأت صفرة فلتتوضّأ ثم لتصلّ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تستظهر بعشرة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إلی عشرة أیّام ، لأنّ حروف الصفات تقوم بعضها مقام بعض علی ما بیّنا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الاسناد عن أحمد بن محمد ، عن الحسین بن سعید ومحمد ابن خالد البرقی والعباس بن معروف ، عن صفوان بن یحیی ، عن عبد الرحمن 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موسی علیه السلام عن امرأة نفست وبقیت ثلاثین لیلة أو أکثر وطهرت وصلّت ثم رأت دماً أو صفرة؟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صفرة فلتغتسل ولتصلّ ولا تمسک عن الصلاة ، وإن کان دماً لیس بصفرة فلتمسک عن الصلاة أیّام قرئها ثم لتغتسل وتصلّی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أحمد بن عبدون ، عن علی بن محمد بن الزبیر ، عن علی بن الحسن بن فضال ، عن محمد بن عبد الله بن زرارة ، عن محمد بن أبی عمیر ، عن عمر بن أُذینة ، عن زرارة والفضیل ، عن أحدهما علیهماالسلام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النفساء تکفّ عن الصلاة أیّام أقرائها التی کانت تمکث فیها </w:t>
      </w:r>
      <w:r>
        <w:rPr>
          <w:rStyle w:val="FootnoteAnchor"/>
          <w:rtl w:val="true"/>
        </w:rPr>
        <w:footnoteReference w:id="1594"/>
      </w:r>
      <w:r>
        <w:rPr>
          <w:rFonts w:ascii="IRNazanin" w:hAnsi="IRNazanin" w:eastAsia="IRNazanin"/>
          <w:color w:val="111111"/>
          <w:sz w:val="28"/>
          <w:sz w:val="28"/>
          <w:szCs w:val="28"/>
          <w:rtl w:val="true"/>
          <w:lang w:bidi="fa-IR"/>
        </w:rPr>
        <w:t xml:space="preserve">ثم تغتسل وتصلّی کما تغتسل المستحاضة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الاسناد عن علی بن الحسن ، عن عمرو بن عثمان ، عن </w:t>
      </w:r>
      <w:bookmarkStart w:id="1319" w:name="pg17122_169906"/>
    </w:p>
    <w:p>
      <w:pPr>
        <w:pStyle w:val="BookText"/>
        <w:rPr/>
      </w:pPr>
      <w:bookmarkEnd w:id="1319"/>
      <w:r>
        <w:rPr>
          <w:rFonts w:ascii="IRNazanin" w:hAnsi="IRNazanin" w:eastAsia="IRNazanin"/>
          <w:color w:val="111111"/>
          <w:sz w:val="28"/>
          <w:sz w:val="28"/>
          <w:szCs w:val="28"/>
          <w:rtl w:val="true"/>
          <w:lang w:bidi="fa-IR"/>
        </w:rPr>
        <w:t xml:space="preserve">الحسن بن محبوب ، عن علی بن رئاب ، عن مالک بن أعین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النفساء یغشاها زوجها وهی فی نفاسها من الدم؟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إذا مضی لها منذ یوم وضعت بقدر أیّام عدّة حیضها ثم تستظهر بیوم فلا بأس بعدُ أن یغشاها زوجها یأمرها </w:t>
      </w:r>
      <w:r>
        <w:rPr>
          <w:rStyle w:val="FootnoteAnchor"/>
          <w:rtl w:val="true"/>
        </w:rPr>
        <w:footnoteReference w:id="1595"/>
      </w:r>
      <w:r>
        <w:rPr>
          <w:rFonts w:ascii="IRNazanin" w:hAnsi="IRNazanin" w:eastAsia="IRNazanin"/>
          <w:color w:val="111111"/>
          <w:sz w:val="28"/>
          <w:sz w:val="28"/>
          <w:szCs w:val="28"/>
          <w:rtl w:val="true"/>
          <w:lang w:bidi="fa-IR"/>
        </w:rPr>
        <w:t xml:space="preserve">فتغتسل ثم یغشاها إن أحبّ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أبی حمزة ، والظاهر أنّه الثقة ، واحتمال المهمل المذکور فی رجال الصادق علیه السلام من کتاب الشیخ </w:t>
      </w:r>
      <w:r>
        <w:rPr>
          <w:rStyle w:val="FootnoteAnchor"/>
          <w:rtl w:val="true"/>
        </w:rPr>
        <w:footnoteReference w:id="1596"/>
      </w:r>
      <w:r>
        <w:rPr>
          <w:rFonts w:ascii="IRNazanin" w:hAnsi="IRNazanin" w:eastAsia="IRNazanin"/>
          <w:color w:val="111111"/>
          <w:sz w:val="28"/>
          <w:sz w:val="28"/>
          <w:szCs w:val="28"/>
          <w:rtl w:val="true"/>
          <w:lang w:bidi="fa-IR"/>
        </w:rPr>
        <w:t xml:space="preserve">بعید ، ویونس ابن یعقوب قد تقدم القول </w:t>
      </w:r>
      <w:r>
        <w:rPr>
          <w:rStyle w:val="FootnoteAnchor"/>
          <w:rtl w:val="true"/>
        </w:rPr>
        <w:footnoteReference w:id="1597"/>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عمرو فیه هو الزیّات ، ویونس هو ابن یعقوب لتقدّم هذا عن قریب مفسَّراً ، وذکرنا الحال فیما تقدم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کما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تکرر بیان رجاله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عمرو بن عثمان وهو الخزّاز الثقة ، لأنّ الراوی عنه فی النجاشی علی بن الحسن بن فضال </w:t>
      </w:r>
      <w:r>
        <w:rPr>
          <w:rStyle w:val="FootnoteAnchor"/>
          <w:rtl w:val="true"/>
        </w:rPr>
        <w:footnoteReference w:id="1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ومالک بن أعین مذکور فی رجال</w:t>
      </w:r>
    </w:p>
    <w:p>
      <w:pPr>
        <w:pStyle w:val="Heading4"/>
        <w:numPr>
          <w:ilvl w:val="3"/>
          <w:numId w:val="1"/>
        </w:numPr>
        <w:rPr/>
      </w:pPr>
      <w:bookmarkStart w:id="1320" w:name="__RefHeading___Toc39910_2142443653"/>
      <w:bookmarkStart w:id="1321" w:name="_Toc513"/>
      <w:bookmarkEnd w:id="1320"/>
      <w:r>
        <w:rPr>
          <w:rtl w:val="true"/>
        </w:rPr>
        <w:t>محمد بن أبی حمزة الراوی عن یونس بن یعقوب هو الثقة</w:t>
      </w:r>
      <w:bookmarkEnd w:id="1321"/>
    </w:p>
    <w:p>
      <w:pPr>
        <w:pStyle w:val="Heading4"/>
        <w:numPr>
          <w:ilvl w:val="3"/>
          <w:numId w:val="1"/>
        </w:numPr>
        <w:rPr/>
      </w:pPr>
      <w:bookmarkStart w:id="1322" w:name="__RefHeading___Toc39912_2142443653"/>
      <w:bookmarkStart w:id="1323" w:name="_Toc514"/>
      <w:bookmarkEnd w:id="1322"/>
      <w:r>
        <w:rPr>
          <w:rtl w:val="true"/>
        </w:rPr>
        <w:t>محمد بن عمرو الراوی عن یونس هو الزیّات</w:t>
      </w:r>
      <w:bookmarkEnd w:id="1323"/>
    </w:p>
    <w:p>
      <w:pPr>
        <w:pStyle w:val="Heading4"/>
        <w:numPr>
          <w:ilvl w:val="3"/>
          <w:numId w:val="1"/>
        </w:numPr>
        <w:rPr/>
      </w:pPr>
      <w:bookmarkStart w:id="1324" w:name="__RefHeading___Toc39914_2142443653"/>
      <w:bookmarkStart w:id="1325" w:name="_Toc515"/>
      <w:bookmarkEnd w:id="1324"/>
      <w:r>
        <w:rPr>
          <w:rtl w:val="true"/>
        </w:rPr>
        <w:t>عمرو بن عثمان الذی یروی عنه علی بن الحسن هو الخزّاز الثقة</w:t>
      </w:r>
      <w:bookmarkEnd w:id="1325"/>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26" w:name="__RefHeading___Toc39916_2142443653"/>
      <w:bookmarkStart w:id="1327" w:name="_Toc516"/>
      <w:bookmarkEnd w:id="1326"/>
      <w:r>
        <w:rPr>
          <w:rtl w:val="true"/>
        </w:rPr>
        <w:t>مالک بن أعین مهمل</w:t>
      </w:r>
      <w:bookmarkStart w:id="1328" w:name="pg17122_169907"/>
      <w:bookmarkEnd w:id="1327"/>
    </w:p>
    <w:p>
      <w:pPr>
        <w:pStyle w:val="BookText"/>
        <w:rPr/>
      </w:pPr>
      <w:bookmarkEnd w:id="1328"/>
      <w:r>
        <w:rPr>
          <w:rFonts w:ascii="IRNazanin" w:hAnsi="IRNazanin" w:eastAsia="IRNazanin"/>
          <w:color w:val="111111"/>
          <w:sz w:val="28"/>
          <w:sz w:val="28"/>
          <w:szCs w:val="28"/>
          <w:rtl w:val="true"/>
          <w:lang w:bidi="fa-IR"/>
        </w:rPr>
        <w:t>الباقر والصادق مهملاً ، وباقی الرجال قد ذکرناه مکرّراً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الجمیع دالّ علی أنّ النفساء ترجع إلی عادتها فی الحیض ، غایة الأمر أنّ العادة تارةً تکون مستقیمة عدداً ووقتاً ، وتارة لا تکون کذلک ، فالأخبار من هذه الجهة مجملة ، کما أنّها غیر دالّة علی حکم المبتدأة التی لم یتقرّر لها حیض فی زمن معیّن ، وربما یظن أیضاً عدم تناولها للمضطربّة ، إلاّ أنّ للقول فی ذلک مجالاً من حیث إن الاضطراب له أوجه ، ولو أُرید بها من لم تعلم الوقت والعدد أمکن أن یقال بخروجها عن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والعجب من العلاّمة فی المختلف أنّه اختار أنّها ترجع إلی عادتها فی الحیض إن کانت ذات عادة ، وإن کانت مبتدأة صبرت ثمانیة عشر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استدل علی الأوّل ببعض الأخبار المبحوث عنها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ولأنّها مأمورة بالعبادة وإنّما تخرج عن العهدة بفعلها ، أو بما ثبت أنّه مسقط ، ولم یتحقق فی الزائد علی ما قلناه ، فیبقی فی عهدة التکلیف بالمقتضی السالم عن معارضة المسقط القطعی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احتجاج غیره بالأخبار الدال بعضها علی قعود النفساء تسع عشرة ، وبعضها علی الثمانی عشرة ، وأجاب بأنها محمولة علی المبتدأة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وأنت خبیر بما فی الکلام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الأخبار قد سمعت القول فیها مجملا</w:t>
      </w:r>
      <w:r>
        <w:rPr>
          <w:rFonts w:eastAsia="IRNazanin" w:cs="IRNazanin"/>
          <w:color w:val="111111"/>
          <w:sz w:val="28"/>
          <w:szCs w:val="28"/>
          <w:rtl w:val="true"/>
          <w:lang w:bidi="fa-IR"/>
        </w:rPr>
        <w:t>.</w:t>
      </w:r>
    </w:p>
    <w:p>
      <w:pPr>
        <w:pStyle w:val="Heading4"/>
        <w:numPr>
          <w:ilvl w:val="3"/>
          <w:numId w:val="1"/>
        </w:numPr>
        <w:rPr/>
      </w:pPr>
      <w:bookmarkStart w:id="1329" w:name="__RefHeading___Toc39918_2142443653"/>
      <w:bookmarkStart w:id="1330" w:name="_Toc517"/>
      <w:bookmarkEnd w:id="1329"/>
      <w:r>
        <w:rPr>
          <w:rtl w:val="true"/>
        </w:rPr>
        <w:t>النفساء ترجع إلی عادتها فی الحیض</w:t>
      </w:r>
      <w:bookmarkEnd w:id="1330"/>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31" w:name="__RefHeading___Toc39920_2142443653"/>
      <w:bookmarkStart w:id="1332" w:name="_Toc518"/>
      <w:bookmarkEnd w:id="1331"/>
      <w:r>
        <w:rPr>
          <w:rtl w:val="true"/>
        </w:rPr>
        <w:t>کلام العلّامة فی المسألة والمناقشة فیه</w:t>
      </w:r>
      <w:bookmarkEnd w:id="1332"/>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مأمورة بالعبادة ، إن أراد به الأمر فی حال وجود الدم فمشکل بعد اقتضاء الأخبار سقوط العبادة عنها المقتضی لعدم یقین شغل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الذمّة مشغولة بیقین قبل الدم ، فإذا خرج منه ما تیقن عدم الاشتغال فیه ، بقی ما شک فی کونه مشتغلا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 ما کرّرنا القول فیه فی الکتاب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الیقین یرتفع بالظن الحاصل من الأخبار فلا یحتاج إلی ثبوت المسقط القطعی ، کما یقتضیه کلام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الأخبار مع التعارض توجب الشک فلا یحصل الظن المخرج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الشک أیضاً یقتضی عدم یقین اشتغال الذمّة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الیقین لا یزیله الشک کما هو مفاد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 یقین اشتغال الذمّة غیر حاصل ، إذ الحاصل بالاستصحاب لیس إلاّ الظن ، فإذا حصل الشک بتعارض الأخبار أمکن أن یوجّه بقاء الظن بأنّ الشک لا یعارضه ، وقد یتوجّه علیه أنّ الشک هنا تساوی الظنون ، وفی الحقیقة لیس هو الشک المقابل للظن ، بل إنّما هو فی قوة تعدّد الظنون مع عدم المرجّح ، وقد اتفق للشیخ کلام فی المقام فی التهذیب ذکرنا ما فیه فی حاشیته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فمرجع الکلام إلی أنّ التکلیف بالعبادة محقّق إلاّ ما أخرجه الدلیل ، ونحن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موقوف علی الدلیل بعد زواله ، ویقین التکلیف سابقاً لا یفید لاحقاً بعد وجود الخلاف ، فلیتأمّل</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قاله العلاّمة من أنّ الأخبار محمولة علی المبتدأة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bookmarkStart w:id="1333" w:name="pg17122_169909"/>
    </w:p>
    <w:p>
      <w:pPr>
        <w:pStyle w:val="BookText"/>
        <w:rPr/>
      </w:pPr>
      <w:bookmarkEnd w:id="1333"/>
      <w:r>
        <w:rPr>
          <w:rFonts w:ascii="IRNazanin" w:hAnsi="IRNazanin" w:eastAsia="IRNazanin"/>
          <w:color w:val="111111"/>
          <w:sz w:val="28"/>
          <w:sz w:val="28"/>
          <w:szCs w:val="28"/>
          <w:rtl w:val="true"/>
          <w:lang w:bidi="fa-IR"/>
        </w:rPr>
        <w:t>أنّ الأخبار تضمّنت ثمانیة عشر وتسعة عشر ، فالمطلوب غیر حاصل من الأخبار ، وستسمع أیضاً القول فیها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الأخبار المبحوث عنها تضمّنت الاستظهار علی الإطلاق ، فلا یبعد أن یکون کاستظهار الحائض والاعتماد علی بیانه فیها ، نعم ما بعد الاستظهار علی تقدیر عدم وصول الدم إلی العشرة فقط لا یخلو من إشکال فی النفاس ، لأنّ الحیض علی تقدیر القول فیه بما ذکروه فلزوم مثله فی النفاس موقوف علی اتفاق کلام القوم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المنتهی قال العلاّمة فی بحث النفاس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انقطع الدم بدون العشرة أدخلت قطنة فإذا خرجت نقیّة اغتسلت وصلّت ،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خرجت ملوّثة صبرت إلی النقاء ، أو یمضی مدّة الأکثر وهی عشرة أیّام إن کانت عادتها ، وإلاّ صبرت لو استمرّ بها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وبعض المتأخّرین غلط هنا فتوهم أنّ مع الاستمرار تصبر عشرة ، ولا نعرف علیه دلیلاً سوی ما رواه یونس ، عن أبی عبد الله علیه السلام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تستظهر بعشرة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غیر دالّ علی النزاع ، إذ من المحتمل أن تکون عادتها ثمانیة أیام أو تسعة أیّام ، ویدلُّ علی ما اخترناه الأحادیث التی قدّمناها ، فإنها دالّة علی إحالة النفساء علی الحائض فی الأیّام والاستظهار </w:t>
      </w:r>
      <w:r>
        <w:rPr>
          <w:rStyle w:val="FootnoteAnchor"/>
          <w:rtl w:val="true"/>
        </w:rPr>
        <w:footnoteReference w:id="1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یذهب علیک أنّ إفادة الأخبار کون النفاس کالحیض من کلّ وجه لا یخلو من خفاء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 أورده علی بعض المتأخّرین فی غیر محلّه علی ما أظنّ ، لأنّا</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34" w:name="__RefHeading___Toc39922_2142443653"/>
      <w:bookmarkStart w:id="1335" w:name="_Toc519"/>
      <w:bookmarkEnd w:id="1334"/>
      <w:r>
        <w:rPr>
          <w:rtl w:val="true"/>
        </w:rPr>
        <w:t>الاستظهار للنفساء</w:t>
      </w:r>
      <w:bookmarkStart w:id="1336" w:name="pg17122_169910"/>
      <w:bookmarkEnd w:id="1335"/>
    </w:p>
    <w:p>
      <w:pPr>
        <w:pStyle w:val="BookText"/>
        <w:rPr/>
      </w:pPr>
      <w:bookmarkEnd w:id="1336"/>
      <w:r>
        <w:rPr>
          <w:rFonts w:ascii="IRNazanin" w:hAnsi="IRNazanin" w:eastAsia="IRNazanin"/>
          <w:color w:val="111111"/>
          <w:sz w:val="28"/>
          <w:sz w:val="28"/>
          <w:szCs w:val="28"/>
          <w:rtl w:val="true"/>
          <w:lang w:bidi="fa-IR"/>
        </w:rPr>
        <w:t>قدّمنا الأخبار الدالّة علی أیّام الاستظهار ، وذکرنا أن ما یدلّ علی العشرة یحتمل لإرادة الغالب من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العلاّمة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من المحتمل ، إلی آخره ، غیر تامّ ، لأنّ الاعتبار بظاهر اللفظ ، نعم إذا لوحظت جهة أُخری أمکن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شرح الإرشاد قال جدّی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الأخبار الصحیحة لم تصرح برجوع المبتدأة والمضطربة إلی عشرة ، بل إنّما صرح فیها بأنّه أی النفاس لذات العادة عادتها فی الحیض ، ولکن فیها إشعار بذلک ، لأنّه ورد فی بعضها الاستظهار إلی العشرة کالحائض ، ولو کان أکثره أقل منها لم یستظهر إلیها </w:t>
      </w:r>
      <w:r>
        <w:rPr>
          <w:rStyle w:val="FootnoteAnchor"/>
          <w:rtl w:val="true"/>
        </w:rPr>
        <w:footnoteReference w:id="1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یخلو من تأمّل ، وقد ذکرت ذلک کلّه مفصلاً فی حاشیة الروضة ، ومجمل الأمر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فاعلم أنّ ما تضمّنته روایة عبد الرحمن بن الحجاج المعتبرة الإسناد ، من أنّ النفساء التی مضی لها ثلاثون لیلة وأکثر ثم رأت دماً أو صفرة کان حکمها مع الصفرة أن تغتسل وتصلّی ، وإن کان دماً لیس بصفرة تمسک عن الصلاة ثم تغتسل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یخلو من إجمال ، لأنّ ظاهر السؤال وإن کان عن النفساء ، إلاّ أنّ مضیّ الثلاثین قد صیّر لها حکماً آخر ، فیحتمل أن یکون کلام الإمام علیه السلام عن حالها فیما بعد ، فإن رأت صفرة اغتسلت وصلّت ، وإن رأت دماً تمسک عن الصلاة أیّام أقرائها لکونه حیضا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یعود إلی الزمان الماضی وهو الثلاثون کما ظنّه الشیخ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37" w:name="__RefHeading___Toc39924_2142443653"/>
      <w:bookmarkStart w:id="1338" w:name="_Toc520"/>
      <w:bookmarkEnd w:id="1337"/>
      <w:r>
        <w:rPr>
          <w:rtl w:val="true"/>
        </w:rPr>
        <w:t>حکم النفساء التی مضی لها ثلاثون لیلة</w:t>
      </w:r>
      <w:bookmarkStart w:id="1339" w:name="pg17122_169911"/>
      <w:bookmarkEnd w:id="1338"/>
    </w:p>
    <w:p>
      <w:pPr>
        <w:pStyle w:val="BookText"/>
        <w:rPr/>
      </w:pPr>
      <w:bookmarkEnd w:id="1339"/>
      <w:r>
        <w:rPr>
          <w:rFonts w:ascii="IRNazanin" w:hAnsi="IRNazanin" w:eastAsia="IRNazanin"/>
          <w:color w:val="111111"/>
          <w:sz w:val="28"/>
          <w:sz w:val="28"/>
          <w:szCs w:val="28"/>
          <w:rtl w:val="true"/>
          <w:lang w:bidi="fa-IR"/>
        </w:rPr>
        <w:t xml:space="preserve">حیث جعلها من الأدلة علی حکم النفساء ، لکن لا یخفی أنّه لا یتمّ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کانت صفرة فلتغتسل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أمکن من جهة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الظن أنّه لا مجال لغیر الاحتمال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دلالة الخبر الأخیر علی عدم جواز الوطء فی یوم الاستظهار ، لکنه لا یصلح لإثبات الحکم ، مضافاً إلی نوع قصور فی الدلالة ، وفی بعض الأخبار المعتبرة ما یدل علی اختصاص المنع بأیّام الحیض ، وقد ذکرت ذلک فی محل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تضمنه الخبر الأخیر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منذ یوم وضعت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فالتسدید فیه سهل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أحمد بن یحیی ، عن أبی جعفر ، عن أبیه ، عن حفص بن غیاث ، عن جعفر ، عن أبیه ، 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النفساء تقعد أربعین یوماً ، فإن طهرت وإلاّ اغتسلت وصلّت ویأتیها زوجها وکانت بمنزلة المستحاضة تصوم وتصلّی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أحمد بن محمد ، عن الحسین بن سعید ، عن القاسم بن محمد ، عن محمد بن یحیی الخثعمی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النفساء </w:t>
      </w:r>
      <w:r>
        <w:rPr>
          <w:rStyle w:val="FootnoteAnchor"/>
          <w:rtl w:val="true"/>
        </w:rPr>
        <w:footnoteReference w:id="1603"/>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کانت تکون مع ما مضی من أولادها وما جرّبت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40" w:name="__RefHeading___Toc39926_2142443653"/>
      <w:bookmarkStart w:id="1341" w:name="_Toc521"/>
      <w:bookmarkEnd w:id="1340"/>
      <w:r>
        <w:rPr>
          <w:rtl w:val="true"/>
        </w:rPr>
        <w:t>حکم الوطء فی یوم الاستظهار</w:t>
      </w:r>
      <w:bookmarkEnd w:id="1341"/>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تلد فیما مضی؟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الأربعین إلی الخمسین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محمد بن عیسی ، عن علی بن الحکم ، عن أبی أیوب ، عن محمد بن مسلم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تقعد النفساء حتی تصلّی؟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ثمانی عشرة سبع عشرة ثم تغتسل وتحتشی وتصلّی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الحکم ، عن العلاء بن رزین ، عن محمد بن مسلم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تقعد النفساء إذا لم ینقطع منها الدم الثلاثین أو أربعین یوماً إلی الخمسین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 بن سعید ، عن النضر ، عن ابن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تقعد النفساء تسع عشرة لیلة ، فإن رأت دماً صنعت کما تصنع المستحاضة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روینا عن ابن سنان ما ینافی هذا الخبر وأنّ أیّام النفاس مثل أیّام الحیض فتعارض الخبران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 عن فضالة ، عن العلاء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النفساء کم تقعد؟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أسماء بنت عمیس أمرها رسول الله صلی الله علیه و آله أن تغتسل لثمان عشرة ولا بأس بأن تستظهر بیوم أو یومین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تنافی بین هذه الأخبار وبین الأخبار الأوّلة التی قدمناها ، لأنّ لنا فی الکلام علی هذه الأخبار طرقاً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w:t>
      </w:r>
      <w:r>
        <w:rPr>
          <w:rStyle w:val="FootnoteAnchor"/>
          <w:rtl w:val="true"/>
        </w:rPr>
        <w:footnoteReference w:id="1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الأخبار أخبار آحاد مختلفة الألفاظ متضادّة المعانی لا یمکن العمل علی جمیعها </w:t>
      </w:r>
      <w:bookmarkStart w:id="1342" w:name="pg17122_169913"/>
    </w:p>
    <w:p>
      <w:pPr>
        <w:pStyle w:val="BookText"/>
        <w:rPr/>
      </w:pPr>
      <w:bookmarkEnd w:id="1342"/>
      <w:r>
        <w:rPr>
          <w:rFonts w:ascii="IRNazanin" w:hAnsi="IRNazanin" w:eastAsia="IRNazanin"/>
          <w:color w:val="111111"/>
          <w:sz w:val="28"/>
          <w:sz w:val="28"/>
          <w:szCs w:val="28"/>
          <w:rtl w:val="true"/>
          <w:lang w:bidi="fa-IR"/>
        </w:rPr>
        <w:t xml:space="preserve">لتضادّها ، ولا علی بعضها لأنّه لیس بعضها بالعمل علیه أولی من بعض ، والأخبار المتقدّمة مجمع علی متضمنها ، لأنّه لا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Style w:val="FootnoteAnchor"/>
          <w:rtl w:val="true"/>
        </w:rPr>
        <w:footnoteReference w:id="1608"/>
      </w:r>
      <w:r>
        <w:rPr>
          <w:rFonts w:ascii="IRNazanin" w:hAnsi="IRNazanin" w:eastAsia="IRNazanin"/>
          <w:color w:val="111111"/>
          <w:sz w:val="28"/>
          <w:sz w:val="28"/>
          <w:szCs w:val="28"/>
          <w:rtl w:val="true"/>
          <w:lang w:bidi="fa-IR"/>
        </w:rPr>
        <w:t>أنّ أیّام الحیض فی النفاس معتبرة ، وإنّما الخلاف فیما زاد علی ذلک ، وإذا تعارضت وجب ترک العمل بها والعمل بالمجمع علیه بما قد بُیّن فی غیر 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نحمل هذه الأخبار علی ضرب من التقیة ، لأنّها موافقة لمذهب العامة ، ولأجل ذلک اختلفت کاختلاف العامة فی أکثر أیّام النفاس فکأنّهم أفتوا کلا منهم بمذهبه الذی یعتقده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الأخبار خرجت علی سبب ، وهو أنّهم سئلوا عن امرأة أتت علیها هذه الأیّام لم تصلّ فیها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ذلک ینبغی أن تغتسل وتصلّی ولم یقولوا فی شی‌ء منها أنّ ذلک حدّ لا یجوز اعتبار ما نقص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عیسی الأشعری ، لأنّ المراد بأبی جعفر أحمد بن محمد بن عیسی ، وقد تقدم القول فیه </w:t>
      </w:r>
      <w:r>
        <w:rPr>
          <w:rStyle w:val="FootnoteAnchor"/>
          <w:rtl w:val="true"/>
        </w:rPr>
        <w:footnoteReference w:id="1609"/>
      </w:r>
      <w:r>
        <w:rPr>
          <w:rFonts w:ascii="IRNazanin" w:hAnsi="IRNazanin" w:eastAsia="IRNazanin"/>
          <w:color w:val="111111"/>
          <w:sz w:val="28"/>
          <w:sz w:val="28"/>
          <w:szCs w:val="28"/>
          <w:rtl w:val="true"/>
          <w:lang w:bidi="fa-IR"/>
        </w:rPr>
        <w:t xml:space="preserve">؛ وفیه حفص بن غیاث ، وهو عامیّ علی ما ذکره الشیخ فی الفهرست </w:t>
      </w:r>
      <w:r>
        <w:rPr>
          <w:rStyle w:val="FootnoteAnchor"/>
          <w:rtl w:val="true"/>
        </w:rPr>
        <w:footnoteReference w:id="1610"/>
      </w:r>
      <w:r>
        <w:rPr>
          <w:rFonts w:ascii="IRNazanin" w:hAnsi="IRNazanin" w:eastAsia="IRNazanin"/>
          <w:color w:val="111111"/>
          <w:sz w:val="28"/>
          <w:sz w:val="28"/>
          <w:szCs w:val="28"/>
          <w:rtl w:val="true"/>
          <w:lang w:bidi="fa-IR"/>
        </w:rPr>
        <w:t xml:space="preserve">والکشی </w:t>
      </w:r>
      <w:r>
        <w:rPr>
          <w:rStyle w:val="FootnoteAnchor"/>
          <w:rtl w:val="true"/>
        </w:rPr>
        <w:footnoteReference w:id="1611"/>
      </w:r>
      <w:r>
        <w:rPr>
          <w:rFonts w:ascii="IRNazanin" w:hAnsi="IRNazanin" w:eastAsia="IRNazanin"/>
          <w:color w:val="111111"/>
          <w:sz w:val="28"/>
          <w:sz w:val="28"/>
          <w:szCs w:val="28"/>
          <w:rtl w:val="true"/>
          <w:lang w:bidi="fa-IR"/>
        </w:rPr>
        <w:t xml:space="preserve">، وما قاله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کتابه معتمد </w:t>
      </w:r>
      <w:r>
        <w:rPr>
          <w:rStyle w:val="FootnoteAnchor"/>
          <w:rtl w:val="true"/>
        </w:rPr>
        <w:footnoteReference w:id="1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نفع له إلاّ بتقدیر العلم بأخذ الحدیث من کتابه</w:t>
      </w:r>
      <w:r>
        <w:rPr>
          <w:rFonts w:eastAsia="IRNazanin" w:cs="IRNazanin"/>
          <w:color w:val="111111"/>
          <w:sz w:val="28"/>
          <w:szCs w:val="28"/>
          <w:rtl w:val="true"/>
          <w:lang w:bidi="fa-IR"/>
        </w:rPr>
        <w:t>.</w:t>
      </w:r>
    </w:p>
    <w:p>
      <w:pPr>
        <w:pStyle w:val="Heading4"/>
        <w:numPr>
          <w:ilvl w:val="3"/>
          <w:numId w:val="1"/>
        </w:numPr>
        <w:rPr/>
      </w:pPr>
      <w:bookmarkStart w:id="1343" w:name="__RefHeading___Toc39928_2142443653"/>
      <w:bookmarkStart w:id="1344" w:name="_Toc522"/>
      <w:bookmarkEnd w:id="1343"/>
      <w:r>
        <w:rPr>
          <w:rtl w:val="true"/>
        </w:rPr>
        <w:t>إشارة إلی محمد بن عیسی الأشعری</w:t>
      </w:r>
      <w:bookmarkEnd w:id="1344"/>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45" w:name="__RefHeading___Toc39930_2142443653"/>
      <w:bookmarkStart w:id="1346" w:name="_Toc523"/>
      <w:bookmarkEnd w:id="1345"/>
      <w:r>
        <w:rPr>
          <w:rtl w:val="true"/>
        </w:rPr>
        <w:t>حفص بن غیاث عامی</w:t>
      </w:r>
      <w:bookmarkStart w:id="1347" w:name="pg17122_169914"/>
      <w:bookmarkEnd w:id="1346"/>
    </w:p>
    <w:p>
      <w:pPr>
        <w:pStyle w:val="BookText"/>
        <w:rPr/>
      </w:pPr>
      <w:bookmarkEnd w:id="1347"/>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القاسم بن محمد ، وهو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الظاهر من ممارسة الأسانید </w:t>
      </w:r>
      <w:r>
        <w:rPr>
          <w:rFonts w:eastAsia="IRNazanin" w:cs="IRNazanin"/>
          <w:color w:val="111111"/>
          <w:sz w:val="28"/>
          <w:szCs w:val="28"/>
          <w:rtl w:val="true"/>
          <w:lang w:bidi="fa-IR"/>
        </w:rPr>
        <w:t xml:space="preserve">) </w:t>
      </w:r>
      <w:r>
        <w:rPr>
          <w:rStyle w:val="FootnoteAnchor"/>
          <w:rtl w:val="true"/>
        </w:rPr>
        <w:footnoteReference w:id="1613"/>
      </w:r>
      <w:r>
        <w:rPr>
          <w:rFonts w:ascii="IRNazanin" w:hAnsi="IRNazanin" w:eastAsia="IRNazanin"/>
          <w:color w:val="111111"/>
          <w:sz w:val="28"/>
          <w:sz w:val="28"/>
          <w:szCs w:val="28"/>
          <w:rtl w:val="true"/>
          <w:lang w:bidi="fa-IR"/>
        </w:rPr>
        <w:t xml:space="preserve">وقد تکرر ذکره </w:t>
      </w:r>
      <w:r>
        <w:rPr>
          <w:rStyle w:val="FootnoteAnchor"/>
          <w:rtl w:val="true"/>
        </w:rPr>
        <w:footnoteReference w:id="1614"/>
      </w:r>
      <w:r>
        <w:rPr>
          <w:rFonts w:ascii="IRNazanin" w:hAnsi="IRNazanin" w:eastAsia="IRNazanin"/>
          <w:color w:val="111111"/>
          <w:sz w:val="28"/>
          <w:sz w:val="28"/>
          <w:szCs w:val="28"/>
          <w:rtl w:val="true"/>
          <w:lang w:bidi="fa-IR"/>
        </w:rPr>
        <w:t xml:space="preserve">؛ ومحمد بن یحیی الخثعمی تقدم أنّ الشیخ فی هذا الکتاب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والنجاشی لم یذکر ذلک ، بل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بن سلیمان الخثعمی کوفی ثقة </w:t>
      </w:r>
      <w:r>
        <w:rPr>
          <w:rStyle w:val="FootnoteAnchor"/>
          <w:rtl w:val="true"/>
        </w:rPr>
        <w:footnoteReference w:id="1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ولفظ ابن سلیمان لم یذکره الشیخ ، فاحتمال المغایرة بین الرجلین ممکن ، إلاّ أنّه بعید ، ولا یبعد ترجیح قول النجاشی علی تقدیر الاتحاد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الخلاصة محمد بن یحیی ابن سلیم فی نسخة ، وفی اخری ابن سلیمان </w:t>
      </w:r>
      <w:r>
        <w:rPr>
          <w:rStyle w:val="FootnoteAnchor"/>
          <w:rtl w:val="true"/>
        </w:rPr>
        <w:footnoteReference w:id="1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داود حکم بالتعدد فذکر الرجلین </w:t>
      </w:r>
      <w:r>
        <w:rPr>
          <w:rStyle w:val="FootnoteAnchor"/>
          <w:rtl w:val="true"/>
        </w:rPr>
        <w:footnoteReference w:id="1617"/>
      </w:r>
      <w:r>
        <w:rPr>
          <w:rFonts w:ascii="IRNazanin" w:hAnsi="IRNazanin" w:eastAsia="IRNazanin"/>
          <w:color w:val="111111"/>
          <w:sz w:val="28"/>
          <w:sz w:val="28"/>
          <w:szCs w:val="28"/>
          <w:rtl w:val="true"/>
          <w:lang w:bidi="fa-IR"/>
        </w:rPr>
        <w:t>، ولا یخفی علیک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ارتیاب فیه بعد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أن الطریق إلی علی بن الحکم غیر مذکور فی المشیخة ، واحتمال البناء علی الاسناد السابق کما هی عادة الکلینی لا یخلو من إشکال ، لعدم سلوک الشیخ هذا الطریق ، بل حکم الوالد قدس سره بأن الشیخ لم یتنبّه لعادة الکلینی ، فوقع له فی التهذیب والاستبصار ما یوهم قطع کثیر من الأخبار بسبب الغفلة ، کما یعلم من ممارسة الکتابین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ینظّر فی هذا باحتمال کون الشیخ اعتمد علی المعلومیّة ، إلاّ أنّ المعلوم من عادة الشیخ عدم اتباع ما فعله الکلینی رحمه الله وفی الظن أنّ الحدیث من الکافی ، وأتی به الشیخ علی نهج ما فیه ، إلاّ أنّه لم یحضرنی الآن لأعلم حقیقة الحال</w:t>
      </w:r>
      <w:r>
        <w:rPr>
          <w:rFonts w:eastAsia="IRNazanin" w:cs="IRNazanin"/>
          <w:color w:val="111111"/>
          <w:sz w:val="28"/>
          <w:szCs w:val="28"/>
          <w:rtl w:val="true"/>
          <w:lang w:bidi="fa-IR"/>
        </w:rPr>
        <w:t>.</w:t>
      </w:r>
    </w:p>
    <w:p>
      <w:pPr>
        <w:pStyle w:val="Heading4"/>
        <w:numPr>
          <w:ilvl w:val="3"/>
          <w:numId w:val="1"/>
        </w:numPr>
        <w:rPr/>
      </w:pPr>
      <w:bookmarkStart w:id="1348" w:name="__RefHeading___Toc39932_2142443653"/>
      <w:bookmarkStart w:id="1349" w:name="_Toc524"/>
      <w:bookmarkEnd w:id="1348"/>
      <w:r>
        <w:rPr>
          <w:rtl w:val="true"/>
        </w:rPr>
        <w:t>إشارة إلی حال القاسم بن محمد</w:t>
      </w:r>
      <w:bookmarkEnd w:id="1349"/>
    </w:p>
    <w:p>
      <w:pPr>
        <w:pStyle w:val="Heading4"/>
        <w:numPr>
          <w:ilvl w:val="3"/>
          <w:numId w:val="1"/>
        </w:numPr>
        <w:rPr/>
      </w:pPr>
      <w:bookmarkStart w:id="1350" w:name="__RefHeading___Toc39934_2142443653"/>
      <w:bookmarkStart w:id="1351" w:name="_Toc525"/>
      <w:bookmarkEnd w:id="1350"/>
      <w:r>
        <w:rPr>
          <w:rtl w:val="true"/>
        </w:rPr>
        <w:t>بحث حول محمد بن یحیی الخثعمی</w:t>
      </w:r>
      <w:bookmarkEnd w:id="1351"/>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52" w:name="__RefHeading___Toc39936_2142443653"/>
      <w:bookmarkStart w:id="1353" w:name="_Toc526"/>
      <w:bookmarkEnd w:id="1352"/>
      <w:r>
        <w:rPr>
          <w:rtl w:val="true"/>
        </w:rPr>
        <w:t>طریق الشیخ إلی علی بن الحکم غیر مذکور فی المشیخة</w:t>
      </w:r>
      <w:bookmarkStart w:id="1354" w:name="pg17122_169915"/>
      <w:bookmarkEnd w:id="1353"/>
    </w:p>
    <w:p>
      <w:pPr>
        <w:pStyle w:val="BookText"/>
        <w:rPr/>
      </w:pPr>
      <w:bookmarkEnd w:id="135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Style w:val="FootnoteAnchor"/>
          <w:rtl w:val="true"/>
        </w:rPr>
        <w:footnoteReference w:id="1618"/>
      </w:r>
      <w:r>
        <w:rPr>
          <w:rFonts w:ascii="IRNazanin" w:hAnsi="IRNazanin" w:eastAsia="IRNazanin"/>
          <w:color w:val="111111"/>
          <w:sz w:val="28"/>
          <w:sz w:val="28"/>
          <w:szCs w:val="28"/>
          <w:rtl w:val="true"/>
          <w:lang w:bidi="fa-IR"/>
        </w:rPr>
        <w:t>لا ارتیاب فیه ، والنضر هو ابن سوید ؛ وابن سنان عبد الله لما قدّمناه غیر مرة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Style w:val="FootnoteAnchor"/>
          <w:rtl w:val="true"/>
        </w:rPr>
        <w:footnoteReference w:id="1619"/>
      </w:r>
      <w:r>
        <w:rPr>
          <w:rFonts w:ascii="IRNazanin" w:hAnsi="IRNazanin" w:eastAsia="IRNazanin"/>
          <w:color w:val="111111"/>
          <w:sz w:val="28"/>
          <w:sz w:val="28"/>
          <w:szCs w:val="28"/>
          <w:rtl w:val="true"/>
          <w:lang w:bidi="fa-IR"/>
        </w:rPr>
        <w:t>أیضاً لا شبهة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لما یقوله بعض أهل الخلاف ، فقد وجدت فی عبارة بعضهم ما هذه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النفاس ستّون یوماً وأغلبه أربعون یوماً </w:t>
      </w:r>
      <w:r>
        <w:rPr>
          <w:rStyle w:val="FootnoteAnchor"/>
          <w:rtl w:val="true"/>
        </w:rPr>
        <w:footnoteReference w:id="1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ذلک أنّ الراوی منهم ، وحینئذ لا سبیل إلی احتمال ما ذکره الشیخ غیر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یبعد فیه الحمل علی التقیّة لکن فیه معها نکتة ، وهو أنّه یتمشّی </w:t>
      </w:r>
      <w:r>
        <w:rPr>
          <w:rStyle w:val="FootnoteAnchor"/>
          <w:rtl w:val="true"/>
        </w:rPr>
        <w:footnoteReference w:id="1621"/>
      </w:r>
      <w:r>
        <w:rPr>
          <w:rFonts w:ascii="IRNazanin" w:hAnsi="IRNazanin" w:eastAsia="IRNazanin"/>
          <w:color w:val="111111"/>
          <w:sz w:val="28"/>
          <w:sz w:val="28"/>
          <w:szCs w:val="28"/>
          <w:rtl w:val="true"/>
          <w:lang w:bidi="fa-IR"/>
        </w:rPr>
        <w:t xml:space="preserve">علی مذهبنا ، لأنّ ما بین الأربعین والخمسین یصدق علی العشرة والعادة ،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کانت تکون مع ما مضی من أولادها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إغماض عن الجواب تفصیلاً بالإجمال ، فلمّا أراد السائل البیان أتی الجواب ثانیاً بما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حرمت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النسخة التی رأیتها ، لکن فی التهذیب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جرّبت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الصواب ، وإن کان فیه أیضا نوع حزازة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الدلالة لکن حمله علی غیر ذات العادة أو علی المبتدأة ممکن ، وحمل الشیخ علی التقیة ممکن إن ثبت قولهم بذلک ، وهو</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55" w:name="__RefHeading___Toc39938_2142443653"/>
      <w:bookmarkStart w:id="1356" w:name="_Toc527"/>
      <w:bookmarkEnd w:id="1355"/>
      <w:r>
        <w:rPr>
          <w:rtl w:val="true"/>
        </w:rPr>
        <w:t>توجیه الأخبار الدالّة علی أنّ أکثر النفاس ثلاثون أو أربعون إلی خمسین ، والمناقشة فی توجیهات الشیخ لها</w:t>
      </w:r>
      <w:bookmarkEnd w:id="1356"/>
    </w:p>
    <w:p>
      <w:pPr>
        <w:pStyle w:val="BookText"/>
        <w:rPr/>
      </w:pPr>
      <w:r>
        <w:rPr>
          <w:rFonts w:ascii="IRNazanin" w:hAnsi="IRNazanin" w:eastAsia="IRNazanin"/>
          <w:color w:val="111111"/>
          <w:sz w:val="28"/>
          <w:sz w:val="28"/>
          <w:szCs w:val="28"/>
          <w:rtl w:val="true"/>
          <w:lang w:bidi="fa-IR"/>
        </w:rPr>
        <w:t>أعلم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الوجه الثالث من الحمل ففی غایة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فیه التقیة کما ذکره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کالثالث لکن المغایرة فی العدد لا یخلو من إشکال ، ولعل الیوم الزائد یحمل علی رجحان الاستظهار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یؤیّد الثالث ، ویدلُّ صریحا علی أنّ استظهار النفساء بیوم أو یومین ، وربما یؤیّد ما قلناه فی الخامس من احتمال کون الیوم للاستظهار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 ما قاله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الجمع لا یخلو من </w:t>
      </w:r>
      <w:r>
        <w:rPr>
          <w:rFonts w:eastAsia="IRNazanin" w:cs="IRNazanin"/>
          <w:color w:val="111111"/>
          <w:sz w:val="28"/>
          <w:szCs w:val="28"/>
          <w:rtl w:val="true"/>
          <w:lang w:bidi="fa-IR"/>
        </w:rPr>
        <w:t xml:space="preserve">) </w:t>
      </w:r>
      <w:r>
        <w:rPr>
          <w:rStyle w:val="FootnoteAnchor"/>
          <w:rtl w:val="true"/>
        </w:rPr>
        <w:footnoteReference w:id="1622"/>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قد تقدّم منه ما یقتضی عدم ردّ الخبر مع المعارضة إذا أمکن حمله علی وجه من الوجوه ، وهنا ذکر وجهین للحمل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الأخبار المتقدّمة مجمع علی متضمنها ، لأنه لا خلاف فی أن أیّام الحیض فی النفاس معتبرة ، وإنّما الخلاف فیما زاد ، إلی آخره ، محل بحث</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الإجماع إن أُرید به حصول الاتفاق من الجمیع علیها حتی من قال بالثمانیة عشر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القائل بالثمانیة لا یوافق علی أیّام الحیض مطلقاً ، بل فی ضمن الثمانیة عشر ؛ وإن أُرید بالإجماع ما یتناول الدخول فی الضمن فلا نسلّم أنّ ما بُیّن فی غیر 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ترجیح المجمع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یتناوله ، فإنّ المتبادر من ترجیح المجمع علیه </w:t>
      </w:r>
      <w:r>
        <w:rPr>
          <w:rFonts w:eastAsia="IRNazanin" w:cs="IRNazanin"/>
          <w:color w:val="111111"/>
          <w:sz w:val="28"/>
          <w:szCs w:val="28"/>
          <w:rtl w:val="true"/>
          <w:lang w:bidi="fa-IR"/>
        </w:rPr>
        <w:t xml:space="preserve">) </w:t>
      </w:r>
      <w:r>
        <w:rPr>
          <w:rStyle w:val="FootnoteAnchor"/>
          <w:rtl w:val="true"/>
        </w:rPr>
        <w:footnoteReference w:id="1623"/>
      </w:r>
      <w:r>
        <w:rPr>
          <w:rFonts w:ascii="IRNazanin" w:hAnsi="IRNazanin" w:eastAsia="IRNazanin"/>
          <w:color w:val="111111"/>
          <w:sz w:val="28"/>
          <w:sz w:val="28"/>
          <w:szCs w:val="28"/>
          <w:rtl w:val="true"/>
          <w:lang w:bidi="fa-IR"/>
        </w:rPr>
        <w:t xml:space="preserve">ما انعقد الإجماع علی خصوصه ، ولو تمحّل قائل إنّ ما دخل فی الضمن لا یخرج </w:t>
      </w:r>
    </w:p>
    <w:p>
      <w:pPr>
        <w:pStyle w:val="BookText"/>
        <w:rPr/>
      </w:pPr>
      <w:r>
        <w:rPr>
          <w:rFonts w:ascii="IRNazanin" w:hAnsi="IRNazanin" w:eastAsia="IRNazanin"/>
          <w:color w:val="111111"/>
          <w:sz w:val="28"/>
          <w:sz w:val="28"/>
          <w:szCs w:val="28"/>
          <w:rtl w:val="true"/>
          <w:lang w:bidi="fa-IR"/>
        </w:rPr>
        <w:t>عن القاعدة ، للمشارکة فی العلّة ، توجه المنع إلی دلیله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من الشیخ أنّه فی التهذیب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المعتمد فی هذا أنّه قد ثبت أن ذمّة المرأة مرتهنة بالصلاة والصیام قبل نفاسها بلا خلاف ، فإذا طرأ علیها النفاس یجب أن لا یسقط عنها ما لزمها إلاّ بدلالة ، ولا خلاف بین المسلمین أن عشرة أیّام إذا رأت المرأة الدم من النفاس ، وما زاد علی ذلک مختلف فیه ، فیجب </w:t>
      </w:r>
      <w:r>
        <w:rPr>
          <w:rStyle w:val="FootnoteAnchor"/>
          <w:rtl w:val="true"/>
        </w:rPr>
        <w:footnoteReference w:id="1624"/>
      </w:r>
      <w:r>
        <w:rPr>
          <w:rFonts w:ascii="IRNazanin" w:hAnsi="IRNazanin" w:eastAsia="IRNazanin"/>
          <w:color w:val="111111"/>
          <w:sz w:val="28"/>
          <w:sz w:val="28"/>
          <w:szCs w:val="28"/>
          <w:rtl w:val="true"/>
          <w:lang w:bidi="fa-IR"/>
        </w:rPr>
        <w:t xml:space="preserve">أن لا تصیر إلیه إلاّ بما یقطع العذر ، وکلّما ورد من الأخبار المتضمنة لما زاد علی عشرة أیّام فهی أخبار آحاد لا تقطع العذر ، أو خبر 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سبب التقیّة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هذا الکتاب کما تری جعل الإجماع علی الرجوع إلی عادة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تکلّمنا فی حاشیة التهذیب علی ما ذکره فیه بما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ثبوت الصلاة فی الذمّة بعد دلالة الأخبار محلّ تأمّل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اختلاف الأخبار یقتضی عدم الخروج عن شغل الذمة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یقین شغل الذمّة قبل النفاس لا ریب فیه ، أمّا بعد حصول النفاس فلا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النفاس المحقّق وهو عادة الحیض والعشرة لا ریب فی الخروج عن الیقین ، أمّا بعد ذلک فلا</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اعترفت بخروج الیقین یحتاج عوده إلی دلیل ، والإجماع علی العشرة کما فی التهذیب وعلی الرجوع إلی عادة الحیض کما هنا لیس علی الاختصاص ، وإذا کان کذلک لا یتمّ المطلوب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bookmarkStart w:id="1357" w:name="pg17122_169918"/>
    </w:p>
    <w:p>
      <w:pPr>
        <w:pStyle w:val="BookText"/>
        <w:rPr/>
      </w:pPr>
      <w:bookmarkEnd w:id="1357"/>
      <w:r>
        <w:rPr>
          <w:rFonts w:ascii="IRNazanin" w:hAnsi="IRNazanin" w:eastAsia="IRNazanin"/>
          <w:color w:val="111111"/>
          <w:sz w:val="28"/>
          <w:sz w:val="28"/>
          <w:szCs w:val="28"/>
          <w:rtl w:val="true"/>
          <w:lang w:bidi="fa-IR"/>
        </w:rPr>
        <w:t>الأصل یجب العمل به دائماً ، إلاّ ما 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فللقول مجال واسع فی مثل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من أنّ الأخبار خرجت علی سبب ، إلی آخره ،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الأخبار أکثرها خلاف ذلک ، فإنّ خبر محمد بن مسلم المتضمّن أنّ النفساء تقعد ثلاثین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أربعین یوماً إلی خمسین ، بمعزل عن توجیه الشیخ ، وکذلک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قضیة أسماء بنت عمیس ربما یمکن الاحتمال فی الخبر الدال علیها ، وإن کان للکلام فیه مجال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بعض الأصحاب وجوهاً للحمل ،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أوّلاً من حمل أخبار الثمانی عشرة علی غیر المعتادة وإبقاء الأخبار المتضمنة للرجوع إلی العادة علی ظاهرها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علی التخییر بین الأعداد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أخبار الثمانی عشرة علی ما إذا بقی الدم بصفة دم النفاس إلی تلک الغایة ، وأخبار الرجوع إلی العادة علی ما إذا تغیر عن تلک الصفة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والأوّل له نوع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الأوّل مستلزم لحمل أخبار الثمانیة عشر علی الفرد النادر ، ولا یخلو من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مثل هذا لا یصلح لردّ وجه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یقال أیضاً 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یستلزم التخییر بین فعل الصلاة</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58" w:name="__RefHeading___Toc39940_2142443653"/>
      <w:bookmarkStart w:id="1359" w:name="_Toc528"/>
      <w:bookmarkEnd w:id="1358"/>
      <w:r>
        <w:rPr>
          <w:rtl w:val="true"/>
        </w:rPr>
        <w:t>توجیه ما دلّ علی أنّ اکثر النفاس سبع عشرة أو ثمانی عشرة أو تسع عشرة</w:t>
      </w:r>
      <w:bookmarkEnd w:id="1359"/>
    </w:p>
    <w:p>
      <w:pPr>
        <w:pStyle w:val="BookText"/>
        <w:rPr/>
      </w:pPr>
      <w:r>
        <w:rPr>
          <w:rFonts w:ascii="IRNazanin" w:hAnsi="IRNazanin" w:eastAsia="IRNazanin"/>
          <w:color w:val="111111"/>
          <w:sz w:val="28"/>
          <w:sz w:val="28"/>
          <w:szCs w:val="28"/>
          <w:rtl w:val="true"/>
          <w:lang w:bidi="fa-IR"/>
        </w:rPr>
        <w:t xml:space="preserve">وعدمه ، أُجیب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وارد فی أیّام الاستظهار </w:t>
      </w:r>
      <w:r>
        <w:rPr>
          <w:rStyle w:val="FootnoteAnchor"/>
          <w:rtl w:val="true"/>
        </w:rPr>
        <w:footnoteReference w:id="16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ما قدّمناه من إمکان التوجیه فی الاستظهار ، فلا وجه للاقتصار علی النقض </w:t>
      </w:r>
      <w:r>
        <w:rPr>
          <w:rStyle w:val="FootnoteAnchor"/>
          <w:rtl w:val="true"/>
        </w:rPr>
        <w:footnoteReference w:id="1629"/>
      </w:r>
      <w:r>
        <w:rPr>
          <w:rFonts w:ascii="IRNazanin" w:hAnsi="IRNazanin" w:eastAsia="IRNazanin"/>
          <w:color w:val="111111"/>
          <w:sz w:val="28"/>
          <w:sz w:val="28"/>
          <w:szCs w:val="28"/>
          <w:rtl w:val="true"/>
          <w:lang w:bidi="fa-IR"/>
        </w:rPr>
        <w:t xml:space="preserve">، علی أنّ الاستظهار قد تحقق فی الأخبار حکمه بخلاف النفاس ، فإنّ التخییر مجرّد احتمال ، فلا یمکن تنظیره بما وقع الاتفاق علیه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 للاستئناس بالحکم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نقل العلاّمة فی المختلف عن الشیخ وعلی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وجماعة </w:t>
      </w:r>
      <w:r>
        <w:rPr>
          <w:rFonts w:eastAsia="IRNazanin" w:cs="IRNazanin"/>
          <w:color w:val="111111"/>
          <w:sz w:val="28"/>
          <w:szCs w:val="28"/>
          <w:rtl w:val="true"/>
          <w:lang w:bidi="fa-IR"/>
        </w:rPr>
        <w:t xml:space="preserve">) </w:t>
      </w:r>
      <w:r>
        <w:rPr>
          <w:rStyle w:val="FootnoteAnchor"/>
          <w:rtl w:val="true"/>
        </w:rPr>
        <w:footnoteReference w:id="1630"/>
      </w:r>
      <w:r>
        <w:rPr>
          <w:rFonts w:ascii="IRNazanin" w:hAnsi="IRNazanin" w:eastAsia="IRNazanin"/>
          <w:color w:val="111111"/>
          <w:sz w:val="28"/>
          <w:sz w:val="28"/>
          <w:szCs w:val="28"/>
          <w:rtl w:val="true"/>
          <w:lang w:bidi="fa-IR"/>
        </w:rPr>
        <w:t xml:space="preserve">القول بأن أکثر النفاس عشرة ، وعن المرتضی أنّه ثمانیة عشر یوماً ، وکذلک عن غیره </w:t>
      </w:r>
      <w:r>
        <w:rPr>
          <w:rStyle w:val="FootnoteAnchor"/>
          <w:rtl w:val="true"/>
        </w:rPr>
        <w:footnoteReference w:id="16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 کما تری مذهبه هنا الرجوع إلی الحیض علی الإطلاق ، لکن فی تحقق المذهب هنا تأمّل ، وبتقدیره فالظاهر أنّ الشیخ لا یقول بالرجوع إلی الحیض مطلقا ، إذ لا یتصوّر إلاّ فی ذات الحیض ، والشیخ أعلم بمراده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یدل علی هذا المعنی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أخبرنی به الشیخ رحمه الله عن أبی القاسم جعفر بن محمد ، عن محمد بن یعقوب ، عن علی بن إبراهیم ، عن أبیه 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امرأة 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کنت أقعد فی نفاسی عشرین یوماً حتی أفتونی بثمانیة عشر یوماً ، فقال أبو عبد الله علیه السلام </w:t>
      </w:r>
      <w:r>
        <w:rPr>
          <w:rFonts w:eastAsia="IRNazanin" w:cs="IRNazanin"/>
          <w:color w:val="111111"/>
          <w:sz w:val="28"/>
          <w:szCs w:val="28"/>
          <w:rtl w:val="true"/>
          <w:lang w:bidi="fa-IR"/>
        </w:rPr>
        <w:t xml:space="preserve">) </w:t>
      </w:r>
      <w:r>
        <w:rPr>
          <w:rStyle w:val="FootnoteAnchor"/>
          <w:rtl w:val="true"/>
        </w:rPr>
        <w:footnoteReference w:id="163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أفتوک </w:t>
      </w:r>
    </w:p>
    <w:p>
      <w:pPr>
        <w:pStyle w:val="BookText"/>
        <w:rPr/>
      </w:pPr>
      <w:r>
        <w:rPr>
          <w:rFonts w:ascii="IRNazanin" w:hAnsi="IRNazanin" w:eastAsia="IRNazanin"/>
          <w:color w:val="111111"/>
          <w:sz w:val="28"/>
          <w:sz w:val="28"/>
          <w:szCs w:val="28"/>
          <w:rtl w:val="true"/>
          <w:lang w:bidi="fa-IR"/>
        </w:rPr>
        <w:t xml:space="preserve">بثمانیة عشر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للحدیث الذی روی عن رسول الله صلی الله علیه و آله أنّه قال لأسماء بنت عمیس حین نفست بمحمد بن أبی بکر ، فقال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أسماء سألت رسول الله صلی الله علیه و آله وقد أتی لها ثمانیة عشر یوماً ، ولو سألته قبل ذلک لأمرها أن تغتسل وتفعل کما تفعله المستحاضة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استوفینا ما یتعلق بهذا الباب فی کتابنا الکبیر فمن أراده وقف علیه من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روی من الاستظهار للنفساء بیوم أو یومین ، المعنی فیه ما ذکرناه فی حکم المستحاضة من أنّها تعتبره إذا کانت عادتها فی الحیض أقل من عشرة أیّام ، فإذا بلغت عشرة فلا استظهار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روی أنّها تستظهر بمثل ثلثی أیّامها أیضاً مثل ذلک إذا کانت عادتها خمسة أیّام أو ستّة أیّام ، وکذلک 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تستظهر بمثل ثلثی أیام نفاسها ، وکل ذلک أوردناه فی کتابنا الکبیر وبیّنا الوجه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علی بن محبوب ، عن أحمد بن عبدوس ، عن الحسن </w:t>
      </w:r>
      <w:r>
        <w:rPr>
          <w:rStyle w:val="FootnoteAnchor"/>
          <w:rtl w:val="true"/>
        </w:rPr>
        <w:footnoteReference w:id="1633"/>
      </w:r>
      <w:r>
        <w:rPr>
          <w:rFonts w:ascii="IRNazanin" w:hAnsi="IRNazanin" w:eastAsia="IRNazanin"/>
          <w:color w:val="111111"/>
          <w:sz w:val="28"/>
          <w:sz w:val="28"/>
          <w:szCs w:val="28"/>
          <w:rtl w:val="true"/>
          <w:lang w:bidi="fa-IR"/>
        </w:rPr>
        <w:t xml:space="preserve">بن علی ، عن المفضل بن صالح ، عن لیث المرادی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النفساء کم حدّ نفاسها حتی یجب علیها الصلاة وکیف تصنع؟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له حدّ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فالوجه فی هذا الخبر أنّه لیس له حدّ معیّن لا یجوز أن یتغیر أو یزید أو ینقص ، لأنّ ذلک یختلف باختلاف أحوال النساء وعادتهن فی الحیض ولیس ها هنا أمر یُتفق علیه یَتفق کلّهن فیه</w:t>
      </w:r>
      <w:r>
        <w:rPr>
          <w:rFonts w:eastAsia="IRNazanin" w:cs="IRNazanin"/>
          <w:color w:val="111111"/>
          <w:sz w:val="28"/>
          <w:szCs w:val="28"/>
          <w:rtl w:val="true"/>
          <w:lang w:bidi="fa-IR"/>
        </w:rPr>
        <w:t xml:space="preserve">. </w:t>
      </w:r>
      <w:bookmarkStart w:id="1360" w:name="pg17122_169921"/>
    </w:p>
    <w:p>
      <w:pPr>
        <w:pStyle w:val="BookText"/>
        <w:rPr/>
      </w:pPr>
      <w:bookmarkEnd w:id="1360"/>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أحمد بن عبدوس وقد ذکره النجاشی </w:t>
      </w:r>
      <w:r>
        <w:rPr>
          <w:rStyle w:val="FootnoteAnchor"/>
          <w:rtl w:val="true"/>
        </w:rPr>
        <w:footnoteReference w:id="1634"/>
      </w:r>
      <w:r>
        <w:rPr>
          <w:rFonts w:ascii="IRNazanin" w:hAnsi="IRNazanin" w:eastAsia="IRNazanin"/>
          <w:color w:val="111111"/>
          <w:sz w:val="28"/>
          <w:sz w:val="28"/>
          <w:szCs w:val="28"/>
          <w:rtl w:val="true"/>
          <w:lang w:bidi="fa-IR"/>
        </w:rPr>
        <w:t xml:space="preserve">والشیخ فی الفهرست مهملا </w:t>
      </w:r>
      <w:r>
        <w:rPr>
          <w:rStyle w:val="FootnoteAnchor"/>
          <w:rtl w:val="true"/>
        </w:rPr>
        <w:footnoteReference w:id="1635"/>
      </w:r>
      <w:r>
        <w:rPr>
          <w:rFonts w:ascii="IRNazanin" w:hAnsi="IRNazanin" w:eastAsia="IRNazanin"/>
          <w:color w:val="111111"/>
          <w:sz w:val="28"/>
          <w:sz w:val="28"/>
          <w:szCs w:val="28"/>
          <w:rtl w:val="true"/>
          <w:lang w:bidi="fa-IR"/>
        </w:rPr>
        <w:t xml:space="preserve">، وکذلک ذکره الشیخ فی رجال من لم یرو عن الأئمّة علیهم السلام </w:t>
      </w:r>
      <w:r>
        <w:rPr>
          <w:rStyle w:val="FootnoteAnchor"/>
          <w:rtl w:val="true"/>
        </w:rPr>
        <w:footnoteReference w:id="1636"/>
      </w:r>
      <w:r>
        <w:rPr>
          <w:rFonts w:ascii="IRNazanin" w:hAnsi="IRNazanin" w:eastAsia="IRNazanin"/>
          <w:color w:val="111111"/>
          <w:sz w:val="28"/>
          <w:sz w:val="28"/>
          <w:szCs w:val="28"/>
          <w:rtl w:val="true"/>
          <w:lang w:bidi="fa-IR"/>
        </w:rPr>
        <w:t>، لکن ربما یستفاد جلالة قدره من کونه معدوداً من شیوخ الصدوق ، والظاهر أنّه لا فرق بینه وبین شیوخ الإجازة فإمّا أن تقبل روایة الجمیع أو تردّ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1637"/>
      </w:r>
      <w:r>
        <w:rPr>
          <w:rFonts w:ascii="IRNazanin" w:hAnsi="IRNazanin" w:eastAsia="IRNazanin"/>
          <w:color w:val="111111"/>
          <w:sz w:val="28"/>
          <w:sz w:val="28"/>
          <w:szCs w:val="28"/>
          <w:rtl w:val="true"/>
          <w:lang w:bidi="fa-IR"/>
        </w:rPr>
        <w:t xml:space="preserve">الحسن بن علی فیه اشتراک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والمفضل بن صالح قد قدمنا فیه القول </w:t>
      </w:r>
      <w:r>
        <w:rPr>
          <w:rStyle w:val="FootnoteAnchor"/>
          <w:rtl w:val="true"/>
        </w:rPr>
        <w:footnoteReference w:id="1639"/>
      </w:r>
      <w:r>
        <w:rPr>
          <w:rFonts w:ascii="Amiri" w:hAnsi="Amiri" w:eastAsia="Amiri" w:cs="Amiri"/>
          <w:color w:val="111111"/>
          <w:sz w:val="28"/>
          <w:sz w:val="28"/>
          <w:szCs w:val="28"/>
          <w:rtl w:val="true"/>
          <w:lang w:bidi="ar-SA"/>
        </w:rPr>
        <w:t xml:space="preserve">، وأنّ العلاّمة ضعّفه فی الخلاصة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لیث المرادی فلا ریب فی ثقته وجلالة قدره ، وما ورد فی الکشی من الأخبار فی ذمّه محمولة بتقدیر صلاحیّتها للعمل سنداً ودلالةً علی الخوف من أهل الخلاف کما فی زرارة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نقله فی الخلاصة عن ابن الغضائری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بن البختری</w:t>
      </w:r>
    </w:p>
    <w:p>
      <w:pPr>
        <w:pStyle w:val="Heading4"/>
        <w:numPr>
          <w:ilvl w:val="3"/>
          <w:numId w:val="1"/>
        </w:numPr>
        <w:rPr/>
      </w:pPr>
      <w:bookmarkStart w:id="1361" w:name="__RefHeading___Toc39942_2142443653"/>
      <w:bookmarkStart w:id="1362" w:name="_Toc529"/>
      <w:bookmarkEnd w:id="1361"/>
      <w:r>
        <w:rPr>
          <w:rtl w:val="true"/>
        </w:rPr>
        <w:t>بحث حول أحمد بن عبدوس</w:t>
      </w:r>
      <w:bookmarkEnd w:id="1362"/>
    </w:p>
    <w:p>
      <w:pPr>
        <w:pStyle w:val="Heading4"/>
        <w:numPr>
          <w:ilvl w:val="3"/>
          <w:numId w:val="1"/>
        </w:numPr>
        <w:rPr/>
      </w:pPr>
      <w:bookmarkStart w:id="1363" w:name="__RefHeading___Toc39944_2142443653"/>
      <w:bookmarkStart w:id="1364" w:name="_Toc530"/>
      <w:bookmarkEnd w:id="1363"/>
      <w:r>
        <w:rPr>
          <w:rtl w:val="true"/>
        </w:rPr>
        <w:t>الحسن بن علی مشترک</w:t>
      </w:r>
      <w:bookmarkEnd w:id="1364"/>
    </w:p>
    <w:p>
      <w:pPr>
        <w:pStyle w:val="Heading4"/>
        <w:numPr>
          <w:ilvl w:val="3"/>
          <w:numId w:val="1"/>
        </w:numPr>
        <w:rPr/>
      </w:pPr>
      <w:bookmarkStart w:id="1365" w:name="__RefHeading___Toc39946_2142443653"/>
      <w:bookmarkStart w:id="1366" w:name="_Toc531"/>
      <w:bookmarkEnd w:id="1365"/>
      <w:r>
        <w:rPr>
          <w:rtl w:val="true"/>
        </w:rPr>
        <w:t>إشارة إلی ضعف المفضل بن صالح</w:t>
      </w:r>
      <w:bookmarkEnd w:id="1366"/>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67" w:name="__RefHeading___Toc39948_2142443653"/>
      <w:bookmarkStart w:id="1368" w:name="_Toc532"/>
      <w:bookmarkEnd w:id="1367"/>
      <w:r>
        <w:rPr>
          <w:rtl w:val="true"/>
        </w:rPr>
        <w:t>بحث حول لیث المرادی</w:t>
      </w:r>
      <w:bookmarkStart w:id="1369" w:name="pg17122_169922"/>
      <w:bookmarkEnd w:id="1368"/>
    </w:p>
    <w:p>
      <w:pPr>
        <w:pStyle w:val="BookText"/>
        <w:rPr/>
      </w:pPr>
      <w:bookmarkEnd w:id="1369"/>
      <w:r>
        <w:rPr>
          <w:rFonts w:ascii="IRNazanin" w:hAnsi="IRNazanin" w:eastAsia="IRNazanin"/>
          <w:color w:val="111111"/>
          <w:sz w:val="28"/>
          <w:sz w:val="28"/>
          <w:szCs w:val="28"/>
          <w:rtl w:val="true"/>
          <w:lang w:bidi="fa-IR"/>
        </w:rPr>
        <w:t xml:space="preserve">المرادی یکنی أبا محمد کان أبو عبد الله یتضجر به ویتبرّم وأصحابه یختلفون فی شأنه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وعندی أنّ الطعن إنّما وقع علی دینه لا علی حدیثه </w:t>
      </w:r>
      <w:r>
        <w:rPr>
          <w:rStyle w:val="FootnoteAnchor"/>
          <w:rtl w:val="true"/>
        </w:rPr>
        <w:footnoteReference w:id="16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الغضائری غیر معلوم الحال ، وما قاله من الطعن فی دینه یدفعه معتبر الأخبار الدالة علی کمال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یستفاد من الرجال أنّ للیث کنیتین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 وأبو بصیر </w:t>
      </w:r>
      <w:r>
        <w:rPr>
          <w:rStyle w:val="FootnoteAnchor"/>
          <w:rtl w:val="true"/>
        </w:rPr>
        <w:footnoteReference w:id="16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کتاب الشیخ أنّه یکنی بأبی یحیی </w:t>
      </w:r>
      <w:r>
        <w:rPr>
          <w:rStyle w:val="FootnoteAnchor"/>
          <w:rtl w:val="true"/>
        </w:rPr>
        <w:footnoteReference w:id="1644"/>
      </w:r>
      <w:r>
        <w:rPr>
          <w:rFonts w:ascii="IRNazanin" w:hAnsi="IRNazanin" w:eastAsia="IRNazanin"/>
          <w:color w:val="111111"/>
          <w:sz w:val="28"/>
          <w:sz w:val="28"/>
          <w:szCs w:val="28"/>
          <w:rtl w:val="true"/>
          <w:lang w:bidi="fa-IR"/>
        </w:rPr>
        <w:t>علی ما وجدت من النسخة ، والأمر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یخفی أنّه غیر صالح لإثبات المطلوب عند غیر الشیخ ، وللوالد قدس سره کلام فی منتقی الجمان </w:t>
      </w:r>
      <w:r>
        <w:rPr>
          <w:rStyle w:val="FootnoteAnchor"/>
          <w:rtl w:val="true"/>
        </w:rPr>
        <w:footnoteReference w:id="1645"/>
      </w:r>
      <w:r>
        <w:rPr>
          <w:rFonts w:ascii="IRNazanin" w:hAnsi="IRNazanin" w:eastAsia="IRNazanin"/>
          <w:color w:val="111111"/>
          <w:sz w:val="28"/>
          <w:sz w:val="28"/>
          <w:szCs w:val="28"/>
          <w:rtl w:val="true"/>
          <w:lang w:bidi="fa-IR"/>
        </w:rPr>
        <w:t xml:space="preserve">متعلق بتحقیق هذا المبحث لا مزید علیه ، فلا جرم کان الاکتفاء به أولی من تکلّف القول ، وما أحسن ما قاله بعض محقّقی المتأخّرین رحمه الله من أنّ الإجمال فی هذه المواضع أولی ، إلی أن یسهل الله تعالی بالفرج </w:t>
      </w:r>
      <w:r>
        <w:rPr>
          <w:rStyle w:val="FootnoteAnchor"/>
          <w:rtl w:val="true"/>
        </w:rPr>
        <w:footnoteReference w:id="1646"/>
      </w:r>
      <w:r>
        <w:rPr>
          <w:rFonts w:ascii="IRNazanin" w:hAnsi="IRNazanin" w:eastAsia="IRNazanin"/>
          <w:color w:val="111111"/>
          <w:sz w:val="28"/>
          <w:sz w:val="28"/>
          <w:szCs w:val="28"/>
          <w:rtl w:val="true"/>
          <w:lang w:bidi="fa-IR"/>
        </w:rPr>
        <w:t>، فإنّ اختلاف الأخبار هنا واضطراب مدلولاتها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ینبغی أن یعلم أنّ الحمل فی الثمانیة عشر علی المبتدأة قد یشکل فی قضیة أسماء بنت عمیس ، لأنّ أبا بکر تزوجها بعد جعفر بن أبی طالب ، وأقامت عند جعفر مدّة وولدت أولاداً ، ومن المستبعد أن لا تستقرّ لها عادة جمیع تلک المدّة ، إلاّ أنّ باب الإمکان واسع</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70" w:name="__RefHeading___Toc39950_2142443653"/>
      <w:bookmarkStart w:id="1371" w:name="_Toc533"/>
      <w:bookmarkEnd w:id="1370"/>
      <w:r>
        <w:rPr>
          <w:rtl w:val="true"/>
        </w:rPr>
        <w:t>توجیه ما دلّ علی أنّه لیس للنفاس حدّ معیّن</w:t>
      </w:r>
      <w:bookmarkEnd w:id="1371"/>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الشیخ روی فی التهذیب إخباراً فی قضیّة </w:t>
      </w:r>
      <w:r>
        <w:rPr>
          <w:rStyle w:val="FootnoteAnchor"/>
          <w:rtl w:val="true"/>
        </w:rPr>
        <w:footnoteReference w:id="1647"/>
      </w:r>
      <w:r>
        <w:rPr>
          <w:rFonts w:ascii="IRNazanin" w:hAnsi="IRNazanin" w:eastAsia="IRNazanin"/>
          <w:color w:val="111111"/>
          <w:sz w:val="28"/>
          <w:sz w:val="28"/>
          <w:szCs w:val="28"/>
          <w:rtl w:val="true"/>
          <w:lang w:bidi="fa-IR"/>
        </w:rPr>
        <w:t xml:space="preserve">أسماء </w:t>
      </w:r>
      <w:r>
        <w:rPr>
          <w:rStyle w:val="FootnoteAnchor"/>
          <w:rtl w:val="true"/>
        </w:rPr>
        <w:footnoteReference w:id="1648"/>
      </w:r>
      <w:r>
        <w:rPr>
          <w:rFonts w:ascii="IRNazanin" w:hAnsi="IRNazanin" w:eastAsia="IRNazanin"/>
          <w:color w:val="111111"/>
          <w:sz w:val="28"/>
          <w:sz w:val="28"/>
          <w:szCs w:val="28"/>
          <w:rtl w:val="true"/>
          <w:lang w:bidi="fa-IR"/>
        </w:rPr>
        <w:t>یأبی بعضها حمل الشیخ کما یعلم من مراجعة الأخبار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ذکره هنا فی بقیّة الأخبار لا یخلو من وجه ، لا سیّما فی الخبر الأخیر ، ولا یبعد أن یکون الحال حال تقیّة أیضاً ، لأنّ السؤال تضمن عن حدّ النفاس وما تصنعه النفساء ، والظاهر من هذا أنّ مراد السائل ما یحرم علیها وما یحل لها ، والجواب بالإجمال لا یلیق ، لولا حصول </w:t>
      </w:r>
      <w:r>
        <w:rPr>
          <w:rStyle w:val="FootnoteAnchor"/>
          <w:rtl w:val="true"/>
        </w:rPr>
        <w:footnoteReference w:id="1649"/>
      </w:r>
      <w:r>
        <w:rPr>
          <w:rFonts w:ascii="IRNazanin" w:hAnsi="IRNazanin" w:eastAsia="IRNazanin"/>
          <w:color w:val="111111"/>
          <w:sz w:val="28"/>
          <w:sz w:val="28"/>
          <w:szCs w:val="28"/>
          <w:rtl w:val="true"/>
          <w:lang w:bidi="fa-IR"/>
        </w:rPr>
        <w:t xml:space="preserve">من یتقی علی التفصیل </w:t>
      </w:r>
      <w:r>
        <w:rPr>
          <w:rFonts w:eastAsia="IRNazanin" w:cs="IRNazanin"/>
          <w:color w:val="111111"/>
          <w:sz w:val="28"/>
          <w:szCs w:val="28"/>
          <w:rtl w:val="true"/>
          <w:lang w:bidi="fa-IR"/>
        </w:rPr>
        <w:t xml:space="preserve">)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 xml:space="preserve">.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2" w:name="pg17122_169925"/>
      <w:bookmarkStart w:id="1373" w:name="pg17122_169925"/>
      <w:bookmarkEnd w:id="1373"/>
    </w:p>
    <w:p>
      <w:pPr>
        <w:pStyle w:val="Heading2"/>
        <w:numPr>
          <w:ilvl w:val="1"/>
          <w:numId w:val="1"/>
        </w:numPr>
        <w:rPr/>
      </w:pPr>
      <w:bookmarkStart w:id="1374" w:name="pg17122_169925"/>
      <w:bookmarkStart w:id="1375" w:name="__RefHeading___Toc39952_2142443653"/>
      <w:bookmarkStart w:id="1376" w:name="_Toc534"/>
      <w:bookmarkEnd w:id="1374"/>
      <w:bookmarkEnd w:id="1375"/>
      <w:r>
        <w:rPr>
          <w:rtl w:val="true"/>
        </w:rPr>
        <w:t>فهرس الموضوعات</w:t>
      </w:r>
      <w:bookmarkEnd w:id="1376"/>
    </w:p>
    <w:p>
      <w:pPr>
        <w:pStyle w:val="BookText"/>
        <w:rPr/>
      </w:pPr>
      <w:r>
        <w:rPr>
          <w:rFonts w:ascii="IRNazanin" w:hAnsi="IRNazanin" w:eastAsia="IRNazanin"/>
          <w:color w:val="111111"/>
          <w:sz w:val="28"/>
          <w:sz w:val="28"/>
          <w:szCs w:val="28"/>
          <w:rtl w:val="true"/>
          <w:lang w:bidi="fa-IR"/>
        </w:rPr>
        <w:t>أبواب ما ینقض الوضوء وما لا ینقضه</w:t>
      </w:r>
    </w:p>
    <w:p>
      <w:pPr>
        <w:pStyle w:val="BookText"/>
        <w:rPr/>
      </w:pPr>
      <w:r>
        <w:rPr>
          <w:rFonts w:ascii="IRNazanin" w:hAnsi="IRNazanin" w:eastAsia="IRNazanin"/>
          <w:color w:val="111111"/>
          <w:sz w:val="28"/>
          <w:sz w:val="28"/>
          <w:szCs w:val="28"/>
          <w:rtl w:val="true"/>
          <w:lang w:bidi="fa-IR"/>
        </w:rPr>
        <w:t xml:space="preserve">النوم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إشارة إلی أنّ محمد بن قولویه فیه تأمّل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محمد بن عبیدالله لا یخلو من اشتباه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کلمة حول تحقق الإجماع مع وجود المخالف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ما اُورد علی حدیث زرارة فی حصر الناقض فی الخارج من الطرفین والنوم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ما أُجیب عن الإیرادات والمناقشة فی الأجوبة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ناقضیة کلّ ما یذهب العقل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هل الخارج من غیر الطرفین ناقض؟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روایة أحمد بن محمد بن عیسی عن ابن أبی عمیر مستبعدة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عمران بن موسی ثقة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بحث حول الحسن بن علی بن النعمان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بحث حول عبدالحمید بن عواض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تحقیق منطقی فی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ینقض الوضوء إلّا حدث والنوم حدث </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هل النوم ناقض فی جمیع الأحوال؟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شعیب مشترک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عمران بن حمران مهمل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بکر بن أبی بکر الحضرمی مهمل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علی بن الحکم هو الثقة إذا روی عنه أحمد بن محمد بن عیسی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بحث حول محمد بن الفضل ومحمد بن الفضیل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معنی الخفق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عبدالله بن بکیر ثقة فطحی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ما المراد بالقیام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قمتم إلی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هل الوضوء واجب نفسی؟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محمّد بن اسماعیل إذا روی عن محمد بن عذافر فهو ابن بزیع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معنی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یوم الجمعة فلا وضوء علیه </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الدیدان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عبدالله بن یزید مشترک بین مهملین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القَرَع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القی‌ء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بحث حول غالب بن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روح بن عبد الرحیم ثقة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الحسن بن علی الکوفی هو ابن عبدالله بن المغیرة ثقة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بحث حول ابن مسکان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القرقرة فی البطن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عدم ناقضیة الضحک للوضوء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قول ابن الجنید بناقضیة الضحک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الرعاف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عمرو بن شمر ضعیف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بحث حول جابر بن یزید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معنی الدورق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معنی المدّة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طریق الشیخ فی الفهرست إلی کتاب أیوب بن الحر غیر سلیم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طرق الشیخ فی الفهرست إلی کتب الرواة غیر شاملة لسائر روایاتهم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الحسن بن علی بن بنت إلیاس حسن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ابو حبیب الأسدی مجهول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الضحک والقهقهة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بحث حول سالم أبی الفضل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بحث حول محمد بن سهل بن الیسع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زکریا بن آدم ثقة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حصر النواقض فی ما یخرج من الطرفین إضافی لا ینافی نقض غیره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هل ینقض الوضوء ما یخرج من غیر السبیلین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اشتراک محمد بن اسماعیل مع غیره من مشایخ الإجازة فی عدم التنصیص بالتوثیق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معنی الناصور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توجیه الأخبار الدالّة علی أنّ الضحک ینقض الوضوء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معنی القهقهة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إنشاد الشعر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معاویة بن میسرة مهمل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القُبلة ومسّ الفرج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أحمد بن محمد الراوی عن أبان بن عثمان هو ابن أبی نصر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ابو مریم الأنصاری ثقة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قول ابن الجنید بناقضیة القبلة ومسّ الفرج للوضوء ، وجوابه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احتمالات فی المراد بقوله علیه السلام فی روایة الحلبی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مناقشة فی حمل الشیخ الوضوء علی غَسل الید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قول ابن بابویه بناقضیة مسّ باطن الدبر ، وقول ابن الجنید بناقضیة مسّ ما انضمّ الیه الثقبان ، والجواب عنهما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حصر النواقض فی الأخبار الدالّة علیه إضافی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دلالة موثّقة عمار علی قول ابن بابویه ظاهرة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المناقشة فی جواب العلّامة عن حجّة ابن بابویه وابن الجنید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مصافحة الکافر ومسّ الکلب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أبو عبدالله الرازی الجامورانی ضعیف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الحسن بن علی بن أبی حمزة واقفی رمی بالکذب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عیسی بن عمر مجهول الحال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حکم مصافحة الکافر مع الرطوبة والیبوسة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حکم مسّ الکلب والخنزیر مع الرطوبة والیبوسة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الریح یجدها الإنسان فی بطنه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أحمد بن هلال ضعیف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من هو الحسن بن علی الراوی عن أحمد بن هلال؟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محمد بن الولید مشترک بین ضعیف ومن فیه کلام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حکم المذی والوذی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حنظلة غیر معلوم الحال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عیسی الأشعری غیر موثّق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معلی بن محمد مضطرب الحدیث والمذهب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عنبسة مشترک بین مهملین وثقة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هل یستفاد من خبر اسحاق بن عمار أنّ خبر الواحد لا یعوّل علیه؟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معنی المذی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روایة أحمد بن محمد عن ابن بزیع بلا واسطة لا مانع منه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دفع التنافی بین ما دل علی عدم وجوب الوضوء للمذی وما أمر به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کلام الشیخ البهائی فی أنّ خبر محمد بن اسماعیل یستفاد منه عدم لزوم قصد الوجه فی الوضوء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هل الأمر فی حدیث محمد بن اسماعیل حقیقة فی الوجوب؟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موسی بن عمر بن یزید الصیقل غیر ثقة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طریق الشیخ فی الفهرست إلی موسی بن عمر بن بزیع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ابو سعید المکاری مهمل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معاویة بن حکیم ثقة فطحی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علی بن الحسین بن رباط ثقة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عبدالله بن یحیی الکاهلی ممدوح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معنی المذی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دلائل عدم ناقضیة المذی والمناقشة فیها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قول ابن ابی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غیر واحد ، لا یقتضی صحّة المرسلة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الطاطری ثقة واقفی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من هو ابن رباط؟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حکم الودی والوذی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لیس فی المذی وضوء وإن کان بشهوة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معنی الوَدی والوَذی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بحث حول طرق الشیخ إلی الحسن بن محبوب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ابن سنان الراوی عن أبی عبدالله علیه السلام هو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عبدالملک بن عمرو غیر معلوم التوثیق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وجه الجمع بین ما دل علی وجوب الوضوء من الودی وما یعارضه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کیفیة الاستبراء فی خبر عبدالملک بن عمرو مجملة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معنی الدَرّ والخرط والغمز والسوق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الوَذی مع الاستبراء لا ینقض الوضوء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حکم الوَذی من حیث الطهارة والنجاسة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معنی الحِبال والحبائل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مسّ الحدید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من هو محمد بن اسماعیل الذی یروی عنه الکلینی؟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استحباب مسح الموضع بالماء لمن قصّ أظفاره أو حلق بالحدید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معنی التقلیم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معنی الجزّ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بحث حول شذوذ ما دل علی نجاسة الحدید وإعادة الصلاة من مسّه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شرب ألبان البقر والإبل وغیرهما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إشارة إلی حال سلیمان بن خالد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لا منافاة بین ما دلّ علی نفی الوضوء من شرب اللبن وما أمر بغسل الید منه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الأغسال المفروضات والمسنونات</w:t>
      </w:r>
    </w:p>
    <w:p>
      <w:pPr>
        <w:pStyle w:val="BookText"/>
        <w:rPr/>
      </w:pPr>
      <w:r>
        <w:rPr>
          <w:rFonts w:ascii="IRNazanin" w:hAnsi="IRNazanin" w:eastAsia="IRNazanin"/>
          <w:color w:val="111111"/>
          <w:sz w:val="28"/>
          <w:sz w:val="28"/>
          <w:szCs w:val="28"/>
          <w:rtl w:val="true"/>
          <w:lang w:bidi="fa-IR"/>
        </w:rPr>
        <w:t xml:space="preserve">وجوب غسل الجنابة والحیض والاستحاضة والنفاس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بحث حول أبی بکر الحضرمی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عمرو بن إلیاس ثقة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محمد بن شهر آشوب حاله غیر معلوم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ما المراد بالوضوء فی قوله علیه السلام فی خبر أبی بکر الحضرمی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توضّأ وضوء الصلاة ثم اغتسل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الاستدلال بخبر أبی بکر الحضرمی علی أنّ الغسل واجب لنفسه والمناقشة فیه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الاستدلال بخبر سماعة علی أنّ المستحاضة المتوسطة علیها غسل واحد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بحث حول محمد بن عبدالله بن زرارة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بحث حول أبی بصیر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ما المراد 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الاحرام فرض؟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هل یجوز استعمال لفظ الفرض فی الوجوب وغیره؟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هل السؤال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غسل مثل غسل الجنب، عن الوجوب أو الکیفیة؟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بحث حول الحسن بن الحسین اللؤلؤی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ما المراد بأحمد بن محمد الراوی عن سعد بن أبی خلف؟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سعد بن أبی خلف ثقة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علی بن خالد کان زیدیاً ثم رجع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بحث حول محمد بن الولید الخزاز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توجیه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 النفساء غسل فی السفر </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وجوب غسل المیت وغسل من مسّ میتاً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القاسم الصیقل مهمل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توجیه صاحب المدارک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یمسّ الثیاب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والمناقشة فیه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استحباب الغسل لتکفین المیت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ما المراد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 وجرت به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هل ینحصر موجب الغسل فی مسّ جلد المیت؟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هل یجب الغسل بمسّ القطعة المبانة من المیت؟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بحث فی أنّ غسل مسّ المیت واجب أو مستحب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بحث حول السکونی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بحث حول عبدالرحمان بن أبی نجران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حکم ما إذا اجتمع میت ومحدث وجنب ومعهم من الماء ما یکفی أحدهم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التفلیسی مهمل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بحث حول الحسن بن النضر الأرمنی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علی بن محمد القاسانی لیس بثقة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محمد بن علی مشترک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مناقشة فی قول الشیخ بالتخییر بین المیت والجنب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الأغسال المسنونة</w:t>
      </w:r>
    </w:p>
    <w:p>
      <w:pPr>
        <w:pStyle w:val="BookText"/>
        <w:rPr/>
      </w:pPr>
      <w:r>
        <w:rPr>
          <w:rFonts w:ascii="IRNazanin" w:hAnsi="IRNazanin" w:eastAsia="IRNazanin"/>
          <w:color w:val="111111"/>
          <w:sz w:val="28"/>
          <w:sz w:val="28"/>
          <w:szCs w:val="28"/>
          <w:rtl w:val="true"/>
          <w:lang w:bidi="fa-IR"/>
        </w:rPr>
        <w:t xml:space="preserve">القاسم بن محمد الجوهری واقفی غیر موثق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علی بن أبی حمزة واقفی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استحباب غسل الجمعة والفطر والأضحی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معنی القُرّ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محمد بن عبدالله مشترک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وجه إطلاق الوجوب علی غسل الجمعة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محمّد بن سهل بن الیسع مهمل وأبوه ثقة ثقة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بحث حول جعفر بن عثمان وأخیه الحسین بن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استحباب قضاء غُسل الجمعة بعد مضی وقته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الجنابة وأحکامها</w:t>
      </w:r>
    </w:p>
    <w:p>
      <w:pPr>
        <w:pStyle w:val="BookText"/>
        <w:rPr/>
      </w:pPr>
      <w:r>
        <w:rPr>
          <w:rFonts w:ascii="IRNazanin" w:hAnsi="IRNazanin" w:eastAsia="IRNazanin"/>
          <w:color w:val="111111"/>
          <w:sz w:val="28"/>
          <w:sz w:val="28"/>
          <w:szCs w:val="28"/>
          <w:rtl w:val="true"/>
          <w:lang w:bidi="fa-IR"/>
        </w:rPr>
        <w:t xml:space="preserve">خروج المنی یوجب الغسل علی کل حال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طریق الشیخ إلی علی بن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بحث حول اعتبار الأوصاف الثلاثة فی المنی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معنی الفتور والشهوة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المرأة إذا أنزلت وجب علیهاالغسل فی النوم والیقظة وعلی کل حال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بحث حول وجه عدم روایة احمد بن محمد بن عیسی عن الحسن بن محبوب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کلمة فی روایة الحسین بن سعید عن حمّاد بن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عبدالحمید الطائی غیر مذکور فی الرجال بهذا الوصف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محمد بن الفضیل مشترک بی ثقة وغیره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بحث حول شاذان بن الخلیل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یحیی بن أبی طلحة غیر مذکور فی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أحمد بن الحسین بن عبدالملک الأودی ثقة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أحمد بن عبدون من شیوخ الإجازة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بحث حول علی بن محمد بن الزبیر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معاویة لا یخلو من اشتراک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هل تعتبر الأوصاف فی منی المرأة؟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بحث حول عمر بن یزید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مناقشة فی توجیه الشیخ لحدیث عمر بن یزید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هل یدل خبر عمر بن یزید علی عدم الوضوء مع غسله الجمعة؟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توجیهات لحدیث محمد بن مسلم والمناقشة فیها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بحث حول عمر بن أُذینة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کلمة فی روایة أحمد بن محمد عن ابن أبی عمیر بلا واسطة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تفسیر العدّة التی یروی عنها الکلینی عن أحمد بن محمد بن عیسی وأحمد بن محمد البرقی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معنی الاحتلام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معنی الإهراق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بحث حول نوح بن شعیب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أبو عبدالله الشاذانی محمد بن نعیم غیر معلوم الحال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کلمة فی روایة أحمد بن محمد عن محمد بن اسماعیل بن بزیع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التهافت فی خبر عبید بن زرارة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معنی الفرج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التقاء الختانین یوجب الغسل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الإدخال الموجب للغسل والمهر والرجم عام للقبل والدبر؟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بحث فی أنّ غسل الجنابة واجب نفسی أم غیری؟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بحث حول أبان بن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بحث حول عنبسة بن مصعب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بحث حول الحسین بن أبی العلاء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الحصر فی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علی علیه السلام لا یری الغسل الّا فی الماء الأکبر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إضافی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العبّاس هو ابن معروف أو ابن عامر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حسین بن عثمان مشترک بین ثقتین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هل تعتبر أوصاف المنی بالنسبة إلی المریض؟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کلمة فی روایة محمد بن علی بن محبوب عن موسی بن جعفر بن وهب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موسی بن جعفر بن وهب غیر ثقة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داود بن مهزیار مهمل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علی بن اسماعیل مجهول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هل یعتبر الدفق فی المریض؟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معنی الهون والهُوینا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الرجل یری فی ثوبه المنی ولم یذکر الاحتلام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بحث حول علی بن السندی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حکم ما إذا وجد المنی فی الثوب المشترک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الرجل یجامع المرأة فیما دون الفرج فینزل هو دونها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إحتجاج العلّامة لوجوب الغسل فی الوطء فی الدبر بدون الإنزال والمناقشة فیه</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هل یردّ الشیخ الخبر بالإرسال مطلقاً؟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حفص بن سوقة ثقة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ادّعاء السیّد المرتضی الإجماع علی عدم الفرق بین الفرجین فی وجوب الغسل</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الاستدلال لوجوب الغسل بوطء الغلام بالإجماع المرکّب والمناقشة فیه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الجنب لا یمسّ الدراهم علیها اسم اللّه تعالی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کلمة حول إسحاق بن عمار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الجنب لا یمسّ المصحف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بحث حول الحسین بن المختار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بحث حول جعفر بن حکیم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جعفر بن محمد بن أبی الصباح لم یوجد فی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بحث حول إبراهیم بن عبدالحمید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مسّ المصحف للمحدث حرام أو مکروه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حال الحسین بن المختار عند العلّامة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معنی المسّ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الجنب والحائض یقرءان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النضر بن شعیب غیر مذکور فی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بحث حول عبدالغفّار الجازی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التوجیه الأوّل لخبر سماعة والمناقشة فیه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التوجیه الثانی لخبر سماعة والمناقشة فیه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حکم قراءة العزیمة للحائض والجنب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الجنب یدهن ویختضب وکذلک الحائض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بحث حول القاسم بن محمد الجوهری وأبی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عبدالله بن بحر ضعیف مرتفع القول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بحث حول عامر بن جذاعة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حکم الجنب یختضب والمختضب یجنب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الاختضاب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المغرا اسمه حمید بن المثنّی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محمد بن الحسن بن علّان لم یذکر فی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بحث حول جعفر بن محمّد بن یونس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وجه الجمع بین الأخبار الناهیة عن اختضاب الجنب والمجوّزة لذلک معنی الوَضَح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الجنب هل علیه مضمضة واستنشاق أم لا؟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موسی بن سعدان ضعیف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بحث حول أبی یحیی الواسطی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الحسن بن راشد ضعیف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بحث فی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علی بن الحکم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الأخبار النافیة للمضمضة والاستنشاق عن الجنب محمولة علی نفی الوجوب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کلمة حول أبی بصیر یحیی بن 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هل الأمر بالمضمضة والاستنشاق فی خبر أبی بصیر للوجوب أو للاستحباب؟</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اختصاص خبر أبی بصیر وزرارة بالغسل المرتب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حکم غَسل الیدین عند غُسل الجنابة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هل المراد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امسسته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إمرار الید أو جریان الماء؟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عدم الترتیب بین الرأس والأعضاء فی خبر زرارة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وجوب الاستبراء من الجنابة بالبول قبل الغسل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کلمة فی روایة أحمد بن محمد بن عیسی عن عبدالله بن مسکان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بحث حول سلیمان بن خالد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معاویة بن میسرة لیس بثقة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عدم دلالة الأخبار علی وجوب البول قبل الغسل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الإجمال فی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هو ماء الرجل </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 البلل الخارج بعد الغُسل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حکم الصلاة التی صُلّیت بین الغسل ورؤیة البلل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عبدالله بن هلال مجهول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أبو جمیلة ضعیف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بحث حول علی بن السندی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أحمد بن هلال ضعیف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توجیه خبر عبدالله بن هلال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توجیه خبر زید الشحام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إعادة الغسل لتارک البول والاستبراء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إعادة الوضوء لمن بال فاغتسل ثمّ وجد بللاً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مقدار الماء الذی یجزئ فی غسل الجنابة والوضوء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روایة علی بن محمد عن سلیمان بن حفص لا یخلو من اشتباه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سلیمان بن حفص مجهول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إشارة إلی حال موسی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بحث حول محمد بن عیسی الاشعری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إشارة إلی حال محمد بن أبی حمزة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یفعل کذا ، تدل علی المداومة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استحباب الوضوء بمدٍّ والغسل بصاع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تفسیر الصاع والمدّ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غیاث بن کلوب غیر ممدوح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بحث حول یزید بن اسحاق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هارون بن حمزة ثقة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عدم إجزاء مثل الدهن إلّا مع الجریان ولو بمعاون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وجوب الترتیب فی غسل الجنابة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محمد الراوی عنه الحسن بن سعید هو ابن أبی نصر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إشارة إلی علی بن اسماعیل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قول المیرزا محمد باستحباب الترتیب والمناقشة فیه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تحقیق حول الإجماع المنقول بخبر الواحد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معنی الإفاضة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معنی سائر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المناقشة فی توجیه الشیخ لخبر هشام بن سالم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عدم وجوب الموالاة فی الغسل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هل الوجه والرقبة داخلان فی حقیقة الرأس؟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معنی الفسطاط والخِباء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هل الارتماس یقوم مقام الترتیب؟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هل یحصل الارتماس بالوقوف تحت المطر والمجری؟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سقوط فرض الوضوء عند الغسل من الجنابة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عبدالحمید بن عواض ثقة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التعریف فی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الغسل یجزئ عن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للعموم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حکم الوضوء مع غیر غسل الجنابة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بحث حول مراسیل ابن أبی عمیر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کلام صاحب المدارک حول أبی بکر الحضرمی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توجیه خبر أبی بکر الحضرمی الدال علی الوضوء مع غسل الجنابة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هل الوضوء مع غسل الجنابة بدعة؟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وجوب الوضوء مع غیر غسل الجنابة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موسی بن جعفر بن وهب مهمل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بحث حول الحسن بن الحسین اللؤلؤی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سلیمان بن الحسن مجهول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توجیه العلّامة لمکاتبة محمد بن عبد الرحمان الهمدانی والمناقشة فیه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توجیه العلّأمة لموثقة عمّار والمناقشة فیه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الأخبار المؤیّدة لسقوط الوضوء مع الغسل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کلام المحقق الاستر ابادی فی أنّ الوضوء قبل الغسل فی غیر الجنابة مندوب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الجنب ینتهی إلی البئرأو الغدیر ولیس معه ما یغرف به الماء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الاستدلال بحدیث ابن أبی یعفور علی نجاسة البئر بالملاقاة والمناقشة فیه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ما هو المقتضی لنزح السبع باغتسال الجنب؟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بحث فی أنّ عبدالله بن مسکان لم یسمع من الصادق علیه السلام إلّا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أدرک المشعر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ظاهر حدیث محمد بن عیسی عدم نجاسة القلیل بالملاقاة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المناقشة فی توجیه الشیخ لحدیث محمد بن عیسی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أبواب الحیض والاستحاضة والنفاس</w:t>
      </w:r>
    </w:p>
    <w:p>
      <w:pPr>
        <w:pStyle w:val="BookText"/>
        <w:rPr/>
      </w:pPr>
      <w:r>
        <w:rPr>
          <w:rFonts w:ascii="IRNazanin" w:hAnsi="IRNazanin" w:eastAsia="IRNazanin"/>
          <w:color w:val="111111"/>
          <w:sz w:val="28"/>
          <w:sz w:val="28"/>
          <w:szCs w:val="28"/>
          <w:rtl w:val="true"/>
          <w:lang w:bidi="fa-IR"/>
        </w:rPr>
        <w:t xml:space="preserve">ما للرجل من المرأة إذا کانت حائضا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محمد بن علی الراوی عن محمد بن اسماعیل لا یبعد کونه ابن محبوب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محمد بن اسماعیل کأنّه ابن بزیع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بحث حول منصور بزرج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بحث حول عبدالکریم بن عمرو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إسماعیل الذی یروی عن عمر بن حنظلة غیر معلوم الحال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قول العلّامة بعدم تحریم ما عدا القبل والمناقشة فیه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معنی الوقوب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بحث حول یعقوب بن سالم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توجیه الروایات الدالّة علی حلیّة ما فوق الإزار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أقل الحیض وأکثره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حول علی بن أحمد بن أشیم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النضر الراوی عنه الحسین بن سعید هو ابن سوید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أقل الحیض ثلاثة وأکثره عشرة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استدلال العلّامة بحدیث محمد بن مسلم علی أنّ أقلّ الطهر عشرة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هل یشترط التوالی فی الثلاثة؟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معنی الحیض والاستحاضة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توجیه روایة عبدالله بن سنان الدالّة علی أنّ أکثر الحیض ثمانیة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أقلّ الطهر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معنی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محمد بن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معنی القرء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بحث حول یونس بن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السندی بن محمد ثقة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توجیه خبری یونس بن یعقوب وأبی بصیر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معنی الاستثفار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ما یجب علی من وطئ امرأة حائضا من الکفّارة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بحث حول الحسن بن علی الوشّاء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حفص مشترک بین ثقة وغیره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یحیی بن عمران الحلبی ثقة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بحث حول عبدالکریم بن عمرو وعبدالملک بن عمرو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بحث حول الطیالسی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بحث حول داود بن فرقد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مقدار کفّارة وطء الحائض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معنی الدینار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معنی الشبع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أبو جمیلة ضعیف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حول محمد بن الحسن وأحمد بن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توجیه الأخبار الدالة علی عدم الکفّارة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هل علی الوطء فی الدبر کفّارة؟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إجزاء التصدّق علی عشرة مساکین عن الکفّارة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بحث حول دعوی الإجماع علی وجوب الکفّارة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هل یجوز له وطء المرأةإذا انقطع عنها دم الحیض قبل أن تغتسل أم لا؟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بحث حول أیوب بن نوح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بحث حول عبدالله بن بکیر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الاستدلال بقوله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تقربوهنّ حتی یطهرن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جواز وطء الحائض بعد انقطاع الدم قبل الغُسل والمناقشة فیه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معنی الشبق والغُلمة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بحث حول علی بن أسباط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سعید بن یسار ثقة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توجیه الروایات الناهیة عن الوطء قبل الغُسل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المرأة تری الدم أول مرة وتستمرّ بها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حسن بن علی الراوی عن عبدالله بن بکیر إمّا ابن فضّال وإمّا الوشّاء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حکم المبتدأة التی استمرّ بها الدم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هل تتخیّر بین الستّة والسبعة من کلّ شهر؟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محمد بن حمران ثقة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رجوع المبتدأة إلی نسائها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الحبلی تری الدم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بحث حول عبدالله بن سنان ومحمد بن سنان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أبو بصیر الذی یروی عنه شعیب العقرقوفی هو الضعیف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بحث حول عبدالرحمان بن الحجاج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الحیض یجامع الحمل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معنی الهراقة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علی بن الحکم الذی یروی عنه أحمد بن محمد بن عیسی هو الثقة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حمید بن المثنی هو أبو المغرا ثقة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توجیه ما دلّ علی أنّ الحیض لا یجامع الحمل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استدلال الشهید بروایة الحسین بن نعیم علی أنّ الاعتبار فی قلّة الدم وکثرته بأوقات الصلاة والمناقشة فیه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استدلال الشهید بروایة الحسین علی أنّ المتوسطة علیها غسل واحد والمناقشة فیه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هل الاستحاضة حدث کغیره من الاحداث؟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أبو المغراء ثقة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 xml:space="preserve">بحث حول روایة الحسین بن سعید عن زرعة وفضالة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توجیه الشیخ لموثقة إسحاق بن عمّار والمناقشة فیه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مقتضی خبر إسحاق عدم الواسطة بین الدم العبیط والصفرة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معنی العُبطة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 xml:space="preserve">الحائض تطهر عند وقت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بحث حول الحجّال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ثعلبة الراوی عن معمر بن یحیی هو ابن میمون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معمر بن یحیی الذی یروی عنه ثعلبة بن میمون هو الثقة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بحث حول الفضل بن یونس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هل الاعتبار بالطهر عند وقت الفضیلة أو وقت الإجزاء؟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معنی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ضیّعت فعلیها صلاتان </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محمد بن الربیع مشترک بین مهملین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یعقوب الذی یروی عنه محمد بن علی بن محبوب هو ابن یزید </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المناقشة فی توجیه الشیخ لخبر منصور بن حازم </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المناقشة فی توجیه الشیخ لخبر أبی همام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طریق الشیخ إلی علی بن الحسن مجهول </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عبدالله بن زرارة لا یخلو من مدح </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محمد بن الفضیل مشترک بین ثقة وغیره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أبو الصباح هو إبراهیم بن نعیم الثقة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علی بن الحسن فطحی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بحث حول داود الزجاجی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محمد فطحی غیر موثق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أبو جمیلة ضعیف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المناقشة فی توجیه الشیخ للأخبار الدالّة علی أنّ الطهر قبل طلوع الفجر وغروب الشمس یقتضی صلاة العشائین والظهرین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کلام العلّامة فی المسألة والمناقشة فیه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المرأة تحیض بعد أن دخل علیها وقت الصلاة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بحث حول محمد بن الولید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شاذان بن الخلیل مهمل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وجوب قضاء الظهر إن حاضت بعد مضی أربعة أقدام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کلام صاحب المدارک فی وجوب قضاء الفرض الذی مضی مقداره والمناقشة فیه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أبو الورد مهمل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علی بن رئاب لیس فی جلالته ارتیاب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ابن محبوب الراوی عن علی بن رئاب هو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بحث حول أبی عبیدة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حکم المرأة التی صلّت من الظهر أو المغرب رکعتین ثمّ حاضت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المرأة تحیض فی یوم من أیّام شهر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عدّ السند المشتمل علی مصدق بن صدقة وعمار بن موسی من الموثق تأمّل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عبدالرحمان بن أبی نجران وصفوان بن یحیی وعیص بن القاسم لا ارتیاب فی ثقتهم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محمد بن حمران مشترک بین الثقة وغیره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حکم الحائض إذا طهرت بعد طلوع الفجر فی شهر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حکم الصائمة إذا طمثت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محمد بن حمران الذی یروی عنه علی بن أسباط هو الثقة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توهّم الراوی ینافی ضبطه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حکم الصائمة إذا طمثت بعد زوال الشمس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المرأة الجنب تحیض علیها غسل واحد أم غسلان؟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محمد بن اسماعیل مشترک بین الثقة وغیره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تداخل الاغسال الواجبة والمندوبة والمختلفة وکیفیة النیّة فیها </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إشارة إلی حال عثمان بن عیسی </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عدم التنافی بین خبر سماعة والاخبار الدالّة علی تداخل الأغسال </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المناقشة فی توجیه الشیخ لخبر سماعة </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یستفاد من خبر عمار أنّ غسل الجنابة بتقدیر الوجوب النفسی موسّع </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کلام العلّامة حول إجزاء غسل الجنابة والجمعة أحدهما عن الآخر والمناقشة فیه </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مقدار الماء الذی تغتسل به الحائض </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بحث حول المثنی الحنّاط </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بحث حول الحسن الصیقل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محمد بن الفضیل مشترک بین الثقة والضعیف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بحث فی یعقوب بن یزید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معنی الفَرَق والفَرق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الحیض والعدّة إلی 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بحث حول إسماعیل بن أبی زیاد </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ظهور حدیث زرارة علی قبول قول المرأة فی العدّة والحیض </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توجیه ما دل علی عدم قبول قول المرأة فی العدّة والحیض </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 xml:space="preserve">الاستظهار للمستحاضة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 xml:space="preserve">بحث حول إسماعیل الجعفی </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سعید بن یسار ثقة </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السند المشتمل علی أحمد بن محمد بن عیسی عن أبی جعفر عن ابن أبی نصر لا یخلو من تشویش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محمد بن خالد البرقی فیه کلام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محمد بن عمرو بن سعید هو ابن الزیّات الثقة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ما یستفاد من خبر إسماعیل الجعفی وسعید بن یسار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کلام العلّامة فی الاستظهار والمناقشة فیه </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هل الاستظهار علی سبیل الوجوب أو الاستحباب؟ </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عدد أیّام الاستظهار </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معنی الاستظهار </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إشارة إلی أنّ یونس بن یعقوب فطحی ثقة </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بحث حول موسی بن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أحمد بن هلال ضعیف </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داود مولی أبی المغرا غیر مذکور فی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توجیه ما دلّ علی الاستظهار بعشرة أیّام </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أکثر أیّام النفاس </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أبی حمزة الراوی عن یونس بن یعقوب هو الثقة </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عمرو الراوی عن یونس هو الزیّات </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عمرو بن عثمان الذی یروی عنه علی بن الحسن هو الخزّاز الثقة </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مالک بن أعین مهمل </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النفساء ترجع إلی عادتها فی الحیض </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کلام العلّامة فی المسألة والمناقشة فیه </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الاستظهار للنفساء </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حکم النفساء التی مضی لها ثلاثون لیلة </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حکم الوطء فی یوم الاستظهار </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إشارة إلی محمد بن عیسی الأشعری </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حفص بن غیاث عامی </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إشارة إلی حال القاسم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بحث حول محمد بن یحیی الخثعمی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طریق الشیخ إلی علی بن الحکم غیر مذکور فی المشیخة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توجیه الأخبار الدالّة علی أنّ أکثر النفاس ثلاثون أو أربعون إلی خمسین ، والمناقشة فی توجیهات الشیخ لها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توجیه ما دلّ علی أنّ اکثر النفاس سبع عشرة أو ثمانی عشرة أو تسع عشرة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بحث حول أحمد بن عبدوس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الحسن بن علی مشترک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إشارة إلی ضعف المفضل بن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بحث حول لیث المرادی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توجیه ما دلّ علی أنّه لیس للنفاس حدّ معیّن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وحکاه عن والد الصدوق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أحمد بن عبد الحمید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الحاوی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مشایخه المعاصرین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کالشیخ 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صورة الشکل الرابع حینئذٍ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الناقض حدث والنوم حدث ، ولا بُدّ من کلیّة الصغری ، لأنّ ترکه من المؤخّر یتوقّف علیها لیرد إلی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کلّیة الصغری لموافقة الحکمة ، فتأمّل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وفی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شعیب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أحمد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الفضیل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شعیب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خفق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الخفیق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المغیرة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الظاهر عند الولد قدس سره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الشیخ فی الفهرست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أنّه الراوی عن محمّد ابن عذافر ، وباقی رجاله لا ارتیاب فیهم بعد ما قدّمناه فی أحمد بن محمّد بن یحیی ، لأنّه فی الطریق إلی محمّد بن علی بن محبوب فی المشیخة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مشیخة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روی الشیخ فی الفهرست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جمیع کتب محمّد بن علی بن محبوب وروایاته بطرق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الحسین عن أبیه ومحمّد بن الحسن عن أحمد بن إدریس ، وهذا الطریق لیس محل کلام بتقدیر احتمال القول فی أحمد بن محمّد بن یحیی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وما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هو إلاّ بمنزلة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أبی فضیل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رجل ، وما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التلطّخ ، والظاهر ما أثبتناه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الحسن بن علی الکوفی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یحیی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الخبر ،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حکمها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تغیّر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ینقض شیئاً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خلاصته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مخلط</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کالطوسی فی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درق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درق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رجل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سالم أبی الفضیل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تحدث فی البدن من المقعدة وغیرها بمادة خبیثة ضیقة الفم یعسر برؤها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نصر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وکتابه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العلاّمة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کالشیخ 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نص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شی‌ء ، وما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قهقه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قهقه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إنشاء</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تصحیف</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 ،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أخیه الحسن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أیعید وضوءه؟ فقال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معتبر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بتقدیر العمل به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لیستبعد منه والإنکار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مستبعد منه الإنکار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مستبعد منه لإنکار ، والظاهر ما أثبتناه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المجوس</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هل یتوضأ</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رجالی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الوسیلة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الثوب</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الوسیلة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وبیان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شی‌ء ، وما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فیعلم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النخامة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النخاعة ، یقال تنخم الرجل إذا تنخع ، والنخاعة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یخرجه الإنسان من حلقه من مخرج الخاء مجمع البحرین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نَخمَ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أینقض</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غسلاً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غسلاً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بعض محققی العامة فی کتاب أحکام الأحکام فی شرح أحادیث سیّد الأنام نحو</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ذکر هذا الخبر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بعض شراح صحیح مسلم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ینافی</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 ولعل الصحیح ما أثبتناه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لاستقامة العبارة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لاستقامة العبارة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لأمن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متناول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لامتناع</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والودی</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یسترخی</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الوذی</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الودی</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داء بمعنی المرض ، مجمع البحرین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دوا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أضفناه من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ابنا قدامة فی المغنی والشرح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ابنا قدامة فی المغنی والشرح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الوذی</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الودی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بول</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الصحة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ظاهر صحیح فی الظاهر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وفیها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قاله العلاّمة فی الخلاصة من أنّ الطریق إلی الحسن بن محبوب حسن ، وإلیه ممّا أخذه من کتبه ومصنفاته صحیح ، غیر واضح ، وقد تبعه شیخنا أیّده الله فی کتاب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 أنّ الشیخ فی المشیخة ذکر للحسن بن محبوب ثلاث طرق ، أحدها حسن ، وثانیها صحیح فیما أخذه من کتبه ومصنفاته ، وثالثها ما رواه عن الحسن بن محبوب والحسین بن سعید ، وهو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واحتمال 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مخصوص بما رواه عن الحسن والحسین ، بعید فی الغایة ، بل الغایة عدم توقف أحد فی مثل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 قد ذکرته احتمالاً فی طرق الفقیه ؛ لأنّه یروی عن المتعددین فی الفقیه ، وأمّا فی مثل هذا الکتاب فلم أقف علی روایة الشیخ عن الحسن بن محبوب والحسین بن سعید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قد یختلج شکّ فی إفادة الشیخ الطریق إلی الحسن بن محبوب والحسین ؛ لأنّه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جملة ما ذکرته عن الحسن بن محبوب والحسین ، إلی آخره ، وظاهر هذا أنّ من جملة ما ذکره طریقه إلیه ما قاله فیحتاج أن یعلم أنّ الخبر المبحوث عنه من ذلک الجملة ، والعلم بذلک غیر 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ویمکن الجواب عن هذا بأنّ مراده بیان الطریق إلی الحسن بن محبوب المذکور فی جملة ما رواه فی الکتاب کما یقتضیه کلامه فی جمع المشیخة ولو قام الاحتمال فی الجمع لم یتمّ تصحیح طریقه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یحیی ونحوه ، وقد حکم بصحّته الأصحاب ، وهو دلیل علی فهمهم من کلامه ما ذکرناه ، فلیتأمّل</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خرط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الغمز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البُزاق</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وکأنه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نحمله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حمله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ومع الاشتباه لا تحقّق للبول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الحبل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الوضوء</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أفأمسح</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الماء</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من 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 فی 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اتّضح</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جز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الکثیرة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والحال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أنه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موسی ، وهو زیادة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 ، وما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لتحقق</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یدیک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غَسَل</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توقف</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وعدم ثبوت توثیق أبی بکر الحضرمی</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الخضرمی</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امّه ، بدل عن أبیه وهو فی حواشی الشهید الثانی علی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عمّن ینویه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الکشی ولکن حکاه عنه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بالبعید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المتعبدین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غسّل</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الجنابة والحیض</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الجنابة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بن فضال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الجنابة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حواشی الشهید الثانی علی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بن الحارث</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نصر بن یوسف بن الحارث بتری</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وفیه أبو نصیر ، بالنون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 الشی‌ء الأجوف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فضخت رأسه بالحجارة ،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فضخ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تأخیر البیان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أنعم فی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 کأمعن ، وأنعم النظر فی کذا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حقّق النظر وبالغ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الحسین بن الحسن اللؤلؤی ولعله تحریف فیهما والصحیح الحسن بن الحسین کما یعرف من تتبع کتب الرجال ، راجع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رجال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 وما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رابه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حاله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مانع</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کالجزائری فی حاوی الأقوال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وقبّله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جسده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 والأنسب ما أثبتناه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مدلوله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الجسد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الأردبیلی فی 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فنمنع</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یراد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والآخر</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 وما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قلناه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السنة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القاسانی</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الجنب والمیت</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الحسین بن علی بن یقطین عن أخیه الحسن ، وما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الصحیح ، راجع معجم رجال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لمقتضاه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وأُطلق</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تأکید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فتح الباری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الفرض والإیجاب</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الوجه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والموجود فیه توثیقه مرّة واحدة ،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یقال</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لعثمان ، والظاهر ما أثبتناه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 والصحیح ما أثبتناه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داود فی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 والظاهر ما أثبتناه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قال به الشیخ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والکلام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 وما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لیس فی النسخ ،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 وما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 وما أثبتناه من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البرفکی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النوفلی</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وبین ما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الدفع</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فتر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فتر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شهیه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 ، وما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لیس فی النسخ ،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 ، وما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ولکن فی 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بن الحسن بن عبد الملک الأودی ، وفی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أحمد بن الحسین ابن عبد الملک الأزدی</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کانت</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 والظاهر ما أثبتناه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یظهر من الکشی فی ترجمة یونس بن عبد الرحمن أن شادان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بالدال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الخلیل بن نُعیم والد الفضل ، لا أنّه اسم رجل آخر بینهما بالأُبوّة والبنوّة راجع 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النسخ أثبتناها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 بعض مشایخه فی الحاوی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فوائد الکتاب</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الروایة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وفی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سُلَیم</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الشافعی فی 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واحمد بن حنبل فی مسنده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حجر العسقلانی فی 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حواشی الشهید الثانی علی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الطاووسی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الخلاصة وأظنه ابن ابنته أی ابن ابنة أحمد بن محمد بن خالد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احمد بن محمد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یصرح باسم 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نقله عن نسخة من الکافی فی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واحدة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عنکم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وضع ذلک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والصحیح ما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النسخ ، أثبتناها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النسخ ، أثبتناها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وعنه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النسخ ، أثبتناها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 بزیع ، زیادة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 ، وما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یعتد به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فرج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فرج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یوجب</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الشیخ 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فجواب ، غیرناه لاستقامة العبارة</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 ، والظاهر ما أثبتناه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الاحتمال الذی أشرنا إلی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الإجمال الذی أشرنا إلیه فی</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الاستبصار</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النّاووسیة فرقة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جعفر بن محمد علیه السلام حیّ لم یمت ولا یموت حتی یظهر ویلی أمر النّاس وهو القائم المهدی ، سمیت بذلک لرئیس کان لهم یقال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بن الناووس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وقف علی أبی عبد الله علیه السلام ، ولیس بمعناه المصطلح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علیها فی باب الأذان ، وهی موجودة فی باب المواقیت من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العلیل قلیلاً قلیلاً</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قدمناه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الهوین</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فما فرق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الفرق</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وعدمه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لأحد الخبرین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هون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محبوب</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بثوبه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والموجود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السدی</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السری الکرخی</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الشهید الأول فی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تنزل</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المحید هو المحیص ، النهایة لابن الأثیر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حیص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وحکاه عن المرتضی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 ، غیّرناها لاستقامة العبارة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یأتی</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لمذاهب بعض العامة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 ، وما أثبتناه من المصدر</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اعترض علی مدعی الإجماع بکفر ولد الزنا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القائلین بأنّ إسحاق بن عمار فطحی ثقة ، کابن داود فی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الکتابة</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الکتابة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أبو السعود فی تفسیره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الشیخ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ظاهر التبیان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وصریح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ویقرأ القرآن ویذکر الله عز وجل</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الحارثی</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الجابرزی</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الجازی ، وفی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الحارثی</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للقُهپائی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أخبرنا</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فضال</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نحو ذلک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الحائض تسمع سجدة العزائم</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السبب علی المسبب ، وما أثبتناه من المصدر</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البهائی فی مشرق الشمسین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ذکرها فی سلمان الفارسی ، لا فی حجر بن زائدة والموجود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عبد الله بن جداعة</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تضمّن ، غیّرناها لاستقامة العبارة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حواشی الشهید الثانی علی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خضب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علی ، زیادة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علی ، زیادة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یسأله</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الوضح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وضح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وقع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رفع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وقع ، والظاهر ما أثبتناه</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التالی</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زهرة فی 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وغَسل الفرج</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الذکری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الأوّل فی الذکری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جسد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بال</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حواشی الشهید الثانی علی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المرفقین</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التهذیب</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واضح الإشکال</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بین المعقوفین</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والأردبیلی فی 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فی الذکری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فی الذکری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الأخیر</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الحجاج</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أخبرنا</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تقصرت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تعصّرت وأنزلت</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المعقوفین فی النسخ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ولأجل قال ، والصواب ما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اختلاف</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وحکاه عنه فی الذکری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 ، وما أثبتناه من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المدارک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والروایة السابقة</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بمد</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أحمد</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لکلّ شی‌ء محدود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موقّت ،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وقت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إهمال</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الشیخ 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لحاصل خبر المروزی</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المنتهی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وسبعون</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المنتهی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ثمانون</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المنتهی</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النسخ ، أثبتناه من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یریدوا</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المنتهی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سبعون</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مجراهما</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أجری</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جری</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الأوّل فی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مَنیّ</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لحجیّة</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تحقق</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وعدم الموافق علی هذا إلاّ من قلّ غیر أن الضرورة غیر داعیة إلی نفیه لانتفاء الثمرة ، کما ستعلمه</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خلافه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 والأنسب ما أثبتناه</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ولذلک</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احتملت</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المکان</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فذهبت</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مثلها ولا الروایة الإتیان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 هذه الرواة</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یمکن أن یقرء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المتابعة</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الشیخ 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بنفسها</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والفاعل سبب</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یمکن</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 حذفناها لاستقامة المعنی</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 وما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وما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الحسین بن الحسن</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لاستقامة العبارة</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علیه قبل ولا بعد</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لاستقامة العبارة</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حمزة فی الوسیلة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ذکری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زیادة غیر واضحة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عنه فی 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عیسی ، وما هنا موافق للتهذیب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علیهما</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البدن</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الإشارة إلی باب النهی عن الاشراف خطأ ، 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أمیر 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السعی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یونس</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البرقی ، والظاهر أنّه خطأ والمراد به احمد ابن محمد بن الحسن بن الولید</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کالجزائری فی الحاوی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عکرمة</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الفرج</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فیمکنان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یمکنان ، وما أثبتناه من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النجاشی</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حواشی الشهید الثانی علی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النسخ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المحیض أذی فاعتزلوا النساء</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الحلی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 وما أثبتناه من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النسخ ، أثبتناه من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النسخ ،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کالشیخ 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الجمل والعقود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والشهید فی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وصاحب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نفی عنه البُعد فی 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محیاضاً</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صبیاً</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استشفرت</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واشتبهت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أثبتناه من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تعمل ، وما أثبتناه من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بنان ، وما أثبتناه من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کل</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دماً</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واستشفرت</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فرجها</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یجعل</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ثفر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أبو عبد الله</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أبو جعفر</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فالوجه</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قیمة مقدار الصدقة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مقدار قیمة الصدقة ، وما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أحمد</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أصحابنا</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 من أصحاب الرضا علیه السلام ، وفی حاشیة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خیران</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والسرعة</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تصحیف</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حواشی الشهید الثانی علی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المعقوفین 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والخامس ، والظاهر ما أثبتناه</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الأخبار</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محمل</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ما أثبتناه</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وإما</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للجماع</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فی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فی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شبع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واقع</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أعلیه</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حیث</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 وما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المقدم</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النسخ ، وما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إبّان الشی‌ء 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حینه 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أبَنَهُ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أرَ تحریر الأصحاب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أرَ تحریر الأصحاب المقام فی کلام</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فی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هذا</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فی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فضال</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 والأنسب ما أثبتناه</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حواشی الشهید الثانی علی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وظاهر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وظاهرها ، والظاهر ما أثبتناه</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صاحب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یقید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بعید</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طهر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شبق </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غلم </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اثنین ، بدل یومین</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أیحل</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أفلزوجها</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سمعه</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 وکذا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احتماله</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بالاستیناف</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یوماً</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علی</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الکبیر</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حالها</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وجه للتعرض</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والشهید الأوّل فی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فی 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تکلفاً</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ومدارک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وبدل ما بین المعقوفین 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 ، والظاهر ما أثبتناه</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فی 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واعترض</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ینهی ، والظاهر ما أثبتناه</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فی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والناصریة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والناصریة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هرق </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هراق </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الدم</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المطلق</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 وما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یمضی</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تفور</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فلتتوضأ</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القلیل</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وکذلک</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فإنها إذا</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الوقت</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ضربه</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فی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الحلّی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الأوّل فی 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الشهید فی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والذکری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المعزی ، ولعل الصحیح ما أثبتناه بتقدیم الغین المعجمة علی الراء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وإیضاح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ذینک</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کانت</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العلاّمة</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مهران ، 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 کما أثبتناه وسیشیر إلیه راجع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الأحیان</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بیان</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الصلوات</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عبط </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ذکرنا ، 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کالجزائری فی الحاوی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قوانین</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یضیق للعصر</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أدرک</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التعلیل</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 والظاهر ما أثبتناه</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کفایة زیادة تثبته</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تعیین</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 وما أثبتناه من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واللیلة ، وما أثبتاه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جهة أحمد بن عبدون وعلی بن الزبیر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وتوجد هذه الزیادة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إشارة إلی موضعها</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یتوجه أن ذکر ذلک لا وجه له لأنه معلوم ، لأن الغرض التنبّه علی الاشتراک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سلّمه الله تعالی</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مقتضیان</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أجزأها عنک</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عیدها ، وما أثبتناه من المصدر</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فی 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الإجزاء</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الجمیع</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والأردبیلی فی 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ذکری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التعیّن</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 علی</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إفادة ما یریده</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بین المعقوفین فی النسخ ، الجنابة ، والصحیح ما أثبتاه من المصدر</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ولذلک</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الخیّاط</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جابر</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وکذا فی أصحاب الصادق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وثّقه النجاشی فی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ینشأ من قول النجاشی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ضعیفاً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الطوسی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ابن إدریس الحلّی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الله سبحانه الاتکال</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العشرة ، وما أثبتناه من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لیس فی النسخ ، أثبتناه من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 وما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فطحی ثقة ، انظر 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أصحاب الهادی علیه السلام من کتاب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 ، وما هنا موافق للتهذیب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النسخ ، أثبتناها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بالغسل</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النفساء</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حرمت ، وما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خمسین</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خمسین</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فأحدها</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أضفناه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رقم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والرابع ، والصواب ما أثبتناه</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والخامس ، والصواب ما أثبتناه</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 نقله عن الشافعی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یمشی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یتمشی</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الجمع محلّ</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فینبغی</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سبیل التقیّة ، وفی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سبب أو للتقیّة</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 ، والظاهر ما أثبتناه</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زیادة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رجال 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قصّة</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image" Target="media/image2.jpeg"/><Relationship Id="rId495" Type="http://schemas.openxmlformats.org/officeDocument/2006/relationships/image" Target="media/image2.jpeg"/><Relationship Id="rId496" Type="http://schemas.openxmlformats.org/officeDocument/2006/relationships/footer" Target="footer489.xml"/><Relationship Id="rId497" Type="http://schemas.openxmlformats.org/officeDocument/2006/relationships/footnotes" Target="footnotes.xml"/><Relationship Id="rId498" Type="http://schemas.openxmlformats.org/officeDocument/2006/relationships/numbering" Target="numbering.xml"/><Relationship Id="rId499" Type="http://schemas.openxmlformats.org/officeDocument/2006/relationships/fontTable" Target="fontTable.xml"/><Relationship Id="rId500" Type="http://schemas.openxmlformats.org/officeDocument/2006/relationships/settings" Target="settings.xml"/><Relationship Id="rId5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503</Pages>
  <Words>34023</Words>
  <Characters>146068</Characters>
  <CharactersWithSpaces>178723</CharactersWithSpaces>
  <Paragraphs>1442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2026-08-24T20:23:03Z</dcterms:created>
  <dc:creator>ghaemiyeh.com</dc:creator>
  <dc:description/>
  <dc:language>en-US</dc:language>
  <cp:lastModifiedBy/>
  <dcterms:modified xsi:type="dcterms:W3CDTF">2026-08-24T23:53:24Z</dcterms:modified>
  <cp:revision>1</cp:revision>
  <dc:subject/>
  <dc:title>استقصاء الإعتبار فی شرح الإستبصار جلد 2</dc:title>
</cp:coreProperties>
</file>

<file path=docProps/custom.xml><?xml version="1.0" encoding="utf-8"?>
<Properties xmlns="http://schemas.openxmlformats.org/officeDocument/2006/custom-properties" xmlns:vt="http://schemas.openxmlformats.org/officeDocument/2006/docPropsVTypes"/>
</file>